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BC2588">
      <w:pPr>
        <w:rPr>
          <w:rFonts w:ascii="Times New Roman" w:hAnsi="Times New Roman" w:eastAsia="仿宋_GB2312" w:cs="Times New Roman"/>
          <w:color w:val="000000" w:themeColor="text1"/>
          <w:sz w:val="36"/>
          <w:szCs w:val="36"/>
          <w14:textFill>
            <w14:solidFill>
              <w14:schemeClr w14:val="tx1"/>
            </w14:solidFill>
          </w14:textFill>
        </w:rPr>
      </w:pPr>
      <w:r>
        <w:rPr>
          <w:rFonts w:ascii="Times New Roman" w:hAnsi="Times New Roman" w:eastAsia="仿宋_GB2312" w:cs="Times New Roman"/>
          <w:color w:val="000000" w:themeColor="text1"/>
          <w:sz w:val="36"/>
          <w:szCs w:val="36"/>
          <w14:textFill>
            <w14:solidFill>
              <w14:schemeClr w14:val="tx1"/>
            </w14:solidFill>
          </w14:textFill>
        </w:rPr>
        <w:t xml:space="preserve"> </w:t>
      </w:r>
    </w:p>
    <w:p w14:paraId="7876C278">
      <w:pPr>
        <w:rPr>
          <w:rFonts w:ascii="Times New Roman" w:hAnsi="Times New Roman" w:eastAsia="仿宋_GB2312" w:cs="Times New Roman"/>
          <w:color w:val="000000" w:themeColor="text1"/>
          <w:sz w:val="36"/>
          <w:szCs w:val="36"/>
          <w14:textFill>
            <w14:solidFill>
              <w14:schemeClr w14:val="tx1"/>
            </w14:solidFill>
          </w14:textFill>
        </w:rPr>
      </w:pPr>
      <w:r>
        <w:rPr>
          <w:rFonts w:ascii="Times New Roman" w:hAnsi="Times New Roman" w:eastAsia="仿宋_GB2312" w:cs="Times New Roman"/>
          <w:color w:val="000000" w:themeColor="text1"/>
          <w:sz w:val="36"/>
          <w:szCs w:val="36"/>
          <w14:textFill>
            <w14:solidFill>
              <w14:schemeClr w14:val="tx1"/>
            </w14:solidFill>
          </w14:textFill>
        </w:rPr>
        <w:t xml:space="preserve"> </w:t>
      </w:r>
    </w:p>
    <w:p w14:paraId="4830E420">
      <w:pPr>
        <w:rPr>
          <w:rFonts w:ascii="Times New Roman" w:hAnsi="Times New Roman" w:eastAsia="仿宋_GB2312" w:cs="Times New Roman"/>
          <w:color w:val="000000" w:themeColor="text1"/>
          <w:sz w:val="36"/>
          <w:szCs w:val="36"/>
          <w14:textFill>
            <w14:solidFill>
              <w14:schemeClr w14:val="tx1"/>
            </w14:solidFill>
          </w14:textFill>
        </w:rPr>
      </w:pPr>
      <w:r>
        <w:rPr>
          <w:rFonts w:ascii="Times New Roman" w:hAnsi="Times New Roman" w:eastAsia="仿宋_GB2312" w:cs="Times New Roman"/>
          <w:color w:val="000000" w:themeColor="text1"/>
          <w:sz w:val="36"/>
          <w:szCs w:val="36"/>
          <w14:textFill>
            <w14:solidFill>
              <w14:schemeClr w14:val="tx1"/>
            </w14:solidFill>
          </w14:textFill>
        </w:rPr>
        <w:t xml:space="preserve"> </w:t>
      </w:r>
    </w:p>
    <w:p w14:paraId="1AE20D7E">
      <w:pPr>
        <w:rPr>
          <w:rFonts w:ascii="Times New Roman" w:hAnsi="Times New Roman" w:eastAsia="仿宋_GB2312" w:cs="Times New Roman"/>
          <w:color w:val="000000" w:themeColor="text1"/>
          <w:sz w:val="36"/>
          <w:szCs w:val="36"/>
          <w14:textFill>
            <w14:solidFill>
              <w14:schemeClr w14:val="tx1"/>
            </w14:solidFill>
          </w14:textFill>
        </w:rPr>
      </w:pPr>
      <w:r>
        <w:rPr>
          <w:rFonts w:ascii="Times New Roman" w:hAnsi="Times New Roman" w:eastAsia="仿宋_GB2312" w:cs="Times New Roman"/>
          <w:color w:val="000000" w:themeColor="text1"/>
          <w:sz w:val="36"/>
          <w:szCs w:val="36"/>
          <w14:textFill>
            <w14:solidFill>
              <w14:schemeClr w14:val="tx1"/>
            </w14:solidFill>
          </w14:textFill>
        </w:rPr>
        <w:t xml:space="preserve"> </w:t>
      </w:r>
    </w:p>
    <w:p w14:paraId="05B65058">
      <w:pPr>
        <w:adjustRightInd w:val="0"/>
        <w:snapToGrid w:val="0"/>
        <w:jc w:val="center"/>
        <w:outlineLvl w:val="0"/>
        <w:rPr>
          <w:rFonts w:ascii="Times New Roman" w:hAnsi="Times New Roman" w:eastAsia="宋体" w:cs="Times New Roman"/>
          <w:color w:val="auto"/>
          <w:sz w:val="72"/>
          <w:szCs w:val="72"/>
        </w:rPr>
      </w:pPr>
      <w:r>
        <w:rPr>
          <w:rFonts w:ascii="Times New Roman" w:hAnsi="Times New Roman" w:cs="Times New Roman"/>
          <w:color w:val="auto"/>
          <w:sz w:val="72"/>
          <w:szCs w:val="72"/>
        </w:rPr>
        <w:t>建设项目环境影响报告表</w:t>
      </w:r>
    </w:p>
    <w:p w14:paraId="50706A41">
      <w:pPr>
        <w:adjustRightInd w:val="0"/>
        <w:snapToGrid w:val="0"/>
        <w:spacing w:before="192" w:beforeLines="80"/>
        <w:jc w:val="center"/>
        <w:rPr>
          <w:rFonts w:ascii="Times New Roman" w:hAnsi="Times New Roman" w:cs="Times New Roman"/>
          <w:color w:val="auto"/>
          <w:sz w:val="48"/>
          <w:szCs w:val="48"/>
        </w:rPr>
      </w:pPr>
      <w:r>
        <w:rPr>
          <w:rFonts w:ascii="Times New Roman" w:hAnsi="Times New Roman" w:cs="Times New Roman"/>
          <w:color w:val="auto"/>
          <w:sz w:val="48"/>
          <w:szCs w:val="48"/>
        </w:rPr>
        <w:t>（污染影响类）</w:t>
      </w:r>
    </w:p>
    <w:p w14:paraId="677BEC48">
      <w:pPr>
        <w:adjustRightInd w:val="0"/>
        <w:snapToGrid w:val="0"/>
        <w:spacing w:line="288" w:lineRule="auto"/>
        <w:jc w:val="center"/>
        <w:outlineLvl w:val="0"/>
        <w:rPr>
          <w:rFonts w:ascii="Times New Roman" w:hAnsi="Times New Roman" w:eastAsia="华文仿宋" w:cs="Times New Roman"/>
          <w:color w:val="auto"/>
          <w:kern w:val="44"/>
          <w:sz w:val="44"/>
          <w:szCs w:val="44"/>
        </w:rPr>
      </w:pPr>
      <w:r>
        <w:rPr>
          <w:rFonts w:ascii="Times New Roman" w:hAnsi="Times New Roman" w:eastAsia="华文仿宋" w:cs="Times New Roman"/>
          <w:color w:val="auto"/>
          <w:kern w:val="44"/>
          <w:sz w:val="44"/>
          <w:szCs w:val="44"/>
        </w:rPr>
        <w:t xml:space="preserve"> </w:t>
      </w:r>
    </w:p>
    <w:p w14:paraId="4C97FB12">
      <w:pPr>
        <w:jc w:val="center"/>
        <w:rPr>
          <w:rFonts w:ascii="Times New Roman" w:hAnsi="Times New Roman" w:eastAsia="仿宋" w:cs="Times New Roman"/>
          <w:color w:val="auto"/>
          <w:sz w:val="52"/>
          <w:szCs w:val="52"/>
        </w:rPr>
      </w:pPr>
      <w:r>
        <w:rPr>
          <w:rFonts w:ascii="Times New Roman" w:hAnsi="Times New Roman" w:eastAsia="仿宋" w:cs="Times New Roman"/>
          <w:color w:val="auto"/>
          <w:sz w:val="52"/>
          <w:szCs w:val="52"/>
        </w:rPr>
        <w:t xml:space="preserve"> </w:t>
      </w:r>
    </w:p>
    <w:p w14:paraId="7C0081EB">
      <w:pPr>
        <w:ind w:firstLine="1040"/>
        <w:rPr>
          <w:rFonts w:ascii="Times New Roman" w:hAnsi="Times New Roman" w:eastAsia="仿宋" w:cs="Times New Roman"/>
          <w:color w:val="auto"/>
          <w:sz w:val="44"/>
          <w:szCs w:val="44"/>
        </w:rPr>
      </w:pPr>
      <w:r>
        <w:rPr>
          <w:rFonts w:ascii="Times New Roman" w:hAnsi="Times New Roman" w:eastAsia="仿宋" w:cs="Times New Roman"/>
          <w:color w:val="auto"/>
          <w:sz w:val="44"/>
          <w:szCs w:val="44"/>
        </w:rPr>
        <w:t xml:space="preserve"> </w:t>
      </w:r>
    </w:p>
    <w:p w14:paraId="7192A94F">
      <w:pPr>
        <w:ind w:firstLine="1040"/>
        <w:rPr>
          <w:rFonts w:ascii="Times New Roman" w:hAnsi="Times New Roman" w:eastAsia="仿宋" w:cs="Times New Roman"/>
          <w:color w:val="auto"/>
          <w:sz w:val="44"/>
          <w:szCs w:val="44"/>
        </w:rPr>
      </w:pPr>
      <w:r>
        <w:rPr>
          <w:rFonts w:ascii="Times New Roman" w:hAnsi="Times New Roman" w:eastAsia="仿宋" w:cs="Times New Roman"/>
          <w:color w:val="auto"/>
          <w:sz w:val="44"/>
          <w:szCs w:val="44"/>
        </w:rPr>
        <w:t xml:space="preserve"> </w:t>
      </w:r>
    </w:p>
    <w:p w14:paraId="0FC21A6A">
      <w:pPr>
        <w:ind w:firstLine="1040"/>
        <w:rPr>
          <w:rFonts w:ascii="Times New Roman" w:hAnsi="Times New Roman" w:eastAsia="仿宋" w:cs="Times New Roman"/>
          <w:color w:val="auto"/>
          <w:sz w:val="44"/>
          <w:szCs w:val="44"/>
        </w:rPr>
      </w:pPr>
      <w:r>
        <w:rPr>
          <w:rFonts w:ascii="Times New Roman" w:hAnsi="Times New Roman" w:eastAsia="仿宋" w:cs="Times New Roman"/>
          <w:color w:val="auto"/>
          <w:sz w:val="44"/>
          <w:szCs w:val="44"/>
        </w:rPr>
        <w:t xml:space="preserve"> </w:t>
      </w:r>
    </w:p>
    <w:p w14:paraId="2B8EFFC1">
      <w:pPr>
        <w:ind w:firstLine="1040"/>
        <w:rPr>
          <w:rFonts w:ascii="Times New Roman" w:hAnsi="Times New Roman" w:eastAsia="仿宋" w:cs="Times New Roman"/>
          <w:color w:val="auto"/>
          <w:sz w:val="44"/>
          <w:szCs w:val="44"/>
        </w:rPr>
      </w:pPr>
      <w:r>
        <w:rPr>
          <w:rFonts w:ascii="Times New Roman" w:hAnsi="Times New Roman" w:eastAsia="仿宋" w:cs="Times New Roman"/>
          <w:color w:val="auto"/>
          <w:sz w:val="44"/>
          <w:szCs w:val="44"/>
        </w:rPr>
        <w:t xml:space="preserve"> </w:t>
      </w:r>
    </w:p>
    <w:p w14:paraId="39DFF240">
      <w:pPr>
        <w:ind w:left="1600" w:hanging="1600" w:hangingChars="500"/>
        <w:rPr>
          <w:rFonts w:hint="default" w:ascii="Times New Roman" w:hAnsi="Times New Roman" w:cs="Times New Roman"/>
          <w:color w:val="auto"/>
          <w:sz w:val="32"/>
          <w:szCs w:val="32"/>
          <w:lang w:val="en-US"/>
        </w:rPr>
      </w:pPr>
      <w:r>
        <w:rPr>
          <w:rFonts w:ascii="Times New Roman" w:hAnsi="Times New Roman" w:cs="Times New Roman"/>
          <w:color w:val="auto"/>
          <w:sz w:val="32"/>
          <w:szCs w:val="32"/>
        </w:rPr>
        <w:t>项目名称：</w:t>
      </w:r>
      <w:r>
        <w:rPr>
          <w:rFonts w:hint="eastAsia" w:ascii="Times New Roman" w:hAnsi="Times New Roman" w:cs="Times New Roman"/>
          <w:color w:val="auto"/>
          <w:sz w:val="32"/>
          <w:szCs w:val="32"/>
          <w:u w:val="single"/>
          <w:lang w:val="en-US" w:eastAsia="zh-CN"/>
        </w:rPr>
        <w:t xml:space="preserve">沙坡头区兴仁镇污水处理厂建设项目（重新报批）       </w:t>
      </w:r>
    </w:p>
    <w:p w14:paraId="50414698">
      <w:pPr>
        <w:ind w:left="1600" w:hanging="1600" w:hangingChars="500"/>
        <w:rPr>
          <w:rFonts w:hint="eastAsia" w:ascii="Times New Roman" w:hAnsi="Times New Roman" w:cs="Times New Roman" w:eastAsiaTheme="minorEastAsia"/>
          <w:color w:val="auto"/>
          <w:sz w:val="32"/>
          <w:szCs w:val="32"/>
          <w:lang w:eastAsia="zh-CN"/>
        </w:rPr>
      </w:pPr>
    </w:p>
    <w:p w14:paraId="7940BAEF">
      <w:pPr>
        <w:adjustRightInd w:val="0"/>
        <w:snapToGrid w:val="0"/>
        <w:spacing w:line="288" w:lineRule="auto"/>
        <w:rPr>
          <w:rFonts w:ascii="Times New Roman" w:hAnsi="Times New Roman" w:cs="Times New Roman"/>
          <w:color w:val="auto"/>
          <w:sz w:val="32"/>
          <w:szCs w:val="32"/>
          <w:u w:val="single"/>
        </w:rPr>
      </w:pPr>
      <w:r>
        <w:rPr>
          <w:rFonts w:ascii="Times New Roman" w:hAnsi="Times New Roman" w:cs="Times New Roman"/>
          <w:color w:val="auto"/>
          <w:sz w:val="32"/>
          <w:szCs w:val="32"/>
        </w:rPr>
        <w:t>建设单位：</w:t>
      </w:r>
      <w:r>
        <w:rPr>
          <w:rFonts w:ascii="Times New Roman" w:hAnsi="Times New Roman" w:cs="Times New Roman"/>
          <w:color w:val="auto"/>
          <w:sz w:val="32"/>
          <w:szCs w:val="32"/>
          <w:u w:val="single"/>
        </w:rPr>
        <w:t xml:space="preserve">     </w:t>
      </w:r>
      <w:r>
        <w:rPr>
          <w:rFonts w:hint="eastAsia" w:ascii="Times New Roman" w:hAnsi="Times New Roman" w:cs="Times New Roman"/>
          <w:color w:val="auto"/>
          <w:sz w:val="32"/>
          <w:szCs w:val="32"/>
          <w:u w:val="single"/>
        </w:rPr>
        <w:t>中卫市沙坡头区兴仁镇人民政府</w:t>
      </w:r>
      <w:r>
        <w:rPr>
          <w:rFonts w:ascii="Times New Roman" w:hAnsi="Times New Roman" w:cs="Times New Roman"/>
          <w:color w:val="auto"/>
          <w:sz w:val="32"/>
          <w:szCs w:val="32"/>
          <w:u w:val="single"/>
        </w:rPr>
        <w:t xml:space="preserve">            </w:t>
      </w:r>
    </w:p>
    <w:p w14:paraId="502521D4">
      <w:pPr>
        <w:adjustRightInd w:val="0"/>
        <w:snapToGrid w:val="0"/>
        <w:spacing w:line="288" w:lineRule="auto"/>
        <w:rPr>
          <w:rFonts w:ascii="Times New Roman" w:hAnsi="Times New Roman" w:eastAsia="仿宋_GB2312" w:cs="Times New Roman"/>
          <w:color w:val="auto"/>
          <w:sz w:val="32"/>
          <w:szCs w:val="32"/>
          <w:u w:val="single"/>
        </w:rPr>
      </w:pPr>
      <w:r>
        <w:rPr>
          <w:rFonts w:ascii="Times New Roman" w:hAnsi="Times New Roman" w:cs="Times New Roman"/>
          <w:color w:val="auto"/>
          <w:sz w:val="32"/>
          <w:szCs w:val="32"/>
        </w:rPr>
        <w:t>编制日期：</w:t>
      </w:r>
      <w:r>
        <w:rPr>
          <w:rFonts w:ascii="Times New Roman" w:hAnsi="Times New Roman" w:cs="Times New Roman"/>
          <w:color w:val="auto"/>
          <w:sz w:val="32"/>
          <w:szCs w:val="32"/>
          <w:u w:val="single"/>
        </w:rPr>
        <w:t xml:space="preserve">                 20</w:t>
      </w:r>
      <w:r>
        <w:rPr>
          <w:rFonts w:hint="eastAsia" w:ascii="Times New Roman" w:hAnsi="Times New Roman" w:cs="Times New Roman"/>
          <w:color w:val="auto"/>
          <w:sz w:val="32"/>
          <w:szCs w:val="32"/>
          <w:u w:val="single"/>
          <w:lang w:val="en-US" w:eastAsia="zh-CN"/>
        </w:rPr>
        <w:t>25</w:t>
      </w:r>
      <w:r>
        <w:rPr>
          <w:rFonts w:ascii="Times New Roman" w:hAnsi="Times New Roman" w:cs="Times New Roman"/>
          <w:color w:val="auto"/>
          <w:sz w:val="32"/>
          <w:szCs w:val="32"/>
          <w:u w:val="single"/>
        </w:rPr>
        <w:t>年</w:t>
      </w:r>
      <w:r>
        <w:rPr>
          <w:rFonts w:hint="eastAsia" w:ascii="Times New Roman" w:hAnsi="Times New Roman" w:cs="Times New Roman"/>
          <w:color w:val="auto"/>
          <w:sz w:val="32"/>
          <w:szCs w:val="32"/>
          <w:u w:val="single"/>
          <w:lang w:val="en-US" w:eastAsia="zh-CN"/>
        </w:rPr>
        <w:t>3</w:t>
      </w:r>
      <w:r>
        <w:rPr>
          <w:rFonts w:ascii="Times New Roman" w:hAnsi="Times New Roman" w:cs="Times New Roman"/>
          <w:color w:val="auto"/>
          <w:sz w:val="32"/>
          <w:szCs w:val="32"/>
          <w:u w:val="single"/>
        </w:rPr>
        <w:t xml:space="preserve">月  </w:t>
      </w:r>
      <w:r>
        <w:rPr>
          <w:rFonts w:ascii="Times New Roman" w:hAnsi="Times New Roman" w:eastAsia="仿宋_GB2312" w:cs="Times New Roman"/>
          <w:color w:val="auto"/>
          <w:sz w:val="32"/>
          <w:szCs w:val="32"/>
          <w:u w:val="single"/>
        </w:rPr>
        <w:t xml:space="preserve">               </w:t>
      </w:r>
    </w:p>
    <w:p w14:paraId="556A80DB">
      <w:pPr>
        <w:adjustRightInd w:val="0"/>
        <w:snapToGrid w:val="0"/>
        <w:spacing w:line="288" w:lineRule="auto"/>
        <w:ind w:firstLine="1040"/>
        <w:rPr>
          <w:rFonts w:ascii="Times New Roman" w:hAnsi="Times New Roman" w:eastAsia="仿宋_GB2312" w:cs="Times New Roman"/>
          <w:color w:val="auto"/>
          <w:sz w:val="36"/>
          <w:szCs w:val="36"/>
        </w:rPr>
      </w:pPr>
      <w:r>
        <w:rPr>
          <w:rFonts w:ascii="Times New Roman" w:hAnsi="Times New Roman" w:eastAsia="仿宋_GB2312" w:cs="Times New Roman"/>
          <w:color w:val="auto"/>
          <w:sz w:val="36"/>
          <w:szCs w:val="36"/>
        </w:rPr>
        <w:t xml:space="preserve"> </w:t>
      </w:r>
    </w:p>
    <w:p w14:paraId="3AB821F8">
      <w:pPr>
        <w:adjustRightInd w:val="0"/>
        <w:snapToGrid w:val="0"/>
        <w:spacing w:line="288" w:lineRule="auto"/>
        <w:ind w:firstLine="1040"/>
        <w:rPr>
          <w:rFonts w:ascii="Times New Roman" w:hAnsi="Times New Roman" w:eastAsia="仿宋_GB2312" w:cs="Times New Roman"/>
          <w:color w:val="auto"/>
          <w:sz w:val="36"/>
          <w:szCs w:val="36"/>
        </w:rPr>
      </w:pPr>
      <w:r>
        <w:rPr>
          <w:rFonts w:ascii="Times New Roman" w:hAnsi="Times New Roman" w:eastAsia="仿宋_GB2312" w:cs="Times New Roman"/>
          <w:color w:val="auto"/>
          <w:sz w:val="36"/>
          <w:szCs w:val="36"/>
        </w:rPr>
        <w:t xml:space="preserve"> </w:t>
      </w:r>
    </w:p>
    <w:p w14:paraId="05A3C17A">
      <w:pPr>
        <w:adjustRightInd w:val="0"/>
        <w:snapToGrid w:val="0"/>
        <w:spacing w:line="288" w:lineRule="auto"/>
        <w:ind w:firstLine="1040"/>
        <w:rPr>
          <w:rFonts w:ascii="Times New Roman" w:hAnsi="Times New Roman" w:eastAsia="仿宋_GB2312" w:cs="Times New Roman"/>
          <w:color w:val="auto"/>
          <w:sz w:val="36"/>
          <w:szCs w:val="36"/>
        </w:rPr>
      </w:pPr>
      <w:r>
        <w:rPr>
          <w:rFonts w:ascii="Times New Roman" w:hAnsi="Times New Roman" w:eastAsia="仿宋_GB2312" w:cs="Times New Roman"/>
          <w:color w:val="auto"/>
          <w:sz w:val="36"/>
          <w:szCs w:val="36"/>
        </w:rPr>
        <w:t xml:space="preserve"> </w:t>
      </w:r>
    </w:p>
    <w:p w14:paraId="19CE5B6D">
      <w:pPr>
        <w:adjustRightInd w:val="0"/>
        <w:snapToGrid w:val="0"/>
        <w:spacing w:line="288" w:lineRule="auto"/>
        <w:ind w:firstLine="1040"/>
        <w:rPr>
          <w:rFonts w:ascii="Times New Roman" w:hAnsi="Times New Roman" w:eastAsia="仿宋_GB2312" w:cs="Times New Roman"/>
          <w:color w:val="auto"/>
          <w:sz w:val="36"/>
          <w:szCs w:val="36"/>
        </w:rPr>
      </w:pPr>
      <w:r>
        <w:rPr>
          <w:rFonts w:ascii="Times New Roman" w:hAnsi="Times New Roman" w:eastAsia="仿宋_GB2312" w:cs="Times New Roman"/>
          <w:color w:val="auto"/>
          <w:sz w:val="36"/>
          <w:szCs w:val="36"/>
        </w:rPr>
        <w:t xml:space="preserve"> </w:t>
      </w:r>
    </w:p>
    <w:p w14:paraId="1385C1C1">
      <w:pPr>
        <w:adjustRightInd w:val="0"/>
        <w:snapToGrid w:val="0"/>
        <w:spacing w:line="288" w:lineRule="auto"/>
        <w:jc w:val="center"/>
        <w:rPr>
          <w:rFonts w:ascii="Times New Roman" w:hAnsi="Times New Roman" w:cs="Times New Roman"/>
          <w:color w:val="auto"/>
          <w:sz w:val="36"/>
          <w:szCs w:val="36"/>
        </w:rPr>
      </w:pPr>
      <w:r>
        <w:rPr>
          <w:rFonts w:ascii="Times New Roman" w:hAnsi="Times New Roman" w:cs="Times New Roman"/>
          <w:color w:val="auto"/>
          <w:sz w:val="36"/>
          <w:szCs w:val="36"/>
        </w:rPr>
        <w:t>中华人民共和国生态环境</w:t>
      </w:r>
    </w:p>
    <w:p w14:paraId="5748DA81">
      <w:pPr>
        <w:widowControl/>
        <w:jc w:val="left"/>
        <w:rPr>
          <w:rFonts w:ascii="Times New Roman" w:hAnsi="Times New Roman" w:cs="Times New Roman"/>
          <w:color w:val="auto"/>
          <w:sz w:val="36"/>
          <w:szCs w:val="36"/>
        </w:rPr>
        <w:sectPr>
          <w:pgSz w:w="12240" w:h="15840"/>
          <w:pgMar w:top="1440" w:right="1800" w:bottom="1440" w:left="1800" w:header="720" w:footer="720" w:gutter="0"/>
          <w:pgBorders>
            <w:top w:val="none" w:sz="0" w:space="0"/>
            <w:left w:val="none" w:sz="0" w:space="0"/>
            <w:bottom w:val="none" w:sz="0" w:space="0"/>
            <w:right w:val="none" w:sz="0" w:space="0"/>
          </w:pgBorders>
          <w:cols w:space="720" w:num="1"/>
        </w:sectPr>
      </w:pPr>
    </w:p>
    <w:p w14:paraId="2B9CC395">
      <w:pPr>
        <w:jc w:val="center"/>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一、建设项目基本情况</w:t>
      </w:r>
    </w:p>
    <w:tbl>
      <w:tblPr>
        <w:tblStyle w:val="27"/>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2501"/>
        <w:gridCol w:w="1743"/>
        <w:gridCol w:w="3133"/>
      </w:tblGrid>
      <w:tr w14:paraId="3C46E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4EE3998E">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建设项目名称</w:t>
            </w:r>
          </w:p>
        </w:tc>
        <w:tc>
          <w:tcPr>
            <w:tcW w:w="7377" w:type="dxa"/>
            <w:gridSpan w:val="3"/>
            <w:vAlign w:val="center"/>
          </w:tcPr>
          <w:p w14:paraId="6A0ADAE7">
            <w:pPr>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沙坡头区兴仁镇污水处理厂</w:t>
            </w:r>
            <w:r>
              <w:rPr>
                <w:rFonts w:hint="eastAsia" w:ascii="Times New Roman" w:hAnsi="Times New Roman" w:eastAsia="仿宋_GB2312" w:cs="Times New Roman"/>
                <w:color w:val="auto"/>
                <w:sz w:val="24"/>
                <w:szCs w:val="24"/>
                <w:lang w:val="en-US" w:eastAsia="zh-CN"/>
              </w:rPr>
              <w:t>建设</w:t>
            </w:r>
            <w:r>
              <w:rPr>
                <w:rFonts w:hint="default" w:ascii="Times New Roman" w:hAnsi="Times New Roman" w:eastAsia="仿宋_GB2312" w:cs="Times New Roman"/>
                <w:color w:val="auto"/>
                <w:sz w:val="24"/>
                <w:szCs w:val="24"/>
                <w:lang w:val="en-US" w:eastAsia="zh-CN"/>
              </w:rPr>
              <w:t>项目</w:t>
            </w:r>
            <w:r>
              <w:rPr>
                <w:rFonts w:hint="eastAsia" w:ascii="Times New Roman" w:hAnsi="Times New Roman" w:eastAsia="仿宋_GB2312" w:cs="Times New Roman"/>
                <w:color w:val="auto"/>
                <w:sz w:val="24"/>
                <w:szCs w:val="24"/>
                <w:lang w:val="en-US" w:eastAsia="zh-CN"/>
              </w:rPr>
              <w:t>（重新报批）</w:t>
            </w:r>
          </w:p>
        </w:tc>
      </w:tr>
      <w:tr w14:paraId="3611C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382D55A3">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项目代码</w:t>
            </w:r>
          </w:p>
        </w:tc>
        <w:tc>
          <w:tcPr>
            <w:tcW w:w="7377" w:type="dxa"/>
            <w:gridSpan w:val="3"/>
            <w:vAlign w:val="center"/>
          </w:tcPr>
          <w:p w14:paraId="3B353549">
            <w:pPr>
              <w:jc w:val="center"/>
              <w:rPr>
                <w:rFonts w:hint="default" w:ascii="Times New Roman" w:hAnsi="Times New Roman" w:eastAsia="仿宋_GB2312" w:cs="Times New Roman"/>
                <w:color w:val="auto"/>
                <w:sz w:val="24"/>
                <w:szCs w:val="24"/>
                <w:lang w:val="en-US"/>
              </w:rPr>
            </w:pPr>
            <w:r>
              <w:rPr>
                <w:rFonts w:hint="eastAsia" w:ascii="Times New Roman" w:hAnsi="Times New Roman" w:eastAsia="仿宋_GB2312" w:cs="Times New Roman"/>
                <w:b w:val="0"/>
                <w:bCs w:val="0"/>
                <w:color w:val="auto"/>
                <w:sz w:val="24"/>
                <w:szCs w:val="24"/>
                <w:lang w:val="en-US" w:eastAsia="zh-CN"/>
              </w:rPr>
              <w:t>2020-640502-77-01-001077</w:t>
            </w:r>
          </w:p>
        </w:tc>
      </w:tr>
      <w:tr w14:paraId="264E3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0B480C30">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建设单位联系人</w:t>
            </w:r>
          </w:p>
        </w:tc>
        <w:tc>
          <w:tcPr>
            <w:tcW w:w="2501" w:type="dxa"/>
            <w:vAlign w:val="center"/>
          </w:tcPr>
          <w:p w14:paraId="2735EEB3">
            <w:pPr>
              <w:jc w:val="center"/>
              <w:rPr>
                <w:rFonts w:ascii="Times New Roman" w:hAnsi="Times New Roman" w:eastAsia="仿宋" w:cs="Times New Roman"/>
                <w:color w:val="auto"/>
                <w:sz w:val="24"/>
                <w:szCs w:val="24"/>
              </w:rPr>
            </w:pPr>
            <w:r>
              <w:rPr>
                <w:rFonts w:hint="eastAsia" w:eastAsia="仿宋_GB2312"/>
                <w:color w:val="auto"/>
                <w:sz w:val="24"/>
                <w:szCs w:val="24"/>
              </w:rPr>
              <w:t>杨登龙</w:t>
            </w:r>
          </w:p>
        </w:tc>
        <w:tc>
          <w:tcPr>
            <w:tcW w:w="1743" w:type="dxa"/>
            <w:vAlign w:val="center"/>
          </w:tcPr>
          <w:p w14:paraId="7AB40A4C">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联系方式</w:t>
            </w:r>
          </w:p>
        </w:tc>
        <w:tc>
          <w:tcPr>
            <w:tcW w:w="3133" w:type="dxa"/>
            <w:vAlign w:val="center"/>
          </w:tcPr>
          <w:p w14:paraId="645FD2C6">
            <w:pPr>
              <w:jc w:val="center"/>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val="en-US" w:eastAsia="zh-CN"/>
              </w:rPr>
              <w:t>/</w:t>
            </w:r>
          </w:p>
        </w:tc>
      </w:tr>
      <w:tr w14:paraId="076C1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58D41503">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建设地点</w:t>
            </w:r>
          </w:p>
        </w:tc>
        <w:tc>
          <w:tcPr>
            <w:tcW w:w="7377" w:type="dxa"/>
            <w:gridSpan w:val="3"/>
            <w:vAlign w:val="center"/>
          </w:tcPr>
          <w:p w14:paraId="260FC6E6">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中卫市沙坡头区兴仁镇北环路以北</w:t>
            </w:r>
          </w:p>
        </w:tc>
      </w:tr>
      <w:tr w14:paraId="19225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5A995485">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地理坐标</w:t>
            </w:r>
          </w:p>
        </w:tc>
        <w:tc>
          <w:tcPr>
            <w:tcW w:w="7377" w:type="dxa"/>
            <w:gridSpan w:val="3"/>
            <w:vAlign w:val="center"/>
          </w:tcPr>
          <w:p w14:paraId="14563DE5">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u w:val="none"/>
              </w:rPr>
              <w:t>105°15′4.844″,36°56′39.833″</w:t>
            </w:r>
          </w:p>
        </w:tc>
      </w:tr>
      <w:tr w14:paraId="20655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4DBC91CF">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国民经济行业类别</w:t>
            </w:r>
          </w:p>
        </w:tc>
        <w:tc>
          <w:tcPr>
            <w:tcW w:w="2501" w:type="dxa"/>
            <w:vAlign w:val="center"/>
          </w:tcPr>
          <w:p w14:paraId="53A57068">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D4620污水处理及其再生利用</w:t>
            </w:r>
          </w:p>
        </w:tc>
        <w:tc>
          <w:tcPr>
            <w:tcW w:w="1743" w:type="dxa"/>
            <w:vAlign w:val="center"/>
          </w:tcPr>
          <w:p w14:paraId="757D247A">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建设项目行业类别</w:t>
            </w:r>
          </w:p>
        </w:tc>
        <w:tc>
          <w:tcPr>
            <w:tcW w:w="3133" w:type="dxa"/>
            <w:vAlign w:val="center"/>
          </w:tcPr>
          <w:p w14:paraId="6AD80AB8">
            <w:pPr>
              <w:jc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四十三</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水的生产和供应业；</w:t>
            </w:r>
            <w:r>
              <w:rPr>
                <w:rFonts w:hint="default" w:ascii="Times New Roman" w:hAnsi="Times New Roman" w:eastAsia="仿宋_GB2312" w:cs="Times New Roman"/>
                <w:color w:val="auto"/>
                <w:sz w:val="24"/>
                <w:szCs w:val="24"/>
                <w:lang w:val="en-US" w:eastAsia="zh-CN"/>
              </w:rPr>
              <w:t>95</w:t>
            </w:r>
            <w:r>
              <w:rPr>
                <w:rFonts w:hint="default" w:ascii="Times New Roman" w:hAnsi="Times New Roman" w:eastAsia="仿宋_GB2312" w:cs="Times New Roman"/>
                <w:color w:val="auto"/>
                <w:sz w:val="24"/>
                <w:szCs w:val="24"/>
                <w:lang w:eastAsia="zh-CN"/>
              </w:rPr>
              <w:t>、污水处理及其再生利用</w:t>
            </w:r>
          </w:p>
        </w:tc>
      </w:tr>
      <w:tr w14:paraId="30D29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08ED1458">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建设性质</w:t>
            </w:r>
          </w:p>
        </w:tc>
        <w:tc>
          <w:tcPr>
            <w:tcW w:w="2501" w:type="dxa"/>
            <w:vAlign w:val="center"/>
          </w:tcPr>
          <w:p w14:paraId="04F21D54">
            <w:pPr>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eq \o\ac(□</w:instrText>
            </w:r>
            <w:r>
              <w:rPr>
                <w:rFonts w:hint="default" w:ascii="Times New Roman" w:hAnsi="Times New Roman" w:eastAsia="仿宋_GB2312" w:cs="Times New Roman"/>
                <w:color w:val="auto"/>
                <w:sz w:val="24"/>
                <w:szCs w:val="24"/>
                <w:lang w:eastAsia="zh-CN"/>
              </w:rPr>
              <w:instrText xml:space="preserve">,</w:instrText>
            </w:r>
            <w:r>
              <w:rPr>
                <w:rFonts w:hint="default" w:ascii="Times New Roman" w:hAnsi="Times New Roman" w:eastAsia="仿宋_GB2312" w:cs="Times New Roman"/>
                <w:color w:val="auto"/>
                <w:position w:val="2"/>
                <w:sz w:val="16"/>
                <w:szCs w:val="24"/>
                <w:lang w:eastAsia="zh-CN"/>
              </w:rPr>
              <w:instrText xml:space="preserve">√</w:instrText>
            </w:r>
            <w:r>
              <w:rPr>
                <w:rFonts w:hint="default" w:ascii="Times New Roman" w:hAnsi="Times New Roman" w:eastAsia="仿宋_GB2312" w:cs="Times New Roman"/>
                <w:color w:val="auto"/>
                <w:sz w:val="24"/>
                <w:szCs w:val="24"/>
              </w:rPr>
              <w:instrText xml:space="preserve">)</w:instrTex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新建（迁建）</w:t>
            </w:r>
          </w:p>
          <w:p w14:paraId="787281BF">
            <w:pPr>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sym w:font="Wingdings 2" w:char="00A3"/>
            </w:r>
            <w:r>
              <w:rPr>
                <w:rFonts w:hint="default" w:ascii="Times New Roman" w:hAnsi="Times New Roman" w:eastAsia="仿宋_GB2312" w:cs="Times New Roman"/>
                <w:color w:val="auto"/>
                <w:sz w:val="24"/>
                <w:szCs w:val="24"/>
              </w:rPr>
              <w:t>改建</w:t>
            </w:r>
          </w:p>
          <w:p w14:paraId="6115A730">
            <w:pPr>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□扩建</w:t>
            </w:r>
            <w:bookmarkStart w:id="8" w:name="_GoBack"/>
            <w:bookmarkEnd w:id="8"/>
          </w:p>
          <w:p w14:paraId="20DF6EB2">
            <w:pPr>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sym w:font="Wingdings 2" w:char="00A3"/>
            </w:r>
            <w:r>
              <w:rPr>
                <w:rFonts w:hint="default" w:ascii="Times New Roman" w:hAnsi="Times New Roman" w:eastAsia="仿宋_GB2312" w:cs="Times New Roman"/>
                <w:color w:val="auto"/>
                <w:sz w:val="24"/>
                <w:szCs w:val="24"/>
              </w:rPr>
              <w:t>技术改造</w:t>
            </w:r>
          </w:p>
        </w:tc>
        <w:tc>
          <w:tcPr>
            <w:tcW w:w="1743" w:type="dxa"/>
            <w:vAlign w:val="center"/>
          </w:tcPr>
          <w:p w14:paraId="7929D52E">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建设项目申报情形</w:t>
            </w:r>
          </w:p>
        </w:tc>
        <w:tc>
          <w:tcPr>
            <w:tcW w:w="3133" w:type="dxa"/>
            <w:vAlign w:val="center"/>
          </w:tcPr>
          <w:p w14:paraId="6CEA6533">
            <w:pPr>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eq \o\ac(□)</w:instrTex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首次申报项目</w:t>
            </w:r>
          </w:p>
          <w:p w14:paraId="4DCB9CF6">
            <w:pPr>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□不予批准后再次申报项目</w:t>
            </w:r>
          </w:p>
          <w:p w14:paraId="4403CE1C">
            <w:pPr>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超五年新建审核项目</w:t>
            </w:r>
          </w:p>
          <w:p w14:paraId="233EADF0">
            <w:pPr>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sym w:font="Wingdings 2" w:char="0052"/>
            </w:r>
            <w:r>
              <w:rPr>
                <w:rFonts w:hint="default" w:ascii="Times New Roman" w:hAnsi="Times New Roman" w:eastAsia="仿宋_GB2312" w:cs="Times New Roman"/>
                <w:color w:val="auto"/>
                <w:sz w:val="24"/>
                <w:szCs w:val="24"/>
              </w:rPr>
              <w:t>重大变动重新报批项目</w:t>
            </w:r>
          </w:p>
        </w:tc>
      </w:tr>
      <w:tr w14:paraId="41CDB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39256D12">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项目审批（核准/备案）部门（选填）</w:t>
            </w:r>
          </w:p>
        </w:tc>
        <w:tc>
          <w:tcPr>
            <w:tcW w:w="2501" w:type="dxa"/>
            <w:vAlign w:val="center"/>
          </w:tcPr>
          <w:p w14:paraId="022D88E7">
            <w:pPr>
              <w:jc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中卫市沙坡头区发展和改革局</w:t>
            </w:r>
          </w:p>
        </w:tc>
        <w:tc>
          <w:tcPr>
            <w:tcW w:w="1743" w:type="dxa"/>
            <w:vAlign w:val="center"/>
          </w:tcPr>
          <w:p w14:paraId="033DB900">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项目审批（核准/备案）文号（选填）</w:t>
            </w:r>
          </w:p>
        </w:tc>
        <w:tc>
          <w:tcPr>
            <w:tcW w:w="3133" w:type="dxa"/>
            <w:vAlign w:val="center"/>
          </w:tcPr>
          <w:p w14:paraId="682F8D90">
            <w:pPr>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卫沙发改（审批）发[202</w:t>
            </w:r>
            <w:r>
              <w:rPr>
                <w:rFonts w:hint="eastAsia"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val="en-US" w:eastAsia="zh-CN"/>
              </w:rPr>
              <w:t>]</w:t>
            </w:r>
            <w:r>
              <w:rPr>
                <w:rFonts w:hint="eastAsia" w:ascii="Times New Roman" w:hAnsi="Times New Roman" w:eastAsia="仿宋_GB2312" w:cs="Times New Roman"/>
                <w:color w:val="auto"/>
                <w:sz w:val="24"/>
                <w:szCs w:val="24"/>
                <w:lang w:val="en-US" w:eastAsia="zh-CN"/>
              </w:rPr>
              <w:t>17</w:t>
            </w:r>
            <w:r>
              <w:rPr>
                <w:rFonts w:hint="default" w:ascii="Times New Roman" w:hAnsi="Times New Roman" w:eastAsia="仿宋_GB2312" w:cs="Times New Roman"/>
                <w:color w:val="auto"/>
                <w:sz w:val="24"/>
                <w:szCs w:val="24"/>
                <w:lang w:val="en-US" w:eastAsia="zh-CN"/>
              </w:rPr>
              <w:t>号</w:t>
            </w:r>
          </w:p>
        </w:tc>
      </w:tr>
      <w:tr w14:paraId="5C140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21C2824A">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总投资（万元）</w:t>
            </w:r>
          </w:p>
        </w:tc>
        <w:tc>
          <w:tcPr>
            <w:tcW w:w="2501" w:type="dxa"/>
            <w:vAlign w:val="center"/>
          </w:tcPr>
          <w:p w14:paraId="03C01D72">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5091.04</w:t>
            </w:r>
          </w:p>
        </w:tc>
        <w:tc>
          <w:tcPr>
            <w:tcW w:w="1743" w:type="dxa"/>
            <w:vAlign w:val="center"/>
          </w:tcPr>
          <w:p w14:paraId="5C835732">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环保投资</w:t>
            </w:r>
          </w:p>
          <w:p w14:paraId="76B078ED">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（万元）</w:t>
            </w:r>
          </w:p>
        </w:tc>
        <w:tc>
          <w:tcPr>
            <w:tcW w:w="3133" w:type="dxa"/>
            <w:vAlign w:val="center"/>
          </w:tcPr>
          <w:p w14:paraId="75524C75">
            <w:pPr>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5091.04</w:t>
            </w:r>
          </w:p>
        </w:tc>
      </w:tr>
      <w:tr w14:paraId="55C71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71B85CD3">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环保投资占比（%）</w:t>
            </w:r>
          </w:p>
        </w:tc>
        <w:tc>
          <w:tcPr>
            <w:tcW w:w="2501" w:type="dxa"/>
            <w:vAlign w:val="center"/>
          </w:tcPr>
          <w:p w14:paraId="0A4E1CE0">
            <w:pPr>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100</w:t>
            </w:r>
          </w:p>
        </w:tc>
        <w:tc>
          <w:tcPr>
            <w:tcW w:w="1743" w:type="dxa"/>
            <w:vAlign w:val="center"/>
          </w:tcPr>
          <w:p w14:paraId="783F7DC8">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施工工期</w:t>
            </w:r>
          </w:p>
        </w:tc>
        <w:tc>
          <w:tcPr>
            <w:tcW w:w="3133" w:type="dxa"/>
            <w:vAlign w:val="center"/>
          </w:tcPr>
          <w:p w14:paraId="16D320DF">
            <w:pPr>
              <w:jc w:val="center"/>
              <w:rPr>
                <w:rFonts w:hint="default"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val="en-US" w:eastAsia="zh-CN"/>
              </w:rPr>
              <w:t>18</w:t>
            </w:r>
            <w:r>
              <w:rPr>
                <w:rFonts w:hint="default" w:ascii="Times New Roman" w:hAnsi="Times New Roman" w:eastAsia="仿宋_GB2312" w:cs="Times New Roman"/>
                <w:color w:val="auto"/>
                <w:sz w:val="24"/>
                <w:szCs w:val="24"/>
                <w:lang w:val="en-US" w:eastAsia="zh-CN"/>
              </w:rPr>
              <w:t>个月</w:t>
            </w:r>
          </w:p>
        </w:tc>
      </w:tr>
      <w:tr w14:paraId="373DA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95" w:type="dxa"/>
            <w:vAlign w:val="center"/>
          </w:tcPr>
          <w:p w14:paraId="2C9F14C2">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用地（用海）面积（m²）</w:t>
            </w:r>
          </w:p>
        </w:tc>
        <w:tc>
          <w:tcPr>
            <w:tcW w:w="7377" w:type="dxa"/>
            <w:gridSpan w:val="3"/>
            <w:vAlign w:val="center"/>
          </w:tcPr>
          <w:p w14:paraId="5DC93A24">
            <w:pPr>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12609.2</w:t>
            </w:r>
          </w:p>
        </w:tc>
      </w:tr>
      <w:tr w14:paraId="65E0D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1695" w:type="dxa"/>
            <w:vAlign w:val="center"/>
          </w:tcPr>
          <w:p w14:paraId="7524AECB">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是否开工建设</w:t>
            </w:r>
          </w:p>
        </w:tc>
        <w:tc>
          <w:tcPr>
            <w:tcW w:w="7377" w:type="dxa"/>
            <w:gridSpan w:val="3"/>
            <w:vAlign w:val="center"/>
          </w:tcPr>
          <w:p w14:paraId="04CC6BD1">
            <w:pPr>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eq \o\ac(□)</w:instrTex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否</w:t>
            </w:r>
          </w:p>
          <w:p w14:paraId="7E76AAFD">
            <w:pPr>
              <w:jc w:val="left"/>
              <w:rPr>
                <w:rFonts w:hint="default"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是：</w:t>
            </w:r>
            <w:r>
              <w:rPr>
                <w:rFonts w:hint="default" w:ascii="Times New Roman" w:hAnsi="Times New Roman" w:eastAsia="仿宋_GB2312" w:cs="Times New Roman"/>
                <w:color w:val="auto"/>
                <w:sz w:val="24"/>
                <w:szCs w:val="24"/>
                <w:u w:val="single"/>
              </w:rPr>
              <w:t>中卫市生态环境局沙坡头区分局于2023年3月22日以“关于同意中卫市沙坡头区兴仁镇人民政府《沙坡头区兴仁镇污水处理厂项目环境影响报告表》的函（卫环沙坡头区分局函[2023]5号）”对该项目进行批复</w:t>
            </w:r>
            <w:r>
              <w:rPr>
                <w:rFonts w:hint="eastAsia" w:ascii="Times New Roman" w:hAnsi="Times New Roman" w:eastAsia="仿宋_GB2312" w:cs="Times New Roman"/>
                <w:color w:val="auto"/>
                <w:sz w:val="24"/>
                <w:szCs w:val="24"/>
                <w:u w:val="single"/>
                <w:lang w:eastAsia="zh-CN"/>
              </w:rPr>
              <w:t>，</w:t>
            </w:r>
            <w:r>
              <w:rPr>
                <w:rFonts w:hint="eastAsia" w:ascii="Times New Roman" w:hAnsi="Times New Roman" w:eastAsia="仿宋_GB2312" w:cs="Times New Roman"/>
                <w:color w:val="auto"/>
                <w:sz w:val="24"/>
                <w:szCs w:val="24"/>
                <w:u w:val="single"/>
                <w:lang w:val="en-US" w:eastAsia="zh-CN"/>
              </w:rPr>
              <w:t>企业已按照项目环评批复内容进行建设，由于建设单位现阶段再生水无法回用，污水处理厂排入洪水河水量发生变动，本次进行重新报批，因此，项目不构成未批先建。</w:t>
            </w:r>
          </w:p>
        </w:tc>
      </w:tr>
      <w:tr w14:paraId="1B903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695" w:type="dxa"/>
            <w:vAlign w:val="center"/>
          </w:tcPr>
          <w:p w14:paraId="1A7960B4">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专项评价设置情况</w:t>
            </w:r>
          </w:p>
        </w:tc>
        <w:tc>
          <w:tcPr>
            <w:tcW w:w="7377" w:type="dxa"/>
            <w:gridSpan w:val="3"/>
            <w:vAlign w:val="center"/>
          </w:tcPr>
          <w:p w14:paraId="3F29C4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专项评价名称：地表水专项评价</w:t>
            </w:r>
          </w:p>
          <w:p w14:paraId="01D3D7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本项目</w:t>
            </w:r>
            <w:r>
              <w:rPr>
                <w:rFonts w:hint="eastAsia" w:ascii="Times New Roman" w:hAnsi="Times New Roman" w:eastAsia="仿宋_GB2312" w:cs="Times New Roman"/>
                <w:color w:val="auto"/>
                <w:sz w:val="24"/>
                <w:szCs w:val="24"/>
                <w:lang w:val="en-US" w:eastAsia="zh-CN"/>
              </w:rPr>
              <w:t>污水处理厂处理后的出水排入</w:t>
            </w:r>
            <w:r>
              <w:rPr>
                <w:rFonts w:hint="default" w:ascii="Times New Roman" w:hAnsi="Times New Roman" w:eastAsia="仿宋_GB2312" w:cs="Times New Roman"/>
                <w:color w:val="auto"/>
                <w:sz w:val="24"/>
                <w:szCs w:val="24"/>
                <w:lang w:eastAsia="zh-CN"/>
              </w:rPr>
              <w:t>东北侧洪水河，属于“新增废水直排的污水集中处理厂”，因此设置地表水专项评价。</w:t>
            </w:r>
          </w:p>
        </w:tc>
      </w:tr>
      <w:tr w14:paraId="36223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695" w:type="dxa"/>
            <w:vAlign w:val="center"/>
          </w:tcPr>
          <w:p w14:paraId="218B1D9B">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规划情况</w:t>
            </w:r>
          </w:p>
        </w:tc>
        <w:tc>
          <w:tcPr>
            <w:tcW w:w="7377" w:type="dxa"/>
            <w:gridSpan w:val="3"/>
            <w:vAlign w:val="center"/>
          </w:tcPr>
          <w:p w14:paraId="7E4102F9">
            <w:pPr>
              <w:pStyle w:val="3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4"/>
                <w:szCs w:val="24"/>
                <w:lang w:val="en-US" w:eastAsia="zh-CN"/>
              </w:rPr>
            </w:pPr>
            <w:r>
              <w:rPr>
                <w:rFonts w:hint="eastAsia" w:eastAsia="仿宋" w:cs="Times New Roman"/>
                <w:color w:val="auto"/>
                <w:sz w:val="24"/>
                <w:szCs w:val="24"/>
                <w:lang w:val="en-US" w:eastAsia="zh-CN"/>
              </w:rPr>
              <w:t>无</w:t>
            </w:r>
          </w:p>
        </w:tc>
      </w:tr>
      <w:tr w14:paraId="5B0F5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695" w:type="dxa"/>
            <w:vAlign w:val="center"/>
          </w:tcPr>
          <w:p w14:paraId="08AB6EA4">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规划环境影响评价情况</w:t>
            </w:r>
          </w:p>
        </w:tc>
        <w:tc>
          <w:tcPr>
            <w:tcW w:w="7377" w:type="dxa"/>
            <w:gridSpan w:val="3"/>
            <w:vAlign w:val="center"/>
          </w:tcPr>
          <w:p w14:paraId="036C86D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仿宋" w:cs="Times New Roman"/>
                <w:color w:val="auto"/>
                <w:sz w:val="24"/>
                <w:szCs w:val="24"/>
              </w:rPr>
            </w:pPr>
            <w:r>
              <w:rPr>
                <w:rFonts w:hint="eastAsia" w:eastAsia="仿宋" w:cs="Times New Roman"/>
                <w:color w:val="auto"/>
                <w:sz w:val="24"/>
                <w:szCs w:val="24"/>
                <w:lang w:val="en-US" w:eastAsia="zh-CN"/>
              </w:rPr>
              <w:t>无</w:t>
            </w:r>
          </w:p>
        </w:tc>
      </w:tr>
      <w:tr w14:paraId="32443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695" w:type="dxa"/>
            <w:vAlign w:val="center"/>
          </w:tcPr>
          <w:p w14:paraId="2E5A6ADD">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规划及规划环境影响评价符合性分析</w:t>
            </w:r>
          </w:p>
        </w:tc>
        <w:tc>
          <w:tcPr>
            <w:tcW w:w="7377" w:type="dxa"/>
            <w:gridSpan w:val="3"/>
            <w:vAlign w:val="center"/>
          </w:tcPr>
          <w:p w14:paraId="26C0E830">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rFonts w:hint="default"/>
                <w:color w:val="auto"/>
                <w:lang w:val="en-US" w:eastAsia="zh-CN"/>
              </w:rPr>
            </w:pPr>
            <w:r>
              <w:rPr>
                <w:rFonts w:hint="eastAsia" w:eastAsia="仿宋" w:cs="Times New Roman"/>
                <w:color w:val="auto"/>
                <w:sz w:val="24"/>
                <w:szCs w:val="24"/>
                <w:lang w:val="en-US" w:eastAsia="zh-CN"/>
              </w:rPr>
              <w:t>无</w:t>
            </w:r>
          </w:p>
        </w:tc>
      </w:tr>
    </w:tbl>
    <w:p w14:paraId="068729D5">
      <w:pPr>
        <w:jc w:val="both"/>
        <w:rPr>
          <w:rFonts w:ascii="Times New Roman" w:hAnsi="Times New Roman" w:eastAsia="宋体" w:cs="Times New Roman"/>
          <w:b/>
          <w:bCs/>
          <w:color w:val="auto"/>
          <w:sz w:val="24"/>
          <w:szCs w:val="24"/>
        </w:rPr>
        <w:sectPr>
          <w:footerReference r:id="rId3" w:type="default"/>
          <w:pgSz w:w="11906" w:h="16838"/>
          <w:pgMar w:top="1588" w:right="1361" w:bottom="1588" w:left="136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7"/>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7635"/>
      </w:tblGrid>
      <w:tr w14:paraId="07C6E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1437" w:type="dxa"/>
            <w:vAlign w:val="center"/>
          </w:tcPr>
          <w:p w14:paraId="4BCB3BC8">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其他符合性分析</w:t>
            </w:r>
          </w:p>
        </w:tc>
        <w:tc>
          <w:tcPr>
            <w:tcW w:w="7635" w:type="dxa"/>
            <w:vAlign w:val="center"/>
          </w:tcPr>
          <w:p w14:paraId="2B8FAC15">
            <w:pPr>
              <w:keepNext w:val="0"/>
              <w:keepLines w:val="0"/>
              <w:suppressLineNumbers w:val="0"/>
              <w:adjustRightInd w:val="0"/>
              <w:snapToGrid w:val="0"/>
              <w:spacing w:before="0" w:beforeAutospacing="0" w:after="0" w:afterAutospacing="0" w:line="360" w:lineRule="auto"/>
              <w:ind w:left="0" w:right="0" w:firstLine="482" w:firstLineChars="200"/>
              <w:contextualSpacing/>
              <w:rPr>
                <w:rFonts w:ascii="Times New Roman" w:hAnsi="Times New Roman" w:eastAsia="仿宋_GB2312" w:cs="Times New Roman"/>
                <w:b/>
                <w:bCs/>
                <w:color w:val="auto"/>
                <w:sz w:val="24"/>
                <w:szCs w:val="24"/>
              </w:rPr>
            </w:pPr>
            <w:r>
              <w:rPr>
                <w:rFonts w:ascii="Times New Roman" w:hAnsi="Times New Roman" w:eastAsia="仿宋_GB2312" w:cs="Times New Roman"/>
                <w:b/>
                <w:bCs/>
                <w:color w:val="auto"/>
                <w:sz w:val="24"/>
                <w:szCs w:val="24"/>
              </w:rPr>
              <w:t>1、“三线一单”符合性分析</w:t>
            </w:r>
          </w:p>
          <w:p w14:paraId="084D7A8D">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⑴生态保护红线及生态分区管控</w:t>
            </w:r>
          </w:p>
          <w:p w14:paraId="07DECC17">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本项目</w:t>
            </w:r>
            <w:r>
              <w:rPr>
                <w:rFonts w:hint="default" w:ascii="Times New Roman" w:hAnsi="Times New Roman" w:eastAsia="仿宋_GB2312" w:cs="Times New Roman"/>
                <w:color w:val="auto"/>
                <w:highlight w:val="none"/>
                <w:lang w:eastAsia="zh-CN"/>
              </w:rPr>
              <w:t>与中卫市生态空间分布位置关系见</w:t>
            </w:r>
            <w:r>
              <w:rPr>
                <w:rFonts w:hint="default" w:ascii="Times New Roman" w:hAnsi="Times New Roman" w:eastAsia="仿宋_GB2312" w:cs="Times New Roman"/>
                <w:b/>
                <w:bCs/>
                <w:color w:val="auto"/>
                <w:highlight w:val="none"/>
                <w:lang w:eastAsia="zh-CN"/>
              </w:rPr>
              <w:t>附图</w:t>
            </w:r>
            <w:r>
              <w:rPr>
                <w:rFonts w:hint="eastAsia" w:eastAsia="仿宋_GB2312" w:cs="Times New Roman"/>
                <w:b/>
                <w:bCs/>
                <w:color w:val="auto"/>
                <w:highlight w:val="none"/>
                <w:lang w:val="en-US" w:eastAsia="zh-CN"/>
              </w:rPr>
              <w:t>1。</w:t>
            </w:r>
          </w:p>
          <w:p w14:paraId="2D110A0D">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highlight w:val="none"/>
                <w:lang w:eastAsia="zh-CN"/>
              </w:rPr>
              <w:t>根据中卫市人民政府办公室关于发布《中卫市生态环境分区管控</w:t>
            </w:r>
            <w:r>
              <w:rPr>
                <w:rFonts w:hint="eastAsia" w:eastAsia="仿宋_GB2312" w:cs="Times New Roman"/>
                <w:color w:val="auto"/>
                <w:highlight w:val="none"/>
                <w:lang w:val="en-US" w:eastAsia="zh-CN"/>
              </w:rPr>
              <w:t>动态</w:t>
            </w:r>
            <w:r>
              <w:rPr>
                <w:rFonts w:hint="default" w:ascii="Times New Roman" w:hAnsi="Times New Roman" w:eastAsia="仿宋_GB2312" w:cs="Times New Roman"/>
                <w:color w:val="auto"/>
                <w:highlight w:val="none"/>
                <w:lang w:eastAsia="zh-CN"/>
              </w:rPr>
              <w:t>更新成果》的通知（卫政办发[2024]33号），</w:t>
            </w:r>
            <w:r>
              <w:rPr>
                <w:rFonts w:hint="eastAsia" w:eastAsia="仿宋_GB2312" w:cs="Times New Roman"/>
                <w:color w:val="auto"/>
                <w:highlight w:val="none"/>
                <w:lang w:val="en-US" w:eastAsia="zh-CN"/>
              </w:rPr>
              <w:t>本项目位于中卫市沙坡头区兴仁镇</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rPr>
              <w:t>不在中卫市生态保护红线管控范围，</w:t>
            </w:r>
            <w:r>
              <w:rPr>
                <w:rFonts w:hint="default" w:ascii="Times New Roman" w:hAnsi="Times New Roman" w:eastAsia="仿宋_GB2312" w:cs="Times New Roman"/>
                <w:color w:val="auto"/>
                <w:highlight w:val="none"/>
                <w:lang w:eastAsia="zh-CN"/>
              </w:rPr>
              <w:t>项目为</w:t>
            </w:r>
            <w:r>
              <w:rPr>
                <w:rFonts w:hint="default" w:ascii="Times New Roman" w:hAnsi="Times New Roman" w:eastAsia="仿宋_GB2312" w:cs="Times New Roman"/>
                <w:color w:val="auto"/>
                <w:highlight w:val="none"/>
                <w:lang w:val="en-US" w:eastAsia="zh-CN"/>
              </w:rPr>
              <w:t>城镇污水处理厂建设项目</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项目的建设将会使周围居民的生活污水得到有效处理，有利于改善城市生态环境</w:t>
            </w:r>
            <w:r>
              <w:rPr>
                <w:rFonts w:hint="default" w:ascii="Times New Roman" w:hAnsi="Times New Roman" w:eastAsia="仿宋_GB2312" w:cs="Times New Roman"/>
                <w:color w:val="auto"/>
                <w:highlight w:val="none"/>
                <w:lang w:eastAsia="zh-CN"/>
              </w:rPr>
              <w:t>。故满足生态空间管控要求。</w:t>
            </w:r>
          </w:p>
          <w:p w14:paraId="4C0FA21E">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仿宋_GB2312" w:cs="Times New Roman"/>
                <w:b/>
                <w:bCs/>
                <w:color w:val="auto"/>
                <w:highlight w:val="none"/>
                <w:lang w:eastAsia="zh-CN"/>
              </w:rPr>
            </w:pPr>
            <w:r>
              <w:rPr>
                <w:rFonts w:hint="default" w:ascii="Times New Roman" w:hAnsi="Times New Roman" w:eastAsia="仿宋_GB2312" w:cs="Times New Roman"/>
                <w:b/>
                <w:bCs/>
                <w:color w:val="auto"/>
                <w:highlight w:val="none"/>
                <w:lang w:eastAsia="zh-CN"/>
              </w:rPr>
              <w:t>⑵</w:t>
            </w:r>
            <w:r>
              <w:rPr>
                <w:rFonts w:hint="default" w:ascii="Times New Roman" w:hAnsi="Times New Roman" w:eastAsia="仿宋_GB2312" w:cs="Times New Roman"/>
                <w:b/>
                <w:bCs/>
                <w:color w:val="auto"/>
                <w:highlight w:val="none"/>
              </w:rPr>
              <w:t>环境质量底线</w:t>
            </w:r>
            <w:r>
              <w:rPr>
                <w:rFonts w:hint="default" w:ascii="Times New Roman" w:hAnsi="Times New Roman" w:eastAsia="仿宋_GB2312" w:cs="Times New Roman"/>
                <w:b/>
                <w:bCs/>
                <w:color w:val="auto"/>
                <w:highlight w:val="none"/>
                <w:lang w:eastAsia="zh-CN"/>
              </w:rPr>
              <w:t>及分区管控</w:t>
            </w:r>
          </w:p>
          <w:p w14:paraId="0E4E4D22">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①水环境质量底线及分区管控</w:t>
            </w:r>
          </w:p>
          <w:p w14:paraId="39CC8617">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eastAsia="zh-CN"/>
              </w:rPr>
              <w:t>水环境质量底线：根据《中卫市</w:t>
            </w:r>
            <w:r>
              <w:rPr>
                <w:rFonts w:hint="default" w:ascii="Times New Roman" w:hAnsi="Times New Roman" w:eastAsia="仿宋_GB2312" w:cs="Times New Roman"/>
                <w:color w:val="auto"/>
                <w:sz w:val="24"/>
                <w:szCs w:val="24"/>
                <w:lang w:val="en-US" w:eastAsia="zh-CN"/>
              </w:rPr>
              <w:t>生态环境分区管控方案文本</w:t>
            </w:r>
            <w:r>
              <w:rPr>
                <w:rFonts w:hint="default" w:ascii="Times New Roman" w:hAnsi="Times New Roman" w:eastAsia="仿宋_GB2312" w:cs="Times New Roman"/>
                <w:color w:val="auto"/>
                <w:sz w:val="24"/>
                <w:szCs w:val="24"/>
                <w:lang w:eastAsia="zh-CN"/>
              </w:rPr>
              <w:t>》中“表</w:t>
            </w: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eastAsia="zh-CN"/>
              </w:rPr>
              <w:t>-1 中卫市水环境质量底线目标”，黄河干流下河沿断面2025年、2035年水质目标均为</w:t>
            </w:r>
            <w:r>
              <w:rPr>
                <w:rFonts w:hint="default" w:ascii="Times New Roman" w:hAnsi="Times New Roman" w:eastAsia="仿宋_GB2312" w:cs="Times New Roman"/>
                <w:color w:val="auto"/>
                <w:sz w:val="24"/>
                <w:szCs w:val="24"/>
                <w:lang w:eastAsia="zh-CN"/>
              </w:rPr>
              <w:fldChar w:fldCharType="begin"/>
            </w:r>
            <w:r>
              <w:rPr>
                <w:rFonts w:hint="default" w:ascii="Times New Roman" w:hAnsi="Times New Roman" w:eastAsia="仿宋_GB2312" w:cs="Times New Roman"/>
                <w:color w:val="auto"/>
                <w:sz w:val="24"/>
                <w:szCs w:val="24"/>
                <w:lang w:eastAsia="zh-CN"/>
              </w:rPr>
              <w:instrText xml:space="preserve"> = 2 \* ROMAN \* MERGEFORMAT </w:instrText>
            </w:r>
            <w:r>
              <w:rPr>
                <w:rFonts w:hint="default" w:ascii="Times New Roman" w:hAnsi="Times New Roman" w:eastAsia="仿宋_GB2312" w:cs="Times New Roman"/>
                <w:color w:val="auto"/>
                <w:sz w:val="24"/>
                <w:szCs w:val="24"/>
                <w:lang w:eastAsia="zh-CN"/>
              </w:rPr>
              <w:fldChar w:fldCharType="separate"/>
            </w:r>
            <w:r>
              <w:rPr>
                <w:rFonts w:hint="default" w:ascii="Times New Roman" w:hAnsi="Times New Roman" w:eastAsia="仿宋_GB2312" w:cs="Times New Roman"/>
                <w:color w:val="auto"/>
              </w:rPr>
              <w:t>II</w:t>
            </w:r>
            <w:r>
              <w:rPr>
                <w:rFonts w:hint="default" w:ascii="Times New Roman" w:hAnsi="Times New Roman" w:eastAsia="仿宋_GB2312" w:cs="Times New Roman"/>
                <w:color w:val="auto"/>
                <w:sz w:val="24"/>
                <w:szCs w:val="24"/>
                <w:lang w:eastAsia="zh-CN"/>
              </w:rPr>
              <w:fldChar w:fldCharType="end"/>
            </w:r>
            <w:r>
              <w:rPr>
                <w:rFonts w:hint="default" w:ascii="Times New Roman" w:hAnsi="Times New Roman" w:eastAsia="仿宋_GB2312" w:cs="Times New Roman"/>
                <w:color w:val="auto"/>
                <w:sz w:val="24"/>
                <w:szCs w:val="24"/>
                <w:lang w:eastAsia="zh-CN"/>
              </w:rPr>
              <w:t>类标准要求。本次评价区域内</w:t>
            </w:r>
            <w:r>
              <w:rPr>
                <w:rFonts w:hint="default" w:ascii="Times New Roman" w:hAnsi="Times New Roman" w:eastAsia="仿宋_GB2312" w:cs="Times New Roman"/>
                <w:bCs/>
                <w:color w:val="auto"/>
                <w:sz w:val="24"/>
                <w:szCs w:val="24"/>
                <w:lang w:eastAsia="zh-CN"/>
              </w:rPr>
              <w:t>地表水体为黄河，</w:t>
            </w:r>
            <w:r>
              <w:rPr>
                <w:rFonts w:hint="default" w:ascii="Times New Roman" w:hAnsi="Times New Roman" w:eastAsia="仿宋_GB2312" w:cs="Times New Roman"/>
                <w:color w:val="auto"/>
                <w:lang w:val="en-US" w:eastAsia="zh-CN"/>
              </w:rPr>
              <w:t>黄河中卫下河沿断面各项水质指标均符合《地表水环境质量标准》（GB3838-2002）中的</w:t>
            </w:r>
            <w:r>
              <w:rPr>
                <w:rFonts w:hint="default" w:ascii="Times New Roman" w:hAnsi="Times New Roman" w:eastAsia="仿宋_GB2312" w:cs="Times New Roman"/>
                <w:color w:val="auto"/>
                <w:lang w:val="en-US" w:eastAsia="zh-CN"/>
              </w:rPr>
              <w:fldChar w:fldCharType="begin"/>
            </w:r>
            <w:r>
              <w:rPr>
                <w:rFonts w:hint="default" w:ascii="Times New Roman" w:hAnsi="Times New Roman" w:eastAsia="仿宋_GB2312" w:cs="Times New Roman"/>
                <w:color w:val="auto"/>
                <w:lang w:val="en-US" w:eastAsia="zh-CN"/>
              </w:rPr>
              <w:instrText xml:space="preserve"> = 2 \* ROMAN </w:instrText>
            </w:r>
            <w:r>
              <w:rPr>
                <w:rFonts w:hint="default" w:ascii="Times New Roman" w:hAnsi="Times New Roman" w:eastAsia="仿宋_GB2312" w:cs="Times New Roman"/>
                <w:color w:val="auto"/>
                <w:lang w:val="en-US" w:eastAsia="zh-CN"/>
              </w:rPr>
              <w:fldChar w:fldCharType="separate"/>
            </w:r>
            <w:r>
              <w:rPr>
                <w:rFonts w:hint="default" w:ascii="Times New Roman" w:hAnsi="Times New Roman" w:eastAsia="仿宋_GB2312" w:cs="Times New Roman"/>
                <w:color w:val="auto"/>
                <w:lang w:val="en-US" w:eastAsia="zh-CN"/>
              </w:rPr>
              <w:t>II</w:t>
            </w:r>
            <w:r>
              <w:rPr>
                <w:rFonts w:hint="default" w:ascii="Times New Roman" w:hAnsi="Times New Roman" w:eastAsia="仿宋_GB2312" w:cs="Times New Roman"/>
                <w:color w:val="auto"/>
                <w:lang w:val="en-US" w:eastAsia="zh-CN"/>
              </w:rPr>
              <w:fldChar w:fldCharType="end"/>
            </w:r>
            <w:r>
              <w:rPr>
                <w:rFonts w:hint="default" w:ascii="Times New Roman" w:hAnsi="Times New Roman" w:eastAsia="仿宋_GB2312" w:cs="Times New Roman"/>
                <w:color w:val="auto"/>
                <w:lang w:val="en-US" w:eastAsia="zh-CN"/>
              </w:rPr>
              <w:t>类标准</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符合水环境质量底线要求。</w:t>
            </w:r>
          </w:p>
          <w:p w14:paraId="7C123F0B">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4"/>
              </w:rPr>
              <w:t>项目为城镇污水处理厂建设项目，兴仁镇居民产生生活污水经纳污管网收集后进入污水处理厂处理达到《</w:t>
            </w:r>
            <w:r>
              <w:rPr>
                <w:rFonts w:hint="default" w:ascii="Times New Roman" w:hAnsi="Times New Roman" w:eastAsia="仿宋_GB2312" w:cs="Times New Roman"/>
                <w:color w:val="auto"/>
              </w:rPr>
              <w:t>城镇污水处理厂污染物排放标准（修改单）》(GB18918-2002)一级A标准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排入东</w:t>
            </w:r>
            <w:r>
              <w:rPr>
                <w:rFonts w:hint="eastAsia" w:eastAsia="仿宋_GB2312"/>
                <w:color w:val="auto"/>
              </w:rPr>
              <w:t>北侧洪水河</w:t>
            </w:r>
            <w:r>
              <w:rPr>
                <w:rFonts w:hint="default" w:ascii="Times New Roman" w:hAnsi="Times New Roman" w:eastAsia="仿宋_GB2312" w:cs="Times New Roman"/>
                <w:color w:val="auto"/>
                <w:sz w:val="24"/>
                <w:szCs w:val="24"/>
                <w:lang w:val="en-US" w:eastAsia="zh-CN"/>
              </w:rPr>
              <w:t>，对项目所在地区地表水体影响较小，符合水环境质量底线要求。</w:t>
            </w:r>
          </w:p>
          <w:p w14:paraId="54B5E69A">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中卫市水环境管控分区共分为三大类：水环境优先保护区、水环境重点管控区（含水环境工业污染源重点管控区、水环境农业污染源重点管控区、水</w:t>
            </w:r>
            <w:r>
              <w:rPr>
                <w:rFonts w:hint="default" w:ascii="Times New Roman" w:hAnsi="Times New Roman" w:eastAsia="仿宋_GB2312" w:cs="Times New Roman"/>
                <w:color w:val="auto"/>
                <w:highlight w:val="none"/>
              </w:rPr>
              <w:t>环境城镇生活污染源重点管控区）和水环境一般管控区。本项目位于中卫市水环境管控分区中的一般管控区</w:t>
            </w:r>
            <w:r>
              <w:rPr>
                <w:rFonts w:hint="default" w:ascii="Times New Roman" w:hAnsi="Times New Roman" w:eastAsia="仿宋_GB2312" w:cs="Times New Roman"/>
                <w:color w:val="auto"/>
                <w:highlight w:val="none"/>
                <w:lang w:eastAsia="zh-CN"/>
              </w:rPr>
              <w:t>（本项目与中卫市水环境分区管控位置关系见</w:t>
            </w:r>
            <w:r>
              <w:rPr>
                <w:rFonts w:hint="default" w:ascii="Times New Roman" w:hAnsi="Times New Roman" w:eastAsia="仿宋_GB2312" w:cs="Times New Roman"/>
                <w:b/>
                <w:bCs/>
                <w:color w:val="auto"/>
                <w:highlight w:val="none"/>
                <w:lang w:eastAsia="zh-CN"/>
              </w:rPr>
              <w:t>附图</w:t>
            </w:r>
            <w:r>
              <w:rPr>
                <w:rFonts w:hint="eastAsia" w:eastAsia="仿宋_GB2312" w:cs="Times New Roman"/>
                <w:b/>
                <w:bCs/>
                <w:color w:val="auto"/>
                <w:highlight w:val="none"/>
                <w:lang w:val="en-US" w:eastAsia="zh-CN"/>
              </w:rPr>
              <w:t>2</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。水环境一般管控区是水环境优先保护区、重点管控区以外的所有区域，</w:t>
            </w:r>
            <w:r>
              <w:rPr>
                <w:rFonts w:hint="default" w:ascii="Times New Roman" w:hAnsi="Times New Roman" w:eastAsia="仿宋_GB2312" w:cs="Times New Roman"/>
                <w:color w:val="auto"/>
              </w:rPr>
              <w:t>水环境一般管控区应落实《中华人民共和国水污染防治法》等相关法律法规的总体要求，加强水资源节约和保护，积极推动水生态修复治理，持续深入推进水污染防治，改善水环境质量。</w:t>
            </w:r>
            <w:r>
              <w:rPr>
                <w:rFonts w:eastAsia="仿宋_GB2312"/>
                <w:color w:val="auto"/>
              </w:rPr>
              <w:t>本项目</w:t>
            </w:r>
            <w:r>
              <w:rPr>
                <w:rFonts w:hint="eastAsia" w:eastAsia="仿宋_GB2312"/>
                <w:color w:val="auto"/>
                <w:szCs w:val="24"/>
              </w:rPr>
              <w:t>收集的废水进入污水处理厂处理达到《</w:t>
            </w:r>
            <w:r>
              <w:rPr>
                <w:rFonts w:eastAsia="仿宋_GB2312"/>
                <w:color w:val="auto"/>
              </w:rPr>
              <w:t>城镇污水处理厂污染物排放标准（修改单）》(GB18918-2002)一级A标准</w:t>
            </w:r>
            <w:r>
              <w:rPr>
                <w:rFonts w:hint="eastAsia" w:eastAsia="仿宋_GB2312"/>
                <w:color w:val="auto"/>
                <w:lang w:eastAsia="zh-CN"/>
              </w:rPr>
              <w:t>，</w:t>
            </w:r>
            <w:r>
              <w:rPr>
                <w:rFonts w:hint="eastAsia" w:eastAsia="仿宋_GB2312"/>
                <w:color w:val="auto"/>
              </w:rPr>
              <w:t>排入东北侧洪水河</w:t>
            </w:r>
            <w:r>
              <w:rPr>
                <w:rFonts w:hint="eastAsia" w:eastAsia="仿宋_GB2312"/>
                <w:color w:val="auto"/>
                <w:lang w:eastAsia="zh-CN"/>
              </w:rPr>
              <w:t>。洪水河常年处于干涸状态。项目投运前外排水主要污染物CODcr和NH</w:t>
            </w:r>
            <w:r>
              <w:rPr>
                <w:rFonts w:hint="eastAsia" w:eastAsia="仿宋_GB2312"/>
                <w:color w:val="auto"/>
                <w:vertAlign w:val="subscript"/>
                <w:lang w:eastAsia="zh-CN"/>
              </w:rPr>
              <w:t>3</w:t>
            </w:r>
            <w:r>
              <w:rPr>
                <w:rFonts w:hint="eastAsia" w:eastAsia="仿宋_GB2312"/>
                <w:color w:val="auto"/>
                <w:lang w:eastAsia="zh-CN"/>
              </w:rPr>
              <w:t>-N实测排放浓度分别为500mg/L和50mg/L；项目投运后外排水水质为污水处理工程设计出水水质，主要污染物CODcr和NH</w:t>
            </w:r>
            <w:r>
              <w:rPr>
                <w:rFonts w:hint="eastAsia" w:eastAsia="仿宋_GB2312"/>
                <w:color w:val="auto"/>
                <w:vertAlign w:val="subscript"/>
                <w:lang w:eastAsia="zh-CN"/>
              </w:rPr>
              <w:t>3</w:t>
            </w:r>
            <w:r>
              <w:rPr>
                <w:rFonts w:hint="eastAsia" w:eastAsia="仿宋_GB2312"/>
                <w:color w:val="auto"/>
                <w:lang w:eastAsia="zh-CN"/>
              </w:rPr>
              <w:t>-N排放浓度分别为50mg/L和5mg/L。</w:t>
            </w:r>
            <w:r>
              <w:rPr>
                <w:rFonts w:hint="eastAsia" w:eastAsia="仿宋_GB2312"/>
                <w:color w:val="auto"/>
                <w:lang w:val="en-US" w:eastAsia="zh-CN"/>
              </w:rPr>
              <w:t>项目的建成，</w:t>
            </w:r>
            <w:r>
              <w:rPr>
                <w:rFonts w:hint="default" w:ascii="Times New Roman" w:hAnsi="Times New Roman" w:eastAsia="仿宋_GB2312" w:cs="Times New Roman"/>
                <w:color w:val="auto"/>
                <w:sz w:val="24"/>
                <w:szCs w:val="24"/>
                <w:lang w:val="en-US" w:eastAsia="zh-CN"/>
              </w:rPr>
              <w:t>有效提高镇区内的污水利用率，更有效地消减排入洪水河的污染物，最终减轻河道的有机污染负荷，</w:t>
            </w:r>
            <w:r>
              <w:rPr>
                <w:rFonts w:eastAsia="仿宋_GB2312"/>
                <w:color w:val="auto"/>
              </w:rPr>
              <w:t>有利于改善当地水环境质量</w:t>
            </w:r>
            <w:r>
              <w:rPr>
                <w:rFonts w:hint="eastAsia" w:eastAsia="仿宋_GB2312"/>
                <w:color w:val="auto"/>
              </w:rPr>
              <w:t>，</w:t>
            </w:r>
            <w:r>
              <w:rPr>
                <w:rFonts w:eastAsia="仿宋_GB2312"/>
                <w:color w:val="auto"/>
              </w:rPr>
              <w:t>符合中卫市水环境质量底线一般管控区要求。</w:t>
            </w:r>
          </w:p>
          <w:p w14:paraId="50714849">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②大气环境质量底线及分区管控</w:t>
            </w:r>
          </w:p>
          <w:p w14:paraId="0D78F56F">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sz w:val="24"/>
                <w:szCs w:val="24"/>
                <w:lang w:eastAsia="zh-CN"/>
              </w:rPr>
              <w:t>大气环境质量底线：根据《中卫市生态环境分区管控方案文本》中“表3-2中卫市大气环境质量目标建议值一览表”，中卫市2025年、2035年PM2.5目标值均为30μg/m</w:t>
            </w:r>
            <w:r>
              <w:rPr>
                <w:rFonts w:hint="default" w:ascii="Times New Roman" w:hAnsi="Times New Roman" w:eastAsia="仿宋_GB2312" w:cs="Times New Roman"/>
                <w:color w:val="auto"/>
                <w:sz w:val="24"/>
                <w:szCs w:val="24"/>
                <w:vertAlign w:val="superscript"/>
                <w:lang w:eastAsia="zh-CN"/>
              </w:rPr>
              <w:t>3</w:t>
            </w:r>
            <w:r>
              <w:rPr>
                <w:rFonts w:hint="default" w:ascii="Times New Roman" w:hAnsi="Times New Roman" w:eastAsia="仿宋_GB2312" w:cs="Times New Roman"/>
                <w:color w:val="auto"/>
                <w:sz w:val="24"/>
                <w:szCs w:val="24"/>
                <w:lang w:eastAsia="zh-CN"/>
              </w:rPr>
              <w:t>，本项目大气环境质量引用《2023年宁夏生态环境质量状况》中2023年中卫市的监测数据，PM2.5为28μg/m</w:t>
            </w:r>
            <w:r>
              <w:rPr>
                <w:rFonts w:hint="default" w:ascii="Times New Roman" w:hAnsi="Times New Roman" w:eastAsia="仿宋_GB2312" w:cs="Times New Roman"/>
                <w:color w:val="auto"/>
                <w:sz w:val="24"/>
                <w:szCs w:val="24"/>
                <w:vertAlign w:val="superscript"/>
                <w:lang w:eastAsia="zh-CN"/>
              </w:rPr>
              <w:t>3</w:t>
            </w:r>
            <w:r>
              <w:rPr>
                <w:rFonts w:hint="default" w:ascii="Times New Roman" w:hAnsi="Times New Roman" w:eastAsia="仿宋_GB2312" w:cs="Times New Roman"/>
                <w:color w:val="auto"/>
                <w:sz w:val="24"/>
                <w:szCs w:val="24"/>
                <w:lang w:eastAsia="zh-CN"/>
              </w:rPr>
              <w:t>，已达到目标要求。</w:t>
            </w:r>
          </w:p>
          <w:p w14:paraId="5D20AA81">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highlight w:val="yellow"/>
                <w:lang w:eastAsia="zh-CN"/>
              </w:rPr>
            </w:pPr>
            <w:r>
              <w:rPr>
                <w:rFonts w:hint="eastAsia" w:ascii="Times New Roman" w:hAnsi="Times New Roman" w:eastAsia="仿宋_GB2312" w:cs="Times New Roman"/>
                <w:b w:val="0"/>
                <w:bCs w:val="0"/>
                <w:color w:val="auto"/>
                <w:szCs w:val="24"/>
                <w:lang w:eastAsia="zh-CN"/>
              </w:rPr>
              <w:t>中</w:t>
            </w:r>
            <w:r>
              <w:rPr>
                <w:rFonts w:hint="default" w:ascii="Times New Roman" w:hAnsi="Times New Roman" w:eastAsia="仿宋_GB2312" w:cs="Times New Roman"/>
                <w:b w:val="0"/>
                <w:bCs w:val="0"/>
                <w:color w:val="auto"/>
                <w:szCs w:val="24"/>
              </w:rPr>
              <w:t>卫市划分为大气环境优先保护区、大气环境重点管控区和大气环境一般管控区。本项目建设地点位</w:t>
            </w:r>
            <w:r>
              <w:rPr>
                <w:rFonts w:hint="default" w:ascii="Times New Roman" w:hAnsi="Times New Roman" w:eastAsia="仿宋_GB2312" w:cs="Times New Roman"/>
                <w:b w:val="0"/>
                <w:bCs w:val="0"/>
                <w:color w:val="auto"/>
                <w:szCs w:val="24"/>
                <w:highlight w:val="none"/>
              </w:rPr>
              <w:t>于中卫市</w:t>
            </w:r>
            <w:r>
              <w:rPr>
                <w:rFonts w:hint="default" w:ascii="Times New Roman" w:hAnsi="Times New Roman" w:eastAsia="仿宋_GB2312" w:cs="Times New Roman"/>
                <w:b w:val="0"/>
                <w:bCs w:val="0"/>
                <w:color w:val="auto"/>
                <w:szCs w:val="24"/>
                <w:highlight w:val="none"/>
                <w:lang w:eastAsia="zh-CN"/>
              </w:rPr>
              <w:t>大气环境一般管控区（本项目与中卫市大气环境分区管控位置关</w:t>
            </w:r>
            <w:r>
              <w:rPr>
                <w:rFonts w:hint="default" w:ascii="Times New Roman" w:hAnsi="Times New Roman" w:eastAsia="仿宋_GB2312" w:cs="Times New Roman"/>
                <w:color w:val="auto"/>
                <w:highlight w:val="none"/>
                <w:lang w:eastAsia="zh-CN"/>
              </w:rPr>
              <w:t>系见</w:t>
            </w:r>
            <w:r>
              <w:rPr>
                <w:rFonts w:hint="default" w:ascii="Times New Roman" w:hAnsi="Times New Roman" w:eastAsia="仿宋_GB2312" w:cs="Times New Roman"/>
                <w:b/>
                <w:bCs/>
                <w:color w:val="auto"/>
                <w:highlight w:val="none"/>
                <w:lang w:eastAsia="zh-CN"/>
              </w:rPr>
              <w:t>附图</w:t>
            </w:r>
            <w:r>
              <w:rPr>
                <w:rFonts w:hint="eastAsia" w:eastAsia="仿宋_GB2312" w:cs="Times New Roman"/>
                <w:b/>
                <w:bCs/>
                <w:color w:val="auto"/>
                <w:highlight w:val="none"/>
                <w:lang w:val="en-US" w:eastAsia="zh-CN"/>
              </w:rPr>
              <w:t>3</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大气环境一般管控区：落实《中华人民共和国大气污染防治法》等相</w:t>
            </w:r>
            <w:r>
              <w:rPr>
                <w:rFonts w:hint="default" w:ascii="Times New Roman" w:hAnsi="Times New Roman" w:eastAsia="仿宋_GB2312" w:cs="Times New Roman"/>
                <w:color w:val="auto"/>
                <w:lang w:val="en-US" w:eastAsia="zh-CN"/>
              </w:rPr>
              <w:t>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w:t>
            </w:r>
            <w:r>
              <w:rPr>
                <w:rFonts w:hint="default" w:ascii="Times New Roman" w:hAnsi="Times New Roman" w:eastAsia="仿宋_GB2312" w:cs="Times New Roman"/>
                <w:color w:val="auto"/>
                <w:highlight w:val="none"/>
                <w:lang w:val="en-US" w:eastAsia="zh-CN"/>
              </w:rPr>
              <w:t>不利影响。</w:t>
            </w:r>
            <w:r>
              <w:rPr>
                <w:rFonts w:hint="default" w:ascii="Times New Roman" w:hAnsi="Times New Roman" w:eastAsia="仿宋_GB2312" w:cs="Times New Roman"/>
                <w:color w:val="auto"/>
                <w:highlight w:val="none"/>
              </w:rPr>
              <w:t>本项目施工期严格落实建筑工地“六个100%”防控措施，建成后</w:t>
            </w:r>
            <w:r>
              <w:rPr>
                <w:rFonts w:hint="default" w:ascii="Times New Roman" w:hAnsi="Times New Roman" w:eastAsia="仿宋_GB2312" w:cs="Times New Roman"/>
                <w:color w:val="auto"/>
                <w:highlight w:val="none"/>
                <w:lang w:eastAsia="zh-CN"/>
              </w:rPr>
              <w:t>无废气产生</w:t>
            </w:r>
            <w:r>
              <w:rPr>
                <w:rFonts w:hint="default" w:ascii="Times New Roman" w:hAnsi="Times New Roman" w:eastAsia="仿宋_GB2312" w:cs="Times New Roman"/>
                <w:color w:val="auto"/>
                <w:highlight w:val="none"/>
              </w:rPr>
              <w:t>，不会对项目周边环境空气质量造成不利影响，符合中卫市大气环境质量底线大气环境</w:t>
            </w:r>
            <w:r>
              <w:rPr>
                <w:rFonts w:hint="default" w:ascii="Times New Roman" w:hAnsi="Times New Roman" w:eastAsia="仿宋_GB2312" w:cs="Times New Roman"/>
                <w:color w:val="auto"/>
                <w:highlight w:val="none"/>
                <w:lang w:eastAsia="zh-CN"/>
              </w:rPr>
              <w:t>一般管控区要求。</w:t>
            </w:r>
          </w:p>
          <w:p w14:paraId="5A07618C">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③土壤污染风险防控底线及分区管控</w:t>
            </w:r>
          </w:p>
          <w:p w14:paraId="2F2C3E8D">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4"/>
                <w:lang w:val="en-US" w:eastAsia="zh-CN"/>
              </w:rPr>
              <w:t>土壤环境质量底线：根据《中卫市生态环境分区管控方案文本》，到2025年，全市土壤环境质量总体持续稳中向好，重点建设用地安全利用得到有效保障，受污染耕地和污染地块安全利用率完成自治区“十四五”考核目标</w:t>
            </w:r>
            <w:r>
              <w:rPr>
                <w:rFonts w:hint="eastAsia" w:eastAsia="仿宋_GB2312" w:cs="Times New Roman"/>
                <w:color w:val="auto"/>
                <w:sz w:val="24"/>
                <w:szCs w:val="24"/>
                <w:lang w:val="en-US" w:eastAsia="zh-CN"/>
              </w:rPr>
              <w:t>。</w:t>
            </w:r>
          </w:p>
          <w:p w14:paraId="1E9E0FBB">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4"/>
                <w:lang w:eastAsia="zh-CN"/>
              </w:rPr>
              <w:t>土壤环境分区管控符合性分析：</w:t>
            </w:r>
            <w:r>
              <w:rPr>
                <w:rFonts w:hint="default" w:ascii="Times New Roman" w:hAnsi="Times New Roman" w:eastAsia="仿宋_GB2312" w:cs="Times New Roman"/>
                <w:color w:val="auto"/>
              </w:rPr>
              <w:t>根据</w:t>
            </w:r>
            <w:r>
              <w:rPr>
                <w:rFonts w:hint="default" w:ascii="Times New Roman" w:hAnsi="Times New Roman" w:eastAsia="仿宋_GB2312" w:cs="Times New Roman"/>
                <w:color w:val="auto"/>
                <w:lang w:eastAsia="zh-CN"/>
              </w:rPr>
              <w:t>中卫市土壤污染风险管控分区，</w:t>
            </w:r>
            <w:r>
              <w:rPr>
                <w:rFonts w:hint="default" w:ascii="Times New Roman" w:hAnsi="Times New Roman" w:eastAsia="仿宋_GB2312" w:cs="Times New Roman"/>
                <w:color w:val="auto"/>
              </w:rPr>
              <w:t>本项目</w:t>
            </w:r>
            <w:r>
              <w:rPr>
                <w:rFonts w:hint="default" w:ascii="Times New Roman" w:hAnsi="Times New Roman" w:eastAsia="仿宋_GB2312" w:cs="Times New Roman"/>
                <w:color w:val="auto"/>
                <w:lang w:eastAsia="zh-CN"/>
              </w:rPr>
              <w:t>主要</w:t>
            </w:r>
            <w:r>
              <w:rPr>
                <w:rFonts w:hint="default" w:ascii="Times New Roman" w:hAnsi="Times New Roman" w:eastAsia="仿宋_GB2312" w:cs="Times New Roman"/>
                <w:color w:val="auto"/>
              </w:rPr>
              <w:t>位于中卫市土壤环境一般管</w:t>
            </w:r>
            <w:r>
              <w:rPr>
                <w:rFonts w:hint="default" w:ascii="Times New Roman" w:hAnsi="Times New Roman" w:eastAsia="仿宋_GB2312" w:cs="Times New Roman"/>
                <w:color w:val="auto"/>
                <w:highlight w:val="none"/>
              </w:rPr>
              <w:t>控区域</w:t>
            </w:r>
            <w:r>
              <w:rPr>
                <w:rFonts w:hint="default" w:ascii="Times New Roman" w:hAnsi="Times New Roman" w:eastAsia="仿宋_GB2312" w:cs="Times New Roman"/>
                <w:color w:val="auto"/>
                <w:highlight w:val="none"/>
                <w:lang w:eastAsia="zh-CN"/>
              </w:rPr>
              <w:t>（本项目与中卫市土壤污染风险分区管控位置关系见</w:t>
            </w:r>
            <w:r>
              <w:rPr>
                <w:rFonts w:hint="default" w:ascii="Times New Roman" w:hAnsi="Times New Roman" w:eastAsia="仿宋_GB2312" w:cs="Times New Roman"/>
                <w:b/>
                <w:bCs/>
                <w:color w:val="auto"/>
                <w:highlight w:val="none"/>
                <w:lang w:eastAsia="zh-CN"/>
              </w:rPr>
              <w:t>附图</w:t>
            </w:r>
            <w:r>
              <w:rPr>
                <w:rFonts w:hint="eastAsia" w:eastAsia="仿宋_GB2312" w:cs="Times New Roman"/>
                <w:b/>
                <w:bCs/>
                <w:color w:val="auto"/>
                <w:highlight w:val="none"/>
                <w:lang w:val="en-US" w:eastAsia="zh-CN"/>
              </w:rPr>
              <w:t>4</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sz w:val="24"/>
                <w:szCs w:val="24"/>
                <w:lang w:val="en-US" w:eastAsia="zh-CN"/>
              </w:rPr>
              <w:t>其具体要求为：</w:t>
            </w:r>
            <w:r>
              <w:rPr>
                <w:rFonts w:hint="default" w:ascii="Times New Roman" w:hAnsi="Times New Roman" w:eastAsia="仿宋_GB2312" w:cs="Times New Roman"/>
                <w:color w:val="auto"/>
              </w:rPr>
              <w:t>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14:paraId="3C4C8523">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highlight w:val="none"/>
                <w:lang w:val="en-US" w:eastAsia="zh-CN"/>
              </w:rPr>
              <w:t>本项目</w:t>
            </w:r>
            <w:r>
              <w:rPr>
                <w:rFonts w:hint="default" w:ascii="Times New Roman" w:hAnsi="Times New Roman" w:eastAsia="仿宋_GB2312" w:cs="Times New Roman"/>
                <w:color w:val="auto"/>
                <w:highlight w:val="none"/>
                <w:lang w:eastAsia="zh-CN"/>
              </w:rPr>
              <w:t>为</w:t>
            </w:r>
            <w:r>
              <w:rPr>
                <w:rFonts w:hint="default" w:ascii="Times New Roman" w:hAnsi="Times New Roman" w:eastAsia="仿宋_GB2312" w:cs="Times New Roman"/>
                <w:color w:val="auto"/>
                <w:highlight w:val="none"/>
                <w:lang w:val="en-US" w:eastAsia="zh-CN"/>
              </w:rPr>
              <w:t>城镇污水处理厂建设项目，将</w:t>
            </w:r>
            <w:r>
              <w:rPr>
                <w:rFonts w:hint="default" w:ascii="Times New Roman" w:hAnsi="Times New Roman" w:eastAsia="仿宋_GB2312" w:cs="Times New Roman"/>
                <w:color w:val="auto"/>
                <w:szCs w:val="21"/>
                <w:lang w:bidi="ar"/>
              </w:rPr>
              <w:t>格栅、沉淀池、生物池、污泥池、接触池、滤池</w:t>
            </w:r>
            <w:r>
              <w:rPr>
                <w:rFonts w:hint="default" w:ascii="Times New Roman" w:hAnsi="Times New Roman" w:eastAsia="仿宋_GB2312" w:cs="Times New Roman"/>
                <w:color w:val="auto"/>
                <w:szCs w:val="21"/>
                <w:lang w:eastAsia="zh-CN" w:bidi="ar"/>
              </w:rPr>
              <w:t>作为</w:t>
            </w:r>
            <w:r>
              <w:rPr>
                <w:rFonts w:hint="default" w:ascii="Times New Roman" w:hAnsi="Times New Roman" w:eastAsia="仿宋_GB2312" w:cs="Times New Roman"/>
                <w:color w:val="auto"/>
                <w:szCs w:val="21"/>
                <w:lang w:bidi="ar"/>
              </w:rPr>
              <w:t>重点污染防治区，</w:t>
            </w:r>
            <w:r>
              <w:rPr>
                <w:rFonts w:hint="default" w:ascii="Times New Roman" w:hAnsi="Times New Roman" w:eastAsia="仿宋_GB2312" w:cs="Times New Roman"/>
                <w:color w:val="auto"/>
                <w:szCs w:val="21"/>
              </w:rPr>
              <w:t>防治区的渗透系数≤10</w:t>
            </w:r>
            <w:r>
              <w:rPr>
                <w:rFonts w:hint="default" w:ascii="Times New Roman" w:hAnsi="Times New Roman" w:eastAsia="仿宋_GB2312" w:cs="Times New Roman"/>
                <w:color w:val="auto"/>
                <w:szCs w:val="21"/>
                <w:vertAlign w:val="superscript"/>
              </w:rPr>
              <w:t>-10</w:t>
            </w:r>
            <w:r>
              <w:rPr>
                <w:rFonts w:hint="default" w:ascii="Times New Roman" w:hAnsi="Times New Roman" w:eastAsia="仿宋_GB2312" w:cs="Times New Roman"/>
                <w:color w:val="auto"/>
                <w:szCs w:val="21"/>
              </w:rPr>
              <w:t>cm/s。</w:t>
            </w:r>
            <w:r>
              <w:rPr>
                <w:rFonts w:hint="default" w:ascii="Times New Roman" w:hAnsi="Times New Roman" w:eastAsia="仿宋_GB2312" w:cs="Times New Roman"/>
                <w:color w:val="auto"/>
                <w:lang w:eastAsia="zh-CN"/>
              </w:rPr>
              <w:t>不会对区域土壤及地下水环境造成污染，故项目建设符合中卫市土壤分区管控要求。</w:t>
            </w:r>
          </w:p>
          <w:p w14:paraId="2EFABD2E">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val="en-US" w:eastAsia="zh-CN"/>
              </w:rPr>
              <w:t>综上，本项目建设符合环境质量底线要求。</w:t>
            </w:r>
          </w:p>
          <w:p w14:paraId="2D4B2398">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仿宋_GB2312" w:cs="Times New Roman"/>
                <w:b/>
                <w:bCs/>
                <w:color w:val="auto"/>
                <w:lang w:eastAsia="zh-CN"/>
              </w:rPr>
            </w:pPr>
            <w:r>
              <w:rPr>
                <w:rFonts w:hint="default" w:ascii="Times New Roman" w:hAnsi="Times New Roman" w:eastAsia="仿宋_GB2312" w:cs="Times New Roman"/>
                <w:b/>
                <w:bCs/>
                <w:color w:val="auto"/>
                <w:lang w:eastAsia="zh-CN"/>
              </w:rPr>
              <w:t>⑶</w:t>
            </w:r>
            <w:r>
              <w:rPr>
                <w:rFonts w:hint="default" w:ascii="Times New Roman" w:hAnsi="Times New Roman" w:eastAsia="仿宋_GB2312" w:cs="Times New Roman"/>
                <w:b/>
                <w:bCs/>
                <w:color w:val="auto"/>
              </w:rPr>
              <w:t>资源利用上线</w:t>
            </w:r>
            <w:r>
              <w:rPr>
                <w:rFonts w:hint="default" w:ascii="Times New Roman" w:hAnsi="Times New Roman" w:eastAsia="仿宋_GB2312" w:cs="Times New Roman"/>
                <w:b/>
                <w:bCs/>
                <w:color w:val="auto"/>
                <w:lang w:eastAsia="zh-CN"/>
              </w:rPr>
              <w:t>及分区管控</w:t>
            </w:r>
          </w:p>
          <w:p w14:paraId="3A0D4F40">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①能源（煤炭）资源利用上线及分区管控</w:t>
            </w:r>
          </w:p>
          <w:p w14:paraId="4A546257">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4"/>
                <w:lang w:val="en-US" w:eastAsia="zh-CN"/>
              </w:rPr>
              <w:t>本项目</w:t>
            </w:r>
            <w:r>
              <w:rPr>
                <w:rFonts w:hint="default" w:ascii="Times New Roman" w:hAnsi="Times New Roman" w:eastAsia="仿宋_GB2312" w:cs="Times New Roman"/>
                <w:color w:val="auto"/>
                <w:highlight w:val="none"/>
                <w:lang w:eastAsia="zh-CN"/>
              </w:rPr>
              <w:t>为</w:t>
            </w:r>
            <w:r>
              <w:rPr>
                <w:rFonts w:hint="default" w:ascii="Times New Roman" w:hAnsi="Times New Roman" w:eastAsia="仿宋_GB2312" w:cs="Times New Roman"/>
                <w:color w:val="auto"/>
                <w:highlight w:val="none"/>
                <w:lang w:val="en-US" w:eastAsia="zh-CN"/>
              </w:rPr>
              <w:t>城镇污水处理厂建设项目</w:t>
            </w:r>
            <w:r>
              <w:rPr>
                <w:rFonts w:hint="default" w:ascii="Times New Roman" w:hAnsi="Times New Roman" w:eastAsia="仿宋_GB2312" w:cs="Times New Roman"/>
                <w:color w:val="auto"/>
              </w:rPr>
              <w:t>，项目建设不</w:t>
            </w:r>
            <w:r>
              <w:rPr>
                <w:rFonts w:hint="default" w:ascii="Times New Roman" w:hAnsi="Times New Roman" w:eastAsia="仿宋_GB2312" w:cs="Times New Roman"/>
                <w:color w:val="auto"/>
                <w:lang w:eastAsia="zh-CN"/>
              </w:rPr>
              <w:t>涉及</w:t>
            </w:r>
            <w:r>
              <w:rPr>
                <w:rFonts w:hint="default" w:ascii="Times New Roman" w:hAnsi="Times New Roman" w:eastAsia="仿宋_GB2312" w:cs="Times New Roman"/>
                <w:color w:val="auto"/>
              </w:rPr>
              <w:t>中卫市能源（煤炭）资源利用上线。</w:t>
            </w:r>
          </w:p>
          <w:p w14:paraId="13FE1EC5">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②水资源利用上线及分区管控</w:t>
            </w:r>
          </w:p>
          <w:p w14:paraId="7C6A4A54">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w:t>
            </w:r>
            <w:r>
              <w:rPr>
                <w:rFonts w:hint="default" w:ascii="Times New Roman" w:hAnsi="Times New Roman" w:eastAsia="仿宋_GB2312" w:cs="Times New Roman"/>
                <w:color w:val="auto"/>
                <w:highlight w:val="none"/>
                <w:lang w:eastAsia="zh-CN"/>
              </w:rPr>
              <w:t>为</w:t>
            </w:r>
            <w:r>
              <w:rPr>
                <w:rFonts w:hint="default" w:ascii="Times New Roman" w:hAnsi="Times New Roman" w:eastAsia="仿宋_GB2312" w:cs="Times New Roman"/>
                <w:color w:val="auto"/>
                <w:highlight w:val="none"/>
                <w:lang w:val="en-US" w:eastAsia="zh-CN"/>
              </w:rPr>
              <w:t>城镇污水处理厂建设项目，用水主要为施工期管道试压用水，运营期配调药剂用水及员工生活用水，用水量较小</w:t>
            </w:r>
            <w:r>
              <w:rPr>
                <w:rFonts w:hint="default" w:ascii="Times New Roman" w:hAnsi="Times New Roman" w:eastAsia="仿宋_GB2312" w:cs="Times New Roman"/>
                <w:color w:val="auto"/>
              </w:rPr>
              <w:t>，符合水资源利用上线要求。</w:t>
            </w:r>
          </w:p>
          <w:p w14:paraId="5F046644">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③土地资源利用上线及分区管控</w:t>
            </w:r>
          </w:p>
          <w:p w14:paraId="3B101A7B">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4"/>
                <w:lang w:val="en-US" w:eastAsia="zh-CN"/>
              </w:rPr>
              <w:t>本项目为为城镇污水处理厂建设项目</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eastAsia="zh-CN"/>
              </w:rPr>
              <w:t>工程占地位于中卫市沙坡头区兴仁镇北环路以北，项目建设无重点污染物产生</w:t>
            </w:r>
            <w:r>
              <w:rPr>
                <w:rFonts w:hint="default" w:ascii="Times New Roman" w:hAnsi="Times New Roman" w:eastAsia="仿宋_GB2312" w:cs="Times New Roman"/>
                <w:color w:val="auto"/>
                <w:highlight w:val="none"/>
                <w:lang w:eastAsia="zh-CN"/>
              </w:rPr>
              <w:t>，故不在土壤资源重点</w:t>
            </w:r>
            <w:r>
              <w:rPr>
                <w:rFonts w:hint="default" w:ascii="Times New Roman" w:hAnsi="Times New Roman" w:eastAsia="仿宋_GB2312" w:cs="Times New Roman"/>
                <w:color w:val="auto"/>
                <w:lang w:eastAsia="zh-CN"/>
              </w:rPr>
              <w:t>管控区内</w:t>
            </w:r>
            <w:r>
              <w:rPr>
                <w:rFonts w:hint="default" w:ascii="Times New Roman" w:hAnsi="Times New Roman" w:eastAsia="仿宋_GB2312" w:cs="Times New Roman"/>
                <w:color w:val="auto"/>
              </w:rPr>
              <w:t>。</w:t>
            </w:r>
          </w:p>
          <w:p w14:paraId="227B7AD6">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eastAsia="zh-CN"/>
              </w:rPr>
              <w:t>综上分析，本项目符合资源利用上线要求。</w:t>
            </w:r>
          </w:p>
          <w:p w14:paraId="0DC48FB3">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仿宋_GB2312" w:cs="Times New Roman"/>
                <w:b/>
                <w:bCs/>
                <w:color w:val="auto"/>
                <w:lang w:eastAsia="zh-CN"/>
              </w:rPr>
            </w:pPr>
            <w:r>
              <w:rPr>
                <w:rFonts w:hint="default" w:ascii="Times New Roman" w:hAnsi="Times New Roman" w:eastAsia="仿宋_GB2312" w:cs="Times New Roman"/>
                <w:b/>
                <w:bCs/>
                <w:color w:val="auto"/>
                <w:lang w:eastAsia="zh-CN"/>
              </w:rPr>
              <w:t>⑷环境管控单元与准入清单</w:t>
            </w:r>
          </w:p>
          <w:p w14:paraId="2896D1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1"/>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①</w:t>
            </w:r>
            <w:r>
              <w:rPr>
                <w:rFonts w:hint="eastAsia" w:ascii="Times New Roman" w:hAnsi="Times New Roman" w:eastAsia="仿宋_GB2312" w:cs="Times New Roman"/>
                <w:color w:val="auto"/>
                <w:kern w:val="2"/>
                <w:sz w:val="24"/>
                <w:szCs w:val="24"/>
                <w:lang w:val="en-US" w:eastAsia="zh-CN" w:bidi="ar-SA"/>
              </w:rPr>
              <w:t>环境管控单元</w:t>
            </w:r>
          </w:p>
          <w:p w14:paraId="05163D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1"/>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bCs/>
                <w:color w:val="auto"/>
                <w:sz w:val="24"/>
                <w:szCs w:val="24"/>
                <w:highlight w:val="none"/>
                <w:lang w:val="zh-CN" w:eastAsia="zh-CN"/>
              </w:rPr>
              <w:t>中卫市共划定的环境管控单元包括优先保护单元、重点管控单元以及一般管控单元</w:t>
            </w:r>
            <w:r>
              <w:rPr>
                <w:rFonts w:hint="default" w:ascii="Times New Roman" w:hAnsi="Times New Roman" w:eastAsia="仿宋_GB2312" w:cs="Times New Roman"/>
                <w:bCs/>
                <w:color w:val="auto"/>
                <w:sz w:val="24"/>
                <w:szCs w:val="24"/>
                <w:highlight w:val="none"/>
                <w:lang w:val="en-US" w:eastAsia="zh-CN"/>
              </w:rPr>
              <w:t>。</w:t>
            </w:r>
            <w:r>
              <w:rPr>
                <w:rFonts w:hint="default" w:ascii="Times New Roman" w:hAnsi="Times New Roman" w:eastAsia="仿宋_GB2312" w:cs="Times New Roman"/>
                <w:bCs/>
                <w:color w:val="auto"/>
                <w:sz w:val="24"/>
                <w:szCs w:val="24"/>
                <w:highlight w:val="none"/>
                <w:lang w:val="zh-CN" w:eastAsia="zh-CN"/>
              </w:rPr>
              <w:t>对照中卫市环境管控单元分布图，本项目位于</w:t>
            </w:r>
            <w:r>
              <w:rPr>
                <w:rFonts w:hint="eastAsia" w:ascii="Times New Roman" w:hAnsi="Times New Roman" w:eastAsia="仿宋_GB2312" w:cs="Times New Roman"/>
                <w:bCs/>
                <w:color w:val="auto"/>
                <w:sz w:val="24"/>
                <w:szCs w:val="24"/>
                <w:highlight w:val="none"/>
                <w:lang w:val="en-US" w:eastAsia="zh-CN"/>
              </w:rPr>
              <w:t>一般</w:t>
            </w:r>
            <w:r>
              <w:rPr>
                <w:rFonts w:hint="default" w:ascii="Times New Roman" w:hAnsi="Times New Roman" w:eastAsia="仿宋_GB2312" w:cs="Times New Roman"/>
                <w:bCs/>
                <w:color w:val="auto"/>
                <w:sz w:val="24"/>
                <w:szCs w:val="24"/>
                <w:highlight w:val="none"/>
                <w:lang w:val="zh-CN" w:eastAsia="zh-CN"/>
              </w:rPr>
              <w:t>管控</w:t>
            </w:r>
            <w:r>
              <w:rPr>
                <w:rFonts w:hint="default" w:ascii="Times New Roman" w:hAnsi="Times New Roman" w:eastAsia="仿宋_GB2312" w:cs="Times New Roman"/>
                <w:b w:val="0"/>
                <w:bCs/>
                <w:color w:val="auto"/>
                <w:sz w:val="24"/>
                <w:szCs w:val="24"/>
                <w:highlight w:val="none"/>
                <w:lang w:val="zh-CN" w:eastAsia="zh-CN"/>
              </w:rPr>
              <w:t>单元</w:t>
            </w:r>
            <w:r>
              <w:rPr>
                <w:rFonts w:hint="eastAsia" w:eastAsia="仿宋_GB2312" w:cs="Times New Roman"/>
                <w:b w:val="0"/>
                <w:bCs/>
                <w:color w:val="auto"/>
                <w:sz w:val="24"/>
                <w:szCs w:val="24"/>
                <w:highlight w:val="none"/>
                <w:lang w:val="zh-CN" w:eastAsia="zh-CN"/>
              </w:rPr>
              <w:t>，</w:t>
            </w:r>
            <w:r>
              <w:rPr>
                <w:rFonts w:hint="default" w:ascii="Times New Roman" w:hAnsi="Times New Roman" w:eastAsia="仿宋_GB2312" w:cs="Times New Roman"/>
                <w:b w:val="0"/>
                <w:bCs/>
                <w:color w:val="auto"/>
                <w:sz w:val="24"/>
                <w:szCs w:val="24"/>
                <w:highlight w:val="none"/>
                <w:lang w:val="zh-CN" w:eastAsia="zh-CN"/>
              </w:rPr>
              <w:t>见</w:t>
            </w:r>
            <w:r>
              <w:rPr>
                <w:rFonts w:hint="eastAsia" w:ascii="Times New Roman" w:hAnsi="Times New Roman" w:eastAsia="仿宋_GB2312" w:cs="Times New Roman"/>
                <w:b w:val="0"/>
                <w:bCs/>
                <w:color w:val="auto"/>
                <w:sz w:val="24"/>
                <w:szCs w:val="24"/>
                <w:highlight w:val="none"/>
                <w:lang w:val="en-US" w:eastAsia="zh-CN"/>
              </w:rPr>
              <w:t>附图5，</w:t>
            </w:r>
            <w:r>
              <w:rPr>
                <w:rFonts w:hint="default" w:ascii="Times New Roman" w:hAnsi="Times New Roman" w:eastAsia="仿宋_GB2312" w:cs="Times New Roman"/>
                <w:color w:val="auto"/>
                <w:kern w:val="2"/>
                <w:sz w:val="24"/>
                <w:szCs w:val="24"/>
                <w:lang w:val="en-US" w:eastAsia="zh-CN" w:bidi="ar-SA"/>
              </w:rPr>
              <w:t>与中卫市生态保护红线关系具体详见附图</w:t>
            </w:r>
            <w:r>
              <w:rPr>
                <w:rFonts w:hint="eastAsia" w:ascii="Times New Roman" w:hAnsi="Times New Roman" w:eastAsia="仿宋_GB2312" w:cs="Times New Roman"/>
                <w:color w:val="auto"/>
                <w:kern w:val="2"/>
                <w:sz w:val="24"/>
                <w:szCs w:val="24"/>
                <w:lang w:val="en-US" w:eastAsia="zh-CN" w:bidi="ar-SA"/>
              </w:rPr>
              <w:t>6</w:t>
            </w:r>
            <w:r>
              <w:rPr>
                <w:rFonts w:hint="default" w:ascii="Times New Roman" w:hAnsi="Times New Roman" w:eastAsia="仿宋_GB2312" w:cs="Times New Roman"/>
                <w:b w:val="0"/>
                <w:bCs/>
                <w:color w:val="auto"/>
                <w:sz w:val="24"/>
                <w:szCs w:val="24"/>
                <w:highlight w:val="none"/>
                <w:lang w:val="en-US" w:eastAsia="zh-CN"/>
              </w:rPr>
              <w:t>。</w:t>
            </w:r>
          </w:p>
          <w:p w14:paraId="1C5391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1"/>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②</w:t>
            </w:r>
            <w:r>
              <w:rPr>
                <w:rFonts w:hint="eastAsia" w:ascii="Times New Roman" w:hAnsi="Times New Roman" w:eastAsia="仿宋_GB2312" w:cs="Times New Roman"/>
                <w:color w:val="auto"/>
                <w:kern w:val="2"/>
                <w:sz w:val="24"/>
                <w:szCs w:val="24"/>
                <w:lang w:val="en-US" w:eastAsia="zh-CN" w:bidi="ar-SA"/>
              </w:rPr>
              <w:t>生态环境总体准入清单</w:t>
            </w:r>
          </w:p>
          <w:p w14:paraId="568514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1"/>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本项目与</w:t>
            </w:r>
            <w:r>
              <w:rPr>
                <w:rFonts w:hint="eastAsia" w:ascii="Times New Roman" w:hAnsi="Times New Roman" w:eastAsia="仿宋_GB2312" w:cs="Times New Roman"/>
                <w:color w:val="auto"/>
                <w:kern w:val="2"/>
                <w:sz w:val="24"/>
                <w:szCs w:val="24"/>
                <w:lang w:val="en-US" w:eastAsia="zh-CN" w:bidi="ar-SA"/>
              </w:rPr>
              <w:t>中卫市生态环境总体准入要求的符合性见表</w:t>
            </w:r>
            <w:r>
              <w:rPr>
                <w:rFonts w:hint="default" w:ascii="Times New Roman" w:hAnsi="Times New Roman" w:eastAsia="仿宋_GB2312" w:cs="Times New Roman"/>
                <w:color w:val="auto"/>
                <w:kern w:val="2"/>
                <w:sz w:val="24"/>
                <w:szCs w:val="24"/>
                <w:lang w:val="en-US" w:eastAsia="zh-CN" w:bidi="ar-SA"/>
              </w:rPr>
              <w:t>1-1，</w:t>
            </w:r>
            <w:r>
              <w:rPr>
                <w:rFonts w:hint="eastAsia" w:ascii="Times New Roman" w:hAnsi="Times New Roman" w:eastAsia="仿宋_GB2312" w:cs="Times New Roman"/>
                <w:color w:val="auto"/>
                <w:kern w:val="2"/>
                <w:sz w:val="24"/>
                <w:szCs w:val="24"/>
                <w:lang w:val="en-US" w:eastAsia="zh-CN" w:bidi="ar-SA"/>
              </w:rPr>
              <w:t>与</w:t>
            </w:r>
            <w:r>
              <w:rPr>
                <w:rFonts w:hint="default" w:ascii="Times New Roman" w:hAnsi="Times New Roman" w:eastAsia="仿宋_GB2312" w:cs="Times New Roman"/>
                <w:color w:val="auto"/>
                <w:kern w:val="2"/>
                <w:sz w:val="24"/>
                <w:szCs w:val="24"/>
                <w:lang w:val="en-US" w:eastAsia="zh-CN" w:bidi="ar-SA"/>
              </w:rPr>
              <w:t>中卫市环境管控单元生态环境准入清单的符合性见表</w:t>
            </w:r>
            <w:r>
              <w:rPr>
                <w:rFonts w:hint="eastAsia" w:ascii="Times New Roman" w:hAnsi="Times New Roman" w:eastAsia="仿宋_GB2312" w:cs="Times New Roman"/>
                <w:color w:val="auto"/>
                <w:kern w:val="2"/>
                <w:sz w:val="24"/>
                <w:szCs w:val="24"/>
                <w:lang w:val="en-US" w:eastAsia="zh-CN" w:bidi="ar-SA"/>
              </w:rPr>
              <w:t>1-2</w:t>
            </w:r>
            <w:r>
              <w:rPr>
                <w:rFonts w:hint="default" w:ascii="Times New Roman" w:hAnsi="Times New Roman" w:eastAsia="仿宋_GB2312" w:cs="Times New Roman"/>
                <w:color w:val="auto"/>
                <w:kern w:val="2"/>
                <w:sz w:val="24"/>
                <w:szCs w:val="24"/>
                <w:lang w:val="en-US" w:eastAsia="zh-CN" w:bidi="ar-SA"/>
              </w:rPr>
              <w:t>。</w:t>
            </w:r>
          </w:p>
          <w:p w14:paraId="42D1CD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ascii="Times New Roman" w:hAnsi="Times New Roman" w:eastAsia="宋体" w:cs="Times New Roman"/>
                <w:color w:val="auto"/>
                <w:kern w:val="0"/>
                <w:szCs w:val="21"/>
                <w:lang w:eastAsia="zh-CN"/>
              </w:rPr>
            </w:pPr>
          </w:p>
          <w:p w14:paraId="20F67B72">
            <w:pPr>
              <w:adjustRightInd w:val="0"/>
              <w:snapToGrid w:val="0"/>
              <w:spacing w:before="156" w:beforeLines="50" w:after="50" w:line="360" w:lineRule="auto"/>
              <w:rPr>
                <w:rFonts w:ascii="Times New Roman" w:hAnsi="Times New Roman" w:eastAsia="仿宋" w:cs="Times New Roman"/>
                <w:color w:val="auto"/>
                <w:sz w:val="24"/>
                <w:szCs w:val="24"/>
              </w:rPr>
            </w:pPr>
          </w:p>
        </w:tc>
      </w:tr>
    </w:tbl>
    <w:p w14:paraId="5EE322AE">
      <w:pPr>
        <w:rPr>
          <w:color w:val="auto"/>
        </w:rPr>
        <w:sectPr>
          <w:footerReference r:id="rId4" w:type="default"/>
          <w:pgSz w:w="11906" w:h="16838"/>
          <w:pgMar w:top="1588" w:right="1361" w:bottom="1644" w:left="136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7"/>
        <w:tblW w:w="136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2881"/>
      </w:tblGrid>
      <w:tr w14:paraId="5BC16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91" w:hRule="atLeast"/>
          <w:jc w:val="center"/>
        </w:trPr>
        <w:tc>
          <w:tcPr>
            <w:tcW w:w="798" w:type="dxa"/>
            <w:vAlign w:val="center"/>
          </w:tcPr>
          <w:p w14:paraId="7E75E998">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其他符合性分析</w:t>
            </w:r>
          </w:p>
        </w:tc>
        <w:tc>
          <w:tcPr>
            <w:tcW w:w="12881" w:type="dxa"/>
            <w:vAlign w:val="center"/>
          </w:tcPr>
          <w:p w14:paraId="7595CFC1">
            <w:pPr>
              <w:pStyle w:val="48"/>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表</w:t>
            </w:r>
            <w:r>
              <w:rPr>
                <w:rFonts w:hint="eastAsia" w:ascii="Times New Roman" w:hAnsi="Times New Roman" w:eastAsia="宋体" w:cs="Times New Roman"/>
                <w:b/>
                <w:bCs/>
                <w:color w:val="auto"/>
                <w:kern w:val="0"/>
                <w:sz w:val="21"/>
                <w:szCs w:val="21"/>
                <w:highlight w:val="none"/>
                <w:lang w:val="en-US" w:eastAsia="zh-CN"/>
              </w:rPr>
              <w:t xml:space="preserve">1-1  </w:t>
            </w:r>
            <w:r>
              <w:rPr>
                <w:rFonts w:hint="default" w:ascii="Times New Roman" w:hAnsi="Times New Roman" w:eastAsia="宋体" w:cs="Times New Roman"/>
                <w:b/>
                <w:bCs/>
                <w:color w:val="auto"/>
                <w:kern w:val="0"/>
                <w:sz w:val="21"/>
                <w:szCs w:val="21"/>
                <w:highlight w:val="none"/>
                <w:lang w:eastAsia="zh-CN"/>
              </w:rPr>
              <w:t xml:space="preserve"> </w:t>
            </w:r>
            <w:r>
              <w:rPr>
                <w:rFonts w:hint="default" w:ascii="Times New Roman" w:hAnsi="Times New Roman" w:eastAsia="宋体" w:cs="Times New Roman"/>
                <w:b/>
                <w:bCs/>
                <w:color w:val="auto"/>
                <w:kern w:val="0"/>
                <w:sz w:val="21"/>
                <w:szCs w:val="21"/>
                <w:highlight w:val="none"/>
                <w:lang w:val="en-US" w:eastAsia="zh-CN"/>
              </w:rPr>
              <w:t>项目与中卫市</w:t>
            </w:r>
            <w:r>
              <w:rPr>
                <w:rFonts w:hint="eastAsia" w:ascii="Times New Roman" w:hAnsi="Times New Roman" w:eastAsia="宋体" w:cs="Times New Roman"/>
                <w:b/>
                <w:bCs/>
                <w:color w:val="auto"/>
                <w:kern w:val="0"/>
                <w:sz w:val="21"/>
                <w:szCs w:val="21"/>
                <w:highlight w:val="none"/>
                <w:lang w:val="en-US" w:eastAsia="zh-CN"/>
              </w:rPr>
              <w:t>生态环境总体准入要求</w:t>
            </w:r>
            <w:r>
              <w:rPr>
                <w:rFonts w:hint="default" w:ascii="Times New Roman" w:hAnsi="Times New Roman" w:eastAsia="宋体" w:cs="Times New Roman"/>
                <w:b/>
                <w:bCs/>
                <w:color w:val="auto"/>
                <w:kern w:val="0"/>
                <w:sz w:val="21"/>
                <w:szCs w:val="21"/>
                <w:highlight w:val="none"/>
                <w:lang w:val="en-US" w:eastAsia="zh-CN"/>
              </w:rPr>
              <w:t>对照分析</w:t>
            </w:r>
            <w:r>
              <w:rPr>
                <w:rFonts w:hint="default" w:ascii="Times New Roman" w:hAnsi="Times New Roman" w:eastAsia="宋体" w:cs="Times New Roman"/>
                <w:b/>
                <w:bCs/>
                <w:color w:val="auto"/>
                <w:kern w:val="0"/>
                <w:sz w:val="21"/>
                <w:szCs w:val="21"/>
                <w:highlight w:val="none"/>
                <w:lang w:eastAsia="zh-CN"/>
              </w:rPr>
              <w:t>一览表</w:t>
            </w:r>
          </w:p>
          <w:tbl>
            <w:tblPr>
              <w:tblStyle w:val="27"/>
              <w:tblW w:w="126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482"/>
              <w:gridCol w:w="5550"/>
              <w:gridCol w:w="2782"/>
              <w:gridCol w:w="2457"/>
            </w:tblGrid>
            <w:tr w14:paraId="0CC78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9" w:type="dxa"/>
                  <w:gridSpan w:val="2"/>
                  <w:tcBorders>
                    <w:tl2br w:val="nil"/>
                    <w:tr2bl w:val="nil"/>
                  </w:tcBorders>
                  <w:noWrap w:val="0"/>
                  <w:vAlign w:val="center"/>
                </w:tcPr>
                <w:p w14:paraId="3BA0A74E">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管控维度</w:t>
                  </w:r>
                </w:p>
              </w:tc>
              <w:tc>
                <w:tcPr>
                  <w:tcW w:w="5550" w:type="dxa"/>
                  <w:tcBorders>
                    <w:tl2br w:val="nil"/>
                    <w:tr2bl w:val="nil"/>
                  </w:tcBorders>
                  <w:noWrap w:val="0"/>
                  <w:vAlign w:val="center"/>
                </w:tcPr>
                <w:p w14:paraId="3675C04E">
                  <w:pPr>
                    <w:jc w:val="center"/>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准入要求</w:t>
                  </w:r>
                </w:p>
              </w:tc>
              <w:tc>
                <w:tcPr>
                  <w:tcW w:w="2782" w:type="dxa"/>
                  <w:tcBorders>
                    <w:tl2br w:val="nil"/>
                    <w:tr2bl w:val="nil"/>
                  </w:tcBorders>
                  <w:noWrap w:val="0"/>
                  <w:vAlign w:val="center"/>
                </w:tcPr>
                <w:p w14:paraId="0A071186">
                  <w:pPr>
                    <w:jc w:val="center"/>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依据</w:t>
                  </w:r>
                </w:p>
              </w:tc>
              <w:tc>
                <w:tcPr>
                  <w:tcW w:w="2457" w:type="dxa"/>
                  <w:tcBorders>
                    <w:tl2br w:val="nil"/>
                    <w:tr2bl w:val="nil"/>
                  </w:tcBorders>
                  <w:noWrap w:val="0"/>
                  <w:vAlign w:val="center"/>
                </w:tcPr>
                <w:p w14:paraId="19B9D333">
                  <w:pPr>
                    <w:jc w:val="center"/>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本项目情况</w:t>
                  </w:r>
                </w:p>
              </w:tc>
            </w:tr>
            <w:tr w14:paraId="2BD35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restart"/>
                  <w:tcBorders>
                    <w:tl2br w:val="nil"/>
                    <w:tr2bl w:val="nil"/>
                  </w:tcBorders>
                  <w:noWrap w:val="0"/>
                  <w:vAlign w:val="center"/>
                </w:tcPr>
                <w:p w14:paraId="3BF81DD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空间布局约束</w:t>
                  </w:r>
                </w:p>
              </w:tc>
              <w:tc>
                <w:tcPr>
                  <w:tcW w:w="1482" w:type="dxa"/>
                  <w:vMerge w:val="restart"/>
                  <w:tcBorders>
                    <w:tl2br w:val="nil"/>
                    <w:tr2bl w:val="nil"/>
                  </w:tcBorders>
                  <w:noWrap w:val="0"/>
                  <w:vAlign w:val="center"/>
                </w:tcPr>
                <w:p w14:paraId="41A77C8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禁止开发建设活动的</w:t>
                  </w:r>
                </w:p>
              </w:tc>
              <w:tc>
                <w:tcPr>
                  <w:tcW w:w="5550" w:type="dxa"/>
                  <w:tcBorders>
                    <w:tl2br w:val="nil"/>
                    <w:tr2bl w:val="nil"/>
                  </w:tcBorders>
                  <w:noWrap w:val="0"/>
                  <w:vAlign w:val="center"/>
                </w:tcPr>
                <w:p w14:paraId="1A28E53C">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严禁在黄河干流及主要支流临岸</w:t>
                  </w:r>
                  <w:r>
                    <w:rPr>
                      <w:rFonts w:hint="eastAsia" w:ascii="Times New Roman" w:hAnsi="Times New Roman" w:eastAsia="宋体" w:cs="Times New Roman"/>
                      <w:color w:val="auto"/>
                      <w:sz w:val="21"/>
                      <w:szCs w:val="21"/>
                      <w:vertAlign w:val="baseline"/>
                      <w:lang w:val="en-US" w:eastAsia="zh-CN"/>
                    </w:rPr>
                    <w:t>一定</w:t>
                  </w:r>
                  <w:r>
                    <w:rPr>
                      <w:rFonts w:hint="default" w:ascii="Times New Roman" w:hAnsi="Times New Roman" w:eastAsia="宋体" w:cs="Times New Roman"/>
                      <w:color w:val="auto"/>
                      <w:sz w:val="21"/>
                      <w:szCs w:val="21"/>
                      <w:vertAlign w:val="baseline"/>
                      <w:lang w:val="en-US" w:eastAsia="zh-CN"/>
                    </w:rPr>
                    <w:t>范围内新建“两高一资”项目</w:t>
                  </w:r>
                  <w:r>
                    <w:rPr>
                      <w:rFonts w:hint="eastAsia" w:ascii="Times New Roman" w:hAnsi="Times New Roman" w:eastAsia="宋体" w:cs="Times New Roman"/>
                      <w:color w:val="auto"/>
                      <w:sz w:val="21"/>
                      <w:szCs w:val="21"/>
                      <w:vertAlign w:val="baseline"/>
                      <w:lang w:val="en-US" w:eastAsia="zh-CN"/>
                    </w:rPr>
                    <w:t>和</w:t>
                  </w:r>
                  <w:r>
                    <w:rPr>
                      <w:rFonts w:hint="default" w:ascii="Times New Roman" w:hAnsi="Times New Roman" w:eastAsia="宋体" w:cs="Times New Roman"/>
                      <w:color w:val="auto"/>
                      <w:sz w:val="21"/>
                      <w:szCs w:val="21"/>
                      <w:vertAlign w:val="baseline"/>
                      <w:lang w:val="en-US" w:eastAsia="zh-CN"/>
                    </w:rPr>
                    <w:t>产业园区。</w:t>
                  </w:r>
                </w:p>
              </w:tc>
              <w:tc>
                <w:tcPr>
                  <w:tcW w:w="2782" w:type="dxa"/>
                  <w:tcBorders>
                    <w:tl2br w:val="nil"/>
                    <w:tr2bl w:val="nil"/>
                  </w:tcBorders>
                  <w:noWrap w:val="0"/>
                  <w:vAlign w:val="center"/>
                </w:tcPr>
                <w:p w14:paraId="7A9039C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自治区人民政府关于印发宁夏回族自治区国民经济和社会发展第十四个五年规划和2035年远景目标纲要的通知</w:t>
                  </w:r>
                  <w:r>
                    <w:rPr>
                      <w:rFonts w:hint="default" w:ascii="Times New Roman" w:hAnsi="Times New Roman" w:eastAsia="宋体" w:cs="Times New Roman"/>
                      <w:color w:val="auto"/>
                      <w:sz w:val="21"/>
                      <w:szCs w:val="21"/>
                      <w:vertAlign w:val="baseline"/>
                      <w:lang w:val="en-US" w:eastAsia="zh-CN"/>
                    </w:rPr>
                    <w:t>》（宁</w:t>
                  </w:r>
                  <w:r>
                    <w:rPr>
                      <w:rFonts w:hint="eastAsia" w:ascii="Times New Roman" w:hAnsi="Times New Roman" w:eastAsia="宋体" w:cs="Times New Roman"/>
                      <w:color w:val="auto"/>
                      <w:sz w:val="21"/>
                      <w:szCs w:val="21"/>
                      <w:vertAlign w:val="baseline"/>
                      <w:lang w:val="en-US" w:eastAsia="zh-CN"/>
                    </w:rPr>
                    <w:t>政</w:t>
                  </w:r>
                  <w:r>
                    <w:rPr>
                      <w:rFonts w:hint="default" w:ascii="Times New Roman" w:hAnsi="Times New Roman" w:eastAsia="宋体" w:cs="Times New Roman"/>
                      <w:color w:val="auto"/>
                      <w:sz w:val="21"/>
                      <w:szCs w:val="21"/>
                      <w:vertAlign w:val="baseline"/>
                      <w:lang w:val="en-US" w:eastAsia="zh-CN"/>
                    </w:rPr>
                    <w:t>发[202</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号）</w:t>
                  </w:r>
                </w:p>
              </w:tc>
              <w:tc>
                <w:tcPr>
                  <w:tcW w:w="2457" w:type="dxa"/>
                  <w:tcBorders>
                    <w:tl2br w:val="nil"/>
                    <w:tr2bl w:val="nil"/>
                  </w:tcBorders>
                  <w:noWrap w:val="0"/>
                  <w:vAlign w:val="center"/>
                </w:tcPr>
                <w:p w14:paraId="18A0E146">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本项目属于污水处理，不属于“两高一资”项目</w:t>
                  </w:r>
                </w:p>
              </w:tc>
            </w:tr>
            <w:tr w14:paraId="75CE7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noWrap w:val="0"/>
                  <w:vAlign w:val="center"/>
                </w:tcPr>
                <w:p w14:paraId="19145D2C">
                  <w:pPr>
                    <w:jc w:val="center"/>
                    <w:rPr>
                      <w:rFonts w:hint="default" w:ascii="Times New Roman" w:hAnsi="Times New Roman" w:eastAsia="宋体" w:cs="Times New Roman"/>
                      <w:color w:val="auto"/>
                      <w:sz w:val="21"/>
                      <w:szCs w:val="21"/>
                      <w:vertAlign w:val="baseline"/>
                      <w:lang w:val="en-US" w:eastAsia="zh-CN"/>
                    </w:rPr>
                  </w:pPr>
                </w:p>
              </w:tc>
              <w:tc>
                <w:tcPr>
                  <w:tcW w:w="1482" w:type="dxa"/>
                  <w:vMerge w:val="continue"/>
                  <w:tcBorders>
                    <w:tl2br w:val="nil"/>
                    <w:tr2bl w:val="nil"/>
                  </w:tcBorders>
                  <w:noWrap w:val="0"/>
                  <w:vAlign w:val="center"/>
                </w:tcPr>
                <w:p w14:paraId="5E45C7F8">
                  <w:pPr>
                    <w:jc w:val="center"/>
                    <w:rPr>
                      <w:rFonts w:hint="default" w:ascii="Times New Roman" w:hAnsi="Times New Roman" w:eastAsia="宋体" w:cs="Times New Roman"/>
                      <w:color w:val="auto"/>
                      <w:sz w:val="21"/>
                      <w:szCs w:val="21"/>
                      <w:vertAlign w:val="baseline"/>
                      <w:lang w:val="en-US" w:eastAsia="zh-CN"/>
                    </w:rPr>
                  </w:pPr>
                </w:p>
              </w:tc>
              <w:tc>
                <w:tcPr>
                  <w:tcW w:w="5550" w:type="dxa"/>
                  <w:tcBorders>
                    <w:tl2br w:val="nil"/>
                    <w:tr2bl w:val="nil"/>
                  </w:tcBorders>
                  <w:noWrap w:val="0"/>
                  <w:vAlign w:val="center"/>
                </w:tcPr>
                <w:p w14:paraId="57A568A7">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黄河沿线两岸3公里范围内不再新建养殖场。</w:t>
                  </w:r>
                </w:p>
              </w:tc>
              <w:tc>
                <w:tcPr>
                  <w:tcW w:w="2782" w:type="dxa"/>
                  <w:tcBorders>
                    <w:tl2br w:val="nil"/>
                    <w:tr2bl w:val="nil"/>
                  </w:tcBorders>
                  <w:noWrap w:val="0"/>
                  <w:vAlign w:val="center"/>
                </w:tcPr>
                <w:p w14:paraId="0348147A">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《中卫市国民经济和社会发展第十四个五年规划和二〇三五年远景目标纲要》</w:t>
                  </w:r>
                </w:p>
              </w:tc>
              <w:tc>
                <w:tcPr>
                  <w:tcW w:w="2457" w:type="dxa"/>
                  <w:tcBorders>
                    <w:tl2br w:val="nil"/>
                    <w:tr2bl w:val="nil"/>
                  </w:tcBorders>
                  <w:noWrap w:val="0"/>
                  <w:vAlign w:val="center"/>
                </w:tcPr>
                <w:p w14:paraId="46852931">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61268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noWrap w:val="0"/>
                  <w:vAlign w:val="center"/>
                </w:tcPr>
                <w:p w14:paraId="4869A02A">
                  <w:pPr>
                    <w:jc w:val="center"/>
                    <w:rPr>
                      <w:rFonts w:hint="default" w:ascii="Times New Roman" w:hAnsi="Times New Roman" w:eastAsia="宋体" w:cs="Times New Roman"/>
                      <w:color w:val="auto"/>
                      <w:sz w:val="21"/>
                      <w:szCs w:val="21"/>
                      <w:vertAlign w:val="baseline"/>
                      <w:lang w:val="en-US" w:eastAsia="zh-CN"/>
                    </w:rPr>
                  </w:pPr>
                </w:p>
              </w:tc>
              <w:tc>
                <w:tcPr>
                  <w:tcW w:w="1482" w:type="dxa"/>
                  <w:vMerge w:val="continue"/>
                  <w:tcBorders>
                    <w:tl2br w:val="nil"/>
                    <w:tr2bl w:val="nil"/>
                  </w:tcBorders>
                  <w:noWrap w:val="0"/>
                  <w:vAlign w:val="center"/>
                </w:tcPr>
                <w:p w14:paraId="0B0B3EF7">
                  <w:pPr>
                    <w:jc w:val="center"/>
                    <w:rPr>
                      <w:rFonts w:hint="default" w:ascii="Times New Roman" w:hAnsi="Times New Roman" w:eastAsia="宋体" w:cs="Times New Roman"/>
                      <w:color w:val="auto"/>
                      <w:sz w:val="21"/>
                      <w:szCs w:val="21"/>
                      <w:vertAlign w:val="baseline"/>
                      <w:lang w:val="en-US" w:eastAsia="zh-CN"/>
                    </w:rPr>
                  </w:pPr>
                </w:p>
              </w:tc>
              <w:tc>
                <w:tcPr>
                  <w:tcW w:w="5550" w:type="dxa"/>
                  <w:tcBorders>
                    <w:tl2br w:val="nil"/>
                    <w:tr2bl w:val="nil"/>
                  </w:tcBorders>
                  <w:noWrap w:val="0"/>
                  <w:vAlign w:val="center"/>
                </w:tcPr>
                <w:p w14:paraId="37EAC807">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所有工业企业原则上一律入园，工业园区</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集聚区</w:t>
                  </w:r>
                  <w:r>
                    <w:rPr>
                      <w:rFonts w:hint="eastAsia" w:ascii="Times New Roman" w:hAnsi="Times New Roman" w:eastAsia="宋体" w:cs="Times New Roman"/>
                      <w:color w:val="auto"/>
                      <w:sz w:val="21"/>
                      <w:szCs w:val="21"/>
                      <w:vertAlign w:val="baseline"/>
                      <w:lang w:val="en-US" w:eastAsia="zh-CN"/>
                    </w:rPr>
                    <w:t>）以</w:t>
                  </w:r>
                  <w:r>
                    <w:rPr>
                      <w:rFonts w:hint="default" w:ascii="Times New Roman" w:hAnsi="Times New Roman" w:eastAsia="宋体" w:cs="Times New Roman"/>
                      <w:color w:val="auto"/>
                      <w:sz w:val="21"/>
                      <w:szCs w:val="21"/>
                      <w:vertAlign w:val="baseline"/>
                      <w:lang w:val="en-US" w:eastAsia="zh-CN"/>
                    </w:rPr>
                    <w:t>外不再</w:t>
                  </w:r>
                  <w:r>
                    <w:rPr>
                      <w:rFonts w:hint="eastAsia" w:ascii="Times New Roman" w:hAnsi="Times New Roman" w:eastAsia="宋体" w:cs="Times New Roman"/>
                      <w:color w:val="auto"/>
                      <w:sz w:val="21"/>
                      <w:szCs w:val="21"/>
                      <w:vertAlign w:val="baseline"/>
                      <w:lang w:val="en-US" w:eastAsia="zh-CN"/>
                    </w:rPr>
                    <w:t>新建、扩建</w:t>
                  </w:r>
                  <w:r>
                    <w:rPr>
                      <w:rFonts w:hint="default" w:ascii="Times New Roman" w:hAnsi="Times New Roman" w:eastAsia="宋体" w:cs="Times New Roman"/>
                      <w:color w:val="auto"/>
                      <w:sz w:val="21"/>
                      <w:szCs w:val="21"/>
                      <w:vertAlign w:val="baseline"/>
                      <w:lang w:val="en-US" w:eastAsia="zh-CN"/>
                    </w:rPr>
                    <w:t>工业项目。</w:t>
                  </w:r>
                </w:p>
              </w:tc>
              <w:tc>
                <w:tcPr>
                  <w:tcW w:w="2782" w:type="dxa"/>
                  <w:tcBorders>
                    <w:tl2br w:val="nil"/>
                    <w:tr2bl w:val="nil"/>
                  </w:tcBorders>
                  <w:noWrap w:val="0"/>
                  <w:vAlign w:val="center"/>
                </w:tcPr>
                <w:p w14:paraId="40D02466">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《中卫市生态环境保护“十四五”规划》</w:t>
                  </w:r>
                </w:p>
              </w:tc>
              <w:tc>
                <w:tcPr>
                  <w:tcW w:w="2457" w:type="dxa"/>
                  <w:tcBorders>
                    <w:tl2br w:val="nil"/>
                    <w:tr2bl w:val="nil"/>
                  </w:tcBorders>
                  <w:noWrap w:val="0"/>
                  <w:vAlign w:val="center"/>
                </w:tcPr>
                <w:p w14:paraId="12F66B7B">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07C09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noWrap w:val="0"/>
                  <w:vAlign w:val="center"/>
                </w:tcPr>
                <w:p w14:paraId="6A776BA6">
                  <w:pPr>
                    <w:jc w:val="center"/>
                    <w:rPr>
                      <w:rFonts w:hint="default" w:ascii="Times New Roman" w:hAnsi="Times New Roman" w:eastAsia="宋体" w:cs="Times New Roman"/>
                      <w:color w:val="auto"/>
                      <w:sz w:val="21"/>
                      <w:szCs w:val="21"/>
                      <w:vertAlign w:val="baseline"/>
                      <w:lang w:val="en-US" w:eastAsia="zh-CN"/>
                    </w:rPr>
                  </w:pPr>
                </w:p>
              </w:tc>
              <w:tc>
                <w:tcPr>
                  <w:tcW w:w="1482" w:type="dxa"/>
                  <w:vMerge w:val="continue"/>
                  <w:tcBorders>
                    <w:tl2br w:val="nil"/>
                    <w:tr2bl w:val="nil"/>
                  </w:tcBorders>
                  <w:noWrap w:val="0"/>
                  <w:vAlign w:val="center"/>
                </w:tcPr>
                <w:p w14:paraId="13AF7601">
                  <w:pPr>
                    <w:jc w:val="center"/>
                    <w:rPr>
                      <w:rFonts w:hint="default" w:ascii="Times New Roman" w:hAnsi="Times New Roman" w:eastAsia="宋体" w:cs="Times New Roman"/>
                      <w:color w:val="auto"/>
                      <w:sz w:val="21"/>
                      <w:szCs w:val="21"/>
                      <w:vertAlign w:val="baseline"/>
                      <w:lang w:val="en-US" w:eastAsia="zh-CN"/>
                    </w:rPr>
                  </w:pPr>
                </w:p>
              </w:tc>
              <w:tc>
                <w:tcPr>
                  <w:tcW w:w="5550" w:type="dxa"/>
                  <w:tcBorders>
                    <w:tl2br w:val="nil"/>
                    <w:tr2bl w:val="nil"/>
                  </w:tcBorders>
                  <w:noWrap w:val="0"/>
                  <w:vAlign w:val="center"/>
                </w:tcPr>
                <w:p w14:paraId="1C63895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ar"/>
                    </w:rPr>
                    <w:t>禁止露天焚烧产生有毒有害烟尘和恶臭气体的物质或将其用作燃料。</w:t>
                  </w:r>
                </w:p>
              </w:tc>
              <w:tc>
                <w:tcPr>
                  <w:tcW w:w="2782" w:type="dxa"/>
                  <w:tcBorders>
                    <w:tl2br w:val="nil"/>
                    <w:tr2bl w:val="nil"/>
                  </w:tcBorders>
                  <w:noWrap w:val="0"/>
                  <w:vAlign w:val="center"/>
                </w:tcPr>
                <w:p w14:paraId="61292364">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《中卫市生态环境保护“十四五”规划》</w:t>
                  </w:r>
                </w:p>
              </w:tc>
              <w:tc>
                <w:tcPr>
                  <w:tcW w:w="2457" w:type="dxa"/>
                  <w:tcBorders>
                    <w:tl2br w:val="nil"/>
                    <w:tr2bl w:val="nil"/>
                  </w:tcBorders>
                  <w:noWrap w:val="0"/>
                  <w:vAlign w:val="center"/>
                </w:tcPr>
                <w:p w14:paraId="3E4E77BC">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19CD9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noWrap w:val="0"/>
                  <w:vAlign w:val="center"/>
                </w:tcPr>
                <w:p w14:paraId="07A73DA0">
                  <w:pPr>
                    <w:jc w:val="center"/>
                    <w:rPr>
                      <w:rFonts w:hint="default" w:ascii="Times New Roman" w:hAnsi="Times New Roman" w:eastAsia="宋体" w:cs="Times New Roman"/>
                      <w:color w:val="auto"/>
                      <w:sz w:val="21"/>
                      <w:szCs w:val="21"/>
                      <w:vertAlign w:val="baseline"/>
                      <w:lang w:val="en-US" w:eastAsia="zh-CN"/>
                    </w:rPr>
                  </w:pPr>
                </w:p>
              </w:tc>
              <w:tc>
                <w:tcPr>
                  <w:tcW w:w="1482" w:type="dxa"/>
                  <w:vMerge w:val="continue"/>
                  <w:tcBorders>
                    <w:tl2br w:val="nil"/>
                    <w:tr2bl w:val="nil"/>
                  </w:tcBorders>
                  <w:noWrap w:val="0"/>
                  <w:vAlign w:val="center"/>
                </w:tcPr>
                <w:p w14:paraId="2FDB4733">
                  <w:pPr>
                    <w:jc w:val="center"/>
                    <w:rPr>
                      <w:rFonts w:hint="default" w:ascii="Times New Roman" w:hAnsi="Times New Roman" w:eastAsia="宋体" w:cs="Times New Roman"/>
                      <w:color w:val="auto"/>
                      <w:sz w:val="21"/>
                      <w:szCs w:val="21"/>
                      <w:vertAlign w:val="baseline"/>
                      <w:lang w:val="en-US" w:eastAsia="zh-CN"/>
                    </w:rPr>
                  </w:pPr>
                </w:p>
              </w:tc>
              <w:tc>
                <w:tcPr>
                  <w:tcW w:w="5550" w:type="dxa"/>
                  <w:tcBorders>
                    <w:tl2br w:val="nil"/>
                    <w:tr2bl w:val="nil"/>
                  </w:tcBorders>
                  <w:noWrap w:val="0"/>
                  <w:vAlign w:val="center"/>
                </w:tcPr>
                <w:p w14:paraId="565FB1D2">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ar"/>
                    </w:rPr>
                    <w:t>除已列入计划内项目，“十四五”期间不再新增燃煤自备电厂（区域背压式供热机组除外）。</w:t>
                  </w:r>
                </w:p>
              </w:tc>
              <w:tc>
                <w:tcPr>
                  <w:tcW w:w="2782" w:type="dxa"/>
                  <w:tcBorders>
                    <w:tl2br w:val="nil"/>
                    <w:tr2bl w:val="nil"/>
                  </w:tcBorders>
                  <w:noWrap w:val="0"/>
                  <w:vAlign w:val="center"/>
                </w:tcPr>
                <w:p w14:paraId="42F37742">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《中卫市生态环境保护“十四五”规划》</w:t>
                  </w:r>
                </w:p>
              </w:tc>
              <w:tc>
                <w:tcPr>
                  <w:tcW w:w="2457" w:type="dxa"/>
                  <w:tcBorders>
                    <w:tl2br w:val="nil"/>
                    <w:tr2bl w:val="nil"/>
                  </w:tcBorders>
                  <w:noWrap w:val="0"/>
                  <w:vAlign w:val="center"/>
                </w:tcPr>
                <w:p w14:paraId="5FC79CBF">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4A083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noWrap w:val="0"/>
                  <w:vAlign w:val="center"/>
                </w:tcPr>
                <w:p w14:paraId="3D0F7E90">
                  <w:pPr>
                    <w:jc w:val="center"/>
                    <w:rPr>
                      <w:rFonts w:hint="default" w:ascii="Times New Roman" w:hAnsi="Times New Roman" w:eastAsia="宋体" w:cs="Times New Roman"/>
                      <w:color w:val="auto"/>
                      <w:sz w:val="21"/>
                      <w:szCs w:val="21"/>
                      <w:vertAlign w:val="baseline"/>
                      <w:lang w:val="en-US" w:eastAsia="zh-CN"/>
                    </w:rPr>
                  </w:pPr>
                </w:p>
              </w:tc>
              <w:tc>
                <w:tcPr>
                  <w:tcW w:w="1482" w:type="dxa"/>
                  <w:vMerge w:val="continue"/>
                  <w:tcBorders>
                    <w:tl2br w:val="nil"/>
                    <w:tr2bl w:val="nil"/>
                  </w:tcBorders>
                  <w:noWrap w:val="0"/>
                  <w:vAlign w:val="center"/>
                </w:tcPr>
                <w:p w14:paraId="6D0E0026">
                  <w:pPr>
                    <w:jc w:val="center"/>
                    <w:rPr>
                      <w:rFonts w:hint="default" w:ascii="Times New Roman" w:hAnsi="Times New Roman" w:eastAsia="宋体" w:cs="Times New Roman"/>
                      <w:color w:val="auto"/>
                      <w:sz w:val="21"/>
                      <w:szCs w:val="21"/>
                      <w:vertAlign w:val="baseline"/>
                      <w:lang w:val="en-US" w:eastAsia="zh-CN"/>
                    </w:rPr>
                  </w:pPr>
                </w:p>
              </w:tc>
              <w:tc>
                <w:tcPr>
                  <w:tcW w:w="5550" w:type="dxa"/>
                  <w:tcBorders>
                    <w:tl2br w:val="nil"/>
                    <w:tr2bl w:val="nil"/>
                  </w:tcBorders>
                  <w:noWrap w:val="0"/>
                  <w:vAlign w:val="center"/>
                </w:tcPr>
                <w:p w14:paraId="0E0761A5">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禁止在优先保护类耕地集中区域新建</w:t>
                  </w:r>
                  <w:r>
                    <w:rPr>
                      <w:rFonts w:hint="eastAsia" w:ascii="Times New Roman" w:hAnsi="Times New Roman" w:eastAsia="宋体" w:cs="Times New Roman"/>
                      <w:color w:val="auto"/>
                      <w:kern w:val="0"/>
                      <w:sz w:val="21"/>
                      <w:szCs w:val="21"/>
                      <w:lang w:val="en-US" w:eastAsia="zh-CN" w:bidi="ar"/>
                    </w:rPr>
                    <w:t>污染土壤的行业企业。</w:t>
                  </w:r>
                </w:p>
              </w:tc>
              <w:tc>
                <w:tcPr>
                  <w:tcW w:w="2782" w:type="dxa"/>
                  <w:tcBorders>
                    <w:tl2br w:val="nil"/>
                    <w:tr2bl w:val="nil"/>
                  </w:tcBorders>
                  <w:noWrap w:val="0"/>
                  <w:vAlign w:val="center"/>
                </w:tcPr>
                <w:p w14:paraId="0B0BFE22">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《中卫市生态环境保护“十四五”规划》</w:t>
                  </w:r>
                </w:p>
              </w:tc>
              <w:tc>
                <w:tcPr>
                  <w:tcW w:w="2457" w:type="dxa"/>
                  <w:tcBorders>
                    <w:tl2br w:val="nil"/>
                    <w:tr2bl w:val="nil"/>
                  </w:tcBorders>
                  <w:noWrap w:val="0"/>
                  <w:vAlign w:val="center"/>
                </w:tcPr>
                <w:p w14:paraId="2D46E911">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46993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noWrap w:val="0"/>
                  <w:vAlign w:val="center"/>
                </w:tcPr>
                <w:p w14:paraId="0A2EB475">
                  <w:pPr>
                    <w:jc w:val="center"/>
                    <w:rPr>
                      <w:rFonts w:hint="default" w:ascii="Times New Roman" w:hAnsi="Times New Roman" w:eastAsia="宋体" w:cs="Times New Roman"/>
                      <w:color w:val="auto"/>
                      <w:sz w:val="21"/>
                      <w:szCs w:val="21"/>
                      <w:vertAlign w:val="baseline"/>
                      <w:lang w:val="en-US" w:eastAsia="zh-CN"/>
                    </w:rPr>
                  </w:pPr>
                </w:p>
              </w:tc>
              <w:tc>
                <w:tcPr>
                  <w:tcW w:w="1482" w:type="dxa"/>
                  <w:tcBorders>
                    <w:tl2br w:val="nil"/>
                    <w:tr2bl w:val="nil"/>
                  </w:tcBorders>
                  <w:noWrap w:val="0"/>
                  <w:vAlign w:val="center"/>
                </w:tcPr>
                <w:p w14:paraId="1329C48C">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限制开发建设活动的要求</w:t>
                  </w:r>
                </w:p>
              </w:tc>
              <w:tc>
                <w:tcPr>
                  <w:tcW w:w="5550" w:type="dxa"/>
                  <w:tcBorders>
                    <w:tl2br w:val="nil"/>
                    <w:tr2bl w:val="nil"/>
                  </w:tcBorders>
                  <w:noWrap w:val="0"/>
                  <w:vAlign w:val="center"/>
                </w:tcPr>
                <w:p w14:paraId="2A123CF1">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严格产业准入标准，建立联合审查机制，对新建项目进行综合评价，对不符合产业规划、产业政策、“三线一单”、规划环评、产能置换、污染物排放区域削减等要求的项目不予办理相关审批手续。严格“两高”项目节能审査，对纳入目录的落后产能过剩行业原则上不再新增产能，对经过评估论证确有必要建设的“两高”项目，必须符合国家、自治区产业政策和产能及能耗等量减量置换要求。</w:t>
                  </w:r>
                </w:p>
              </w:tc>
              <w:tc>
                <w:tcPr>
                  <w:tcW w:w="2782" w:type="dxa"/>
                  <w:tcBorders>
                    <w:tl2br w:val="nil"/>
                    <w:tr2bl w:val="nil"/>
                  </w:tcBorders>
                  <w:noWrap w:val="0"/>
                  <w:vAlign w:val="center"/>
                </w:tcPr>
                <w:p w14:paraId="6736F837">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《中卫市</w:t>
                  </w:r>
                  <w:r>
                    <w:rPr>
                      <w:rFonts w:hint="eastAsia" w:ascii="Times New Roman" w:hAnsi="Times New Roman" w:eastAsia="宋体" w:cs="Times New Roman"/>
                      <w:color w:val="auto"/>
                      <w:kern w:val="0"/>
                      <w:sz w:val="21"/>
                      <w:szCs w:val="21"/>
                      <w:lang w:val="en-US" w:eastAsia="zh-CN" w:bidi="ar"/>
                    </w:rPr>
                    <w:t>应对气候变化“十四五”规划</w:t>
                  </w:r>
                  <w:r>
                    <w:rPr>
                      <w:rFonts w:hint="default" w:ascii="Times New Roman" w:hAnsi="Times New Roman" w:eastAsia="宋体" w:cs="Times New Roman"/>
                      <w:color w:val="auto"/>
                      <w:kern w:val="0"/>
                      <w:sz w:val="21"/>
                      <w:szCs w:val="21"/>
                      <w:lang w:val="en-US" w:eastAsia="zh-CN" w:bidi="ar"/>
                    </w:rPr>
                    <w:t>》</w:t>
                  </w:r>
                </w:p>
              </w:tc>
              <w:tc>
                <w:tcPr>
                  <w:tcW w:w="2457" w:type="dxa"/>
                  <w:tcBorders>
                    <w:tl2br w:val="nil"/>
                    <w:tr2bl w:val="nil"/>
                  </w:tcBorders>
                  <w:noWrap w:val="0"/>
                  <w:vAlign w:val="center"/>
                </w:tcPr>
                <w:p w14:paraId="24327336">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本项目为污水处理及其再生利用行业，根据《宁夏回族自治区“两高”项目管理目录》可知，不属于“两高”行业范围。</w:t>
                  </w:r>
                </w:p>
              </w:tc>
            </w:tr>
            <w:tr w14:paraId="7FDEF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noWrap w:val="0"/>
                  <w:vAlign w:val="center"/>
                </w:tcPr>
                <w:p w14:paraId="2046EC56">
                  <w:pPr>
                    <w:jc w:val="center"/>
                    <w:rPr>
                      <w:rFonts w:hint="default" w:ascii="Times New Roman" w:hAnsi="Times New Roman" w:eastAsia="宋体" w:cs="Times New Roman"/>
                      <w:color w:val="auto"/>
                      <w:sz w:val="21"/>
                      <w:szCs w:val="21"/>
                      <w:vertAlign w:val="baseline"/>
                      <w:lang w:val="en-US" w:eastAsia="zh-CN"/>
                    </w:rPr>
                  </w:pPr>
                </w:p>
              </w:tc>
              <w:tc>
                <w:tcPr>
                  <w:tcW w:w="1482" w:type="dxa"/>
                  <w:tcBorders>
                    <w:tl2br w:val="nil"/>
                    <w:tr2bl w:val="nil"/>
                  </w:tcBorders>
                  <w:noWrap w:val="0"/>
                  <w:vAlign w:val="center"/>
                </w:tcPr>
                <w:p w14:paraId="34CF9B45">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不符合空间布局要求活动的退出要求</w:t>
                  </w:r>
                </w:p>
              </w:tc>
              <w:tc>
                <w:tcPr>
                  <w:tcW w:w="5550" w:type="dxa"/>
                  <w:tcBorders>
                    <w:tl2br w:val="nil"/>
                    <w:tr2bl w:val="nil"/>
                  </w:tcBorders>
                  <w:noWrap w:val="0"/>
                  <w:vAlign w:val="center"/>
                </w:tcPr>
                <w:p w14:paraId="20F82DA8">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对列入建设用地土壤污染风险管控和修复名录需要实施修复的地块，土壤污染责任人应当按照规定编制修复方案，报所在地生态环境主管部门备案并实施。</w:t>
                  </w:r>
                </w:p>
              </w:tc>
              <w:tc>
                <w:tcPr>
                  <w:tcW w:w="2782" w:type="dxa"/>
                  <w:tcBorders>
                    <w:tl2br w:val="nil"/>
                    <w:tr2bl w:val="nil"/>
                  </w:tcBorders>
                  <w:noWrap w:val="0"/>
                  <w:vAlign w:val="center"/>
                </w:tcPr>
                <w:p w14:paraId="705F17C9">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ascii="宋体" w:hAnsi="宋体" w:eastAsia="宋体" w:cs="宋体"/>
                      <w:color w:val="auto"/>
                      <w:kern w:val="0"/>
                      <w:sz w:val="21"/>
                      <w:szCs w:val="21"/>
                      <w:lang w:val="en-US" w:eastAsia="zh-CN" w:bidi="ar"/>
                    </w:rPr>
                    <w:t>《宁夏回族自治区土壤污染防治条例》</w:t>
                  </w:r>
                </w:p>
              </w:tc>
              <w:tc>
                <w:tcPr>
                  <w:tcW w:w="2457" w:type="dxa"/>
                  <w:tcBorders>
                    <w:tl2br w:val="nil"/>
                    <w:tr2bl w:val="nil"/>
                  </w:tcBorders>
                  <w:noWrap w:val="0"/>
                  <w:vAlign w:val="center"/>
                </w:tcPr>
                <w:p w14:paraId="58C0028F">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bl>
          <w:p w14:paraId="5DBBDB78">
            <w:pPr>
              <w:jc w:val="center"/>
              <w:rPr>
                <w:color w:val="auto"/>
              </w:rPr>
            </w:pPr>
            <w:r>
              <w:rPr>
                <w:rFonts w:hint="eastAsia" w:ascii="Times New Roman" w:hAnsi="Times New Roman" w:eastAsia="宋体" w:cs="Times New Roman"/>
                <w:b/>
                <w:bCs/>
                <w:color w:val="auto"/>
                <w:kern w:val="0"/>
                <w:sz w:val="21"/>
                <w:szCs w:val="21"/>
                <w:highlight w:val="none"/>
                <w:lang w:val="en-US" w:eastAsia="zh-CN"/>
              </w:rPr>
              <w:t>续</w:t>
            </w:r>
            <w:r>
              <w:rPr>
                <w:rFonts w:hint="default" w:ascii="Times New Roman" w:hAnsi="Times New Roman" w:eastAsia="宋体" w:cs="Times New Roman"/>
                <w:b/>
                <w:bCs/>
                <w:color w:val="auto"/>
                <w:kern w:val="0"/>
                <w:sz w:val="21"/>
                <w:szCs w:val="21"/>
                <w:highlight w:val="none"/>
                <w:lang w:eastAsia="zh-CN"/>
              </w:rPr>
              <w:t>表</w:t>
            </w:r>
            <w:r>
              <w:rPr>
                <w:rFonts w:hint="eastAsia" w:ascii="Times New Roman" w:hAnsi="Times New Roman" w:eastAsia="宋体" w:cs="Times New Roman"/>
                <w:b/>
                <w:bCs/>
                <w:color w:val="auto"/>
                <w:kern w:val="0"/>
                <w:sz w:val="21"/>
                <w:szCs w:val="21"/>
                <w:highlight w:val="none"/>
                <w:lang w:val="en-US" w:eastAsia="zh-CN"/>
              </w:rPr>
              <w:t xml:space="preserve">1-1  </w:t>
            </w:r>
            <w:r>
              <w:rPr>
                <w:rFonts w:hint="default" w:ascii="Times New Roman" w:hAnsi="Times New Roman" w:eastAsia="宋体" w:cs="Times New Roman"/>
                <w:b/>
                <w:bCs/>
                <w:color w:val="auto"/>
                <w:kern w:val="0"/>
                <w:sz w:val="21"/>
                <w:szCs w:val="21"/>
                <w:highlight w:val="none"/>
                <w:lang w:eastAsia="zh-CN"/>
              </w:rPr>
              <w:t xml:space="preserve"> </w:t>
            </w:r>
            <w:r>
              <w:rPr>
                <w:rFonts w:hint="default" w:ascii="Times New Roman" w:hAnsi="Times New Roman" w:eastAsia="宋体" w:cs="Times New Roman"/>
                <w:b/>
                <w:bCs/>
                <w:color w:val="auto"/>
                <w:kern w:val="0"/>
                <w:sz w:val="21"/>
                <w:szCs w:val="21"/>
                <w:highlight w:val="none"/>
                <w:lang w:val="en-US" w:eastAsia="zh-CN"/>
              </w:rPr>
              <w:t>项目与中卫市</w:t>
            </w:r>
            <w:r>
              <w:rPr>
                <w:rFonts w:hint="eastAsia" w:ascii="Times New Roman" w:hAnsi="Times New Roman" w:eastAsia="宋体" w:cs="Times New Roman"/>
                <w:b/>
                <w:bCs/>
                <w:color w:val="auto"/>
                <w:kern w:val="0"/>
                <w:sz w:val="21"/>
                <w:szCs w:val="21"/>
                <w:highlight w:val="none"/>
                <w:lang w:val="en-US" w:eastAsia="zh-CN"/>
              </w:rPr>
              <w:t>生态环境总体准入要求</w:t>
            </w:r>
            <w:r>
              <w:rPr>
                <w:rFonts w:hint="default" w:ascii="Times New Roman" w:hAnsi="Times New Roman" w:eastAsia="宋体" w:cs="Times New Roman"/>
                <w:b/>
                <w:bCs/>
                <w:color w:val="auto"/>
                <w:kern w:val="0"/>
                <w:sz w:val="21"/>
                <w:szCs w:val="21"/>
                <w:highlight w:val="none"/>
                <w:lang w:val="en-US" w:eastAsia="zh-CN"/>
              </w:rPr>
              <w:t>对照分析</w:t>
            </w:r>
            <w:r>
              <w:rPr>
                <w:rFonts w:hint="default" w:ascii="Times New Roman" w:hAnsi="Times New Roman" w:eastAsia="宋体" w:cs="Times New Roman"/>
                <w:b/>
                <w:bCs/>
                <w:color w:val="auto"/>
                <w:kern w:val="0"/>
                <w:sz w:val="21"/>
                <w:szCs w:val="21"/>
                <w:highlight w:val="none"/>
                <w:lang w:eastAsia="zh-CN"/>
              </w:rPr>
              <w:t>一览表</w:t>
            </w:r>
          </w:p>
          <w:tbl>
            <w:tblPr>
              <w:tblStyle w:val="27"/>
              <w:tblW w:w="126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295"/>
              <w:gridCol w:w="6354"/>
              <w:gridCol w:w="2687"/>
              <w:gridCol w:w="1905"/>
            </w:tblGrid>
            <w:tr w14:paraId="25C53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restart"/>
                  <w:tcBorders>
                    <w:tl2br w:val="nil"/>
                    <w:tr2bl w:val="nil"/>
                  </w:tcBorders>
                  <w:noWrap w:val="0"/>
                  <w:vAlign w:val="center"/>
                </w:tcPr>
                <w:p w14:paraId="5195CCC9">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空间布局约束</w:t>
                  </w:r>
                </w:p>
              </w:tc>
              <w:tc>
                <w:tcPr>
                  <w:tcW w:w="1295" w:type="dxa"/>
                  <w:vMerge w:val="restart"/>
                  <w:tcBorders>
                    <w:tl2br w:val="nil"/>
                    <w:tr2bl w:val="nil"/>
                  </w:tcBorders>
                  <w:noWrap w:val="0"/>
                  <w:vAlign w:val="center"/>
                </w:tcPr>
                <w:p w14:paraId="04551345">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不符合空间布局要求活动的退出要求</w:t>
                  </w:r>
                </w:p>
              </w:tc>
              <w:tc>
                <w:tcPr>
                  <w:tcW w:w="6354" w:type="dxa"/>
                  <w:tcBorders>
                    <w:tl2br w:val="nil"/>
                    <w:tr2bl w:val="nil"/>
                  </w:tcBorders>
                  <w:noWrap w:val="0"/>
                  <w:vAlign w:val="center"/>
                </w:tcPr>
                <w:p w14:paraId="297EE1FA">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严格管控自然保护地范围内非生态活动，稳妥推进核心区内居民、耕地、矿权有序退出</w:t>
                  </w:r>
                </w:p>
              </w:tc>
              <w:tc>
                <w:tcPr>
                  <w:tcW w:w="2687" w:type="dxa"/>
                  <w:tcBorders>
                    <w:tl2br w:val="nil"/>
                    <w:tr2bl w:val="nil"/>
                  </w:tcBorders>
                  <w:noWrap w:val="0"/>
                  <w:vAlign w:val="center"/>
                </w:tcPr>
                <w:p w14:paraId="1A307364">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《中卫市生态环境保护“十四五”规划》</w:t>
                  </w:r>
                </w:p>
              </w:tc>
              <w:tc>
                <w:tcPr>
                  <w:tcW w:w="1905" w:type="dxa"/>
                  <w:tcBorders>
                    <w:tl2br w:val="nil"/>
                    <w:tr2bl w:val="nil"/>
                  </w:tcBorders>
                  <w:noWrap w:val="0"/>
                  <w:vAlign w:val="center"/>
                </w:tcPr>
                <w:p w14:paraId="4151EEB3">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47C5D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tcBorders>
                    <w:tl2br w:val="nil"/>
                    <w:tr2bl w:val="nil"/>
                  </w:tcBorders>
                  <w:noWrap w:val="0"/>
                  <w:vAlign w:val="center"/>
                </w:tcPr>
                <w:p w14:paraId="0A9FBC50">
                  <w:pPr>
                    <w:jc w:val="center"/>
                    <w:rPr>
                      <w:rFonts w:hint="default" w:ascii="Times New Roman" w:hAnsi="Times New Roman" w:eastAsia="宋体" w:cs="Times New Roman"/>
                      <w:color w:val="auto"/>
                      <w:sz w:val="21"/>
                      <w:szCs w:val="21"/>
                      <w:vertAlign w:val="baseline"/>
                      <w:lang w:val="en-US" w:eastAsia="zh-CN"/>
                    </w:rPr>
                  </w:pPr>
                </w:p>
              </w:tc>
              <w:tc>
                <w:tcPr>
                  <w:tcW w:w="1295" w:type="dxa"/>
                  <w:vMerge w:val="continue"/>
                  <w:tcBorders>
                    <w:tl2br w:val="nil"/>
                    <w:tr2bl w:val="nil"/>
                  </w:tcBorders>
                  <w:noWrap w:val="0"/>
                  <w:vAlign w:val="center"/>
                </w:tcPr>
                <w:p w14:paraId="6CA65CB6">
                  <w:pPr>
                    <w:jc w:val="center"/>
                    <w:rPr>
                      <w:rFonts w:hint="eastAsia" w:ascii="Times New Roman" w:hAnsi="Times New Roman" w:eastAsia="宋体" w:cs="Times New Roman"/>
                      <w:color w:val="auto"/>
                      <w:sz w:val="21"/>
                      <w:szCs w:val="21"/>
                      <w:vertAlign w:val="baseline"/>
                      <w:lang w:val="en-US" w:eastAsia="zh-CN"/>
                    </w:rPr>
                  </w:pPr>
                </w:p>
              </w:tc>
              <w:tc>
                <w:tcPr>
                  <w:tcW w:w="6354" w:type="dxa"/>
                  <w:tcBorders>
                    <w:tl2br w:val="nil"/>
                    <w:tr2bl w:val="nil"/>
                  </w:tcBorders>
                  <w:noWrap w:val="0"/>
                  <w:vAlign w:val="center"/>
                </w:tcPr>
                <w:p w14:paraId="2B0EADFC">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对所有现状不达标的养殖场，明确治理时限和治理措施，在规定时间内不能完成污染治理的养殖场，要按照有关规定实施严肃处罚。</w:t>
                  </w:r>
                </w:p>
              </w:tc>
              <w:tc>
                <w:tcPr>
                  <w:tcW w:w="2687" w:type="dxa"/>
                  <w:tcBorders>
                    <w:tl2br w:val="nil"/>
                    <w:tr2bl w:val="nil"/>
                  </w:tcBorders>
                  <w:noWrap w:val="0"/>
                  <w:vAlign w:val="center"/>
                </w:tcPr>
                <w:p w14:paraId="1CC5F291">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宁夏回族自治区畜禽养殖污染防治</w:t>
                  </w:r>
                  <w:r>
                    <w:rPr>
                      <w:rFonts w:hint="default" w:ascii="Times New Roman" w:hAnsi="Times New Roman" w:eastAsia="宋体" w:cs="Times New Roman"/>
                      <w:color w:val="auto"/>
                      <w:kern w:val="0"/>
                      <w:sz w:val="21"/>
                      <w:szCs w:val="21"/>
                      <w:lang w:val="en-US" w:eastAsia="zh-CN" w:bidi="ar"/>
                    </w:rPr>
                    <w:t>“十四五”规划》</w:t>
                  </w:r>
                </w:p>
              </w:tc>
              <w:tc>
                <w:tcPr>
                  <w:tcW w:w="1905" w:type="dxa"/>
                  <w:tcBorders>
                    <w:tl2br w:val="nil"/>
                    <w:tr2bl w:val="nil"/>
                  </w:tcBorders>
                  <w:noWrap w:val="0"/>
                  <w:vAlign w:val="center"/>
                </w:tcPr>
                <w:p w14:paraId="593C098B">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2454C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tcBorders>
                    <w:tl2br w:val="nil"/>
                    <w:tr2bl w:val="nil"/>
                  </w:tcBorders>
                  <w:noWrap w:val="0"/>
                  <w:vAlign w:val="center"/>
                </w:tcPr>
                <w:p w14:paraId="7BBFBD2B">
                  <w:pPr>
                    <w:jc w:val="center"/>
                    <w:rPr>
                      <w:rFonts w:hint="default" w:ascii="Times New Roman" w:hAnsi="Times New Roman" w:eastAsia="宋体" w:cs="Times New Roman"/>
                      <w:color w:val="auto"/>
                      <w:sz w:val="21"/>
                      <w:szCs w:val="21"/>
                      <w:vertAlign w:val="baseline"/>
                      <w:lang w:val="en-US" w:eastAsia="zh-CN"/>
                    </w:rPr>
                  </w:pPr>
                </w:p>
              </w:tc>
              <w:tc>
                <w:tcPr>
                  <w:tcW w:w="1295" w:type="dxa"/>
                  <w:vMerge w:val="continue"/>
                  <w:tcBorders>
                    <w:tl2br w:val="nil"/>
                    <w:tr2bl w:val="nil"/>
                  </w:tcBorders>
                  <w:noWrap w:val="0"/>
                  <w:vAlign w:val="center"/>
                </w:tcPr>
                <w:p w14:paraId="2A2F082A">
                  <w:pPr>
                    <w:jc w:val="center"/>
                    <w:rPr>
                      <w:rFonts w:hint="eastAsia" w:ascii="Times New Roman" w:hAnsi="Times New Roman" w:eastAsia="宋体" w:cs="Times New Roman"/>
                      <w:color w:val="auto"/>
                      <w:sz w:val="21"/>
                      <w:szCs w:val="21"/>
                      <w:vertAlign w:val="baseline"/>
                      <w:lang w:val="en-US" w:eastAsia="zh-CN"/>
                    </w:rPr>
                  </w:pPr>
                </w:p>
              </w:tc>
              <w:tc>
                <w:tcPr>
                  <w:tcW w:w="6354" w:type="dxa"/>
                  <w:tcBorders>
                    <w:tl2br w:val="nil"/>
                    <w:tr2bl w:val="nil"/>
                  </w:tcBorders>
                  <w:noWrap w:val="0"/>
                  <w:vAlign w:val="center"/>
                </w:tcPr>
                <w:p w14:paraId="5BF63D4C">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2687" w:type="dxa"/>
                  <w:tcBorders>
                    <w:tl2br w:val="nil"/>
                    <w:tr2bl w:val="nil"/>
                  </w:tcBorders>
                  <w:noWrap w:val="0"/>
                  <w:vAlign w:val="center"/>
                </w:tcPr>
                <w:p w14:paraId="2B5D2446">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《中卫市生态环境保护“十四五”规划》</w:t>
                  </w:r>
                </w:p>
              </w:tc>
              <w:tc>
                <w:tcPr>
                  <w:tcW w:w="1905" w:type="dxa"/>
                  <w:tcBorders>
                    <w:tl2br w:val="nil"/>
                    <w:tr2bl w:val="nil"/>
                  </w:tcBorders>
                  <w:noWrap w:val="0"/>
                  <w:vAlign w:val="center"/>
                </w:tcPr>
                <w:p w14:paraId="4E3E71E4">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38895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restart"/>
                  <w:tcBorders>
                    <w:tl2br w:val="nil"/>
                    <w:tr2bl w:val="nil"/>
                  </w:tcBorders>
                  <w:noWrap w:val="0"/>
                  <w:vAlign w:val="center"/>
                </w:tcPr>
                <w:p w14:paraId="57632827">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污染物排放管控</w:t>
                  </w:r>
                </w:p>
              </w:tc>
              <w:tc>
                <w:tcPr>
                  <w:tcW w:w="1295" w:type="dxa"/>
                  <w:vMerge w:val="restart"/>
                  <w:tcBorders>
                    <w:tl2br w:val="nil"/>
                    <w:tr2bl w:val="nil"/>
                  </w:tcBorders>
                  <w:noWrap w:val="0"/>
                  <w:vAlign w:val="center"/>
                </w:tcPr>
                <w:p w14:paraId="76B45B49">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允许排放量要求</w:t>
                  </w:r>
                </w:p>
              </w:tc>
              <w:tc>
                <w:tcPr>
                  <w:tcW w:w="6354" w:type="dxa"/>
                  <w:tcBorders>
                    <w:tl2br w:val="nil"/>
                    <w:tr2bl w:val="nil"/>
                  </w:tcBorders>
                  <w:noWrap w:val="0"/>
                  <w:vAlign w:val="center"/>
                </w:tcPr>
                <w:p w14:paraId="2719FFAE">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化学需氧量、氨氮、氮氧化物和挥发性有机物排放总量完成自治区下达任务。</w:t>
                  </w:r>
                </w:p>
              </w:tc>
              <w:tc>
                <w:tcPr>
                  <w:tcW w:w="2687" w:type="dxa"/>
                  <w:tcBorders>
                    <w:tl2br w:val="nil"/>
                    <w:tr2bl w:val="nil"/>
                  </w:tcBorders>
                  <w:noWrap w:val="0"/>
                  <w:vAlign w:val="center"/>
                </w:tcPr>
                <w:p w14:paraId="1B9F2247">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《中卫市生态环境保护“十四五”规划》</w:t>
                  </w:r>
                </w:p>
              </w:tc>
              <w:tc>
                <w:tcPr>
                  <w:tcW w:w="1905" w:type="dxa"/>
                  <w:tcBorders>
                    <w:tl2br w:val="nil"/>
                    <w:tr2bl w:val="nil"/>
                  </w:tcBorders>
                  <w:noWrap w:val="0"/>
                  <w:vAlign w:val="center"/>
                </w:tcPr>
                <w:p w14:paraId="40443F00">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本项目的建设有利于化学需氧量、氨氮的削减</w:t>
                  </w:r>
                </w:p>
              </w:tc>
            </w:tr>
            <w:tr w14:paraId="765A9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tcBorders>
                    <w:tl2br w:val="nil"/>
                    <w:tr2bl w:val="nil"/>
                  </w:tcBorders>
                  <w:noWrap w:val="0"/>
                  <w:vAlign w:val="center"/>
                </w:tcPr>
                <w:p w14:paraId="222A371F">
                  <w:pPr>
                    <w:jc w:val="center"/>
                    <w:rPr>
                      <w:rFonts w:hint="default" w:ascii="Times New Roman" w:hAnsi="Times New Roman" w:eastAsia="宋体" w:cs="Times New Roman"/>
                      <w:color w:val="auto"/>
                      <w:sz w:val="21"/>
                      <w:szCs w:val="21"/>
                      <w:vertAlign w:val="baseline"/>
                      <w:lang w:val="en-US" w:eastAsia="zh-CN"/>
                    </w:rPr>
                  </w:pPr>
                </w:p>
              </w:tc>
              <w:tc>
                <w:tcPr>
                  <w:tcW w:w="1295" w:type="dxa"/>
                  <w:vMerge w:val="continue"/>
                  <w:tcBorders>
                    <w:tl2br w:val="nil"/>
                    <w:tr2bl w:val="nil"/>
                  </w:tcBorders>
                  <w:noWrap w:val="0"/>
                  <w:vAlign w:val="center"/>
                </w:tcPr>
                <w:p w14:paraId="1EB3107C">
                  <w:pPr>
                    <w:jc w:val="center"/>
                    <w:rPr>
                      <w:rFonts w:hint="eastAsia" w:ascii="Times New Roman" w:hAnsi="Times New Roman" w:eastAsia="宋体" w:cs="Times New Roman"/>
                      <w:color w:val="auto"/>
                      <w:sz w:val="21"/>
                      <w:szCs w:val="21"/>
                      <w:vertAlign w:val="baseline"/>
                      <w:lang w:val="en-US" w:eastAsia="zh-CN"/>
                    </w:rPr>
                  </w:pPr>
                </w:p>
              </w:tc>
              <w:tc>
                <w:tcPr>
                  <w:tcW w:w="6354" w:type="dxa"/>
                  <w:tcBorders>
                    <w:tl2br w:val="nil"/>
                    <w:tr2bl w:val="nil"/>
                  </w:tcBorders>
                  <w:noWrap w:val="0"/>
                  <w:vAlign w:val="center"/>
                </w:tcPr>
                <w:p w14:paraId="6BDECF54">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PM</w:t>
                  </w:r>
                  <w:r>
                    <w:rPr>
                      <w:rFonts w:hint="default" w:ascii="Times New Roman" w:hAnsi="Times New Roman" w:eastAsia="宋体" w:cs="Times New Roman"/>
                      <w:color w:val="auto"/>
                      <w:kern w:val="0"/>
                      <w:sz w:val="21"/>
                      <w:szCs w:val="21"/>
                      <w:vertAlign w:val="subscript"/>
                      <w:lang w:val="en-US" w:eastAsia="zh-CN" w:bidi="ar"/>
                    </w:rPr>
                    <w:t>2.5</w:t>
                  </w:r>
                  <w:r>
                    <w:rPr>
                      <w:rFonts w:hint="default" w:ascii="Times New Roman" w:hAnsi="Times New Roman" w:eastAsia="宋体" w:cs="Times New Roman"/>
                      <w:color w:val="auto"/>
                      <w:kern w:val="0"/>
                      <w:sz w:val="21"/>
                      <w:szCs w:val="21"/>
                      <w:lang w:val="en-US" w:eastAsia="zh-CN" w:bidi="ar"/>
                    </w:rPr>
                    <w:t>和O</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未达标城市，新、改、扩建项目实施更严格的污染物排放总量控制要求，所需二氧化硫、NOx、VOCs排放量指标要进行减量替代。</w:t>
                  </w:r>
                </w:p>
              </w:tc>
              <w:tc>
                <w:tcPr>
                  <w:tcW w:w="2687" w:type="dxa"/>
                  <w:tcBorders>
                    <w:tl2br w:val="nil"/>
                    <w:tr2bl w:val="nil"/>
                  </w:tcBorders>
                  <w:noWrap w:val="0"/>
                  <w:vAlign w:val="center"/>
                </w:tcPr>
                <w:p w14:paraId="576CD8BA">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宁夏回族自治区空气质量改善</w:t>
                  </w:r>
                  <w:r>
                    <w:rPr>
                      <w:rFonts w:hint="default" w:ascii="Times New Roman" w:hAnsi="Times New Roman" w:eastAsia="宋体" w:cs="Times New Roman"/>
                      <w:color w:val="auto"/>
                      <w:kern w:val="0"/>
                      <w:sz w:val="21"/>
                      <w:szCs w:val="21"/>
                      <w:lang w:val="en-US" w:eastAsia="zh-CN" w:bidi="ar"/>
                    </w:rPr>
                    <w:t>“十四五”规划》</w:t>
                  </w:r>
                </w:p>
              </w:tc>
              <w:tc>
                <w:tcPr>
                  <w:tcW w:w="1905" w:type="dxa"/>
                  <w:tcBorders>
                    <w:tl2br w:val="nil"/>
                    <w:tr2bl w:val="nil"/>
                  </w:tcBorders>
                  <w:noWrap w:val="0"/>
                  <w:vAlign w:val="center"/>
                </w:tcPr>
                <w:p w14:paraId="05164151">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66068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tcBorders>
                    <w:tl2br w:val="nil"/>
                    <w:tr2bl w:val="nil"/>
                  </w:tcBorders>
                  <w:noWrap w:val="0"/>
                  <w:vAlign w:val="center"/>
                </w:tcPr>
                <w:p w14:paraId="72AE05FD">
                  <w:pPr>
                    <w:jc w:val="center"/>
                    <w:rPr>
                      <w:rFonts w:hint="default" w:ascii="Times New Roman" w:hAnsi="Times New Roman" w:eastAsia="宋体" w:cs="Times New Roman"/>
                      <w:color w:val="auto"/>
                      <w:sz w:val="21"/>
                      <w:szCs w:val="21"/>
                      <w:vertAlign w:val="baseline"/>
                      <w:lang w:val="en-US" w:eastAsia="zh-CN"/>
                    </w:rPr>
                  </w:pPr>
                </w:p>
              </w:tc>
              <w:tc>
                <w:tcPr>
                  <w:tcW w:w="1295" w:type="dxa"/>
                  <w:vMerge w:val="continue"/>
                  <w:tcBorders>
                    <w:tl2br w:val="nil"/>
                    <w:tr2bl w:val="nil"/>
                  </w:tcBorders>
                  <w:noWrap w:val="0"/>
                  <w:vAlign w:val="center"/>
                </w:tcPr>
                <w:p w14:paraId="07DA4BAF">
                  <w:pPr>
                    <w:jc w:val="center"/>
                    <w:rPr>
                      <w:rFonts w:hint="eastAsia" w:ascii="Times New Roman" w:hAnsi="Times New Roman" w:eastAsia="宋体" w:cs="Times New Roman"/>
                      <w:color w:val="auto"/>
                      <w:sz w:val="21"/>
                      <w:szCs w:val="21"/>
                      <w:vertAlign w:val="baseline"/>
                      <w:lang w:val="en-US" w:eastAsia="zh-CN"/>
                    </w:rPr>
                  </w:pPr>
                </w:p>
              </w:tc>
              <w:tc>
                <w:tcPr>
                  <w:tcW w:w="6354" w:type="dxa"/>
                  <w:tcBorders>
                    <w:tl2br w:val="nil"/>
                    <w:tr2bl w:val="nil"/>
                  </w:tcBorders>
                  <w:noWrap w:val="0"/>
                  <w:vAlign w:val="center"/>
                </w:tcPr>
                <w:p w14:paraId="5FC58CD0">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1.2:1。</w:t>
                  </w:r>
                </w:p>
              </w:tc>
              <w:tc>
                <w:tcPr>
                  <w:tcW w:w="2687" w:type="dxa"/>
                  <w:tcBorders>
                    <w:tl2br w:val="nil"/>
                    <w:tr2bl w:val="nil"/>
                  </w:tcBorders>
                  <w:noWrap w:val="0"/>
                  <w:vAlign w:val="center"/>
                </w:tcPr>
                <w:p w14:paraId="129EDAAB">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宁夏回族自治区重点重金属“十四五”污染防控工作方案</w:t>
                  </w:r>
                  <w:r>
                    <w:rPr>
                      <w:rFonts w:hint="default" w:ascii="Times New Roman" w:hAnsi="Times New Roman" w:eastAsia="宋体" w:cs="Times New Roman"/>
                      <w:color w:val="auto"/>
                      <w:kern w:val="0"/>
                      <w:sz w:val="21"/>
                      <w:szCs w:val="21"/>
                      <w:lang w:val="en-US" w:eastAsia="zh-CN" w:bidi="ar"/>
                    </w:rPr>
                    <w:t>》</w:t>
                  </w:r>
                </w:p>
              </w:tc>
              <w:tc>
                <w:tcPr>
                  <w:tcW w:w="1905" w:type="dxa"/>
                  <w:tcBorders>
                    <w:tl2br w:val="nil"/>
                    <w:tr2bl w:val="nil"/>
                  </w:tcBorders>
                  <w:noWrap w:val="0"/>
                  <w:vAlign w:val="center"/>
                </w:tcPr>
                <w:p w14:paraId="07E389C3">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60434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tcBorders>
                    <w:tl2br w:val="nil"/>
                    <w:tr2bl w:val="nil"/>
                  </w:tcBorders>
                  <w:noWrap w:val="0"/>
                  <w:vAlign w:val="center"/>
                </w:tcPr>
                <w:p w14:paraId="5B27521D">
                  <w:pPr>
                    <w:jc w:val="center"/>
                    <w:rPr>
                      <w:rFonts w:hint="default" w:ascii="Times New Roman" w:hAnsi="Times New Roman" w:eastAsia="宋体" w:cs="Times New Roman"/>
                      <w:color w:val="auto"/>
                      <w:sz w:val="21"/>
                      <w:szCs w:val="21"/>
                      <w:vertAlign w:val="baseline"/>
                      <w:lang w:val="en-US" w:eastAsia="zh-CN"/>
                    </w:rPr>
                  </w:pPr>
                </w:p>
              </w:tc>
              <w:tc>
                <w:tcPr>
                  <w:tcW w:w="1295" w:type="dxa"/>
                  <w:vMerge w:val="continue"/>
                  <w:tcBorders>
                    <w:tl2br w:val="nil"/>
                    <w:tr2bl w:val="nil"/>
                  </w:tcBorders>
                  <w:noWrap w:val="0"/>
                  <w:vAlign w:val="center"/>
                </w:tcPr>
                <w:p w14:paraId="1CD07AD5">
                  <w:pPr>
                    <w:jc w:val="center"/>
                    <w:rPr>
                      <w:rFonts w:hint="eastAsia" w:ascii="Times New Roman" w:hAnsi="Times New Roman" w:eastAsia="宋体" w:cs="Times New Roman"/>
                      <w:color w:val="auto"/>
                      <w:sz w:val="21"/>
                      <w:szCs w:val="21"/>
                      <w:vertAlign w:val="baseline"/>
                      <w:lang w:val="en-US" w:eastAsia="zh-CN"/>
                    </w:rPr>
                  </w:pPr>
                </w:p>
              </w:tc>
              <w:tc>
                <w:tcPr>
                  <w:tcW w:w="6354" w:type="dxa"/>
                  <w:tcBorders>
                    <w:tl2br w:val="nil"/>
                    <w:tr2bl w:val="nil"/>
                  </w:tcBorders>
                  <w:noWrap w:val="0"/>
                  <w:vAlign w:val="center"/>
                </w:tcPr>
                <w:p w14:paraId="135DDD23">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到2025年，中卫市畜禽养殖废物综合利用率达到95%，规模养殖场粪污处理设施装备配套率达到100%。</w:t>
                  </w:r>
                </w:p>
              </w:tc>
              <w:tc>
                <w:tcPr>
                  <w:tcW w:w="2687" w:type="dxa"/>
                  <w:tcBorders>
                    <w:tl2br w:val="nil"/>
                    <w:tr2bl w:val="nil"/>
                  </w:tcBorders>
                  <w:noWrap w:val="0"/>
                  <w:vAlign w:val="center"/>
                </w:tcPr>
                <w:p w14:paraId="606AD9D7">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《中卫市生态环境保护“十四五”规划》</w:t>
                  </w:r>
                </w:p>
              </w:tc>
              <w:tc>
                <w:tcPr>
                  <w:tcW w:w="1905" w:type="dxa"/>
                  <w:tcBorders>
                    <w:tl2br w:val="nil"/>
                    <w:tr2bl w:val="nil"/>
                  </w:tcBorders>
                  <w:noWrap w:val="0"/>
                  <w:vAlign w:val="center"/>
                </w:tcPr>
                <w:p w14:paraId="68551D77">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18F22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tcBorders>
                    <w:tl2br w:val="nil"/>
                    <w:tr2bl w:val="nil"/>
                  </w:tcBorders>
                  <w:noWrap w:val="0"/>
                  <w:vAlign w:val="center"/>
                </w:tcPr>
                <w:p w14:paraId="5B3B538F">
                  <w:pPr>
                    <w:jc w:val="center"/>
                    <w:rPr>
                      <w:rFonts w:hint="default" w:ascii="Times New Roman" w:hAnsi="Times New Roman" w:eastAsia="宋体" w:cs="Times New Roman"/>
                      <w:color w:val="auto"/>
                      <w:sz w:val="21"/>
                      <w:szCs w:val="21"/>
                      <w:vertAlign w:val="baseline"/>
                      <w:lang w:val="en-US" w:eastAsia="zh-CN"/>
                    </w:rPr>
                  </w:pPr>
                </w:p>
              </w:tc>
              <w:tc>
                <w:tcPr>
                  <w:tcW w:w="1295" w:type="dxa"/>
                  <w:tcBorders>
                    <w:tl2br w:val="nil"/>
                    <w:tr2bl w:val="nil"/>
                  </w:tcBorders>
                  <w:noWrap w:val="0"/>
                  <w:vAlign w:val="center"/>
                </w:tcPr>
                <w:p w14:paraId="744CAC74">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现有源提标升级改造</w:t>
                  </w:r>
                </w:p>
              </w:tc>
              <w:tc>
                <w:tcPr>
                  <w:tcW w:w="6354" w:type="dxa"/>
                  <w:tcBorders>
                    <w:tl2br w:val="nil"/>
                    <w:tr2bl w:val="nil"/>
                  </w:tcBorders>
                  <w:noWrap w:val="0"/>
                  <w:vAlign w:val="center"/>
                </w:tcPr>
                <w:p w14:paraId="75A25DCF">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力争到2024年底，所有钢铁企业主要大气污染物基本达到超低排放指标限值;有序推进水泥行业超低排放改造计划，水泥熟料窑改造后氮氧化物排放浓度不高于100毫克/立方米；焦化企业参照《关于推进实施钢铁行业超低排放的意见》要求实施升级改造，改造后氨氧化物排放浓度不高于150毫克/立方米。</w:t>
                  </w:r>
                </w:p>
                <w:p w14:paraId="748164E2">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2.2024年底前，烧结、炼铁、炼钢轧钢、自备电厂等有组织排放污染物实行超低排放限值。</w:t>
                  </w:r>
                </w:p>
              </w:tc>
              <w:tc>
                <w:tcPr>
                  <w:tcW w:w="2687" w:type="dxa"/>
                  <w:tcBorders>
                    <w:tl2br w:val="nil"/>
                    <w:tr2bl w:val="nil"/>
                  </w:tcBorders>
                  <w:noWrap w:val="0"/>
                  <w:vAlign w:val="center"/>
                </w:tcPr>
                <w:p w14:paraId="51F06366">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1.《中卫市空气质量改善“十四五”规划》</w:t>
                  </w:r>
                </w:p>
                <w:p w14:paraId="3B36DCDA">
                  <w:pPr>
                    <w:pStyle w:val="40"/>
                    <w:rPr>
                      <w:rFonts w:hint="default"/>
                      <w:color w:val="auto"/>
                      <w:lang w:val="en-US" w:eastAsia="zh-CN"/>
                    </w:rPr>
                  </w:pPr>
                  <w:r>
                    <w:rPr>
                      <w:rFonts w:hint="default" w:ascii="Times New Roman" w:hAnsi="Times New Roman" w:cs="Times New Roman"/>
                      <w:color w:val="auto"/>
                      <w:sz w:val="21"/>
                      <w:szCs w:val="21"/>
                      <w:lang w:val="en-US" w:eastAsia="zh-CN"/>
                    </w:rPr>
                    <w:t>2.《中卫市生态</w:t>
                  </w:r>
                  <w:r>
                    <w:rPr>
                      <w:rFonts w:hint="eastAsia" w:ascii="Times New Roman" w:hAnsi="Times New Roman" w:cs="Times New Roman"/>
                      <w:color w:val="auto"/>
                      <w:sz w:val="21"/>
                      <w:szCs w:val="21"/>
                      <w:lang w:val="en-US" w:eastAsia="zh-CN"/>
                    </w:rPr>
                    <w:t>环境保护“十四五”规划</w:t>
                  </w:r>
                  <w:r>
                    <w:rPr>
                      <w:rFonts w:hint="default" w:ascii="Times New Roman" w:hAnsi="Times New Roman" w:cs="Times New Roman"/>
                      <w:color w:val="auto"/>
                      <w:sz w:val="21"/>
                      <w:szCs w:val="21"/>
                      <w:lang w:val="en-US" w:eastAsia="zh-CN"/>
                    </w:rPr>
                    <w:t>》</w:t>
                  </w:r>
                </w:p>
              </w:tc>
              <w:tc>
                <w:tcPr>
                  <w:tcW w:w="1905" w:type="dxa"/>
                  <w:tcBorders>
                    <w:tl2br w:val="nil"/>
                    <w:tr2bl w:val="nil"/>
                  </w:tcBorders>
                  <w:noWrap w:val="0"/>
                  <w:vAlign w:val="center"/>
                </w:tcPr>
                <w:p w14:paraId="59EA828B">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bl>
          <w:p w14:paraId="275BC11D">
            <w:pPr>
              <w:jc w:val="center"/>
              <w:rPr>
                <w:color w:val="auto"/>
              </w:rPr>
            </w:pPr>
            <w:r>
              <w:rPr>
                <w:rFonts w:hint="eastAsia" w:ascii="Times New Roman" w:hAnsi="Times New Roman" w:eastAsia="宋体" w:cs="Times New Roman"/>
                <w:b/>
                <w:bCs/>
                <w:color w:val="auto"/>
                <w:kern w:val="0"/>
                <w:sz w:val="21"/>
                <w:szCs w:val="21"/>
                <w:highlight w:val="none"/>
                <w:lang w:val="en-US" w:eastAsia="zh-CN"/>
              </w:rPr>
              <w:t>续</w:t>
            </w:r>
            <w:r>
              <w:rPr>
                <w:rFonts w:hint="default" w:ascii="Times New Roman" w:hAnsi="Times New Roman" w:eastAsia="宋体" w:cs="Times New Roman"/>
                <w:b/>
                <w:bCs/>
                <w:color w:val="auto"/>
                <w:kern w:val="0"/>
                <w:sz w:val="21"/>
                <w:szCs w:val="21"/>
                <w:highlight w:val="none"/>
                <w:lang w:eastAsia="zh-CN"/>
              </w:rPr>
              <w:t>表</w:t>
            </w:r>
            <w:r>
              <w:rPr>
                <w:rFonts w:hint="eastAsia" w:ascii="Times New Roman" w:hAnsi="Times New Roman" w:eastAsia="宋体" w:cs="Times New Roman"/>
                <w:b/>
                <w:bCs/>
                <w:color w:val="auto"/>
                <w:kern w:val="0"/>
                <w:sz w:val="21"/>
                <w:szCs w:val="21"/>
                <w:highlight w:val="none"/>
                <w:lang w:val="en-US" w:eastAsia="zh-CN"/>
              </w:rPr>
              <w:t xml:space="preserve">1-1  </w:t>
            </w:r>
            <w:r>
              <w:rPr>
                <w:rFonts w:hint="default" w:ascii="Times New Roman" w:hAnsi="Times New Roman" w:eastAsia="宋体" w:cs="Times New Roman"/>
                <w:b/>
                <w:bCs/>
                <w:color w:val="auto"/>
                <w:kern w:val="0"/>
                <w:sz w:val="21"/>
                <w:szCs w:val="21"/>
                <w:highlight w:val="none"/>
                <w:lang w:eastAsia="zh-CN"/>
              </w:rPr>
              <w:t xml:space="preserve"> </w:t>
            </w:r>
            <w:r>
              <w:rPr>
                <w:rFonts w:hint="default" w:ascii="Times New Roman" w:hAnsi="Times New Roman" w:eastAsia="宋体" w:cs="Times New Roman"/>
                <w:b/>
                <w:bCs/>
                <w:color w:val="auto"/>
                <w:kern w:val="0"/>
                <w:sz w:val="21"/>
                <w:szCs w:val="21"/>
                <w:highlight w:val="none"/>
                <w:lang w:val="en-US" w:eastAsia="zh-CN"/>
              </w:rPr>
              <w:t>项目与中卫市</w:t>
            </w:r>
            <w:r>
              <w:rPr>
                <w:rFonts w:hint="eastAsia" w:ascii="Times New Roman" w:hAnsi="Times New Roman" w:eastAsia="宋体" w:cs="Times New Roman"/>
                <w:b/>
                <w:bCs/>
                <w:color w:val="auto"/>
                <w:kern w:val="0"/>
                <w:sz w:val="21"/>
                <w:szCs w:val="21"/>
                <w:highlight w:val="none"/>
                <w:lang w:val="en-US" w:eastAsia="zh-CN"/>
              </w:rPr>
              <w:t>生态环境总体准入要求</w:t>
            </w:r>
            <w:r>
              <w:rPr>
                <w:rFonts w:hint="default" w:ascii="Times New Roman" w:hAnsi="Times New Roman" w:eastAsia="宋体" w:cs="Times New Roman"/>
                <w:b/>
                <w:bCs/>
                <w:color w:val="auto"/>
                <w:kern w:val="0"/>
                <w:sz w:val="21"/>
                <w:szCs w:val="21"/>
                <w:highlight w:val="none"/>
                <w:lang w:val="en-US" w:eastAsia="zh-CN"/>
              </w:rPr>
              <w:t>对照分析</w:t>
            </w:r>
            <w:r>
              <w:rPr>
                <w:rFonts w:hint="default" w:ascii="Times New Roman" w:hAnsi="Times New Roman" w:eastAsia="宋体" w:cs="Times New Roman"/>
                <w:b/>
                <w:bCs/>
                <w:color w:val="auto"/>
                <w:kern w:val="0"/>
                <w:sz w:val="21"/>
                <w:szCs w:val="21"/>
                <w:highlight w:val="none"/>
                <w:lang w:eastAsia="zh-CN"/>
              </w:rPr>
              <w:t>一览表</w:t>
            </w:r>
          </w:p>
          <w:tbl>
            <w:tblPr>
              <w:tblStyle w:val="27"/>
              <w:tblW w:w="123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7"/>
              <w:gridCol w:w="930"/>
              <w:gridCol w:w="5492"/>
              <w:gridCol w:w="2967"/>
              <w:gridCol w:w="2552"/>
            </w:tblGrid>
            <w:tr w14:paraId="04EA9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397" w:type="dxa"/>
                  <w:vMerge w:val="restart"/>
                  <w:tcBorders>
                    <w:tl2br w:val="nil"/>
                    <w:tr2bl w:val="nil"/>
                  </w:tcBorders>
                  <w:noWrap w:val="0"/>
                  <w:vAlign w:val="center"/>
                </w:tcPr>
                <w:p w14:paraId="406672AF">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环境风险防控</w:t>
                  </w:r>
                </w:p>
              </w:tc>
              <w:tc>
                <w:tcPr>
                  <w:tcW w:w="930" w:type="dxa"/>
                  <w:vMerge w:val="restart"/>
                  <w:tcBorders>
                    <w:tl2br w:val="nil"/>
                    <w:tr2bl w:val="nil"/>
                  </w:tcBorders>
                  <w:noWrap w:val="0"/>
                  <w:vAlign w:val="center"/>
                </w:tcPr>
                <w:p w14:paraId="2117C4EE">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联防联控要求</w:t>
                  </w:r>
                </w:p>
              </w:tc>
              <w:tc>
                <w:tcPr>
                  <w:tcW w:w="5492" w:type="dxa"/>
                  <w:tcBorders>
                    <w:tl2br w:val="nil"/>
                    <w:tr2bl w:val="nil"/>
                  </w:tcBorders>
                  <w:noWrap w:val="0"/>
                  <w:vAlign w:val="center"/>
                </w:tcPr>
                <w:p w14:paraId="2899F911">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健全市生态环境局与公安、交通、应急、气象、水务等部门联动机制，细化落实各相关部门之间联防联控责任与任务分工，联合开展突发环境污染事件处置应急演练，提高联防联控实战能力。</w:t>
                  </w:r>
                </w:p>
              </w:tc>
              <w:tc>
                <w:tcPr>
                  <w:tcW w:w="2967" w:type="dxa"/>
                  <w:tcBorders>
                    <w:tl2br w:val="nil"/>
                    <w:tr2bl w:val="nil"/>
                  </w:tcBorders>
                  <w:noWrap w:val="0"/>
                  <w:vAlign w:val="center"/>
                </w:tcPr>
                <w:p w14:paraId="4536131F">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《中卫市生态环境保护“十四五”规划》</w:t>
                  </w:r>
                </w:p>
              </w:tc>
              <w:tc>
                <w:tcPr>
                  <w:tcW w:w="2552" w:type="dxa"/>
                  <w:tcBorders>
                    <w:tl2br w:val="nil"/>
                    <w:tr2bl w:val="nil"/>
                  </w:tcBorders>
                  <w:noWrap w:val="0"/>
                  <w:vAlign w:val="center"/>
                </w:tcPr>
                <w:p w14:paraId="51FBAED8">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项目建成后定期开展应急演练工作</w:t>
                  </w:r>
                </w:p>
              </w:tc>
            </w:tr>
            <w:tr w14:paraId="0686D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397" w:type="dxa"/>
                  <w:vMerge w:val="continue"/>
                  <w:tcBorders>
                    <w:tl2br w:val="nil"/>
                    <w:tr2bl w:val="nil"/>
                  </w:tcBorders>
                  <w:noWrap w:val="0"/>
                  <w:vAlign w:val="center"/>
                </w:tcPr>
                <w:p w14:paraId="55B77332">
                  <w:pPr>
                    <w:jc w:val="center"/>
                    <w:rPr>
                      <w:rFonts w:hint="default" w:ascii="Times New Roman" w:hAnsi="Times New Roman" w:eastAsia="宋体" w:cs="Times New Roman"/>
                      <w:color w:val="auto"/>
                      <w:sz w:val="21"/>
                      <w:szCs w:val="21"/>
                      <w:vertAlign w:val="baseline"/>
                      <w:lang w:val="en-US" w:eastAsia="zh-CN"/>
                    </w:rPr>
                  </w:pPr>
                </w:p>
              </w:tc>
              <w:tc>
                <w:tcPr>
                  <w:tcW w:w="930" w:type="dxa"/>
                  <w:vMerge w:val="continue"/>
                  <w:tcBorders>
                    <w:tl2br w:val="nil"/>
                    <w:tr2bl w:val="nil"/>
                  </w:tcBorders>
                  <w:noWrap w:val="0"/>
                  <w:vAlign w:val="center"/>
                </w:tcPr>
                <w:p w14:paraId="73405F00">
                  <w:pPr>
                    <w:jc w:val="center"/>
                    <w:rPr>
                      <w:rFonts w:hint="eastAsia" w:ascii="Times New Roman" w:hAnsi="Times New Roman" w:eastAsia="宋体" w:cs="Times New Roman"/>
                      <w:color w:val="auto"/>
                      <w:sz w:val="21"/>
                      <w:szCs w:val="21"/>
                      <w:vertAlign w:val="baseline"/>
                      <w:lang w:val="en-US" w:eastAsia="zh-CN"/>
                    </w:rPr>
                  </w:pPr>
                </w:p>
              </w:tc>
              <w:tc>
                <w:tcPr>
                  <w:tcW w:w="5492" w:type="dxa"/>
                  <w:tcBorders>
                    <w:tl2br w:val="nil"/>
                    <w:tr2bl w:val="nil"/>
                  </w:tcBorders>
                  <w:noWrap w:val="0"/>
                  <w:vAlign w:val="center"/>
                </w:tcPr>
                <w:p w14:paraId="61809642">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以黄河干流和主要支流为重点，严控石化、化工、有色金属、印染、原料药制造等行业企业环境风险，加强油气管道环境风险防范，开展新污染物环境调査监测和环境风险评估，推进流域突发环境风险调査与监控预警体系建设，构建市-县(区)-区域-企业四级应急物资储备网络。</w:t>
                  </w:r>
                </w:p>
              </w:tc>
              <w:tc>
                <w:tcPr>
                  <w:tcW w:w="2967" w:type="dxa"/>
                  <w:tcBorders>
                    <w:tl2br w:val="nil"/>
                    <w:tr2bl w:val="nil"/>
                  </w:tcBorders>
                  <w:noWrap w:val="0"/>
                  <w:vAlign w:val="center"/>
                </w:tcPr>
                <w:p w14:paraId="6302348E">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《黄河（宁夏段）生态保护治理攻坚战行动实施方案》</w:t>
                  </w:r>
                </w:p>
              </w:tc>
              <w:tc>
                <w:tcPr>
                  <w:tcW w:w="2552" w:type="dxa"/>
                  <w:tcBorders>
                    <w:tl2br w:val="nil"/>
                    <w:tr2bl w:val="nil"/>
                  </w:tcBorders>
                  <w:noWrap w:val="0"/>
                  <w:vAlign w:val="center"/>
                </w:tcPr>
                <w:p w14:paraId="4890F6D2">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本项目位于中卫市沙坡头区兴仁镇北环路以北，临近洪水河，且洪水河常年为干沟</w:t>
                  </w:r>
                </w:p>
              </w:tc>
            </w:tr>
            <w:tr w14:paraId="75F95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397" w:type="dxa"/>
                  <w:vMerge w:val="continue"/>
                  <w:tcBorders>
                    <w:tl2br w:val="nil"/>
                    <w:tr2bl w:val="nil"/>
                  </w:tcBorders>
                  <w:noWrap w:val="0"/>
                  <w:vAlign w:val="center"/>
                </w:tcPr>
                <w:p w14:paraId="499F5B24">
                  <w:pPr>
                    <w:jc w:val="center"/>
                    <w:rPr>
                      <w:rFonts w:hint="default" w:ascii="Times New Roman" w:hAnsi="Times New Roman" w:eastAsia="宋体" w:cs="Times New Roman"/>
                      <w:color w:val="auto"/>
                      <w:sz w:val="21"/>
                      <w:szCs w:val="21"/>
                      <w:vertAlign w:val="baseline"/>
                      <w:lang w:val="en-US" w:eastAsia="zh-CN"/>
                    </w:rPr>
                  </w:pPr>
                </w:p>
              </w:tc>
              <w:tc>
                <w:tcPr>
                  <w:tcW w:w="930" w:type="dxa"/>
                  <w:tcBorders>
                    <w:tl2br w:val="nil"/>
                    <w:tr2bl w:val="nil"/>
                  </w:tcBorders>
                  <w:noWrap w:val="0"/>
                  <w:vAlign w:val="center"/>
                </w:tcPr>
                <w:p w14:paraId="5690DF3A">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企业环境风险防控要求</w:t>
                  </w:r>
                </w:p>
              </w:tc>
              <w:tc>
                <w:tcPr>
                  <w:tcW w:w="5492" w:type="dxa"/>
                  <w:tcBorders>
                    <w:tl2br w:val="nil"/>
                    <w:tr2bl w:val="nil"/>
                  </w:tcBorders>
                  <w:noWrap w:val="0"/>
                  <w:vAlign w:val="center"/>
                </w:tcPr>
                <w:p w14:paraId="588A76E2">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紧盯涉危险废物涉重金属企业、化工园区、水源地，强化环境应急三级防控体系建设，落实企业环境安全主体责任，推行企业突发环境事件应急预案电子备案。</w:t>
                  </w:r>
                </w:p>
              </w:tc>
              <w:tc>
                <w:tcPr>
                  <w:tcW w:w="2967" w:type="dxa"/>
                  <w:tcBorders>
                    <w:tl2br w:val="nil"/>
                    <w:tr2bl w:val="nil"/>
                  </w:tcBorders>
                  <w:noWrap w:val="0"/>
                  <w:vAlign w:val="center"/>
                </w:tcPr>
                <w:p w14:paraId="7C843F50">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《自治区党委 人民政府关于深入打好污染防治攻坚战的实施意见》</w:t>
                  </w:r>
                </w:p>
              </w:tc>
              <w:tc>
                <w:tcPr>
                  <w:tcW w:w="2552" w:type="dxa"/>
                  <w:tcBorders>
                    <w:tl2br w:val="nil"/>
                    <w:tr2bl w:val="nil"/>
                  </w:tcBorders>
                  <w:noWrap w:val="0"/>
                  <w:vAlign w:val="center"/>
                </w:tcPr>
                <w:p w14:paraId="4A224A51">
                  <w:pPr>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lang w:eastAsia="zh-CN"/>
                    </w:rPr>
                    <w:t>企业应该按照要求编制环境应急预案</w:t>
                  </w:r>
                </w:p>
              </w:tc>
            </w:tr>
            <w:tr w14:paraId="69C6B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397" w:type="dxa"/>
                  <w:vMerge w:val="restart"/>
                  <w:tcBorders>
                    <w:tl2br w:val="nil"/>
                    <w:tr2bl w:val="nil"/>
                  </w:tcBorders>
                  <w:noWrap w:val="0"/>
                  <w:vAlign w:val="center"/>
                </w:tcPr>
                <w:p w14:paraId="4D0B2694">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资源利用效率要求</w:t>
                  </w:r>
                </w:p>
              </w:tc>
              <w:tc>
                <w:tcPr>
                  <w:tcW w:w="930" w:type="dxa"/>
                  <w:vMerge w:val="restart"/>
                  <w:tcBorders>
                    <w:tl2br w:val="nil"/>
                    <w:tr2bl w:val="nil"/>
                  </w:tcBorders>
                  <w:noWrap w:val="0"/>
                  <w:vAlign w:val="center"/>
                </w:tcPr>
                <w:p w14:paraId="2DD98032">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能源利用总量及效率要求</w:t>
                  </w:r>
                </w:p>
              </w:tc>
              <w:tc>
                <w:tcPr>
                  <w:tcW w:w="5492" w:type="dxa"/>
                  <w:tcBorders>
                    <w:tl2br w:val="nil"/>
                    <w:tr2bl w:val="nil"/>
                  </w:tcBorders>
                  <w:noWrap w:val="0"/>
                  <w:vAlign w:val="center"/>
                </w:tcPr>
                <w:p w14:paraId="3D0D808E">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1.全面贯彻落实国家和自治区下达煤炭消费总量目标，严格控制耗煤行业煤炭新增量，优先保障民生供暖新增用煤需求。</w:t>
                  </w:r>
                </w:p>
                <w:p w14:paraId="0678472A">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2.新增产能必须符合国内先进能效标准。</w:t>
                  </w:r>
                </w:p>
              </w:tc>
              <w:tc>
                <w:tcPr>
                  <w:tcW w:w="2967" w:type="dxa"/>
                  <w:tcBorders>
                    <w:tl2br w:val="nil"/>
                    <w:tr2bl w:val="nil"/>
                  </w:tcBorders>
                  <w:noWrap w:val="0"/>
                  <w:vAlign w:val="center"/>
                </w:tcPr>
                <w:p w14:paraId="697BF9BB">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《中卫市</w:t>
                  </w:r>
                  <w:r>
                    <w:rPr>
                      <w:rFonts w:hint="eastAsia" w:ascii="Times New Roman" w:hAnsi="Times New Roman" w:eastAsia="宋体" w:cs="Times New Roman"/>
                      <w:color w:val="auto"/>
                      <w:kern w:val="0"/>
                      <w:sz w:val="21"/>
                      <w:szCs w:val="21"/>
                      <w:lang w:val="en-US" w:eastAsia="zh-CN" w:bidi="ar"/>
                    </w:rPr>
                    <w:t>能源产业发展</w:t>
                  </w:r>
                  <w:r>
                    <w:rPr>
                      <w:rFonts w:hint="default" w:ascii="Times New Roman" w:hAnsi="Times New Roman" w:eastAsia="宋体" w:cs="Times New Roman"/>
                      <w:color w:val="auto"/>
                      <w:kern w:val="0"/>
                      <w:sz w:val="21"/>
                      <w:szCs w:val="21"/>
                      <w:lang w:val="en-US" w:eastAsia="zh-CN" w:bidi="ar"/>
                    </w:rPr>
                    <w:t>“十四五”规划》</w:t>
                  </w:r>
                </w:p>
              </w:tc>
              <w:tc>
                <w:tcPr>
                  <w:tcW w:w="2552" w:type="dxa"/>
                  <w:tcBorders>
                    <w:tl2br w:val="nil"/>
                    <w:tr2bl w:val="nil"/>
                  </w:tcBorders>
                  <w:noWrap w:val="0"/>
                  <w:vAlign w:val="center"/>
                </w:tcPr>
                <w:p w14:paraId="112BF28F">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1D9D8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397" w:type="dxa"/>
                  <w:vMerge w:val="continue"/>
                  <w:tcBorders>
                    <w:tl2br w:val="nil"/>
                    <w:tr2bl w:val="nil"/>
                  </w:tcBorders>
                  <w:noWrap w:val="0"/>
                  <w:vAlign w:val="center"/>
                </w:tcPr>
                <w:p w14:paraId="207F92B5">
                  <w:pPr>
                    <w:jc w:val="center"/>
                    <w:rPr>
                      <w:rFonts w:hint="default" w:ascii="Times New Roman" w:hAnsi="Times New Roman" w:eastAsia="宋体" w:cs="Times New Roman"/>
                      <w:color w:val="auto"/>
                      <w:sz w:val="21"/>
                      <w:szCs w:val="21"/>
                      <w:vertAlign w:val="baseline"/>
                      <w:lang w:val="en-US" w:eastAsia="zh-CN"/>
                    </w:rPr>
                  </w:pPr>
                </w:p>
              </w:tc>
              <w:tc>
                <w:tcPr>
                  <w:tcW w:w="930" w:type="dxa"/>
                  <w:vMerge w:val="continue"/>
                  <w:tcBorders>
                    <w:tl2br w:val="nil"/>
                    <w:tr2bl w:val="nil"/>
                  </w:tcBorders>
                  <w:noWrap w:val="0"/>
                  <w:vAlign w:val="center"/>
                </w:tcPr>
                <w:p w14:paraId="39E87F8C">
                  <w:pPr>
                    <w:jc w:val="center"/>
                    <w:rPr>
                      <w:rFonts w:hint="eastAsia" w:ascii="Times New Roman" w:hAnsi="Times New Roman" w:eastAsia="宋体" w:cs="Times New Roman"/>
                      <w:color w:val="auto"/>
                      <w:sz w:val="21"/>
                      <w:szCs w:val="21"/>
                      <w:vertAlign w:val="baseline"/>
                      <w:lang w:val="en-US" w:eastAsia="zh-CN"/>
                    </w:rPr>
                  </w:pPr>
                </w:p>
              </w:tc>
              <w:tc>
                <w:tcPr>
                  <w:tcW w:w="5492" w:type="dxa"/>
                  <w:tcBorders>
                    <w:tl2br w:val="nil"/>
                    <w:tr2bl w:val="nil"/>
                  </w:tcBorders>
                  <w:noWrap w:val="0"/>
                  <w:vAlign w:val="center"/>
                </w:tcPr>
                <w:p w14:paraId="7D1B9B13">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国家大气污染防治重点区域内新建耗煤项目应严格按规定采取煤炭消费减量替代措施，不得使用高污染燃料作为煤炭减量替代措施。</w:t>
                  </w:r>
                </w:p>
              </w:tc>
              <w:tc>
                <w:tcPr>
                  <w:tcW w:w="2967" w:type="dxa"/>
                  <w:tcBorders>
                    <w:tl2br w:val="nil"/>
                    <w:tr2bl w:val="nil"/>
                  </w:tcBorders>
                  <w:noWrap w:val="0"/>
                  <w:vAlign w:val="center"/>
                </w:tcPr>
                <w:p w14:paraId="163DF32D">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《关于加强高耗能、高排放建设项目生态环境源头防控的指导意见》</w:t>
                  </w:r>
                </w:p>
              </w:tc>
              <w:tc>
                <w:tcPr>
                  <w:tcW w:w="2552" w:type="dxa"/>
                  <w:tcBorders>
                    <w:tl2br w:val="nil"/>
                    <w:tr2bl w:val="nil"/>
                  </w:tcBorders>
                  <w:noWrap w:val="0"/>
                  <w:vAlign w:val="center"/>
                </w:tcPr>
                <w:p w14:paraId="0FBAF80A">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不涉及</w:t>
                  </w:r>
                </w:p>
              </w:tc>
            </w:tr>
            <w:tr w14:paraId="59623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397" w:type="dxa"/>
                  <w:vMerge w:val="continue"/>
                  <w:tcBorders>
                    <w:tl2br w:val="nil"/>
                    <w:tr2bl w:val="nil"/>
                  </w:tcBorders>
                  <w:noWrap w:val="0"/>
                  <w:vAlign w:val="center"/>
                </w:tcPr>
                <w:p w14:paraId="272F8687">
                  <w:pPr>
                    <w:jc w:val="center"/>
                    <w:rPr>
                      <w:rFonts w:hint="default" w:ascii="Times New Roman" w:hAnsi="Times New Roman" w:eastAsia="宋体" w:cs="Times New Roman"/>
                      <w:color w:val="auto"/>
                      <w:sz w:val="21"/>
                      <w:szCs w:val="21"/>
                      <w:vertAlign w:val="baseline"/>
                      <w:lang w:val="en-US" w:eastAsia="zh-CN"/>
                    </w:rPr>
                  </w:pPr>
                </w:p>
              </w:tc>
              <w:tc>
                <w:tcPr>
                  <w:tcW w:w="930" w:type="dxa"/>
                  <w:tcBorders>
                    <w:tl2br w:val="nil"/>
                    <w:tr2bl w:val="nil"/>
                  </w:tcBorders>
                  <w:noWrap w:val="0"/>
                  <w:vAlign w:val="center"/>
                </w:tcPr>
                <w:p w14:paraId="4DEBC8E3">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水资源利用总量及效率要求</w:t>
                  </w:r>
                </w:p>
              </w:tc>
              <w:tc>
                <w:tcPr>
                  <w:tcW w:w="5492" w:type="dxa"/>
                  <w:tcBorders>
                    <w:tl2br w:val="nil"/>
                    <w:tr2bl w:val="nil"/>
                  </w:tcBorders>
                  <w:noWrap w:val="0"/>
                  <w:vAlign w:val="center"/>
                </w:tcPr>
                <w:p w14:paraId="6B489D7F">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建立水资源刚性约束制度，严格准入条件，按照地区取水总量限值审核新、改、扩建项目，取水总量不得超过地区水资源取用上限或承载能力。</w:t>
                  </w:r>
                </w:p>
              </w:tc>
              <w:tc>
                <w:tcPr>
                  <w:tcW w:w="2967" w:type="dxa"/>
                  <w:tcBorders>
                    <w:tl2br w:val="nil"/>
                    <w:tr2bl w:val="nil"/>
                  </w:tcBorders>
                  <w:noWrap w:val="0"/>
                  <w:vAlign w:val="center"/>
                </w:tcPr>
                <w:p w14:paraId="2FD16758">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《中卫市生态环境保护“十四五”规划》</w:t>
                  </w:r>
                </w:p>
              </w:tc>
              <w:tc>
                <w:tcPr>
                  <w:tcW w:w="2552" w:type="dxa"/>
                  <w:tcBorders>
                    <w:tl2br w:val="nil"/>
                    <w:tr2bl w:val="nil"/>
                  </w:tcBorders>
                  <w:noWrap w:val="0"/>
                  <w:vAlign w:val="center"/>
                </w:tcPr>
                <w:p w14:paraId="59CBCF33">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本项目主要是污水处理，用水量较少</w:t>
                  </w:r>
                </w:p>
              </w:tc>
            </w:tr>
          </w:tbl>
          <w:p w14:paraId="0A43D476">
            <w:pPr>
              <w:pStyle w:val="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 w:val="0"/>
                <w:bCs w:val="0"/>
                <w:color w:val="auto"/>
                <w:kern w:val="0"/>
                <w:sz w:val="24"/>
                <w:szCs w:val="24"/>
                <w:highlight w:val="none"/>
                <w:lang w:val="en-US" w:eastAsia="zh-CN"/>
              </w:rPr>
              <w:t>综上所述，项目的建设符合中卫市生态环境总体准入要求。</w:t>
            </w:r>
          </w:p>
        </w:tc>
      </w:tr>
    </w:tbl>
    <w:p w14:paraId="67E7D54C">
      <w:pPr>
        <w:rPr>
          <w:color w:val="auto"/>
        </w:rPr>
        <w:sectPr>
          <w:pgSz w:w="16838" w:h="11906" w:orient="landscape"/>
          <w:pgMar w:top="1361" w:right="1588" w:bottom="1361" w:left="164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7635"/>
      </w:tblGrid>
      <w:tr w14:paraId="50A56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1437" w:type="dxa"/>
            <w:vAlign w:val="center"/>
          </w:tcPr>
          <w:p w14:paraId="44571EC1">
            <w:pPr>
              <w:jc w:val="center"/>
              <w:rPr>
                <w:rFonts w:ascii="Times New Roman" w:hAnsi="Times New Roman" w:eastAsia="宋体" w:cs="Times New Roman"/>
                <w:b/>
                <w:bCs/>
                <w:color w:val="auto"/>
                <w:sz w:val="24"/>
                <w:szCs w:val="24"/>
              </w:rPr>
            </w:pPr>
          </w:p>
        </w:tc>
        <w:tc>
          <w:tcPr>
            <w:tcW w:w="7635" w:type="dxa"/>
            <w:vAlign w:val="center"/>
          </w:tcPr>
          <w:p w14:paraId="477A19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黑体" w:hAnsi="黑体" w:eastAsia="黑体" w:cs="黑体"/>
                <w:b w:val="0"/>
                <w:bCs w:val="0"/>
                <w:color w:val="auto"/>
                <w:kern w:val="0"/>
                <w:sz w:val="24"/>
                <w:szCs w:val="24"/>
                <w:highlight w:val="none"/>
                <w:lang w:val="en-US" w:eastAsia="zh-CN"/>
              </w:rPr>
            </w:pPr>
            <w:r>
              <w:rPr>
                <w:rFonts w:hint="default" w:ascii="Times New Roman" w:hAnsi="Times New Roman" w:eastAsia="宋体" w:cs="Times New Roman"/>
                <w:b/>
                <w:bCs/>
                <w:color w:val="auto"/>
                <w:kern w:val="0"/>
                <w:sz w:val="21"/>
                <w:szCs w:val="21"/>
                <w:highlight w:val="none"/>
                <w:lang w:eastAsia="zh-CN"/>
              </w:rPr>
              <w:t>表</w:t>
            </w:r>
            <w:r>
              <w:rPr>
                <w:rFonts w:hint="eastAsia" w:ascii="Times New Roman" w:hAnsi="Times New Roman" w:eastAsia="宋体" w:cs="Times New Roman"/>
                <w:b/>
                <w:bCs/>
                <w:color w:val="auto"/>
                <w:kern w:val="0"/>
                <w:sz w:val="21"/>
                <w:szCs w:val="21"/>
                <w:highlight w:val="none"/>
                <w:lang w:val="en-US" w:eastAsia="zh-CN"/>
              </w:rPr>
              <w:t xml:space="preserve">1-2  </w:t>
            </w:r>
            <w:r>
              <w:rPr>
                <w:rFonts w:hint="default" w:ascii="Times New Roman" w:hAnsi="Times New Roman" w:eastAsia="宋体" w:cs="Times New Roman"/>
                <w:b/>
                <w:bCs/>
                <w:color w:val="auto"/>
                <w:kern w:val="0"/>
                <w:sz w:val="21"/>
                <w:szCs w:val="21"/>
                <w:highlight w:val="none"/>
                <w:lang w:eastAsia="zh-CN"/>
              </w:rPr>
              <w:t xml:space="preserve"> </w:t>
            </w:r>
            <w:r>
              <w:rPr>
                <w:rFonts w:hint="default" w:ascii="Times New Roman" w:hAnsi="Times New Roman" w:eastAsia="宋体" w:cs="Times New Roman"/>
                <w:b/>
                <w:bCs/>
                <w:color w:val="auto"/>
                <w:kern w:val="0"/>
                <w:sz w:val="21"/>
                <w:szCs w:val="21"/>
                <w:highlight w:val="none"/>
                <w:lang w:val="en-US" w:eastAsia="zh-CN"/>
              </w:rPr>
              <w:t>项目与中卫市环境管控单元生态环境准入清单对照分析</w:t>
            </w:r>
            <w:r>
              <w:rPr>
                <w:rFonts w:hint="default" w:ascii="Times New Roman" w:hAnsi="Times New Roman" w:eastAsia="宋体" w:cs="Times New Roman"/>
                <w:b/>
                <w:bCs/>
                <w:color w:val="auto"/>
                <w:kern w:val="0"/>
                <w:sz w:val="21"/>
                <w:szCs w:val="21"/>
                <w:highlight w:val="none"/>
                <w:lang w:eastAsia="zh-CN"/>
              </w:rPr>
              <w:t>一览表</w:t>
            </w:r>
          </w:p>
          <w:tbl>
            <w:tblPr>
              <w:tblStyle w:val="27"/>
              <w:tblW w:w="494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9"/>
              <w:gridCol w:w="1028"/>
              <w:gridCol w:w="3803"/>
              <w:gridCol w:w="2104"/>
            </w:tblGrid>
            <w:tr w14:paraId="14C7DA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2" w:type="dxa"/>
                  <w:gridSpan w:val="3"/>
                  <w:tcBorders>
                    <w:tl2br w:val="nil"/>
                    <w:tr2bl w:val="nil"/>
                  </w:tcBorders>
                  <w:noWrap w:val="0"/>
                  <w:vAlign w:val="center"/>
                </w:tcPr>
                <w:p w14:paraId="76210E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sz w:val="21"/>
                      <w:szCs w:val="21"/>
                      <w:highlight w:val="none"/>
                      <w:vertAlign w:val="baseline"/>
                      <w:lang w:val="en-US" w:eastAsia="zh-CN"/>
                    </w:rPr>
                    <w:t>中卫市环境管控单元生态环境准入清单</w:t>
                  </w:r>
                </w:p>
              </w:tc>
              <w:tc>
                <w:tcPr>
                  <w:tcW w:w="2245" w:type="dxa"/>
                  <w:tcBorders>
                    <w:tl2br w:val="nil"/>
                    <w:tr2bl w:val="nil"/>
                  </w:tcBorders>
                  <w:noWrap w:val="0"/>
                  <w:vAlign w:val="center"/>
                </w:tcPr>
                <w:p w14:paraId="272BFD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r>
            <w:tr w14:paraId="71CA9D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02" w:type="dxa"/>
                  <w:gridSpan w:val="2"/>
                  <w:tcBorders>
                    <w:tl2br w:val="nil"/>
                    <w:tr2bl w:val="nil"/>
                  </w:tcBorders>
                  <w:noWrap w:val="0"/>
                  <w:vAlign w:val="center"/>
                </w:tcPr>
                <w:p w14:paraId="21F94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4060" w:type="dxa"/>
                  <w:tcBorders>
                    <w:tl2br w:val="nil"/>
                    <w:tr2bl w:val="nil"/>
                  </w:tcBorders>
                  <w:noWrap w:val="0"/>
                  <w:vAlign w:val="center"/>
                </w:tcPr>
                <w:p w14:paraId="35EA7E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ZH64050230001</w:t>
                  </w:r>
                </w:p>
              </w:tc>
              <w:tc>
                <w:tcPr>
                  <w:tcW w:w="2245" w:type="dxa"/>
                  <w:tcBorders>
                    <w:tl2br w:val="nil"/>
                    <w:tr2bl w:val="nil"/>
                  </w:tcBorders>
                  <w:noWrap w:val="0"/>
                  <w:vAlign w:val="center"/>
                </w:tcPr>
                <w:p w14:paraId="2F5CB7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r>
            <w:tr w14:paraId="2A717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02" w:type="dxa"/>
                  <w:gridSpan w:val="2"/>
                  <w:tcBorders>
                    <w:tl2br w:val="nil"/>
                    <w:tr2bl w:val="nil"/>
                  </w:tcBorders>
                  <w:noWrap w:val="0"/>
                  <w:vAlign w:val="center"/>
                </w:tcPr>
                <w:p w14:paraId="554AE8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环境管控单元名称</w:t>
                  </w:r>
                </w:p>
              </w:tc>
              <w:tc>
                <w:tcPr>
                  <w:tcW w:w="4060" w:type="dxa"/>
                  <w:tcBorders>
                    <w:tl2br w:val="nil"/>
                    <w:tr2bl w:val="nil"/>
                  </w:tcBorders>
                  <w:noWrap w:val="0"/>
                  <w:vAlign w:val="center"/>
                </w:tcPr>
                <w:p w14:paraId="05E65F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沙坡头区一般管控单元1</w:t>
                  </w:r>
                </w:p>
              </w:tc>
              <w:tc>
                <w:tcPr>
                  <w:tcW w:w="2245" w:type="dxa"/>
                  <w:tcBorders>
                    <w:tl2br w:val="nil"/>
                    <w:tr2bl w:val="nil"/>
                  </w:tcBorders>
                  <w:noWrap w:val="0"/>
                  <w:vAlign w:val="center"/>
                </w:tcPr>
                <w:p w14:paraId="571EE0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r>
            <w:tr w14:paraId="190143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02" w:type="dxa"/>
                  <w:gridSpan w:val="2"/>
                  <w:tcBorders>
                    <w:tl2br w:val="nil"/>
                    <w:tr2bl w:val="nil"/>
                  </w:tcBorders>
                  <w:noWrap w:val="0"/>
                  <w:vAlign w:val="center"/>
                </w:tcPr>
                <w:p w14:paraId="423C77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行政区划</w:t>
                  </w:r>
                </w:p>
              </w:tc>
              <w:tc>
                <w:tcPr>
                  <w:tcW w:w="4060" w:type="dxa"/>
                  <w:tcBorders>
                    <w:tl2br w:val="nil"/>
                    <w:tr2bl w:val="nil"/>
                  </w:tcBorders>
                  <w:noWrap w:val="0"/>
                  <w:vAlign w:val="center"/>
                </w:tcPr>
                <w:p w14:paraId="1D0857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宁夏回族自治区中卫市沙坡头区</w:t>
                  </w:r>
                </w:p>
              </w:tc>
              <w:tc>
                <w:tcPr>
                  <w:tcW w:w="2245" w:type="dxa"/>
                  <w:tcBorders>
                    <w:tl2br w:val="nil"/>
                    <w:tr2bl w:val="nil"/>
                  </w:tcBorders>
                  <w:noWrap w:val="0"/>
                  <w:vAlign w:val="center"/>
                </w:tcPr>
                <w:p w14:paraId="50AEC1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宁夏回族自治区中卫市沙坡头区</w:t>
                  </w:r>
                  <w:r>
                    <w:rPr>
                      <w:rFonts w:hint="eastAsia" w:ascii="Times New Roman" w:hAnsi="Times New Roman" w:eastAsia="宋体" w:cs="Times New Roman"/>
                      <w:color w:val="auto"/>
                      <w:kern w:val="0"/>
                      <w:sz w:val="21"/>
                      <w:szCs w:val="21"/>
                      <w:highlight w:val="none"/>
                      <w:lang w:val="en-US" w:eastAsia="zh-CN" w:bidi="ar"/>
                    </w:rPr>
                    <w:t>兴仁镇</w:t>
                  </w:r>
                </w:p>
              </w:tc>
            </w:tr>
            <w:tr w14:paraId="66CCC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02" w:type="dxa"/>
                  <w:gridSpan w:val="2"/>
                  <w:tcBorders>
                    <w:tl2br w:val="nil"/>
                    <w:tr2bl w:val="nil"/>
                  </w:tcBorders>
                  <w:noWrap w:val="0"/>
                  <w:vAlign w:val="center"/>
                </w:tcPr>
                <w:p w14:paraId="699FB1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要素属性</w:t>
                  </w:r>
                </w:p>
              </w:tc>
              <w:tc>
                <w:tcPr>
                  <w:tcW w:w="4060" w:type="dxa"/>
                  <w:tcBorders>
                    <w:tl2br w:val="nil"/>
                    <w:tr2bl w:val="nil"/>
                  </w:tcBorders>
                  <w:noWrap w:val="0"/>
                  <w:vAlign w:val="center"/>
                </w:tcPr>
                <w:p w14:paraId="78C5E1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vertAlign w:val="baseline"/>
                      <w:lang w:val="en-US" w:eastAsia="zh-CN"/>
                    </w:rPr>
                    <w:t>水环境</w:t>
                  </w:r>
                  <w:r>
                    <w:rPr>
                      <w:rFonts w:hint="eastAsia" w:ascii="Times New Roman" w:hAnsi="Times New Roman" w:eastAsia="宋体" w:cs="Times New Roman"/>
                      <w:b w:val="0"/>
                      <w:bCs w:val="0"/>
                      <w:color w:val="auto"/>
                      <w:sz w:val="21"/>
                      <w:szCs w:val="21"/>
                      <w:vertAlign w:val="baseline"/>
                      <w:lang w:val="en-US" w:eastAsia="zh-CN"/>
                    </w:rPr>
                    <w:t>一般</w:t>
                  </w:r>
                  <w:r>
                    <w:rPr>
                      <w:rFonts w:hint="default" w:ascii="Times New Roman" w:hAnsi="Times New Roman" w:eastAsia="宋体" w:cs="Times New Roman"/>
                      <w:b w:val="0"/>
                      <w:bCs w:val="0"/>
                      <w:color w:val="auto"/>
                      <w:sz w:val="21"/>
                      <w:szCs w:val="21"/>
                      <w:vertAlign w:val="baseline"/>
                      <w:lang w:val="en-US" w:eastAsia="zh-CN"/>
                    </w:rPr>
                    <w:t>管控</w:t>
                  </w:r>
                  <w:r>
                    <w:rPr>
                      <w:rFonts w:hint="eastAsia" w:ascii="Times New Roman" w:hAnsi="Times New Roman" w:eastAsia="宋体" w:cs="Times New Roman"/>
                      <w:b w:val="0"/>
                      <w:bCs w:val="0"/>
                      <w:color w:val="auto"/>
                      <w:sz w:val="21"/>
                      <w:szCs w:val="21"/>
                      <w:vertAlign w:val="baseline"/>
                      <w:lang w:val="en-US" w:eastAsia="zh-CN"/>
                    </w:rPr>
                    <w:t>区</w:t>
                  </w:r>
                  <w:r>
                    <w:rPr>
                      <w:rFonts w:hint="eastAsia" w:eastAsia="宋体" w:cs="Times New Roman"/>
                      <w:b w:val="0"/>
                      <w:bCs w:val="0"/>
                      <w:color w:val="auto"/>
                      <w:sz w:val="21"/>
                      <w:szCs w:val="21"/>
                      <w:vertAlign w:val="baseline"/>
                      <w:lang w:val="en-US" w:eastAsia="zh-CN"/>
                    </w:rPr>
                    <w:t>-大气环境一般管控区</w:t>
                  </w:r>
                </w:p>
              </w:tc>
              <w:tc>
                <w:tcPr>
                  <w:tcW w:w="2245" w:type="dxa"/>
                  <w:tcBorders>
                    <w:tl2br w:val="nil"/>
                    <w:tr2bl w:val="nil"/>
                  </w:tcBorders>
                  <w:noWrap w:val="0"/>
                  <w:vAlign w:val="center"/>
                </w:tcPr>
                <w:p w14:paraId="74EEBC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r>
            <w:tr w14:paraId="17510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02" w:type="dxa"/>
                  <w:gridSpan w:val="2"/>
                  <w:tcBorders>
                    <w:tl2br w:val="nil"/>
                    <w:tr2bl w:val="nil"/>
                  </w:tcBorders>
                  <w:noWrap w:val="0"/>
                  <w:vAlign w:val="center"/>
                </w:tcPr>
                <w:p w14:paraId="2F6399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管控单元分类</w:t>
                  </w:r>
                </w:p>
              </w:tc>
              <w:tc>
                <w:tcPr>
                  <w:tcW w:w="4060" w:type="dxa"/>
                  <w:tcBorders>
                    <w:tl2br w:val="nil"/>
                    <w:tr2bl w:val="nil"/>
                  </w:tcBorders>
                  <w:noWrap w:val="0"/>
                  <w:vAlign w:val="center"/>
                </w:tcPr>
                <w:p w14:paraId="14996F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w:t>
                  </w:r>
                  <w:r>
                    <w:rPr>
                      <w:rFonts w:hint="default" w:ascii="Times New Roman" w:hAnsi="Times New Roman" w:eastAsia="宋体" w:cs="Times New Roman"/>
                      <w:b w:val="0"/>
                      <w:bCs w:val="0"/>
                      <w:color w:val="auto"/>
                      <w:sz w:val="21"/>
                      <w:szCs w:val="21"/>
                      <w:vertAlign w:val="baseline"/>
                      <w:lang w:val="en-US" w:eastAsia="zh-CN"/>
                    </w:rPr>
                    <w:t>管控单元</w:t>
                  </w:r>
                </w:p>
              </w:tc>
              <w:tc>
                <w:tcPr>
                  <w:tcW w:w="2245" w:type="dxa"/>
                  <w:tcBorders>
                    <w:tl2br w:val="nil"/>
                    <w:tr2bl w:val="nil"/>
                  </w:tcBorders>
                  <w:noWrap w:val="0"/>
                  <w:vAlign w:val="center"/>
                </w:tcPr>
                <w:p w14:paraId="594794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r>
            <w:tr w14:paraId="3C792A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79" w:type="dxa"/>
                  <w:vMerge w:val="restart"/>
                  <w:tcBorders>
                    <w:tl2br w:val="nil"/>
                    <w:tr2bl w:val="nil"/>
                  </w:tcBorders>
                  <w:noWrap w:val="0"/>
                  <w:vAlign w:val="center"/>
                </w:tcPr>
                <w:p w14:paraId="6C41A3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管控要求</w:t>
                  </w:r>
                </w:p>
              </w:tc>
              <w:tc>
                <w:tcPr>
                  <w:tcW w:w="1123" w:type="dxa"/>
                  <w:tcBorders>
                    <w:tl2br w:val="nil"/>
                    <w:tr2bl w:val="nil"/>
                  </w:tcBorders>
                  <w:noWrap w:val="0"/>
                  <w:vAlign w:val="center"/>
                </w:tcPr>
                <w:p w14:paraId="536828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空间布局约束</w:t>
                  </w:r>
                </w:p>
              </w:tc>
              <w:tc>
                <w:tcPr>
                  <w:tcW w:w="4060" w:type="dxa"/>
                  <w:tcBorders>
                    <w:tl2br w:val="nil"/>
                    <w:tr2bl w:val="nil"/>
                  </w:tcBorders>
                  <w:noWrap w:val="0"/>
                  <w:vAlign w:val="center"/>
                </w:tcPr>
                <w:p w14:paraId="2B7D8E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1.禁止新建项目乱征滥占草地、破坏沙生植被，严格限制在区域内采砂取土。</w:t>
                  </w:r>
                </w:p>
                <w:p w14:paraId="7FF7FF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2.限制无序发展光伏产业。严格限制在农用地优先保护区集中区域新建医药、垃圾焚烧、铅酸蓄电池制造回收、电子废弃物拆解、危险废物处置和危险化学品生产、储存、使用等行业项目。</w:t>
                  </w:r>
                </w:p>
                <w:p w14:paraId="4D0275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3.在满足产业准入、总量控制、排放标准等国家和地方相关管理制度要求的前提下，集约发展。</w:t>
                  </w:r>
                </w:p>
                <w:p w14:paraId="1AF788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4.深入推进“散乱污”工业企业整治工作，对不符合国家或自治区产业政策、依法应办理而未办理相关审批或登记手续、违法排污严重的工业企业，限期关停拆除。</w:t>
                  </w:r>
                </w:p>
              </w:tc>
              <w:tc>
                <w:tcPr>
                  <w:tcW w:w="2245" w:type="dxa"/>
                  <w:tcBorders>
                    <w:tl2br w:val="nil"/>
                    <w:tr2bl w:val="nil"/>
                  </w:tcBorders>
                  <w:noWrap w:val="0"/>
                  <w:vAlign w:val="center"/>
                </w:tcPr>
                <w:p w14:paraId="4F3135B8">
                  <w:pPr>
                    <w:pStyle w:val="6"/>
                    <w:ind w:left="0" w:lef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本项目为</w:t>
                  </w:r>
                  <w:r>
                    <w:rPr>
                      <w:rFonts w:hint="eastAsia" w:ascii="Times New Roman" w:hAnsi="Times New Roman" w:eastAsia="宋体" w:cs="Times New Roman"/>
                      <w:color w:val="auto"/>
                      <w:sz w:val="21"/>
                      <w:szCs w:val="21"/>
                      <w:vertAlign w:val="baseline"/>
                      <w:lang w:val="en-US" w:eastAsia="zh-CN"/>
                    </w:rPr>
                    <w:t>污水处理及其再生利用行业，</w:t>
                  </w:r>
                  <w:r>
                    <w:rPr>
                      <w:rFonts w:hint="eastAsia" w:ascii="宋体" w:hAnsi="宋体" w:eastAsia="宋体" w:cs="宋体"/>
                      <w:b w:val="0"/>
                      <w:bCs w:val="0"/>
                      <w:snapToGrid w:val="0"/>
                      <w:color w:val="auto"/>
                      <w:kern w:val="0"/>
                      <w:sz w:val="21"/>
                      <w:szCs w:val="21"/>
                      <w:highlight w:val="none"/>
                      <w:lang w:val="en-US" w:eastAsia="zh-CN"/>
                    </w:rPr>
                    <w:t>不属于空间布局约束中禁止、限制开展的相关工作，符合一般管控单元的要求</w:t>
                  </w:r>
                </w:p>
              </w:tc>
            </w:tr>
            <w:tr w14:paraId="3B497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79" w:type="dxa"/>
                  <w:vMerge w:val="continue"/>
                  <w:tcBorders>
                    <w:tl2br w:val="nil"/>
                    <w:tr2bl w:val="nil"/>
                  </w:tcBorders>
                  <w:noWrap w:val="0"/>
                  <w:vAlign w:val="center"/>
                </w:tcPr>
                <w:p w14:paraId="22403440">
                  <w:pPr>
                    <w:pStyle w:val="2"/>
                    <w:spacing w:line="360" w:lineRule="auto"/>
                    <w:ind w:firstLine="422" w:firstLineChars="200"/>
                    <w:rPr>
                      <w:rFonts w:hint="default" w:ascii="Times New Roman" w:hAnsi="Times New Roman" w:eastAsia="宋体" w:cs="Times New Roman"/>
                      <w:b/>
                      <w:bCs/>
                      <w:color w:val="auto"/>
                      <w:sz w:val="21"/>
                      <w:szCs w:val="21"/>
                      <w:highlight w:val="none"/>
                    </w:rPr>
                  </w:pPr>
                </w:p>
              </w:tc>
              <w:tc>
                <w:tcPr>
                  <w:tcW w:w="1123" w:type="dxa"/>
                  <w:tcBorders>
                    <w:tl2br w:val="nil"/>
                    <w:tr2bl w:val="nil"/>
                  </w:tcBorders>
                  <w:noWrap w:val="0"/>
                  <w:vAlign w:val="center"/>
                </w:tcPr>
                <w:p w14:paraId="539072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污染物排放管控</w:t>
                  </w:r>
                </w:p>
              </w:tc>
              <w:tc>
                <w:tcPr>
                  <w:tcW w:w="4060" w:type="dxa"/>
                  <w:tcBorders>
                    <w:tl2br w:val="nil"/>
                    <w:tr2bl w:val="nil"/>
                  </w:tcBorders>
                  <w:noWrap w:val="0"/>
                  <w:vAlign w:val="center"/>
                </w:tcPr>
                <w:p w14:paraId="451C80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2245" w:type="dxa"/>
                  <w:tcBorders>
                    <w:tl2br w:val="nil"/>
                    <w:tr2bl w:val="nil"/>
                  </w:tcBorders>
                  <w:noWrap w:val="0"/>
                  <w:vAlign w:val="center"/>
                </w:tcPr>
                <w:p w14:paraId="2CB5E7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5BDD39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79" w:type="dxa"/>
                  <w:vMerge w:val="continue"/>
                  <w:tcBorders>
                    <w:tl2br w:val="nil"/>
                    <w:tr2bl w:val="nil"/>
                  </w:tcBorders>
                  <w:noWrap w:val="0"/>
                  <w:vAlign w:val="center"/>
                </w:tcPr>
                <w:p w14:paraId="73DDC2F7">
                  <w:pPr>
                    <w:pStyle w:val="2"/>
                    <w:spacing w:line="360" w:lineRule="auto"/>
                    <w:ind w:firstLine="422" w:firstLineChars="200"/>
                    <w:rPr>
                      <w:rFonts w:hint="default" w:ascii="Times New Roman" w:hAnsi="Times New Roman" w:eastAsia="宋体" w:cs="Times New Roman"/>
                      <w:b/>
                      <w:bCs/>
                      <w:color w:val="auto"/>
                      <w:sz w:val="21"/>
                      <w:szCs w:val="21"/>
                      <w:highlight w:val="none"/>
                      <w:vertAlign w:val="baseline"/>
                      <w:lang w:val="en-US" w:eastAsia="zh-CN"/>
                    </w:rPr>
                  </w:pPr>
                </w:p>
              </w:tc>
              <w:tc>
                <w:tcPr>
                  <w:tcW w:w="1123" w:type="dxa"/>
                  <w:tcBorders>
                    <w:tl2br w:val="nil"/>
                    <w:tr2bl w:val="nil"/>
                  </w:tcBorders>
                  <w:noWrap w:val="0"/>
                  <w:vAlign w:val="center"/>
                </w:tcPr>
                <w:p w14:paraId="3D9FC2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环境风险防范</w:t>
                  </w:r>
                </w:p>
              </w:tc>
              <w:tc>
                <w:tcPr>
                  <w:tcW w:w="4060" w:type="dxa"/>
                  <w:tcBorders>
                    <w:tl2br w:val="nil"/>
                    <w:tr2bl w:val="nil"/>
                  </w:tcBorders>
                  <w:noWrap w:val="0"/>
                  <w:vAlign w:val="center"/>
                </w:tcPr>
                <w:p w14:paraId="1B89B6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2245" w:type="dxa"/>
                  <w:tcBorders>
                    <w:tl2br w:val="nil"/>
                    <w:tr2bl w:val="nil"/>
                  </w:tcBorders>
                  <w:noWrap w:val="0"/>
                  <w:vAlign w:val="center"/>
                </w:tcPr>
                <w:p w14:paraId="77068D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35002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79" w:type="dxa"/>
                  <w:vMerge w:val="continue"/>
                  <w:tcBorders>
                    <w:tl2br w:val="nil"/>
                    <w:tr2bl w:val="nil"/>
                  </w:tcBorders>
                  <w:noWrap w:val="0"/>
                  <w:vAlign w:val="center"/>
                </w:tcPr>
                <w:p w14:paraId="4E6DED92">
                  <w:pPr>
                    <w:pStyle w:val="2"/>
                    <w:spacing w:line="360" w:lineRule="auto"/>
                    <w:ind w:firstLine="420" w:firstLineChars="200"/>
                    <w:rPr>
                      <w:rFonts w:hint="default" w:ascii="Times New Roman" w:hAnsi="Times New Roman" w:eastAsia="宋体" w:cs="Times New Roman"/>
                      <w:b w:val="0"/>
                      <w:bCs w:val="0"/>
                      <w:color w:val="auto"/>
                      <w:sz w:val="21"/>
                      <w:szCs w:val="21"/>
                      <w:highlight w:val="none"/>
                      <w:vertAlign w:val="baseline"/>
                      <w:lang w:val="en-US" w:eastAsia="zh-CN"/>
                    </w:rPr>
                  </w:pPr>
                </w:p>
              </w:tc>
              <w:tc>
                <w:tcPr>
                  <w:tcW w:w="1123" w:type="dxa"/>
                  <w:tcBorders>
                    <w:tl2br w:val="nil"/>
                    <w:tr2bl w:val="nil"/>
                  </w:tcBorders>
                  <w:noWrap w:val="0"/>
                  <w:vAlign w:val="center"/>
                </w:tcPr>
                <w:p w14:paraId="114534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资源开发效率</w:t>
                  </w:r>
                </w:p>
              </w:tc>
              <w:tc>
                <w:tcPr>
                  <w:tcW w:w="4060" w:type="dxa"/>
                  <w:tcBorders>
                    <w:tl2br w:val="nil"/>
                    <w:tr2bl w:val="nil"/>
                  </w:tcBorders>
                  <w:noWrap w:val="0"/>
                  <w:vAlign w:val="center"/>
                </w:tcPr>
                <w:p w14:paraId="3F7E76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2245" w:type="dxa"/>
                  <w:tcBorders>
                    <w:tl2br w:val="nil"/>
                    <w:tr2bl w:val="nil"/>
                  </w:tcBorders>
                  <w:noWrap w:val="0"/>
                  <w:vAlign w:val="center"/>
                </w:tcPr>
                <w:p w14:paraId="1390EA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bl>
          <w:p w14:paraId="7CFD2117">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contextualSpacing/>
              <w:textAlignment w:val="auto"/>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kern w:val="0"/>
                <w:sz w:val="24"/>
                <w:szCs w:val="24"/>
                <w:highlight w:val="none"/>
                <w:lang w:val="en-US" w:eastAsia="zh-CN" w:bidi="ar-SA"/>
              </w:rPr>
              <w:t>综上所述，本项目的建设符合中卫市“三线一清单”及其分区管控相关要求。</w:t>
            </w:r>
          </w:p>
          <w:p w14:paraId="32C0B74B">
            <w:pPr>
              <w:keepNext w:val="0"/>
              <w:keepLines w:val="0"/>
              <w:suppressLineNumbers w:val="0"/>
              <w:adjustRightInd w:val="0"/>
              <w:snapToGrid w:val="0"/>
              <w:spacing w:before="0" w:beforeAutospacing="0" w:after="0" w:afterAutospacing="0" w:line="360" w:lineRule="auto"/>
              <w:ind w:left="0" w:right="0" w:firstLine="482" w:firstLineChars="200"/>
              <w:contextualSpacing/>
              <w:rPr>
                <w:rFonts w:hint="eastAsia"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val="en-US" w:eastAsia="zh-CN"/>
              </w:rPr>
              <w:t>2</w:t>
            </w:r>
            <w:r>
              <w:rPr>
                <w:rFonts w:ascii="Times New Roman" w:hAnsi="Times New Roman" w:eastAsia="仿宋_GB2312" w:cs="Times New Roman"/>
                <w:b/>
                <w:bCs/>
                <w:color w:val="auto"/>
                <w:sz w:val="24"/>
                <w:szCs w:val="24"/>
              </w:rPr>
              <w:t>、</w:t>
            </w:r>
            <w:r>
              <w:rPr>
                <w:rFonts w:hint="eastAsia" w:ascii="Times New Roman" w:hAnsi="Times New Roman" w:eastAsia="仿宋_GB2312" w:cs="Times New Roman"/>
                <w:b/>
                <w:bCs/>
                <w:color w:val="auto"/>
                <w:sz w:val="24"/>
                <w:szCs w:val="24"/>
                <w:lang w:eastAsia="zh-CN"/>
              </w:rPr>
              <w:t>项目与《“十四五”城镇污水处理及资源化利用发展规划》符合性分析；</w:t>
            </w:r>
          </w:p>
          <w:p w14:paraId="49AE6EF7">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ascii="Times New Roman" w:hAnsi="Times New Roman" w:eastAsia="仿宋_GB2312" w:cs="Times New Roman"/>
                <w:b w:val="0"/>
                <w:bCs w:val="0"/>
                <w:color w:val="auto"/>
                <w:sz w:val="24"/>
                <w:szCs w:val="24"/>
              </w:rPr>
            </w:pPr>
            <w:r>
              <w:rPr>
                <w:rFonts w:hint="eastAsia" w:ascii="Times New Roman" w:hAnsi="Times New Roman" w:eastAsia="仿宋_GB2312" w:cs="Times New Roman"/>
                <w:b w:val="0"/>
                <w:bCs w:val="0"/>
                <w:color w:val="auto"/>
                <w:sz w:val="24"/>
                <w:szCs w:val="24"/>
                <w:lang w:eastAsia="zh-CN"/>
              </w:rPr>
              <w:t>《“十四五”城镇污水处理及资源化利用发展规划》指出“</w:t>
            </w:r>
            <w:r>
              <w:rPr>
                <w:rFonts w:ascii="Times New Roman" w:hAnsi="Times New Roman" w:eastAsia="仿宋_GB2312" w:cs="Times New Roman"/>
                <w:b w:val="0"/>
                <w:bCs w:val="0"/>
                <w:color w:val="auto"/>
                <w:sz w:val="24"/>
                <w:szCs w:val="24"/>
              </w:rPr>
              <w:t>到2035年，城市生活污水收集管网基本全覆盖，城镇污水处理能力全覆盖，全面实现污泥无害化处置，污水污泥资源化利用水平显著提升，城镇污水得到安全高效处理，全民共享绿色、生态、安全的城镇水生态环境</w:t>
            </w:r>
            <w:r>
              <w:rPr>
                <w:rFonts w:hint="eastAsia" w:ascii="Times New Roman" w:hAnsi="Times New Roman" w:eastAsia="仿宋_GB2312" w:cs="Times New Roman"/>
                <w:b w:val="0"/>
                <w:bCs w:val="0"/>
                <w:color w:val="auto"/>
                <w:sz w:val="24"/>
                <w:szCs w:val="24"/>
                <w:lang w:eastAsia="zh-CN"/>
              </w:rPr>
              <w:t>”。本项目为城镇污水处理厂及配套纳污管网建设项目，建设地点位于中卫市沙坡头区兴仁镇，</w:t>
            </w:r>
            <w:r>
              <w:rPr>
                <w:rFonts w:hint="default" w:ascii="Times New Roman" w:hAnsi="Times New Roman" w:eastAsia="仿宋_GB2312" w:cs="Times New Roman"/>
                <w:b w:val="0"/>
                <w:bCs w:val="0"/>
                <w:color w:val="auto"/>
                <w:sz w:val="24"/>
                <w:szCs w:val="24"/>
                <w:lang w:val="en-US" w:eastAsia="zh-CN"/>
              </w:rPr>
              <w:t>到目前为止兴仁镇尚无大规模的集中污水处理设施，大量未经处理的污水排入洪水河等河流或用于农溉，且部分街区尚未敷设排水管道，</w:t>
            </w:r>
            <w:r>
              <w:rPr>
                <w:rFonts w:hint="eastAsia" w:ascii="Times New Roman" w:hAnsi="Times New Roman" w:eastAsia="仿宋_GB2312" w:cs="Times New Roman"/>
                <w:b w:val="0"/>
                <w:bCs w:val="0"/>
                <w:color w:val="auto"/>
                <w:sz w:val="24"/>
                <w:szCs w:val="24"/>
                <w:lang w:val="en-US" w:eastAsia="zh-CN"/>
              </w:rPr>
              <w:t>通过本项目的建设，可有效解决兴仁镇镇区居民生活污水的收纳及处理问题，因此本项目的建设符合</w:t>
            </w:r>
            <w:r>
              <w:rPr>
                <w:rFonts w:hint="eastAsia" w:ascii="Times New Roman" w:hAnsi="Times New Roman" w:eastAsia="仿宋_GB2312" w:cs="Times New Roman"/>
                <w:b w:val="0"/>
                <w:bCs w:val="0"/>
                <w:color w:val="auto"/>
                <w:sz w:val="24"/>
                <w:szCs w:val="24"/>
                <w:lang w:eastAsia="zh-CN"/>
              </w:rPr>
              <w:t>《“十四五”城镇污水处理及资源化利用发展规划》。</w:t>
            </w:r>
          </w:p>
          <w:p w14:paraId="34A82D29">
            <w:pPr>
              <w:keepNext w:val="0"/>
              <w:keepLines w:val="0"/>
              <w:numPr>
                <w:ilvl w:val="0"/>
                <w:numId w:val="2"/>
              </w:numPr>
              <w:suppressLineNumbers w:val="0"/>
              <w:adjustRightInd w:val="0"/>
              <w:snapToGrid w:val="0"/>
              <w:spacing w:before="0" w:beforeAutospacing="0" w:after="0" w:afterAutospacing="0" w:line="360" w:lineRule="auto"/>
              <w:ind w:left="0" w:right="0" w:firstLine="482" w:firstLineChars="200"/>
              <w:contextualSpacing/>
              <w:rPr>
                <w:rFonts w:hint="eastAsia"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eastAsia="zh-CN"/>
              </w:rPr>
              <w:t>项目与《补齐城镇环境治理设施短板行动实施方案》符合性分析；</w:t>
            </w:r>
          </w:p>
          <w:p w14:paraId="535C5C6B">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ascii="Times New Roman" w:hAnsi="Times New Roman" w:eastAsia="仿宋_GB2312" w:cs="Times New Roman"/>
                <w:b w:val="0"/>
                <w:bCs w:val="0"/>
                <w:color w:val="auto"/>
                <w:sz w:val="24"/>
                <w:szCs w:val="24"/>
              </w:rPr>
            </w:pPr>
            <w:r>
              <w:rPr>
                <w:rFonts w:hint="eastAsia" w:ascii="Times New Roman" w:hAnsi="Times New Roman" w:eastAsia="仿宋_GB2312" w:cs="Times New Roman"/>
                <w:b w:val="0"/>
                <w:bCs w:val="0"/>
                <w:color w:val="auto"/>
                <w:sz w:val="24"/>
                <w:szCs w:val="24"/>
                <w:lang w:eastAsia="zh-CN"/>
              </w:rPr>
              <w:t>《补齐城镇环境治理设施短板行动实施方案》指出：“补齐污水收集设施短板。加快建设老城区、城中村及城乡结合部等重点区域生活污水收集处理设施，消除县城空白区</w:t>
            </w:r>
            <w:r>
              <w:rPr>
                <w:rFonts w:hint="eastAsia" w:ascii="Times New Roman" w:hAnsi="Times New Roman" w:eastAsia="仿宋_GB2312" w:cs="Times New Roman"/>
                <w:b w:val="0"/>
                <w:bCs w:val="0"/>
                <w:color w:val="auto"/>
                <w:sz w:val="24"/>
                <w:szCs w:val="24"/>
                <w:lang w:val="en-US" w:eastAsia="zh-CN"/>
              </w:rPr>
              <w:t>......</w:t>
            </w:r>
            <w:r>
              <w:rPr>
                <w:rFonts w:hint="eastAsia" w:ascii="Times New Roman" w:hAnsi="Times New Roman" w:eastAsia="仿宋_GB2312" w:cs="Times New Roman"/>
                <w:b w:val="0"/>
                <w:bCs w:val="0"/>
                <w:color w:val="auto"/>
                <w:sz w:val="24"/>
                <w:szCs w:val="24"/>
                <w:lang w:eastAsia="zh-CN"/>
              </w:rPr>
              <w:t>新建污水集中处理设施同步配套建设服务片区内污水收集管网，确保污水有效收集。科学确定城镇污水处理厂布局和规模，“十四五”期间，新建或改造污水管网743公里，基本消除城镇建成区生活污水直排口和收集处理设施空白区。”本项目为城镇污水处理厂及配套纳污管网建设项目，建设地点位于中卫市沙坡头区兴仁镇，</w:t>
            </w:r>
            <w:r>
              <w:rPr>
                <w:rFonts w:hint="default" w:ascii="Times New Roman" w:hAnsi="Times New Roman" w:eastAsia="仿宋_GB2312" w:cs="Times New Roman"/>
                <w:b w:val="0"/>
                <w:bCs w:val="0"/>
                <w:color w:val="auto"/>
                <w:sz w:val="24"/>
                <w:szCs w:val="24"/>
                <w:lang w:val="en-US" w:eastAsia="zh-CN"/>
              </w:rPr>
              <w:t>到目前为止兴仁镇尚无大规模的集中污水处理设施，大量未经处理的污水排入洪水河等河流或用于农溉，且部分街区尚未敷设排水管道，</w:t>
            </w:r>
            <w:r>
              <w:rPr>
                <w:rFonts w:hint="eastAsia" w:ascii="Times New Roman" w:hAnsi="Times New Roman" w:eastAsia="仿宋_GB2312" w:cs="Times New Roman"/>
                <w:b w:val="0"/>
                <w:bCs w:val="0"/>
                <w:color w:val="auto"/>
                <w:sz w:val="24"/>
                <w:szCs w:val="24"/>
                <w:lang w:val="en-US" w:eastAsia="zh-CN"/>
              </w:rPr>
              <w:t>通过本项目的建设，可有效解决兴仁镇镇区居民生活污水的收纳及处理问题，因此本项目的建设符合</w:t>
            </w:r>
            <w:r>
              <w:rPr>
                <w:rFonts w:hint="eastAsia" w:ascii="Times New Roman" w:hAnsi="Times New Roman" w:eastAsia="仿宋_GB2312" w:cs="Times New Roman"/>
                <w:b w:val="0"/>
                <w:bCs w:val="0"/>
                <w:color w:val="auto"/>
                <w:sz w:val="24"/>
                <w:szCs w:val="24"/>
                <w:lang w:eastAsia="zh-CN"/>
              </w:rPr>
              <w:t>《补齐城镇环境治理设施短板行动实施方案》。</w:t>
            </w:r>
          </w:p>
          <w:p w14:paraId="5B83770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0" w:right="0" w:rightChars="0"/>
              <w:contextualSpacing/>
              <w:textAlignment w:val="auto"/>
              <w:rPr>
                <w:rFonts w:hint="default"/>
                <w:color w:val="auto"/>
                <w:lang w:val="en-US" w:eastAsia="zh-CN"/>
              </w:rPr>
            </w:pPr>
            <w:r>
              <w:rPr>
                <w:rFonts w:hint="eastAsia" w:ascii="Times New Roman" w:hAnsi="Times New Roman" w:eastAsia="仿宋_GB2312" w:cs="Times New Roman"/>
                <w:b/>
                <w:bCs/>
                <w:color w:val="auto"/>
                <w:sz w:val="24"/>
                <w:szCs w:val="24"/>
                <w:lang w:val="en-US" w:eastAsia="zh-CN"/>
              </w:rPr>
              <w:t>4、项目与《宁夏回族自治区水生态环境保护“十四五”规划》符合性分析；</w:t>
            </w:r>
          </w:p>
          <w:p w14:paraId="560459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《宁夏回族自治区水生态环境保护“十四五”规划》指出“</w:t>
            </w:r>
            <w:r>
              <w:rPr>
                <w:rFonts w:hint="default" w:ascii="Times New Roman" w:hAnsi="Times New Roman" w:eastAsia="仿宋_GB2312" w:cs="Times New Roman"/>
                <w:b w:val="0"/>
                <w:bCs w:val="0"/>
                <w:color w:val="auto"/>
                <w:spacing w:val="-6"/>
                <w:sz w:val="24"/>
                <w:lang w:eastAsia="zh-CN"/>
              </w:rPr>
              <w:t>新建污水集中处理设施，必须合理规划建设服务片区污水收集管网，确保污水收集能力。加快城中村、老旧城区、城乡结合部和异地扶贫搬迁安置区的生活污水收集管网建设，消除管网收集空白区。结合老旧小区和市政道路改造，推动支线管网和出户管的连接建设，实施混错接、漏接、老旧破损管网更新修复，提升污水收集效能。到2025年，基本消除城市建成区生活污水直排口和收集处理设施空白区，城市生活污水集中收集率力争达到70%以上或较2020年提高5个百分点。</w:t>
            </w:r>
            <w:r>
              <w:rPr>
                <w:rFonts w:hint="default" w:ascii="Times New Roman" w:hAnsi="Times New Roman" w:eastAsia="仿宋_GB2312" w:cs="Times New Roman"/>
                <w:b w:val="0"/>
                <w:bCs w:val="0"/>
                <w:color w:val="auto"/>
                <w:sz w:val="24"/>
                <w:szCs w:val="24"/>
                <w:lang w:val="en-US" w:eastAsia="zh-CN"/>
              </w:rPr>
              <w:t>”</w:t>
            </w:r>
            <w:r>
              <w:rPr>
                <w:rFonts w:hint="eastAsia" w:ascii="Times New Roman" w:hAnsi="Times New Roman" w:eastAsia="仿宋_GB2312" w:cs="Times New Roman"/>
                <w:b w:val="0"/>
                <w:bCs w:val="0"/>
                <w:color w:val="auto"/>
                <w:sz w:val="24"/>
                <w:szCs w:val="24"/>
                <w:lang w:val="en-US" w:eastAsia="zh-CN"/>
              </w:rPr>
              <w:t>本项目为城镇生活污水处理厂建设项目，同时，项目配套建设污水收纳管网16.68km，污水收纳范围为兴仁镇镇区，项目建成后可有效解决兴仁镇居民生活污水直接排放所带来的环境影响问题，符合《宁夏回族自治区水生态环境保护“十四五”规划》。</w:t>
            </w:r>
          </w:p>
          <w:p w14:paraId="576F94D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0" w:right="0" w:rightChars="0"/>
              <w:contextualSpacing/>
              <w:textAlignment w:val="auto"/>
              <w:rPr>
                <w:rFonts w:hint="default"/>
                <w:color w:val="auto"/>
                <w:lang w:val="en-US" w:eastAsia="zh-CN"/>
              </w:rPr>
            </w:pPr>
            <w:r>
              <w:rPr>
                <w:rFonts w:hint="eastAsia" w:ascii="Times New Roman" w:hAnsi="Times New Roman" w:eastAsia="仿宋_GB2312" w:cs="Times New Roman"/>
                <w:b/>
                <w:bCs/>
                <w:color w:val="auto"/>
                <w:sz w:val="24"/>
                <w:szCs w:val="24"/>
                <w:lang w:val="en-US" w:eastAsia="zh-CN"/>
              </w:rPr>
              <w:t>5、项目与《中卫市沙坡头区生态环境保护“十四五”规划》符合性分析；</w:t>
            </w:r>
          </w:p>
          <w:p w14:paraId="499F0B76">
            <w:pPr>
              <w:pStyle w:val="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eastAsia="仿宋_GB2312"/>
                <w:color w:val="auto"/>
                <w:lang w:val="en-US" w:eastAsia="zh-CN"/>
              </w:rPr>
            </w:pPr>
            <w:r>
              <w:rPr>
                <w:rFonts w:hint="eastAsia" w:ascii="仿宋_GB2312" w:hAnsi="仿宋_GB2312" w:eastAsia="仿宋_GB2312" w:cs="仿宋_GB2312"/>
                <w:color w:val="auto"/>
                <w:sz w:val="24"/>
                <w:szCs w:val="24"/>
              </w:rPr>
              <w:t>《中卫市沙坡头区生态环境保护“十四五”规划》</w:t>
            </w:r>
            <w:r>
              <w:rPr>
                <w:rFonts w:hint="eastAsia" w:ascii="仿宋_GB2312" w:hAnsi="仿宋_GB2312" w:eastAsia="仿宋_GB2312" w:cs="仿宋_GB2312"/>
                <w:color w:val="auto"/>
                <w:sz w:val="24"/>
                <w:szCs w:val="24"/>
                <w:lang w:val="en-US" w:eastAsia="zh-CN"/>
              </w:rPr>
              <w:t>指出“</w:t>
            </w:r>
            <w:r>
              <w:rPr>
                <w:rFonts w:hint="eastAsia" w:ascii="仿宋_GB2312" w:hAnsi="仿宋_GB2312" w:eastAsia="仿宋_GB2312" w:cs="仿宋_GB2312"/>
                <w:b/>
                <w:bCs/>
                <w:color w:val="auto"/>
                <w:sz w:val="24"/>
                <w:szCs w:val="24"/>
                <w:lang w:val="en-US" w:eastAsia="zh-CN"/>
              </w:rPr>
              <w:t>补齐城镇污水收集管网短板</w:t>
            </w:r>
            <w:r>
              <w:rPr>
                <w:rFonts w:hint="eastAsia" w:ascii="仿宋_GB2312" w:hAnsi="仿宋_GB2312" w:eastAsia="仿宋_GB2312" w:cs="仿宋_GB2312"/>
                <w:color w:val="auto"/>
                <w:sz w:val="24"/>
                <w:szCs w:val="24"/>
                <w:lang w:val="en-US" w:eastAsia="zh-CN"/>
              </w:rPr>
              <w:t>。将城镇污水收集管网建设作为补短板的重中之重。新建污水集中处理设施，必须合理规划建设服务片区污水收集管网，确保污水收集能力。城市和县城要加快城中村、老旧城区、城乡接合部和易地扶贫搬迁安置区的生活污水收集管网建设，加快消除收集管网空白区。对人口密度过大的区域、城中村等，要严格控制人口和企事业单位入驻，避免因排水量激增导致现有污水收集处理设施超负荷运行。结合老旧小区和市政道路改造，推动支线管网和出户管的连接建设，补上“毛细血管”，实施混错接、漏接、老旧破损管网更新修复，提升污水收集效能。”本项目为城镇污水处理厂及配套纳污管网建设项目，建设地点位于中卫市沙坡头区兴仁镇，到目前为止兴仁镇尚无大规模的集中污水处理设施，大量未经处理的污水排入洪水河等河流或用于农溉，且部分街区尚未敷设排水管道，通过本项目的建设，可有效解决兴仁镇污水收集管网短板问题，符合</w:t>
            </w:r>
            <w:r>
              <w:rPr>
                <w:rFonts w:hint="eastAsia" w:ascii="仿宋_GB2312" w:hAnsi="仿宋_GB2312" w:eastAsia="仿宋_GB2312" w:cs="仿宋_GB2312"/>
                <w:color w:val="auto"/>
                <w:sz w:val="24"/>
                <w:szCs w:val="24"/>
              </w:rPr>
              <w:t>《中卫市沙坡头区生态环境保护“十四五”规划》</w:t>
            </w:r>
            <w:r>
              <w:rPr>
                <w:rFonts w:hint="eastAsia" w:ascii="仿宋_GB2312" w:hAnsi="仿宋_GB2312" w:eastAsia="仿宋_GB2312" w:cs="仿宋_GB2312"/>
                <w:color w:val="auto"/>
                <w:sz w:val="24"/>
                <w:szCs w:val="24"/>
                <w:lang w:eastAsia="zh-CN"/>
              </w:rPr>
              <w:t>。</w:t>
            </w:r>
          </w:p>
        </w:tc>
      </w:tr>
    </w:tbl>
    <w:p w14:paraId="6E162B03">
      <w:pPr>
        <w:jc w:val="center"/>
        <w:rPr>
          <w:rFonts w:ascii="Times New Roman" w:hAnsi="Times New Roman" w:eastAsia="黑体" w:cs="Times New Roman"/>
          <w:color w:val="auto"/>
          <w:sz w:val="30"/>
          <w:szCs w:val="30"/>
        </w:rPr>
        <w:sectPr>
          <w:pgSz w:w="11906" w:h="16838"/>
          <w:pgMar w:top="1588" w:right="1361" w:bottom="1644" w:left="136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6E164BB">
      <w:pPr>
        <w:jc w:val="center"/>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二、建设项目工程分析</w:t>
      </w:r>
    </w:p>
    <w:tbl>
      <w:tblPr>
        <w:tblStyle w:val="27"/>
        <w:tblW w:w="91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7"/>
        <w:gridCol w:w="8177"/>
      </w:tblGrid>
      <w:tr w14:paraId="509E5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97" w:hRule="atLeast"/>
          <w:jc w:val="center"/>
        </w:trPr>
        <w:tc>
          <w:tcPr>
            <w:tcW w:w="977" w:type="dxa"/>
            <w:vAlign w:val="center"/>
          </w:tcPr>
          <w:p w14:paraId="5A3727AD">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建设内容</w:t>
            </w:r>
          </w:p>
        </w:tc>
        <w:tc>
          <w:tcPr>
            <w:tcW w:w="8177" w:type="dxa"/>
            <w:vAlign w:val="top"/>
          </w:tcPr>
          <w:p w14:paraId="228334AC">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b/>
                <w:bCs/>
                <w:color w:val="auto"/>
                <w:sz w:val="24"/>
                <w:szCs w:val="24"/>
                <w:lang w:eastAsia="zh-CN"/>
              </w:rPr>
            </w:pPr>
            <w:r>
              <w:rPr>
                <w:rFonts w:hint="eastAsia" w:ascii="Times New Roman" w:hAnsi="Times New Roman" w:eastAsia="仿宋" w:cs="Times New Roman"/>
                <w:b/>
                <w:bCs/>
                <w:color w:val="auto"/>
                <w:sz w:val="24"/>
                <w:szCs w:val="24"/>
                <w:lang w:eastAsia="zh-CN"/>
              </w:rPr>
              <w:t>项目背景</w:t>
            </w:r>
          </w:p>
          <w:p w14:paraId="22C68D45">
            <w:pPr>
              <w:pStyle w:val="40"/>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兴仁镇位于宁夏回族自治区中卫市沙坡头区西南部，地处两省（甘肃、宁夏）、三县一区（靖远县、中宁县、海原县和沙坡头区）的交汇处，到目前为止兴仁镇尚无大规模的集中污水处理设施，大量未经处理的污水排入洪水河等河流或用于农溉，且部分街区尚未敷设排水管道，大大影响市容环境，干扰镇区人民正常的工作生活，影响旅游环境，城镇供水系统、自然水域及农作物的严重污染，制约了镇区经济的发展。</w:t>
            </w:r>
          </w:p>
          <w:p w14:paraId="461A4D64">
            <w:pPr>
              <w:pStyle w:val="40"/>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为了改善这一现状，有效提高镇区内的污水利用率，更有效地消减排入洪水河的污染物，最终减轻河道的有机污染负荷，加速城镇的发展，中卫市沙坡头区兴仁镇人民政府</w:t>
            </w:r>
            <w:r>
              <w:rPr>
                <w:rFonts w:hint="eastAsia" w:ascii="Times New Roman" w:eastAsia="仿宋_GB2312" w:cs="Times New Roman"/>
                <w:color w:val="auto"/>
                <w:sz w:val="24"/>
                <w:szCs w:val="24"/>
                <w:lang w:val="en-US" w:eastAsia="zh-CN"/>
              </w:rPr>
              <w:t>于2020年</w:t>
            </w:r>
            <w:r>
              <w:rPr>
                <w:rFonts w:hint="default" w:ascii="Times New Roman" w:hAnsi="Times New Roman" w:eastAsia="仿宋_GB2312" w:cs="Times New Roman"/>
                <w:color w:val="auto"/>
                <w:sz w:val="24"/>
                <w:szCs w:val="24"/>
                <w:lang w:val="en-US" w:eastAsia="zh-CN"/>
              </w:rPr>
              <w:t>规划在兴仁镇北环路以南区域建设“沙坡头区兴仁镇污水处理厂项目”</w:t>
            </w:r>
            <w:r>
              <w:rPr>
                <w:rFonts w:hint="eastAsia" w:ascii="Times New Roman" w:eastAsia="仿宋_GB2312" w:cs="Times New Roman"/>
                <w:color w:val="auto"/>
                <w:sz w:val="24"/>
                <w:szCs w:val="24"/>
                <w:lang w:val="en-US" w:eastAsia="zh-CN"/>
              </w:rPr>
              <w:t>，企业在建设前期准备阶段时，决定对原设计内容进行变更，调整了污水处理工艺及排水方式。2022年2月8日，沙坡头区发展和改革局以“中卫市沙坡头区发展和改革局关于调整变更沙坡头区兴仁镇污水处理厂项目可行性研究报告的批复（卫沙发改（审批）发[2022]32号）”同意建设单位对该项目建设内容进行调整变更。2023年2月10日取得《关于沙坡头区兴仁镇污水处理厂建设项目初步设计的批复》（卫沙发改（审批）发【2023】17号）。</w:t>
            </w:r>
            <w:r>
              <w:rPr>
                <w:rFonts w:hint="default" w:ascii="Times New Roman" w:hAnsi="Times New Roman" w:eastAsia="仿宋_GB2312" w:cs="Times New Roman"/>
                <w:color w:val="auto"/>
                <w:sz w:val="24"/>
                <w:szCs w:val="24"/>
                <w:lang w:eastAsia="zh-CN"/>
              </w:rPr>
              <w:t>中卫市生态环境局沙坡头区分局于</w:t>
            </w:r>
            <w:r>
              <w:rPr>
                <w:rFonts w:hint="default" w:ascii="Times New Roman" w:hAnsi="Times New Roman" w:eastAsia="仿宋_GB2312" w:cs="Times New Roman"/>
                <w:color w:val="auto"/>
                <w:sz w:val="24"/>
                <w:szCs w:val="24"/>
                <w:lang w:val="en-US" w:eastAsia="zh-CN"/>
              </w:rPr>
              <w:t>202</w:t>
            </w:r>
            <w:r>
              <w:rPr>
                <w:rFonts w:hint="eastAsia" w:asci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val="en-US" w:eastAsia="zh-CN"/>
              </w:rPr>
              <w:t>年</w:t>
            </w:r>
            <w:r>
              <w:rPr>
                <w:rFonts w:hint="eastAsia" w:asci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val="en-US" w:eastAsia="zh-CN"/>
              </w:rPr>
              <w:t>月</w:t>
            </w:r>
            <w:r>
              <w:rPr>
                <w:rFonts w:hint="eastAsia" w:ascii="Times New Roman" w:eastAsia="仿宋_GB2312" w:cs="Times New Roman"/>
                <w:color w:val="auto"/>
                <w:sz w:val="24"/>
                <w:szCs w:val="24"/>
                <w:lang w:val="en-US" w:eastAsia="zh-CN"/>
              </w:rPr>
              <w:t>22</w:t>
            </w:r>
            <w:r>
              <w:rPr>
                <w:rFonts w:hint="default" w:ascii="Times New Roman" w:hAnsi="Times New Roman" w:eastAsia="仿宋_GB2312" w:cs="Times New Roman"/>
                <w:color w:val="auto"/>
                <w:sz w:val="24"/>
                <w:szCs w:val="24"/>
                <w:lang w:val="en-US" w:eastAsia="zh-CN"/>
              </w:rPr>
              <w:t>日以“关于同意中卫市沙坡头区兴仁镇人民政府《沙坡头区兴仁镇污水处理厂项目环境影响报告表》的函（卫环沙坡头区分局函[202</w:t>
            </w:r>
            <w:r>
              <w:rPr>
                <w:rFonts w:hint="eastAsia" w:asci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val="en-US" w:eastAsia="zh-CN"/>
              </w:rPr>
              <w:t>]5号）”对</w:t>
            </w:r>
            <w:r>
              <w:rPr>
                <w:rFonts w:hint="eastAsia" w:ascii="Times New Roman" w:eastAsia="仿宋_GB2312" w:cs="Times New Roman"/>
                <w:color w:val="auto"/>
                <w:sz w:val="24"/>
                <w:szCs w:val="24"/>
                <w:lang w:val="en-US" w:eastAsia="zh-CN"/>
              </w:rPr>
              <w:t>变动后的项目</w:t>
            </w:r>
            <w:r>
              <w:rPr>
                <w:rFonts w:hint="default" w:ascii="Times New Roman" w:hAnsi="Times New Roman" w:eastAsia="仿宋_GB2312" w:cs="Times New Roman"/>
                <w:color w:val="auto"/>
                <w:sz w:val="24"/>
                <w:szCs w:val="24"/>
                <w:lang w:val="en-US" w:eastAsia="zh-CN"/>
              </w:rPr>
              <w:t>进行</w:t>
            </w:r>
            <w:r>
              <w:rPr>
                <w:rFonts w:hint="eastAsia" w:ascii="Times New Roman" w:eastAsia="仿宋_GB2312" w:cs="Times New Roman"/>
                <w:color w:val="auto"/>
                <w:sz w:val="24"/>
                <w:szCs w:val="24"/>
                <w:lang w:val="en-US" w:eastAsia="zh-CN"/>
              </w:rPr>
              <w:t>批复，目前项目已按原环评批复内容完成建设。</w:t>
            </w:r>
          </w:p>
          <w:p w14:paraId="0617F87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考虑到兴仁镇远期的发展规划及收集范围的扩大，厂内预留扩建用地将用于污水处理厂二期工程扩建，厂区预留地近期内无法配套建设设计的再生水池，导致建设单位现阶段再生水无法回用，污水处理厂排入洪水河水量发生变动，排水量由原来的9.2万t/a（11月份至2月份）增加到29.2万t/a（1-12月/全年）。根据《水处理建设项目重大变动清单（试行）的通知》，项目变动情况见表2-1。</w:t>
            </w:r>
          </w:p>
        </w:tc>
      </w:tr>
    </w:tbl>
    <w:p w14:paraId="3A353F39">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sectPr>
          <w:pgSz w:w="11906" w:h="16838"/>
          <w:pgMar w:top="1588" w:right="1361" w:bottom="1588" w:left="1361"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49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3211"/>
      </w:tblGrid>
      <w:tr w14:paraId="68191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86" w:hRule="atLeast"/>
          <w:jc w:val="center"/>
        </w:trPr>
        <w:tc>
          <w:tcPr>
            <w:tcW w:w="523" w:type="dxa"/>
            <w:vAlign w:val="center"/>
          </w:tcPr>
          <w:p w14:paraId="6DCC936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b/>
                <w:bCs/>
                <w:color w:val="auto"/>
                <w:sz w:val="28"/>
                <w:szCs w:val="28"/>
                <w:lang w:eastAsia="zh-CN"/>
              </w:rPr>
            </w:pPr>
            <w:r>
              <w:rPr>
                <w:rFonts w:hint="eastAsia" w:ascii="Times New Roman" w:hAnsi="Times New Roman" w:eastAsia="宋体" w:cs="Times New Roman"/>
                <w:b/>
                <w:bCs/>
                <w:color w:val="auto"/>
                <w:sz w:val="28"/>
                <w:szCs w:val="28"/>
                <w:lang w:eastAsia="zh-CN"/>
              </w:rPr>
              <w:t>建设内容</w:t>
            </w:r>
          </w:p>
        </w:tc>
        <w:tc>
          <w:tcPr>
            <w:tcW w:w="13211" w:type="dxa"/>
            <w:vAlign w:val="center"/>
          </w:tcPr>
          <w:p w14:paraId="5DB2385A">
            <w:pPr>
              <w:pStyle w:val="7"/>
              <w:keepNext w:val="0"/>
              <w:keepLines w:val="0"/>
              <w:pageBreakBefore w:val="0"/>
              <w:widowControl/>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adjustRightInd w:val="0"/>
              <w:snapToGrid/>
              <w:spacing w:before="0" w:after="0" w:line="240" w:lineRule="auto"/>
              <w:jc w:val="center"/>
              <w:textAlignment w:val="baseline"/>
              <w:rPr>
                <w:rFonts w:ascii="Times New Roman" w:eastAsia="宋体"/>
                <w:b/>
                <w:bCs/>
                <w:color w:val="auto"/>
                <w:kern w:val="0"/>
                <w:sz w:val="24"/>
                <w:szCs w:val="24"/>
              </w:rPr>
            </w:pPr>
            <w:r>
              <w:rPr>
                <w:rFonts w:ascii="Times New Roman" w:eastAsia="宋体"/>
                <w:b w:val="0"/>
                <w:bCs w:val="0"/>
                <w:color w:val="auto"/>
                <w:sz w:val="21"/>
                <w:szCs w:val="21"/>
              </w:rPr>
              <w:t>表</w:t>
            </w:r>
            <w:r>
              <w:rPr>
                <w:rFonts w:hint="eastAsia" w:ascii="Times New Roman" w:eastAsia="宋体"/>
                <w:b w:val="0"/>
                <w:bCs w:val="0"/>
                <w:color w:val="auto"/>
                <w:sz w:val="21"/>
                <w:szCs w:val="21"/>
                <w:lang w:val="en-US" w:eastAsia="zh-CN"/>
              </w:rPr>
              <w:t xml:space="preserve">2-1    </w:t>
            </w:r>
            <w:r>
              <w:rPr>
                <w:rFonts w:ascii="Times New Roman" w:eastAsia="宋体"/>
                <w:b/>
                <w:bCs/>
                <w:color w:val="auto"/>
                <w:sz w:val="24"/>
                <w:szCs w:val="24"/>
              </w:rPr>
              <w:t>本项目与</w:t>
            </w:r>
            <w:r>
              <w:rPr>
                <w:rFonts w:ascii="Times New Roman" w:eastAsia="宋体"/>
                <w:b/>
                <w:bCs/>
                <w:color w:val="auto"/>
                <w:kern w:val="0"/>
                <w:sz w:val="24"/>
                <w:szCs w:val="24"/>
              </w:rPr>
              <w:t>《</w:t>
            </w:r>
            <w:r>
              <w:rPr>
                <w:rFonts w:hint="eastAsia" w:ascii="Times New Roman" w:eastAsia="宋体"/>
                <w:b/>
                <w:bCs/>
                <w:color w:val="auto"/>
                <w:kern w:val="0"/>
                <w:sz w:val="24"/>
                <w:szCs w:val="24"/>
              </w:rPr>
              <w:t>水处理建设项目重大变动清单（试行）的通知</w:t>
            </w:r>
            <w:r>
              <w:rPr>
                <w:rFonts w:ascii="Times New Roman" w:eastAsia="宋体"/>
                <w:b/>
                <w:bCs/>
                <w:color w:val="auto"/>
                <w:kern w:val="0"/>
                <w:sz w:val="24"/>
                <w:szCs w:val="24"/>
              </w:rPr>
              <w:t>》认定的重大变动情况对照表</w:t>
            </w:r>
          </w:p>
          <w:tbl>
            <w:tblPr>
              <w:tblStyle w:val="26"/>
              <w:tblW w:w="49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79" w:type="dxa"/>
                <w:bottom w:w="0" w:type="dxa"/>
                <w:right w:w="79" w:type="dxa"/>
              </w:tblCellMar>
            </w:tblPr>
            <w:tblGrid>
              <w:gridCol w:w="693"/>
              <w:gridCol w:w="4198"/>
              <w:gridCol w:w="3700"/>
              <w:gridCol w:w="2500"/>
              <w:gridCol w:w="1615"/>
            </w:tblGrid>
            <w:tr w14:paraId="2137DE7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069EE120">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序号</w:t>
                  </w:r>
                </w:p>
              </w:tc>
              <w:tc>
                <w:tcPr>
                  <w:tcW w:w="4198" w:type="dxa"/>
                  <w:noWrap w:val="0"/>
                  <w:vAlign w:val="center"/>
                </w:tcPr>
                <w:p w14:paraId="3F1AE74A">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具体规定</w:t>
                  </w:r>
                </w:p>
              </w:tc>
              <w:tc>
                <w:tcPr>
                  <w:tcW w:w="3700" w:type="dxa"/>
                  <w:noWrap w:val="0"/>
                  <w:vAlign w:val="center"/>
                </w:tcPr>
                <w:p w14:paraId="514B566A">
                  <w:pPr>
                    <w:pStyle w:val="76"/>
                    <w:tabs>
                      <w:tab w:val="center" w:pos="4153"/>
                      <w:tab w:val="right" w:pos="8306"/>
                    </w:tabs>
                    <w:spacing w:line="240" w:lineRule="auto"/>
                    <w:rPr>
                      <w:rFonts w:hint="default" w:ascii="Times New Roman" w:hAnsi="Times New Roman" w:eastAsia="宋体" w:cs="Times New Roman"/>
                      <w:b/>
                      <w:color w:val="auto"/>
                      <w:kern w:val="0"/>
                      <w:sz w:val="21"/>
                      <w:szCs w:val="21"/>
                      <w:lang w:val="en-US"/>
                    </w:rPr>
                  </w:pPr>
                  <w:r>
                    <w:rPr>
                      <w:rFonts w:hint="eastAsia" w:ascii="Times New Roman" w:hAnsi="Times New Roman" w:eastAsia="宋体" w:cs="Times New Roman"/>
                      <w:b/>
                      <w:color w:val="auto"/>
                      <w:kern w:val="0"/>
                      <w:sz w:val="21"/>
                      <w:szCs w:val="21"/>
                      <w:lang w:val="en-US" w:eastAsia="zh-CN"/>
                    </w:rPr>
                    <w:t>原环评情况</w:t>
                  </w:r>
                </w:p>
              </w:tc>
              <w:tc>
                <w:tcPr>
                  <w:tcW w:w="2500" w:type="dxa"/>
                  <w:noWrap w:val="0"/>
                  <w:vAlign w:val="center"/>
                </w:tcPr>
                <w:p w14:paraId="78E088ED">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变化情况说明</w:t>
                  </w:r>
                </w:p>
              </w:tc>
              <w:tc>
                <w:tcPr>
                  <w:tcW w:w="1615" w:type="dxa"/>
                  <w:noWrap w:val="0"/>
                  <w:vAlign w:val="center"/>
                </w:tcPr>
                <w:p w14:paraId="62157305">
                  <w:pPr>
                    <w:pStyle w:val="76"/>
                    <w:tabs>
                      <w:tab w:val="center" w:pos="4153"/>
                      <w:tab w:val="right" w:pos="8306"/>
                    </w:tabs>
                    <w:spacing w:line="240" w:lineRule="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是否属于重大变动</w:t>
                  </w:r>
                </w:p>
              </w:tc>
            </w:tr>
            <w:tr w14:paraId="75BE80A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314731EA">
                  <w:pPr>
                    <w:pStyle w:val="76"/>
                    <w:tabs>
                      <w:tab w:val="center" w:pos="4153"/>
                      <w:tab w:val="right" w:pos="8306"/>
                    </w:tabs>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bCs w:val="0"/>
                      <w:color w:val="auto"/>
                      <w:kern w:val="0"/>
                      <w:sz w:val="21"/>
                      <w:szCs w:val="21"/>
                      <w:lang w:val="en-US" w:eastAsia="zh-CN"/>
                    </w:rPr>
                    <w:t>一</w:t>
                  </w:r>
                </w:p>
              </w:tc>
              <w:tc>
                <w:tcPr>
                  <w:tcW w:w="12013" w:type="dxa"/>
                  <w:gridSpan w:val="4"/>
                  <w:noWrap w:val="0"/>
                  <w:vAlign w:val="center"/>
                </w:tcPr>
                <w:p w14:paraId="0180C94B">
                  <w:pPr>
                    <w:pStyle w:val="76"/>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color w:val="auto"/>
                      <w:kern w:val="0"/>
                      <w:sz w:val="21"/>
                      <w:szCs w:val="21"/>
                      <w:lang w:eastAsia="zh-CN"/>
                    </w:rPr>
                  </w:pPr>
                  <w:r>
                    <w:rPr>
                      <w:rFonts w:hint="eastAsia" w:ascii="Times New Roman" w:hAnsi="Times New Roman" w:eastAsia="宋体" w:cs="Times New Roman"/>
                      <w:b/>
                      <w:color w:val="auto"/>
                      <w:kern w:val="0"/>
                      <w:sz w:val="21"/>
                      <w:szCs w:val="21"/>
                      <w:lang w:val="en-US" w:eastAsia="zh-CN"/>
                    </w:rPr>
                    <w:t>规模</w:t>
                  </w:r>
                </w:p>
              </w:tc>
            </w:tr>
            <w:tr w14:paraId="1A090A5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5EC2565F">
                  <w:pPr>
                    <w:pStyle w:val="76"/>
                    <w:tabs>
                      <w:tab w:val="center" w:pos="4153"/>
                      <w:tab w:val="right" w:pos="8306"/>
                    </w:tabs>
                    <w:spacing w:line="240" w:lineRule="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4198" w:type="dxa"/>
                  <w:noWrap w:val="0"/>
                  <w:vAlign w:val="center"/>
                </w:tcPr>
                <w:p w14:paraId="0B311F9E">
                  <w:pPr>
                    <w:pStyle w:val="76"/>
                    <w:tabs>
                      <w:tab w:val="center" w:pos="4153"/>
                      <w:tab w:val="right" w:pos="8306"/>
                    </w:tabs>
                    <w:spacing w:line="240"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污水设计日处理能力增加30%及以上</w:t>
                  </w:r>
                </w:p>
              </w:tc>
              <w:tc>
                <w:tcPr>
                  <w:tcW w:w="3700" w:type="dxa"/>
                  <w:noWrap w:val="0"/>
                  <w:vAlign w:val="center"/>
                </w:tcPr>
                <w:p w14:paraId="7E6059EF">
                  <w:pPr>
                    <w:pStyle w:val="76"/>
                    <w:tabs>
                      <w:tab w:val="center" w:pos="4153"/>
                      <w:tab w:val="right" w:pos="8306"/>
                    </w:tabs>
                    <w:spacing w:line="240" w:lineRule="auto"/>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污水处理厂设计处理能力</w:t>
                  </w:r>
                  <w:r>
                    <w:rPr>
                      <w:rFonts w:hint="eastAsia" w:ascii="Times New Roman" w:hAnsi="Times New Roman" w:eastAsia="宋体" w:cs="Times New Roman"/>
                      <w:color w:val="auto"/>
                      <w:kern w:val="0"/>
                      <w:sz w:val="21"/>
                      <w:szCs w:val="21"/>
                      <w:lang w:val="en-US" w:eastAsia="zh-CN"/>
                    </w:rPr>
                    <w:t>800m</w:t>
                  </w:r>
                  <w:r>
                    <w:rPr>
                      <w:rFonts w:hint="eastAsia" w:ascii="Times New Roman" w:hAnsi="Times New Roman" w:eastAsia="宋体" w:cs="Times New Roman"/>
                      <w:color w:val="auto"/>
                      <w:kern w:val="0"/>
                      <w:sz w:val="21"/>
                      <w:szCs w:val="21"/>
                      <w:vertAlign w:val="superscript"/>
                      <w:lang w:val="en-US" w:eastAsia="zh-CN"/>
                    </w:rPr>
                    <w:t>3</w:t>
                  </w:r>
                  <w:r>
                    <w:rPr>
                      <w:rFonts w:hint="eastAsia" w:ascii="Times New Roman" w:hAnsi="Times New Roman" w:eastAsia="宋体" w:cs="Times New Roman"/>
                      <w:color w:val="auto"/>
                      <w:kern w:val="0"/>
                      <w:sz w:val="21"/>
                      <w:szCs w:val="21"/>
                      <w:lang w:val="en-US" w:eastAsia="zh-CN"/>
                    </w:rPr>
                    <w:t>/d</w:t>
                  </w:r>
                </w:p>
              </w:tc>
              <w:tc>
                <w:tcPr>
                  <w:tcW w:w="2500" w:type="dxa"/>
                  <w:noWrap w:val="0"/>
                  <w:vAlign w:val="center"/>
                </w:tcPr>
                <w:p w14:paraId="5017831B">
                  <w:pPr>
                    <w:pStyle w:val="76"/>
                    <w:tabs>
                      <w:tab w:val="center" w:pos="4153"/>
                      <w:tab w:val="right" w:pos="8306"/>
                    </w:tabs>
                    <w:spacing w:line="240" w:lineRule="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无变化</w:t>
                  </w:r>
                </w:p>
              </w:tc>
              <w:tc>
                <w:tcPr>
                  <w:tcW w:w="1615" w:type="dxa"/>
                  <w:noWrap w:val="0"/>
                  <w:vAlign w:val="center"/>
                </w:tcPr>
                <w:p w14:paraId="28F68DBC">
                  <w:pPr>
                    <w:pStyle w:val="76"/>
                    <w:tabs>
                      <w:tab w:val="center" w:pos="4153"/>
                      <w:tab w:val="right" w:pos="8306"/>
                    </w:tabs>
                    <w:spacing w:line="240"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否</w:t>
                  </w:r>
                </w:p>
              </w:tc>
            </w:tr>
            <w:tr w14:paraId="5AEC2D0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6FB778A3">
                  <w:pPr>
                    <w:pStyle w:val="76"/>
                    <w:tabs>
                      <w:tab w:val="center" w:pos="4153"/>
                      <w:tab w:val="right" w:pos="8306"/>
                    </w:tabs>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bCs w:val="0"/>
                      <w:color w:val="auto"/>
                      <w:kern w:val="0"/>
                      <w:sz w:val="21"/>
                      <w:szCs w:val="21"/>
                      <w:lang w:val="en-US" w:eastAsia="zh-CN"/>
                    </w:rPr>
                    <w:t>二</w:t>
                  </w:r>
                </w:p>
              </w:tc>
              <w:tc>
                <w:tcPr>
                  <w:tcW w:w="12013" w:type="dxa"/>
                  <w:gridSpan w:val="4"/>
                  <w:noWrap w:val="0"/>
                  <w:vAlign w:val="center"/>
                </w:tcPr>
                <w:p w14:paraId="1E4A87AD">
                  <w:pPr>
                    <w:pStyle w:val="76"/>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val="0"/>
                      <w:color w:val="auto"/>
                      <w:kern w:val="0"/>
                      <w:sz w:val="21"/>
                      <w:szCs w:val="21"/>
                      <w:lang w:eastAsia="zh-CN"/>
                    </w:rPr>
                  </w:pPr>
                  <w:r>
                    <w:rPr>
                      <w:rFonts w:hint="eastAsia" w:ascii="Times New Roman" w:hAnsi="Times New Roman" w:eastAsia="宋体" w:cs="Times New Roman"/>
                      <w:b/>
                      <w:bCs w:val="0"/>
                      <w:color w:val="auto"/>
                      <w:kern w:val="0"/>
                      <w:sz w:val="21"/>
                      <w:szCs w:val="21"/>
                      <w:lang w:val="en-US" w:eastAsia="zh-CN"/>
                    </w:rPr>
                    <w:t>建设地点</w:t>
                  </w:r>
                </w:p>
              </w:tc>
            </w:tr>
            <w:tr w14:paraId="2E30A42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662" w:hRule="atLeast"/>
                <w:jc w:val="center"/>
              </w:trPr>
              <w:tc>
                <w:tcPr>
                  <w:tcW w:w="693" w:type="dxa"/>
                  <w:noWrap w:val="0"/>
                  <w:vAlign w:val="center"/>
                </w:tcPr>
                <w:p w14:paraId="2D6556E1">
                  <w:pPr>
                    <w:pStyle w:val="76"/>
                    <w:tabs>
                      <w:tab w:val="center" w:pos="4153"/>
                      <w:tab w:val="right" w:pos="8306"/>
                    </w:tabs>
                    <w:spacing w:line="240" w:lineRule="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4198" w:type="dxa"/>
                  <w:noWrap w:val="0"/>
                  <w:vAlign w:val="center"/>
                </w:tcPr>
                <w:p w14:paraId="20981C37">
                  <w:pPr>
                    <w:pStyle w:val="76"/>
                    <w:tabs>
                      <w:tab w:val="center" w:pos="4153"/>
                      <w:tab w:val="right" w:pos="8306"/>
                    </w:tabs>
                    <w:spacing w:line="240"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项目重新选址：在原厂址附件调整（包括总平面布置变化）导致大气环境防护距离内新增环境敏感点</w:t>
                  </w:r>
                </w:p>
              </w:tc>
              <w:tc>
                <w:tcPr>
                  <w:tcW w:w="3700" w:type="dxa"/>
                  <w:noWrap w:val="0"/>
                  <w:vAlign w:val="center"/>
                </w:tcPr>
                <w:p w14:paraId="0F372B87">
                  <w:pPr>
                    <w:pStyle w:val="76"/>
                    <w:tabs>
                      <w:tab w:val="center" w:pos="4153"/>
                      <w:tab w:val="right" w:pos="8306"/>
                    </w:tabs>
                    <w:spacing w:line="240" w:lineRule="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建设地点位于</w:t>
                  </w:r>
                  <w:r>
                    <w:rPr>
                      <w:rFonts w:hint="eastAsia" w:ascii="Times New Roman" w:hAnsi="Times New Roman" w:eastAsia="宋体" w:cs="Times New Roman"/>
                      <w:color w:val="auto"/>
                      <w:kern w:val="0"/>
                      <w:sz w:val="21"/>
                      <w:szCs w:val="21"/>
                      <w:lang w:eastAsia="zh-CN"/>
                    </w:rPr>
                    <w:t>中卫市沙坡头区兴仁镇北环路以北</w:t>
                  </w:r>
                  <w:r>
                    <w:rPr>
                      <w:rFonts w:hint="default" w:ascii="Times New Roman" w:hAnsi="Times New Roman" w:eastAsia="宋体" w:cs="Times New Roman"/>
                      <w:color w:val="auto"/>
                      <w:kern w:val="0"/>
                      <w:sz w:val="21"/>
                      <w:szCs w:val="21"/>
                    </w:rPr>
                    <w:t>，地理坐标：北纬3</w:t>
                  </w: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56</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39</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933</w:t>
                  </w:r>
                  <w:r>
                    <w:rPr>
                      <w:rFonts w:hint="default" w:ascii="Times New Roman" w:hAnsi="Times New Roman" w:eastAsia="宋体" w:cs="Times New Roman"/>
                      <w:color w:val="auto"/>
                      <w:kern w:val="0"/>
                      <w:sz w:val="21"/>
                      <w:szCs w:val="21"/>
                    </w:rPr>
                    <w:t>"、东经10</w:t>
                  </w: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15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844</w:t>
                  </w:r>
                  <w:r>
                    <w:rPr>
                      <w:rFonts w:hint="default" w:ascii="Times New Roman" w:hAnsi="Times New Roman" w:eastAsia="宋体" w:cs="Times New Roman"/>
                      <w:color w:val="auto"/>
                      <w:kern w:val="0"/>
                      <w:sz w:val="21"/>
                      <w:szCs w:val="21"/>
                    </w:rPr>
                    <w:t>"</w:t>
                  </w:r>
                </w:p>
              </w:tc>
              <w:tc>
                <w:tcPr>
                  <w:tcW w:w="2500" w:type="dxa"/>
                  <w:noWrap w:val="0"/>
                  <w:vAlign w:val="center"/>
                </w:tcPr>
                <w:p w14:paraId="596DEC0D">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无变化</w:t>
                  </w:r>
                </w:p>
              </w:tc>
              <w:tc>
                <w:tcPr>
                  <w:tcW w:w="1615" w:type="dxa"/>
                  <w:noWrap w:val="0"/>
                  <w:vAlign w:val="center"/>
                </w:tcPr>
                <w:p w14:paraId="074395F3">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否</w:t>
                  </w:r>
                </w:p>
              </w:tc>
            </w:tr>
            <w:tr w14:paraId="0ED81A2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01AE3D89">
                  <w:pPr>
                    <w:pStyle w:val="76"/>
                    <w:tabs>
                      <w:tab w:val="center" w:pos="4153"/>
                      <w:tab w:val="right" w:pos="8306"/>
                    </w:tabs>
                    <w:spacing w:line="240" w:lineRule="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bCs w:val="0"/>
                      <w:color w:val="auto"/>
                      <w:kern w:val="0"/>
                      <w:sz w:val="21"/>
                      <w:szCs w:val="21"/>
                      <w:lang w:val="en-US" w:eastAsia="zh-CN"/>
                    </w:rPr>
                    <w:t>三</w:t>
                  </w:r>
                </w:p>
              </w:tc>
              <w:tc>
                <w:tcPr>
                  <w:tcW w:w="12013" w:type="dxa"/>
                  <w:gridSpan w:val="4"/>
                  <w:noWrap w:val="0"/>
                  <w:vAlign w:val="center"/>
                </w:tcPr>
                <w:p w14:paraId="69EE9294">
                  <w:pPr>
                    <w:pStyle w:val="76"/>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val="0"/>
                      <w:color w:val="auto"/>
                      <w:kern w:val="0"/>
                      <w:sz w:val="21"/>
                      <w:szCs w:val="21"/>
                      <w:lang w:val="en-US" w:eastAsia="zh-CN"/>
                    </w:rPr>
                  </w:pPr>
                  <w:r>
                    <w:rPr>
                      <w:rFonts w:hint="eastAsia" w:ascii="Times New Roman" w:hAnsi="Times New Roman" w:eastAsia="宋体" w:cs="Times New Roman"/>
                      <w:b/>
                      <w:bCs w:val="0"/>
                      <w:color w:val="auto"/>
                      <w:kern w:val="0"/>
                      <w:sz w:val="21"/>
                      <w:szCs w:val="21"/>
                      <w:lang w:val="en-US" w:eastAsia="zh-CN"/>
                    </w:rPr>
                    <w:t>生产工艺</w:t>
                  </w:r>
                </w:p>
              </w:tc>
            </w:tr>
            <w:tr w14:paraId="495D178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670" w:hRule="atLeast"/>
                <w:jc w:val="center"/>
              </w:trPr>
              <w:tc>
                <w:tcPr>
                  <w:tcW w:w="693" w:type="dxa"/>
                  <w:noWrap w:val="0"/>
                  <w:vAlign w:val="center"/>
                </w:tcPr>
                <w:p w14:paraId="5F6A01D7">
                  <w:pPr>
                    <w:snapToGrid w:val="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4198" w:type="dxa"/>
                  <w:noWrap w:val="0"/>
                  <w:vAlign w:val="center"/>
                </w:tcPr>
                <w:p w14:paraId="46724DF3">
                  <w:pPr>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废水处理工艺变化或进水水质、水量变化，导致污染物项目或污染物排放量增加。</w:t>
                  </w:r>
                </w:p>
              </w:tc>
              <w:tc>
                <w:tcPr>
                  <w:tcW w:w="3700" w:type="dxa"/>
                  <w:noWrap w:val="0"/>
                  <w:vAlign w:val="center"/>
                </w:tcPr>
                <w:p w14:paraId="696CA97E">
                  <w:pPr>
                    <w:pStyle w:val="76"/>
                    <w:tabs>
                      <w:tab w:val="center" w:pos="4153"/>
                      <w:tab w:val="right" w:pos="8306"/>
                    </w:tabs>
                    <w:spacing w:line="240" w:lineRule="auto"/>
                    <w:jc w:val="left"/>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污水处理工艺：预处理间（粗细格栅+平流沉砂池）＋调节池＋A</w:t>
                  </w:r>
                  <w:r>
                    <w:rPr>
                      <w:rFonts w:hint="eastAsia" w:ascii="Times New Roman" w:hAnsi="Times New Roman" w:eastAsia="宋体" w:cs="Times New Roman"/>
                      <w:color w:val="auto"/>
                      <w:kern w:val="0"/>
                      <w:sz w:val="21"/>
                      <w:szCs w:val="21"/>
                      <w:vertAlign w:val="superscript"/>
                      <w:lang w:eastAsia="zh-CN"/>
                    </w:rPr>
                    <w:t>2</w:t>
                  </w:r>
                  <w:r>
                    <w:rPr>
                      <w:rFonts w:hint="eastAsia" w:ascii="Times New Roman" w:hAnsi="Times New Roman" w:eastAsia="宋体" w:cs="Times New Roman"/>
                      <w:color w:val="auto"/>
                      <w:kern w:val="0"/>
                      <w:sz w:val="21"/>
                      <w:szCs w:val="21"/>
                      <w:lang w:eastAsia="zh-CN"/>
                    </w:rPr>
                    <w:t>/O生物反应池＋平流沉淀池＋高效沉淀池+竖片滤池+次氯酸钠消毒。</w:t>
                  </w:r>
                </w:p>
                <w:p w14:paraId="57667E83">
                  <w:pPr>
                    <w:pStyle w:val="76"/>
                    <w:tabs>
                      <w:tab w:val="center" w:pos="4153"/>
                      <w:tab w:val="right" w:pos="8306"/>
                    </w:tabs>
                    <w:spacing w:line="240" w:lineRule="auto"/>
                    <w:jc w:val="left"/>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污泥脱水工艺：叠螺式污泥浓缩机+超高压弹性压榨机。</w:t>
                  </w:r>
                </w:p>
                <w:p w14:paraId="4BBA9F52">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原辅料：</w:t>
                  </w:r>
                  <w:r>
                    <w:rPr>
                      <w:rFonts w:hint="eastAsia" w:ascii="Times New Roman" w:hAnsi="Times New Roman" w:eastAsia="宋体" w:cs="Times New Roman"/>
                      <w:color w:val="auto"/>
                      <w:kern w:val="0"/>
                      <w:sz w:val="21"/>
                      <w:szCs w:val="21"/>
                      <w:lang w:val="en-US" w:eastAsia="zh-CN"/>
                    </w:rPr>
                    <w:t>PAM（絮凝剂）、PAC（除磷剂）、次氯酸钠</w:t>
                  </w:r>
                  <w:r>
                    <w:rPr>
                      <w:rFonts w:hint="default" w:ascii="Times New Roman" w:hAnsi="Times New Roman" w:eastAsia="宋体" w:cs="Times New Roman"/>
                      <w:color w:val="auto"/>
                      <w:kern w:val="0"/>
                      <w:sz w:val="21"/>
                      <w:szCs w:val="21"/>
                    </w:rPr>
                    <w:t>；</w:t>
                  </w:r>
                </w:p>
              </w:tc>
              <w:tc>
                <w:tcPr>
                  <w:tcW w:w="2500" w:type="dxa"/>
                  <w:noWrap w:val="0"/>
                  <w:vAlign w:val="center"/>
                </w:tcPr>
                <w:p w14:paraId="2F71AE07">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污水处理厂处理尾水常年排入至洪水河。排水量由原来的9.2万t/a（11月份至2月份）增加到29.2万t/a（1-12月/全年）</w:t>
                  </w:r>
                </w:p>
              </w:tc>
              <w:tc>
                <w:tcPr>
                  <w:tcW w:w="1615" w:type="dxa"/>
                  <w:noWrap w:val="0"/>
                  <w:vAlign w:val="center"/>
                </w:tcPr>
                <w:p w14:paraId="64333531">
                  <w:pPr>
                    <w:pStyle w:val="76"/>
                    <w:tabs>
                      <w:tab w:val="center" w:pos="4153"/>
                      <w:tab w:val="right" w:pos="8306"/>
                    </w:tabs>
                    <w:spacing w:line="240" w:lineRule="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是</w:t>
                  </w:r>
                </w:p>
              </w:tc>
            </w:tr>
            <w:tr w14:paraId="0CC5236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260" w:hRule="atLeast"/>
                <w:jc w:val="center"/>
              </w:trPr>
              <w:tc>
                <w:tcPr>
                  <w:tcW w:w="693" w:type="dxa"/>
                  <w:noWrap w:val="0"/>
                  <w:vAlign w:val="center"/>
                </w:tcPr>
                <w:p w14:paraId="05958A68">
                  <w:pPr>
                    <w:pStyle w:val="76"/>
                    <w:tabs>
                      <w:tab w:val="center" w:pos="4153"/>
                      <w:tab w:val="right" w:pos="8306"/>
                    </w:tabs>
                    <w:spacing w:line="240" w:lineRule="auto"/>
                    <w:rPr>
                      <w:rFonts w:hint="eastAsia" w:ascii="Times New Roman" w:hAnsi="Times New Roman" w:eastAsia="宋体" w:cs="Times New Roman"/>
                      <w:b/>
                      <w:bCs w:val="0"/>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四</w:t>
                  </w:r>
                </w:p>
              </w:tc>
              <w:tc>
                <w:tcPr>
                  <w:tcW w:w="12013" w:type="dxa"/>
                  <w:gridSpan w:val="4"/>
                  <w:noWrap w:val="0"/>
                  <w:vAlign w:val="center"/>
                </w:tcPr>
                <w:p w14:paraId="02004D5A">
                  <w:pPr>
                    <w:pStyle w:val="76"/>
                    <w:tabs>
                      <w:tab w:val="center" w:pos="4153"/>
                      <w:tab w:val="right" w:pos="8306"/>
                    </w:tabs>
                    <w:spacing w:line="240" w:lineRule="auto"/>
                    <w:jc w:val="both"/>
                    <w:rPr>
                      <w:rFonts w:hint="default" w:ascii="Times New Roman" w:hAnsi="Times New Roman" w:eastAsia="宋体" w:cs="Times New Roman"/>
                      <w:b/>
                      <w:bCs w:val="0"/>
                      <w:color w:val="auto"/>
                      <w:kern w:val="0"/>
                      <w:sz w:val="21"/>
                      <w:szCs w:val="21"/>
                      <w:lang w:val="en-US" w:eastAsia="zh-CN"/>
                    </w:rPr>
                  </w:pPr>
                  <w:r>
                    <w:rPr>
                      <w:rFonts w:hint="eastAsia" w:ascii="Times New Roman" w:hAnsi="Times New Roman" w:eastAsia="宋体" w:cs="Times New Roman"/>
                      <w:b/>
                      <w:bCs w:val="0"/>
                      <w:color w:val="auto"/>
                      <w:kern w:val="0"/>
                      <w:sz w:val="21"/>
                      <w:szCs w:val="21"/>
                      <w:lang w:val="en-US" w:eastAsia="zh-CN"/>
                    </w:rPr>
                    <w:t>环境保护措施</w:t>
                  </w:r>
                </w:p>
              </w:tc>
            </w:tr>
            <w:tr w14:paraId="180DB22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670" w:hRule="atLeast"/>
                <w:jc w:val="center"/>
              </w:trPr>
              <w:tc>
                <w:tcPr>
                  <w:tcW w:w="693" w:type="dxa"/>
                  <w:noWrap w:val="0"/>
                  <w:vAlign w:val="center"/>
                </w:tcPr>
                <w:p w14:paraId="6BCDBC05">
                  <w:pPr>
                    <w:snapToGrid w:val="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4198" w:type="dxa"/>
                  <w:noWrap w:val="0"/>
                  <w:vAlign w:val="center"/>
                </w:tcPr>
                <w:p w14:paraId="7FCE872B">
                  <w:pPr>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新增废水排放口：废水排放去向由间接排放改为直接排放；直接排放口位置变化导致不利环境影响加重。</w:t>
                  </w:r>
                </w:p>
              </w:tc>
              <w:tc>
                <w:tcPr>
                  <w:tcW w:w="3700" w:type="dxa"/>
                  <w:noWrap w:val="0"/>
                  <w:vAlign w:val="center"/>
                </w:tcPr>
                <w:p w14:paraId="7D64FABA">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新增1处废水直接排放口，排放口坐标：北纬36°56'43.89"、东经105°15'00.94"</w:t>
                  </w:r>
                </w:p>
              </w:tc>
              <w:tc>
                <w:tcPr>
                  <w:tcW w:w="2500" w:type="dxa"/>
                  <w:noWrap w:val="0"/>
                  <w:vAlign w:val="center"/>
                </w:tcPr>
                <w:p w14:paraId="0856B561">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无变化</w:t>
                  </w:r>
                </w:p>
              </w:tc>
              <w:tc>
                <w:tcPr>
                  <w:tcW w:w="1615" w:type="dxa"/>
                  <w:noWrap w:val="0"/>
                  <w:vAlign w:val="center"/>
                </w:tcPr>
                <w:p w14:paraId="532D3074">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否</w:t>
                  </w:r>
                </w:p>
              </w:tc>
            </w:tr>
            <w:tr w14:paraId="24536A4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670" w:hRule="atLeast"/>
                <w:jc w:val="center"/>
              </w:trPr>
              <w:tc>
                <w:tcPr>
                  <w:tcW w:w="693" w:type="dxa"/>
                  <w:noWrap w:val="0"/>
                  <w:vAlign w:val="center"/>
                </w:tcPr>
                <w:p w14:paraId="57323A0C">
                  <w:pPr>
                    <w:snapToGrid w:val="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4198" w:type="dxa"/>
                  <w:noWrap w:val="0"/>
                  <w:vAlign w:val="center"/>
                </w:tcPr>
                <w:p w14:paraId="24EB5E9F">
                  <w:pPr>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废气处理设施变化导致污染物排放量增加（废气无组织排放改为有组织排放的除外）；排气筒高度降低10%及以上。</w:t>
                  </w:r>
                </w:p>
              </w:tc>
              <w:tc>
                <w:tcPr>
                  <w:tcW w:w="3700" w:type="dxa"/>
                  <w:noWrap w:val="0"/>
                  <w:vAlign w:val="center"/>
                </w:tcPr>
                <w:p w14:paraId="0B0FDB17">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r>
                    <w:rPr>
                      <w:rFonts w:hint="default" w:ascii="Times New Roman" w:hAnsi="Times New Roman" w:eastAsia="宋体" w:cs="Times New Roman"/>
                      <w:color w:val="auto"/>
                      <w:sz w:val="21"/>
                      <w:szCs w:val="21"/>
                    </w:rPr>
                    <w:t>恶臭气体通过风管收集（收集效率98%）后采用生物除臭滤池工艺处理（处理效率90%），净化后的废气通过15m高的排气筒排放</w:t>
                  </w:r>
                  <w:r>
                    <w:rPr>
                      <w:rFonts w:hint="eastAsia" w:ascii="Times New Roman" w:hAnsi="Times New Roman" w:eastAsia="宋体" w:cs="Times New Roman"/>
                      <w:color w:val="auto"/>
                      <w:sz w:val="21"/>
                      <w:szCs w:val="21"/>
                      <w:lang w:eastAsia="zh-CN"/>
                    </w:rPr>
                    <w:t>。</w:t>
                  </w:r>
                </w:p>
              </w:tc>
              <w:tc>
                <w:tcPr>
                  <w:tcW w:w="2500" w:type="dxa"/>
                  <w:noWrap w:val="0"/>
                  <w:vAlign w:val="center"/>
                </w:tcPr>
                <w:p w14:paraId="2BBB843C">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无变化</w:t>
                  </w:r>
                </w:p>
              </w:tc>
              <w:tc>
                <w:tcPr>
                  <w:tcW w:w="1615" w:type="dxa"/>
                  <w:noWrap w:val="0"/>
                  <w:vAlign w:val="center"/>
                </w:tcPr>
                <w:p w14:paraId="5BA26016">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否</w:t>
                  </w:r>
                </w:p>
              </w:tc>
            </w:tr>
            <w:tr w14:paraId="1B36F6A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670" w:hRule="atLeast"/>
                <w:jc w:val="center"/>
              </w:trPr>
              <w:tc>
                <w:tcPr>
                  <w:tcW w:w="693" w:type="dxa"/>
                  <w:noWrap w:val="0"/>
                  <w:vAlign w:val="center"/>
                </w:tcPr>
                <w:p w14:paraId="289ED24D">
                  <w:pPr>
                    <w:snapToGrid w:val="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4198" w:type="dxa"/>
                  <w:noWrap w:val="0"/>
                  <w:vAlign w:val="center"/>
                </w:tcPr>
                <w:p w14:paraId="653AAA6F">
                  <w:pPr>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污泥产生量增加且自行处置能力不足，或污泥处置方式由外委改为自行处置，或自行处置方式变化，导致不利环境影响加重。</w:t>
                  </w:r>
                </w:p>
              </w:tc>
              <w:tc>
                <w:tcPr>
                  <w:tcW w:w="3700" w:type="dxa"/>
                  <w:noWrap w:val="0"/>
                  <w:vAlign w:val="center"/>
                </w:tcPr>
                <w:p w14:paraId="6091B062">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产生的污泥经脱水处理后含水率达到60%以下外运至中卫市绿能新能源有限公司集中处置。</w:t>
                  </w:r>
                </w:p>
              </w:tc>
              <w:tc>
                <w:tcPr>
                  <w:tcW w:w="2500" w:type="dxa"/>
                  <w:noWrap w:val="0"/>
                  <w:vAlign w:val="center"/>
                </w:tcPr>
                <w:p w14:paraId="7D337CD4">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无变化</w:t>
                  </w:r>
                </w:p>
              </w:tc>
              <w:tc>
                <w:tcPr>
                  <w:tcW w:w="1615" w:type="dxa"/>
                  <w:noWrap w:val="0"/>
                  <w:vAlign w:val="center"/>
                </w:tcPr>
                <w:p w14:paraId="602C438A">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否</w:t>
                  </w:r>
                </w:p>
              </w:tc>
            </w:tr>
          </w:tbl>
          <w:p w14:paraId="06C9A2A3">
            <w:pPr>
              <w:rPr>
                <w:color w:val="auto"/>
              </w:rPr>
            </w:pPr>
          </w:p>
          <w:p w14:paraId="252ECA7E">
            <w:pPr>
              <w:pStyle w:val="7"/>
              <w:keepNext w:val="0"/>
              <w:keepLines w:val="0"/>
              <w:pageBreakBefore w:val="0"/>
              <w:widowControl/>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adjustRightInd w:val="0"/>
              <w:snapToGrid w:val="0"/>
              <w:spacing w:before="0" w:beforeLines="0" w:after="0" w:line="360" w:lineRule="auto"/>
              <w:ind w:firstLine="480" w:firstLineChars="200"/>
              <w:jc w:val="both"/>
              <w:textAlignment w:val="baseline"/>
              <w:rPr>
                <w:rFonts w:ascii="Times New Roman" w:eastAsia="宋体"/>
                <w:b w:val="0"/>
                <w:bCs w:val="0"/>
                <w:color w:val="auto"/>
                <w:sz w:val="21"/>
                <w:szCs w:val="21"/>
              </w:rPr>
            </w:pPr>
            <w:r>
              <w:rPr>
                <w:rFonts w:hint="eastAsia" w:ascii="Times New Roman" w:hAnsi="Times New Roman" w:eastAsia="仿宋_GB2312" w:cs="Times New Roman"/>
                <w:b w:val="0"/>
                <w:bCs w:val="0"/>
                <w:color w:val="auto"/>
                <w:sz w:val="24"/>
                <w:szCs w:val="24"/>
                <w:lang w:val="en-US" w:eastAsia="zh-CN"/>
              </w:rPr>
              <w:t>根据《关于印发&lt;污染影响类建设项目重大变动清单（试行）&gt;的通知》（环办环评函[2020]688号），项目属于“生产工艺-其他污染物排放量增加10%及以上的”情形，项目构成重大变动。具体变动见表2-2。</w:t>
            </w:r>
          </w:p>
          <w:p w14:paraId="0C76781F">
            <w:pPr>
              <w:pStyle w:val="7"/>
              <w:keepNext w:val="0"/>
              <w:keepLines w:val="0"/>
              <w:pageBreakBefore w:val="0"/>
              <w:widowControl/>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adjustRightInd w:val="0"/>
              <w:snapToGrid/>
              <w:spacing w:before="0" w:after="0" w:line="240" w:lineRule="auto"/>
              <w:jc w:val="center"/>
              <w:textAlignment w:val="baseline"/>
              <w:rPr>
                <w:rFonts w:ascii="Times New Roman" w:eastAsia="宋体"/>
                <w:color w:val="auto"/>
              </w:rPr>
            </w:pPr>
            <w:r>
              <w:rPr>
                <w:rFonts w:ascii="Times New Roman" w:eastAsia="宋体"/>
                <w:b w:val="0"/>
                <w:bCs w:val="0"/>
                <w:color w:val="auto"/>
                <w:sz w:val="21"/>
                <w:szCs w:val="21"/>
              </w:rPr>
              <w:t>表</w:t>
            </w:r>
            <w:r>
              <w:rPr>
                <w:rFonts w:hint="eastAsia" w:ascii="Times New Roman" w:eastAsia="宋体"/>
                <w:b w:val="0"/>
                <w:bCs w:val="0"/>
                <w:color w:val="auto"/>
                <w:sz w:val="21"/>
                <w:szCs w:val="21"/>
                <w:lang w:val="en-US" w:eastAsia="zh-CN"/>
              </w:rPr>
              <w:t xml:space="preserve">2-2    </w:t>
            </w:r>
            <w:r>
              <w:rPr>
                <w:rFonts w:ascii="Times New Roman" w:eastAsia="宋体"/>
                <w:b/>
                <w:bCs/>
                <w:color w:val="auto"/>
                <w:sz w:val="24"/>
                <w:szCs w:val="24"/>
              </w:rPr>
              <w:t>本项目与</w:t>
            </w:r>
            <w:r>
              <w:rPr>
                <w:rFonts w:ascii="Times New Roman" w:eastAsia="宋体"/>
                <w:b/>
                <w:bCs/>
                <w:color w:val="auto"/>
                <w:kern w:val="0"/>
                <w:sz w:val="24"/>
                <w:szCs w:val="24"/>
              </w:rPr>
              <w:t>《污染影响类建设项目重大变动清单（试行）》认定的重大变动情况对照表</w:t>
            </w:r>
          </w:p>
          <w:tbl>
            <w:tblPr>
              <w:tblStyle w:val="26"/>
              <w:tblW w:w="49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79" w:type="dxa"/>
                <w:bottom w:w="0" w:type="dxa"/>
                <w:right w:w="79" w:type="dxa"/>
              </w:tblCellMar>
            </w:tblPr>
            <w:tblGrid>
              <w:gridCol w:w="693"/>
              <w:gridCol w:w="4198"/>
              <w:gridCol w:w="3700"/>
              <w:gridCol w:w="2500"/>
              <w:gridCol w:w="1615"/>
            </w:tblGrid>
            <w:tr w14:paraId="429D2DF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14D02A34">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序号</w:t>
                  </w:r>
                </w:p>
              </w:tc>
              <w:tc>
                <w:tcPr>
                  <w:tcW w:w="4198" w:type="dxa"/>
                  <w:noWrap w:val="0"/>
                  <w:vAlign w:val="center"/>
                </w:tcPr>
                <w:p w14:paraId="5C3A233B">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具体规定</w:t>
                  </w:r>
                </w:p>
              </w:tc>
              <w:tc>
                <w:tcPr>
                  <w:tcW w:w="3700" w:type="dxa"/>
                  <w:noWrap w:val="0"/>
                  <w:vAlign w:val="center"/>
                </w:tcPr>
                <w:p w14:paraId="0D049FBE">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b/>
                      <w:color w:val="auto"/>
                      <w:kern w:val="0"/>
                      <w:sz w:val="21"/>
                      <w:szCs w:val="21"/>
                      <w:lang w:eastAsia="zh-CN"/>
                    </w:rPr>
                    <w:t>原环评情况</w:t>
                  </w:r>
                </w:p>
              </w:tc>
              <w:tc>
                <w:tcPr>
                  <w:tcW w:w="2500" w:type="dxa"/>
                  <w:noWrap w:val="0"/>
                  <w:vAlign w:val="center"/>
                </w:tcPr>
                <w:p w14:paraId="6C782241">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变化情况说明</w:t>
                  </w:r>
                </w:p>
              </w:tc>
              <w:tc>
                <w:tcPr>
                  <w:tcW w:w="1615" w:type="dxa"/>
                  <w:noWrap w:val="0"/>
                  <w:vAlign w:val="center"/>
                </w:tcPr>
                <w:p w14:paraId="108A02FE">
                  <w:pPr>
                    <w:pStyle w:val="76"/>
                    <w:tabs>
                      <w:tab w:val="center" w:pos="4153"/>
                      <w:tab w:val="right" w:pos="8306"/>
                    </w:tabs>
                    <w:spacing w:line="240" w:lineRule="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是否属于重大变动</w:t>
                  </w:r>
                </w:p>
              </w:tc>
            </w:tr>
            <w:tr w14:paraId="767547A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7616FE82">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一</w:t>
                  </w:r>
                </w:p>
              </w:tc>
              <w:tc>
                <w:tcPr>
                  <w:tcW w:w="12013" w:type="dxa"/>
                  <w:gridSpan w:val="4"/>
                  <w:noWrap w:val="0"/>
                  <w:vAlign w:val="center"/>
                </w:tcPr>
                <w:p w14:paraId="0B556FDD">
                  <w:pPr>
                    <w:pStyle w:val="76"/>
                    <w:tabs>
                      <w:tab w:val="center" w:pos="4153"/>
                      <w:tab w:val="right" w:pos="8306"/>
                    </w:tabs>
                    <w:spacing w:line="240" w:lineRule="auto"/>
                    <w:jc w:val="both"/>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性质</w:t>
                  </w:r>
                </w:p>
              </w:tc>
            </w:tr>
            <w:tr w14:paraId="4F0F89C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18A97F75">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4198" w:type="dxa"/>
                  <w:noWrap w:val="0"/>
                  <w:vAlign w:val="center"/>
                </w:tcPr>
                <w:p w14:paraId="582FACEE">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建设项目开发、使用功能发生变化的</w:t>
                  </w:r>
                </w:p>
              </w:tc>
              <w:tc>
                <w:tcPr>
                  <w:tcW w:w="3700" w:type="dxa"/>
                  <w:noWrap w:val="0"/>
                  <w:vAlign w:val="center"/>
                </w:tcPr>
                <w:p w14:paraId="16B7A091">
                  <w:pPr>
                    <w:pStyle w:val="76"/>
                    <w:tabs>
                      <w:tab w:val="center" w:pos="4153"/>
                      <w:tab w:val="right" w:pos="8306"/>
                    </w:tabs>
                    <w:spacing w:line="240" w:lineRule="auto"/>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新建、主要功能为处理兴仁镇镇区居民生活污水</w:t>
                  </w:r>
                </w:p>
              </w:tc>
              <w:tc>
                <w:tcPr>
                  <w:tcW w:w="2500" w:type="dxa"/>
                  <w:noWrap w:val="0"/>
                  <w:vAlign w:val="center"/>
                </w:tcPr>
                <w:p w14:paraId="0ACF0A75">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无变化</w:t>
                  </w:r>
                </w:p>
              </w:tc>
              <w:tc>
                <w:tcPr>
                  <w:tcW w:w="1615" w:type="dxa"/>
                  <w:noWrap w:val="0"/>
                  <w:vAlign w:val="center"/>
                </w:tcPr>
                <w:p w14:paraId="229E468F">
                  <w:pPr>
                    <w:pStyle w:val="76"/>
                    <w:tabs>
                      <w:tab w:val="center" w:pos="4153"/>
                      <w:tab w:val="right" w:pos="8306"/>
                    </w:tabs>
                    <w:spacing w:line="240" w:lineRule="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否</w:t>
                  </w:r>
                </w:p>
              </w:tc>
            </w:tr>
            <w:tr w14:paraId="0B37420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1C0282CF">
                  <w:pPr>
                    <w:pStyle w:val="76"/>
                    <w:tabs>
                      <w:tab w:val="center" w:pos="4153"/>
                      <w:tab w:val="right" w:pos="8306"/>
                    </w:tabs>
                    <w:spacing w:line="240" w:lineRule="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二</w:t>
                  </w:r>
                </w:p>
              </w:tc>
              <w:tc>
                <w:tcPr>
                  <w:tcW w:w="12013" w:type="dxa"/>
                  <w:gridSpan w:val="4"/>
                  <w:noWrap w:val="0"/>
                  <w:vAlign w:val="center"/>
                </w:tcPr>
                <w:p w14:paraId="0294860A">
                  <w:pPr>
                    <w:pStyle w:val="76"/>
                    <w:tabs>
                      <w:tab w:val="center" w:pos="4153"/>
                      <w:tab w:val="right" w:pos="8306"/>
                    </w:tabs>
                    <w:spacing w:line="240" w:lineRule="auto"/>
                    <w:jc w:val="both"/>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规模</w:t>
                  </w:r>
                </w:p>
              </w:tc>
            </w:tr>
            <w:tr w14:paraId="388D9C4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639C53FD">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4198" w:type="dxa"/>
                  <w:noWrap w:val="0"/>
                  <w:vAlign w:val="center"/>
                </w:tcPr>
                <w:p w14:paraId="2B55BDA5">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生产、处置或储存能力增大30%及以上的</w:t>
                  </w:r>
                </w:p>
              </w:tc>
              <w:tc>
                <w:tcPr>
                  <w:tcW w:w="3700" w:type="dxa"/>
                  <w:vMerge w:val="restart"/>
                  <w:noWrap w:val="0"/>
                  <w:vAlign w:val="center"/>
                </w:tcPr>
                <w:p w14:paraId="75FEBC78">
                  <w:pPr>
                    <w:pStyle w:val="76"/>
                    <w:tabs>
                      <w:tab w:val="center" w:pos="4153"/>
                      <w:tab w:val="right" w:pos="8306"/>
                    </w:tabs>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污水处理厂设计处理能力</w:t>
                  </w:r>
                  <w:r>
                    <w:rPr>
                      <w:rFonts w:hint="eastAsia" w:ascii="Times New Roman" w:hAnsi="Times New Roman" w:eastAsia="宋体" w:cs="Times New Roman"/>
                      <w:color w:val="auto"/>
                      <w:kern w:val="0"/>
                      <w:sz w:val="21"/>
                      <w:szCs w:val="21"/>
                      <w:lang w:val="en-US" w:eastAsia="zh-CN"/>
                    </w:rPr>
                    <w:t>800m</w:t>
                  </w:r>
                  <w:r>
                    <w:rPr>
                      <w:rFonts w:hint="eastAsia" w:ascii="Times New Roman" w:hAnsi="Times New Roman" w:eastAsia="宋体" w:cs="Times New Roman"/>
                      <w:color w:val="auto"/>
                      <w:kern w:val="0"/>
                      <w:sz w:val="21"/>
                      <w:szCs w:val="21"/>
                      <w:vertAlign w:val="superscript"/>
                      <w:lang w:val="en-US" w:eastAsia="zh-CN"/>
                    </w:rPr>
                    <w:t>3</w:t>
                  </w:r>
                  <w:r>
                    <w:rPr>
                      <w:rFonts w:hint="eastAsia" w:ascii="Times New Roman" w:hAnsi="Times New Roman" w:eastAsia="宋体" w:cs="Times New Roman"/>
                      <w:color w:val="auto"/>
                      <w:kern w:val="0"/>
                      <w:sz w:val="21"/>
                      <w:szCs w:val="21"/>
                      <w:lang w:val="en-US" w:eastAsia="zh-CN"/>
                    </w:rPr>
                    <w:t>/d</w:t>
                  </w:r>
                </w:p>
              </w:tc>
              <w:tc>
                <w:tcPr>
                  <w:tcW w:w="2500" w:type="dxa"/>
                  <w:noWrap w:val="0"/>
                  <w:vAlign w:val="center"/>
                </w:tcPr>
                <w:p w14:paraId="56317BC8">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无变化</w:t>
                  </w:r>
                </w:p>
              </w:tc>
              <w:tc>
                <w:tcPr>
                  <w:tcW w:w="1615" w:type="dxa"/>
                  <w:noWrap w:val="0"/>
                  <w:vAlign w:val="center"/>
                </w:tcPr>
                <w:p w14:paraId="7BE2B3EB">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否</w:t>
                  </w:r>
                </w:p>
              </w:tc>
            </w:tr>
            <w:tr w14:paraId="550513A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7FC1E27B">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4198" w:type="dxa"/>
                  <w:noWrap w:val="0"/>
                  <w:vAlign w:val="center"/>
                </w:tcPr>
                <w:p w14:paraId="50F45BA7">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生产、处置或储存能力增大，导致废水第一类污染物排放量增加的</w:t>
                  </w:r>
                </w:p>
              </w:tc>
              <w:tc>
                <w:tcPr>
                  <w:tcW w:w="3700" w:type="dxa"/>
                  <w:vMerge w:val="continue"/>
                  <w:noWrap w:val="0"/>
                  <w:vAlign w:val="center"/>
                </w:tcPr>
                <w:p w14:paraId="34E4FC6D">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rPr>
                  </w:pPr>
                </w:p>
              </w:tc>
              <w:tc>
                <w:tcPr>
                  <w:tcW w:w="2500" w:type="dxa"/>
                  <w:noWrap w:val="0"/>
                  <w:vAlign w:val="center"/>
                </w:tcPr>
                <w:p w14:paraId="4E7709F6">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无变化</w:t>
                  </w:r>
                </w:p>
              </w:tc>
              <w:tc>
                <w:tcPr>
                  <w:tcW w:w="1615" w:type="dxa"/>
                  <w:noWrap w:val="0"/>
                  <w:vAlign w:val="center"/>
                </w:tcPr>
                <w:p w14:paraId="18C51142">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否</w:t>
                  </w:r>
                </w:p>
              </w:tc>
            </w:tr>
            <w:tr w14:paraId="4B4131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vMerge w:val="restart"/>
                  <w:noWrap w:val="0"/>
                  <w:vAlign w:val="center"/>
                </w:tcPr>
                <w:p w14:paraId="790B6A04">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4198" w:type="dxa"/>
                  <w:noWrap w:val="0"/>
                  <w:vAlign w:val="center"/>
                </w:tcPr>
                <w:p w14:paraId="3B3E2302">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因子）</w:t>
                  </w:r>
                </w:p>
              </w:tc>
              <w:tc>
                <w:tcPr>
                  <w:tcW w:w="3700" w:type="dxa"/>
                  <w:noWrap w:val="0"/>
                  <w:vAlign w:val="center"/>
                </w:tcPr>
                <w:p w14:paraId="56F05B41">
                  <w:pPr>
                    <w:pStyle w:val="76"/>
                    <w:tabs>
                      <w:tab w:val="center" w:pos="4153"/>
                      <w:tab w:val="right" w:pos="8306"/>
                    </w:tabs>
                    <w:spacing w:line="240" w:lineRule="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本项目位于达标区</w:t>
                  </w:r>
                </w:p>
              </w:tc>
              <w:tc>
                <w:tcPr>
                  <w:tcW w:w="2500" w:type="dxa"/>
                  <w:noWrap w:val="0"/>
                  <w:vAlign w:val="center"/>
                </w:tcPr>
                <w:p w14:paraId="0D70A3EE">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无变化</w:t>
                  </w:r>
                </w:p>
              </w:tc>
              <w:tc>
                <w:tcPr>
                  <w:tcW w:w="1615" w:type="dxa"/>
                  <w:noWrap w:val="0"/>
                  <w:vAlign w:val="center"/>
                </w:tcPr>
                <w:p w14:paraId="624BE8B7">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否</w:t>
                  </w:r>
                </w:p>
              </w:tc>
            </w:tr>
            <w:tr w14:paraId="180C672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vMerge w:val="continue"/>
                  <w:noWrap w:val="0"/>
                  <w:vAlign w:val="center"/>
                </w:tcPr>
                <w:p w14:paraId="63805636">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p>
              </w:tc>
              <w:tc>
                <w:tcPr>
                  <w:tcW w:w="4198" w:type="dxa"/>
                  <w:noWrap w:val="0"/>
                  <w:vAlign w:val="center"/>
                </w:tcPr>
                <w:p w14:paraId="7875E465">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位于达标区的建设项目生产、处置或储存能力增大，导致污染物排放量增加10%及以上的</w:t>
                  </w:r>
                </w:p>
              </w:tc>
              <w:tc>
                <w:tcPr>
                  <w:tcW w:w="3700" w:type="dxa"/>
                  <w:noWrap w:val="0"/>
                  <w:vAlign w:val="center"/>
                </w:tcPr>
                <w:p w14:paraId="4BA40DA5">
                  <w:pPr>
                    <w:pStyle w:val="76"/>
                    <w:tabs>
                      <w:tab w:val="center" w:pos="4153"/>
                      <w:tab w:val="right" w:pos="8306"/>
                    </w:tabs>
                    <w:spacing w:line="240" w:lineRule="auto"/>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本项目位于达标区</w:t>
                  </w:r>
                </w:p>
              </w:tc>
              <w:tc>
                <w:tcPr>
                  <w:tcW w:w="2500" w:type="dxa"/>
                  <w:noWrap w:val="0"/>
                  <w:vAlign w:val="center"/>
                </w:tcPr>
                <w:p w14:paraId="57360F76">
                  <w:pPr>
                    <w:pStyle w:val="76"/>
                    <w:tabs>
                      <w:tab w:val="center" w:pos="4153"/>
                      <w:tab w:val="right" w:pos="8306"/>
                    </w:tabs>
                    <w:spacing w:line="240" w:lineRule="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无变化</w:t>
                  </w:r>
                </w:p>
              </w:tc>
              <w:tc>
                <w:tcPr>
                  <w:tcW w:w="1615" w:type="dxa"/>
                  <w:noWrap w:val="0"/>
                  <w:vAlign w:val="center"/>
                </w:tcPr>
                <w:p w14:paraId="0D9B9330">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否</w:t>
                  </w:r>
                </w:p>
              </w:tc>
            </w:tr>
            <w:tr w14:paraId="0C339DA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noWrap w:val="0"/>
                  <w:vAlign w:val="center"/>
                </w:tcPr>
                <w:p w14:paraId="19FCA515">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val="0"/>
                      <w:color w:val="auto"/>
                      <w:kern w:val="0"/>
                      <w:sz w:val="21"/>
                      <w:szCs w:val="21"/>
                    </w:rPr>
                    <w:t>三</w:t>
                  </w:r>
                </w:p>
              </w:tc>
              <w:tc>
                <w:tcPr>
                  <w:tcW w:w="12013" w:type="dxa"/>
                  <w:gridSpan w:val="4"/>
                  <w:noWrap w:val="0"/>
                  <w:vAlign w:val="center"/>
                </w:tcPr>
                <w:p w14:paraId="52B437F2">
                  <w:pPr>
                    <w:pStyle w:val="76"/>
                    <w:tabs>
                      <w:tab w:val="center" w:pos="4153"/>
                      <w:tab w:val="right" w:pos="8306"/>
                    </w:tabs>
                    <w:spacing w:line="240" w:lineRule="auto"/>
                    <w:jc w:val="both"/>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地点</w:t>
                  </w:r>
                </w:p>
              </w:tc>
            </w:tr>
            <w:tr w14:paraId="6930752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vMerge w:val="restart"/>
                  <w:noWrap w:val="0"/>
                  <w:vAlign w:val="center"/>
                </w:tcPr>
                <w:p w14:paraId="7A4F635B">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4198" w:type="dxa"/>
                  <w:noWrap w:val="0"/>
                  <w:vAlign w:val="center"/>
                </w:tcPr>
                <w:p w14:paraId="6B83CC42">
                  <w:pPr>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项目重新选址</w:t>
                  </w:r>
                </w:p>
              </w:tc>
              <w:tc>
                <w:tcPr>
                  <w:tcW w:w="3700" w:type="dxa"/>
                  <w:vMerge w:val="restart"/>
                  <w:noWrap w:val="0"/>
                  <w:vAlign w:val="center"/>
                </w:tcPr>
                <w:p w14:paraId="564A08F3">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建设地点位于</w:t>
                  </w:r>
                  <w:r>
                    <w:rPr>
                      <w:rFonts w:hint="eastAsia" w:ascii="Times New Roman" w:hAnsi="Times New Roman" w:eastAsia="宋体" w:cs="Times New Roman"/>
                      <w:color w:val="auto"/>
                      <w:kern w:val="0"/>
                      <w:sz w:val="21"/>
                      <w:szCs w:val="21"/>
                      <w:lang w:eastAsia="zh-CN"/>
                    </w:rPr>
                    <w:t>中卫市沙坡头区兴仁镇北环路以北</w:t>
                  </w:r>
                  <w:r>
                    <w:rPr>
                      <w:rFonts w:hint="default" w:ascii="Times New Roman" w:hAnsi="Times New Roman" w:eastAsia="宋体" w:cs="Times New Roman"/>
                      <w:color w:val="auto"/>
                      <w:kern w:val="0"/>
                      <w:sz w:val="21"/>
                      <w:szCs w:val="21"/>
                    </w:rPr>
                    <w:t>，地理坐标：北纬3</w:t>
                  </w: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56</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39</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933</w:t>
                  </w:r>
                  <w:r>
                    <w:rPr>
                      <w:rFonts w:hint="default" w:ascii="Times New Roman" w:hAnsi="Times New Roman" w:eastAsia="宋体" w:cs="Times New Roman"/>
                      <w:color w:val="auto"/>
                      <w:kern w:val="0"/>
                      <w:sz w:val="21"/>
                      <w:szCs w:val="21"/>
                    </w:rPr>
                    <w:t>"、东经10</w:t>
                  </w: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15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844</w:t>
                  </w:r>
                  <w:r>
                    <w:rPr>
                      <w:rFonts w:hint="default" w:ascii="Times New Roman" w:hAnsi="Times New Roman" w:eastAsia="宋体" w:cs="Times New Roman"/>
                      <w:color w:val="auto"/>
                      <w:kern w:val="0"/>
                      <w:sz w:val="21"/>
                      <w:szCs w:val="21"/>
                    </w:rPr>
                    <w:t>"</w:t>
                  </w:r>
                </w:p>
              </w:tc>
              <w:tc>
                <w:tcPr>
                  <w:tcW w:w="2500" w:type="dxa"/>
                  <w:vMerge w:val="restart"/>
                  <w:noWrap w:val="0"/>
                  <w:vAlign w:val="center"/>
                </w:tcPr>
                <w:p w14:paraId="647DCC99">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无变化</w:t>
                  </w:r>
                </w:p>
              </w:tc>
              <w:tc>
                <w:tcPr>
                  <w:tcW w:w="1615" w:type="dxa"/>
                  <w:noWrap w:val="0"/>
                  <w:vAlign w:val="center"/>
                </w:tcPr>
                <w:p w14:paraId="3B0B84CB">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否</w:t>
                  </w:r>
                </w:p>
              </w:tc>
            </w:tr>
            <w:tr w14:paraId="2F57108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3" w:type="dxa"/>
                  <w:vMerge w:val="continue"/>
                  <w:noWrap w:val="0"/>
                  <w:vAlign w:val="center"/>
                </w:tcPr>
                <w:p w14:paraId="790F6128">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p>
              </w:tc>
              <w:tc>
                <w:tcPr>
                  <w:tcW w:w="4198" w:type="dxa"/>
                  <w:noWrap w:val="0"/>
                  <w:vAlign w:val="center"/>
                </w:tcPr>
                <w:p w14:paraId="0C7C85D9">
                  <w:pPr>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在原厂址附近调整（包括总平面变化）导致防护距离内新增敏感点</w:t>
                  </w:r>
                </w:p>
              </w:tc>
              <w:tc>
                <w:tcPr>
                  <w:tcW w:w="3700" w:type="dxa"/>
                  <w:vMerge w:val="continue"/>
                  <w:noWrap w:val="0"/>
                  <w:vAlign w:val="center"/>
                </w:tcPr>
                <w:p w14:paraId="2F6CCF7E">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rPr>
                  </w:pPr>
                </w:p>
              </w:tc>
              <w:tc>
                <w:tcPr>
                  <w:tcW w:w="2500" w:type="dxa"/>
                  <w:vMerge w:val="continue"/>
                  <w:noWrap w:val="0"/>
                  <w:vAlign w:val="center"/>
                </w:tcPr>
                <w:p w14:paraId="2C137CB6">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p>
              </w:tc>
              <w:tc>
                <w:tcPr>
                  <w:tcW w:w="1615" w:type="dxa"/>
                  <w:noWrap w:val="0"/>
                  <w:vAlign w:val="center"/>
                </w:tcPr>
                <w:p w14:paraId="0EBAA8D1">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否</w:t>
                  </w:r>
                </w:p>
              </w:tc>
            </w:tr>
          </w:tbl>
          <w:p w14:paraId="7A2C1F22">
            <w:pPr>
              <w:pStyle w:val="7"/>
              <w:keepNext w:val="0"/>
              <w:keepLines w:val="0"/>
              <w:pageBreakBefore w:val="0"/>
              <w:widowControl/>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adjustRightInd w:val="0"/>
              <w:snapToGrid/>
              <w:spacing w:before="0" w:after="0" w:line="240" w:lineRule="auto"/>
              <w:ind w:left="0" w:firstLine="420" w:firstLineChars="200"/>
              <w:jc w:val="left"/>
              <w:textAlignment w:val="baseline"/>
              <w:rPr>
                <w:rFonts w:ascii="Times New Roman" w:eastAsia="宋体"/>
                <w:b w:val="0"/>
                <w:bCs w:val="0"/>
                <w:color w:val="auto"/>
                <w:sz w:val="21"/>
                <w:szCs w:val="21"/>
              </w:rPr>
            </w:pPr>
          </w:p>
          <w:p w14:paraId="6510FADA">
            <w:pPr>
              <w:pStyle w:val="7"/>
              <w:keepNext w:val="0"/>
              <w:keepLines w:val="0"/>
              <w:pageBreakBefore w:val="0"/>
              <w:widowControl/>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adjustRightInd w:val="0"/>
              <w:snapToGrid/>
              <w:spacing w:before="0" w:after="0" w:line="240" w:lineRule="auto"/>
              <w:jc w:val="left"/>
              <w:textAlignment w:val="baseline"/>
              <w:rPr>
                <w:rFonts w:ascii="Times New Roman" w:eastAsia="宋体"/>
                <w:b w:val="0"/>
                <w:bCs w:val="0"/>
                <w:color w:val="auto"/>
                <w:sz w:val="21"/>
                <w:szCs w:val="21"/>
              </w:rPr>
            </w:pPr>
          </w:p>
          <w:p w14:paraId="180E475A">
            <w:pPr>
              <w:pStyle w:val="7"/>
              <w:keepNext w:val="0"/>
              <w:keepLines w:val="0"/>
              <w:pageBreakBefore w:val="0"/>
              <w:widowControl/>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adjustRightInd w:val="0"/>
              <w:snapToGrid/>
              <w:spacing w:before="0" w:after="0" w:line="240" w:lineRule="auto"/>
              <w:jc w:val="center"/>
              <w:textAlignment w:val="baseline"/>
              <w:rPr>
                <w:rFonts w:ascii="Times New Roman" w:eastAsia="宋体"/>
                <w:color w:val="auto"/>
              </w:rPr>
            </w:pPr>
            <w:r>
              <w:rPr>
                <w:rFonts w:hint="eastAsia" w:ascii="Times New Roman" w:eastAsia="宋体"/>
                <w:b w:val="0"/>
                <w:bCs w:val="0"/>
                <w:color w:val="auto"/>
                <w:sz w:val="21"/>
                <w:szCs w:val="21"/>
                <w:lang w:eastAsia="zh-CN"/>
              </w:rPr>
              <w:t>续</w:t>
            </w:r>
            <w:r>
              <w:rPr>
                <w:rFonts w:ascii="Times New Roman" w:eastAsia="宋体"/>
                <w:b w:val="0"/>
                <w:bCs w:val="0"/>
                <w:color w:val="auto"/>
                <w:sz w:val="21"/>
                <w:szCs w:val="21"/>
              </w:rPr>
              <w:t>表</w:t>
            </w:r>
            <w:r>
              <w:rPr>
                <w:rFonts w:hint="eastAsia" w:ascii="Times New Roman" w:eastAsia="宋体"/>
                <w:b w:val="0"/>
                <w:bCs w:val="0"/>
                <w:color w:val="auto"/>
                <w:sz w:val="21"/>
                <w:szCs w:val="21"/>
                <w:lang w:val="en-US" w:eastAsia="zh-CN"/>
              </w:rPr>
              <w:t xml:space="preserve">2-2 </w:t>
            </w:r>
            <w:r>
              <w:rPr>
                <w:rFonts w:hint="eastAsia" w:ascii="Times New Roman" w:eastAsia="宋体"/>
                <w:b/>
                <w:bCs/>
                <w:color w:val="auto"/>
                <w:lang w:val="en-US" w:eastAsia="zh-CN"/>
              </w:rPr>
              <w:t xml:space="preserve">   </w:t>
            </w:r>
            <w:r>
              <w:rPr>
                <w:rFonts w:ascii="Times New Roman" w:eastAsia="宋体"/>
                <w:b/>
                <w:bCs/>
                <w:color w:val="auto"/>
                <w:sz w:val="24"/>
                <w:szCs w:val="24"/>
              </w:rPr>
              <w:t>本项目与</w:t>
            </w:r>
            <w:r>
              <w:rPr>
                <w:rFonts w:ascii="Times New Roman" w:eastAsia="宋体"/>
                <w:b/>
                <w:bCs/>
                <w:color w:val="auto"/>
                <w:kern w:val="0"/>
                <w:sz w:val="24"/>
                <w:szCs w:val="24"/>
              </w:rPr>
              <w:t>《污染影响类建设项目重大变动清单（试行）》认定的重大变动情况对照表</w:t>
            </w:r>
          </w:p>
          <w:tbl>
            <w:tblPr>
              <w:tblStyle w:val="26"/>
              <w:tblW w:w="4898"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79" w:type="dxa"/>
                <w:bottom w:w="0" w:type="dxa"/>
                <w:right w:w="79" w:type="dxa"/>
              </w:tblCellMar>
            </w:tblPr>
            <w:tblGrid>
              <w:gridCol w:w="692"/>
              <w:gridCol w:w="4199"/>
              <w:gridCol w:w="3703"/>
              <w:gridCol w:w="2480"/>
              <w:gridCol w:w="1627"/>
            </w:tblGrid>
            <w:tr w14:paraId="1C2DACD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2" w:type="dxa"/>
                  <w:noWrap w:val="0"/>
                  <w:vAlign w:val="center"/>
                </w:tcPr>
                <w:p w14:paraId="33FD03C3">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序号</w:t>
                  </w:r>
                </w:p>
              </w:tc>
              <w:tc>
                <w:tcPr>
                  <w:tcW w:w="4200" w:type="dxa"/>
                  <w:noWrap w:val="0"/>
                  <w:vAlign w:val="center"/>
                </w:tcPr>
                <w:p w14:paraId="737C06C9">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具体规定</w:t>
                  </w:r>
                </w:p>
              </w:tc>
              <w:tc>
                <w:tcPr>
                  <w:tcW w:w="3704" w:type="dxa"/>
                  <w:noWrap w:val="0"/>
                  <w:vAlign w:val="center"/>
                </w:tcPr>
                <w:p w14:paraId="14CB534B">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b/>
                      <w:color w:val="auto"/>
                      <w:kern w:val="0"/>
                      <w:sz w:val="21"/>
                      <w:szCs w:val="21"/>
                      <w:lang w:eastAsia="zh-CN"/>
                    </w:rPr>
                    <w:t>原环评情况</w:t>
                  </w:r>
                </w:p>
              </w:tc>
              <w:tc>
                <w:tcPr>
                  <w:tcW w:w="2480" w:type="dxa"/>
                  <w:noWrap w:val="0"/>
                  <w:vAlign w:val="center"/>
                </w:tcPr>
                <w:p w14:paraId="2BCF0A57">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变化情况说明</w:t>
                  </w:r>
                </w:p>
              </w:tc>
              <w:tc>
                <w:tcPr>
                  <w:tcW w:w="1627" w:type="dxa"/>
                  <w:noWrap w:val="0"/>
                  <w:vAlign w:val="center"/>
                </w:tcPr>
                <w:p w14:paraId="564D0858">
                  <w:pPr>
                    <w:pStyle w:val="76"/>
                    <w:tabs>
                      <w:tab w:val="center" w:pos="4153"/>
                      <w:tab w:val="right" w:pos="8306"/>
                    </w:tabs>
                    <w:spacing w:line="240" w:lineRule="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是否属于重大变动</w:t>
                  </w:r>
                </w:p>
              </w:tc>
            </w:tr>
            <w:tr w14:paraId="05B4BF8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2" w:type="dxa"/>
                  <w:noWrap w:val="0"/>
                  <w:vAlign w:val="center"/>
                </w:tcPr>
                <w:p w14:paraId="0D597703">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val="0"/>
                      <w:color w:val="auto"/>
                      <w:kern w:val="0"/>
                      <w:sz w:val="21"/>
                      <w:szCs w:val="21"/>
                    </w:rPr>
                    <w:t>四</w:t>
                  </w:r>
                </w:p>
              </w:tc>
              <w:tc>
                <w:tcPr>
                  <w:tcW w:w="12011" w:type="dxa"/>
                  <w:gridSpan w:val="4"/>
                  <w:noWrap w:val="0"/>
                  <w:vAlign w:val="center"/>
                </w:tcPr>
                <w:p w14:paraId="0A7A050E">
                  <w:pPr>
                    <w:pStyle w:val="76"/>
                    <w:tabs>
                      <w:tab w:val="center" w:pos="4153"/>
                      <w:tab w:val="right" w:pos="8306"/>
                    </w:tabs>
                    <w:spacing w:line="240" w:lineRule="auto"/>
                    <w:jc w:val="both"/>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生产工艺</w:t>
                  </w:r>
                </w:p>
              </w:tc>
            </w:tr>
            <w:tr w14:paraId="5DB026F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2" w:type="dxa"/>
                  <w:noWrap w:val="0"/>
                  <w:vAlign w:val="center"/>
                </w:tcPr>
                <w:p w14:paraId="6F43D77B">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4200" w:type="dxa"/>
                  <w:noWrap w:val="0"/>
                  <w:vAlign w:val="center"/>
                </w:tcPr>
                <w:p w14:paraId="5D23BA2D">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新增产品品种或生产工艺（含主要生产装置、设备及配套设施）、主要原辅材料、燃料变化，导致以下情形之一</w:t>
                  </w:r>
                </w:p>
              </w:tc>
              <w:tc>
                <w:tcPr>
                  <w:tcW w:w="3704" w:type="dxa"/>
                  <w:noWrap w:val="0"/>
                  <w:vAlign w:val="center"/>
                </w:tcPr>
                <w:p w14:paraId="10417600">
                  <w:pPr>
                    <w:pStyle w:val="76"/>
                    <w:tabs>
                      <w:tab w:val="center" w:pos="4153"/>
                      <w:tab w:val="right" w:pos="8306"/>
                    </w:tabs>
                    <w:spacing w:line="240" w:lineRule="auto"/>
                    <w:jc w:val="left"/>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污水处理工艺：预处理间（粗细格栅+平流沉砂池）＋调节池＋A</w:t>
                  </w:r>
                  <w:r>
                    <w:rPr>
                      <w:rFonts w:hint="eastAsia" w:ascii="Times New Roman" w:hAnsi="Times New Roman" w:eastAsia="宋体" w:cs="Times New Roman"/>
                      <w:color w:val="auto"/>
                      <w:kern w:val="0"/>
                      <w:sz w:val="21"/>
                      <w:szCs w:val="21"/>
                      <w:vertAlign w:val="superscript"/>
                      <w:lang w:eastAsia="zh-CN"/>
                    </w:rPr>
                    <w:t>2</w:t>
                  </w:r>
                  <w:r>
                    <w:rPr>
                      <w:rFonts w:hint="eastAsia" w:ascii="Times New Roman" w:hAnsi="Times New Roman" w:eastAsia="宋体" w:cs="Times New Roman"/>
                      <w:color w:val="auto"/>
                      <w:kern w:val="0"/>
                      <w:sz w:val="21"/>
                      <w:szCs w:val="21"/>
                      <w:lang w:eastAsia="zh-CN"/>
                    </w:rPr>
                    <w:t>/O生物反应池＋平流沉淀池＋高效沉淀池+竖片滤池+次氯酸钠消毒。</w:t>
                  </w:r>
                </w:p>
                <w:p w14:paraId="217A819C">
                  <w:pPr>
                    <w:pStyle w:val="76"/>
                    <w:tabs>
                      <w:tab w:val="center" w:pos="4153"/>
                      <w:tab w:val="right" w:pos="8306"/>
                    </w:tabs>
                    <w:spacing w:line="240" w:lineRule="auto"/>
                    <w:jc w:val="left"/>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污泥脱水工艺：叠螺式污泥浓缩机+超高压弹性压榨机。</w:t>
                  </w:r>
                </w:p>
                <w:p w14:paraId="4814111A">
                  <w:pPr>
                    <w:pStyle w:val="76"/>
                    <w:tabs>
                      <w:tab w:val="center" w:pos="4153"/>
                      <w:tab w:val="right" w:pos="8306"/>
                    </w:tabs>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原辅料：</w:t>
                  </w:r>
                  <w:r>
                    <w:rPr>
                      <w:rFonts w:hint="eastAsia" w:ascii="Times New Roman" w:hAnsi="Times New Roman" w:eastAsia="宋体" w:cs="Times New Roman"/>
                      <w:color w:val="auto"/>
                      <w:kern w:val="0"/>
                      <w:sz w:val="21"/>
                      <w:szCs w:val="21"/>
                      <w:lang w:val="en-US" w:eastAsia="zh-CN"/>
                    </w:rPr>
                    <w:t>PAM（絮凝剂）、PAC（除磷剂）、次氯酸钠</w:t>
                  </w:r>
                  <w:r>
                    <w:rPr>
                      <w:rFonts w:hint="default" w:ascii="Times New Roman" w:hAnsi="Times New Roman" w:eastAsia="宋体" w:cs="Times New Roman"/>
                      <w:color w:val="auto"/>
                      <w:kern w:val="0"/>
                      <w:sz w:val="21"/>
                      <w:szCs w:val="21"/>
                    </w:rPr>
                    <w:t>；</w:t>
                  </w:r>
                </w:p>
              </w:tc>
              <w:tc>
                <w:tcPr>
                  <w:tcW w:w="2480" w:type="dxa"/>
                  <w:noWrap w:val="0"/>
                  <w:vAlign w:val="center"/>
                </w:tcPr>
                <w:p w14:paraId="17892B99">
                  <w:pPr>
                    <w:pStyle w:val="76"/>
                    <w:tabs>
                      <w:tab w:val="center" w:pos="4153"/>
                      <w:tab w:val="right" w:pos="8306"/>
                    </w:tabs>
                    <w:spacing w:line="240"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无变化</w:t>
                  </w:r>
                </w:p>
              </w:tc>
              <w:tc>
                <w:tcPr>
                  <w:tcW w:w="1627" w:type="dxa"/>
                  <w:noWrap w:val="0"/>
                  <w:vAlign w:val="center"/>
                </w:tcPr>
                <w:p w14:paraId="59220C41">
                  <w:pPr>
                    <w:pStyle w:val="76"/>
                    <w:tabs>
                      <w:tab w:val="center" w:pos="4153"/>
                      <w:tab w:val="right" w:pos="8306"/>
                    </w:tabs>
                    <w:spacing w:line="240"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否</w:t>
                  </w:r>
                </w:p>
              </w:tc>
            </w:tr>
            <w:tr w14:paraId="5E173EA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2" w:type="dxa"/>
                  <w:noWrap w:val="0"/>
                  <w:vAlign w:val="center"/>
                </w:tcPr>
                <w:p w14:paraId="0F4552D3">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 1 \* GB2 \* MERGEFORMAT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sz w:val="21"/>
                      <w:szCs w:val="21"/>
                    </w:rPr>
                    <w:t>⑴</w:t>
                  </w:r>
                  <w:r>
                    <w:rPr>
                      <w:rFonts w:hint="default" w:ascii="Times New Roman" w:hAnsi="Times New Roman" w:eastAsia="宋体" w:cs="Times New Roman"/>
                      <w:color w:val="auto"/>
                      <w:kern w:val="0"/>
                      <w:sz w:val="21"/>
                      <w:szCs w:val="21"/>
                    </w:rPr>
                    <w:fldChar w:fldCharType="end"/>
                  </w:r>
                </w:p>
              </w:tc>
              <w:tc>
                <w:tcPr>
                  <w:tcW w:w="4200" w:type="dxa"/>
                  <w:noWrap w:val="0"/>
                  <w:vAlign w:val="center"/>
                </w:tcPr>
                <w:p w14:paraId="41768CE9">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新增排放污染物种类的（毒性、挥发性降低的除外）</w:t>
                  </w:r>
                </w:p>
              </w:tc>
              <w:tc>
                <w:tcPr>
                  <w:tcW w:w="3704" w:type="dxa"/>
                  <w:noWrap w:val="0"/>
                  <w:vAlign w:val="center"/>
                </w:tcPr>
                <w:p w14:paraId="7E0DF2C0">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污染物种类：</w:t>
                  </w:r>
                  <w:r>
                    <w:rPr>
                      <w:rFonts w:hint="eastAsia" w:ascii="Times New Roman" w:hAnsi="Times New Roman" w:eastAsia="宋体" w:cs="Times New Roman"/>
                      <w:color w:val="auto"/>
                      <w:kern w:val="0"/>
                      <w:sz w:val="21"/>
                      <w:szCs w:val="21"/>
                      <w:lang w:val="en-US" w:eastAsia="zh-CN"/>
                    </w:rPr>
                    <w:t>NH</w:t>
                  </w:r>
                  <w:r>
                    <w:rPr>
                      <w:rFonts w:hint="eastAsia" w:ascii="Times New Roman" w:hAnsi="Times New Roman" w:eastAsia="宋体" w:cs="Times New Roman"/>
                      <w:color w:val="auto"/>
                      <w:kern w:val="0"/>
                      <w:sz w:val="21"/>
                      <w:szCs w:val="21"/>
                      <w:vertAlign w:val="subscript"/>
                      <w:lang w:val="en-US" w:eastAsia="zh-CN"/>
                    </w:rPr>
                    <w:t>3</w:t>
                  </w:r>
                  <w:r>
                    <w:rPr>
                      <w:rFonts w:hint="eastAsia" w:ascii="Times New Roman" w:hAnsi="Times New Roman" w:eastAsia="宋体" w:cs="Times New Roman"/>
                      <w:color w:val="auto"/>
                      <w:kern w:val="0"/>
                      <w:sz w:val="21"/>
                      <w:szCs w:val="21"/>
                      <w:lang w:val="en-US" w:eastAsia="zh-CN"/>
                    </w:rPr>
                    <w:t>、H</w:t>
                  </w:r>
                  <w:r>
                    <w:rPr>
                      <w:rFonts w:hint="eastAsia" w:ascii="Times New Roman" w:hAnsi="Times New Roman" w:eastAsia="宋体" w:cs="Times New Roman"/>
                      <w:color w:val="auto"/>
                      <w:kern w:val="0"/>
                      <w:sz w:val="21"/>
                      <w:szCs w:val="21"/>
                      <w:vertAlign w:val="subscript"/>
                      <w:lang w:val="en-US" w:eastAsia="zh-CN"/>
                    </w:rPr>
                    <w:t>2</w:t>
                  </w:r>
                  <w:r>
                    <w:rPr>
                      <w:rFonts w:hint="eastAsia" w:ascii="Times New Roman" w:hAnsi="Times New Roman" w:eastAsia="宋体" w:cs="Times New Roman"/>
                      <w:color w:val="auto"/>
                      <w:kern w:val="0"/>
                      <w:sz w:val="21"/>
                      <w:szCs w:val="21"/>
                      <w:lang w:val="en-US" w:eastAsia="zh-CN"/>
                    </w:rPr>
                    <w:t>S。</w:t>
                  </w:r>
                </w:p>
              </w:tc>
              <w:tc>
                <w:tcPr>
                  <w:tcW w:w="2480" w:type="dxa"/>
                  <w:noWrap w:val="0"/>
                  <w:vAlign w:val="center"/>
                </w:tcPr>
                <w:p w14:paraId="7C699E56">
                  <w:pPr>
                    <w:pStyle w:val="76"/>
                    <w:tabs>
                      <w:tab w:val="center" w:pos="4153"/>
                      <w:tab w:val="right" w:pos="8306"/>
                    </w:tabs>
                    <w:spacing w:line="240"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无变化</w:t>
                  </w:r>
                </w:p>
              </w:tc>
              <w:tc>
                <w:tcPr>
                  <w:tcW w:w="1627" w:type="dxa"/>
                  <w:noWrap w:val="0"/>
                  <w:vAlign w:val="center"/>
                </w:tcPr>
                <w:p w14:paraId="3A1D6D23">
                  <w:pPr>
                    <w:pStyle w:val="76"/>
                    <w:tabs>
                      <w:tab w:val="center" w:pos="4153"/>
                      <w:tab w:val="right" w:pos="8306"/>
                    </w:tabs>
                    <w:spacing w:line="240" w:lineRule="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否</w:t>
                  </w:r>
                </w:p>
              </w:tc>
            </w:tr>
            <w:tr w14:paraId="543136F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554" w:hRule="atLeast"/>
                <w:jc w:val="center"/>
              </w:trPr>
              <w:tc>
                <w:tcPr>
                  <w:tcW w:w="692" w:type="dxa"/>
                  <w:noWrap w:val="0"/>
                  <w:vAlign w:val="center"/>
                </w:tcPr>
                <w:p w14:paraId="602FB050">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 2 \* GB2 \* MERGEFORMAT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sz w:val="21"/>
                      <w:szCs w:val="21"/>
                    </w:rPr>
                    <w:t>⑵</w:t>
                  </w:r>
                  <w:r>
                    <w:rPr>
                      <w:rFonts w:hint="default" w:ascii="Times New Roman" w:hAnsi="Times New Roman" w:eastAsia="宋体" w:cs="Times New Roman"/>
                      <w:color w:val="auto"/>
                      <w:kern w:val="0"/>
                      <w:sz w:val="21"/>
                      <w:szCs w:val="21"/>
                    </w:rPr>
                    <w:fldChar w:fldCharType="end"/>
                  </w:r>
                </w:p>
              </w:tc>
              <w:tc>
                <w:tcPr>
                  <w:tcW w:w="4200" w:type="dxa"/>
                  <w:noWrap w:val="0"/>
                  <w:vAlign w:val="center"/>
                </w:tcPr>
                <w:p w14:paraId="1C07E758">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位于环境质量不达标区的建设项目相应污染物排放量增加的</w:t>
                  </w:r>
                </w:p>
              </w:tc>
              <w:tc>
                <w:tcPr>
                  <w:tcW w:w="3704" w:type="dxa"/>
                  <w:noWrap w:val="0"/>
                  <w:vAlign w:val="center"/>
                </w:tcPr>
                <w:p w14:paraId="62BCAF17">
                  <w:pPr>
                    <w:pStyle w:val="76"/>
                    <w:tabs>
                      <w:tab w:val="center" w:pos="4153"/>
                      <w:tab w:val="right" w:pos="8306"/>
                    </w:tabs>
                    <w:spacing w:line="240" w:lineRule="auto"/>
                    <w:jc w:val="left"/>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本项目位于环境质量达标区。</w:t>
                  </w:r>
                </w:p>
              </w:tc>
              <w:tc>
                <w:tcPr>
                  <w:tcW w:w="2480" w:type="dxa"/>
                  <w:noWrap w:val="0"/>
                  <w:vAlign w:val="center"/>
                </w:tcPr>
                <w:p w14:paraId="352C2D11">
                  <w:pPr>
                    <w:pStyle w:val="76"/>
                    <w:tabs>
                      <w:tab w:val="center" w:pos="4153"/>
                      <w:tab w:val="right" w:pos="8306"/>
                    </w:tabs>
                    <w:spacing w:line="240" w:lineRule="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无变化</w:t>
                  </w:r>
                </w:p>
              </w:tc>
              <w:tc>
                <w:tcPr>
                  <w:tcW w:w="1627" w:type="dxa"/>
                  <w:noWrap w:val="0"/>
                  <w:vAlign w:val="center"/>
                </w:tcPr>
                <w:p w14:paraId="49A48D6C">
                  <w:pPr>
                    <w:pStyle w:val="76"/>
                    <w:tabs>
                      <w:tab w:val="center" w:pos="4153"/>
                      <w:tab w:val="right" w:pos="8306"/>
                    </w:tabs>
                    <w:spacing w:line="240" w:lineRule="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否</w:t>
                  </w:r>
                </w:p>
              </w:tc>
            </w:tr>
            <w:tr w14:paraId="3394F1F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2" w:type="dxa"/>
                  <w:noWrap w:val="0"/>
                  <w:vAlign w:val="center"/>
                </w:tcPr>
                <w:p w14:paraId="2D340FEB">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 3 \* GB2 \* MERGEFORMAT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sz w:val="21"/>
                      <w:szCs w:val="21"/>
                    </w:rPr>
                    <w:t>⑶</w:t>
                  </w:r>
                  <w:r>
                    <w:rPr>
                      <w:rFonts w:hint="default" w:ascii="Times New Roman" w:hAnsi="Times New Roman" w:eastAsia="宋体" w:cs="Times New Roman"/>
                      <w:color w:val="auto"/>
                      <w:kern w:val="0"/>
                      <w:sz w:val="21"/>
                      <w:szCs w:val="21"/>
                    </w:rPr>
                    <w:fldChar w:fldCharType="end"/>
                  </w:r>
                </w:p>
              </w:tc>
              <w:tc>
                <w:tcPr>
                  <w:tcW w:w="4200" w:type="dxa"/>
                  <w:noWrap w:val="0"/>
                  <w:vAlign w:val="center"/>
                </w:tcPr>
                <w:p w14:paraId="6C02058A">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废水第一类污染物排放量增加的</w:t>
                  </w:r>
                </w:p>
              </w:tc>
              <w:tc>
                <w:tcPr>
                  <w:tcW w:w="3704" w:type="dxa"/>
                  <w:noWrap w:val="0"/>
                  <w:vAlign w:val="center"/>
                </w:tcPr>
                <w:p w14:paraId="5577BF3B">
                  <w:pPr>
                    <w:pStyle w:val="76"/>
                    <w:tabs>
                      <w:tab w:val="center" w:pos="4153"/>
                      <w:tab w:val="right" w:pos="8306"/>
                    </w:tabs>
                    <w:spacing w:line="240" w:lineRule="auto"/>
                    <w:jc w:val="left"/>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项目污水处理厂收纳废水主要为城镇居民生活污水，不涉及第一类污染物。</w:t>
                  </w:r>
                </w:p>
              </w:tc>
              <w:tc>
                <w:tcPr>
                  <w:tcW w:w="2480" w:type="dxa"/>
                  <w:noWrap w:val="0"/>
                  <w:vAlign w:val="center"/>
                </w:tcPr>
                <w:p w14:paraId="406AFF95">
                  <w:pPr>
                    <w:pStyle w:val="76"/>
                    <w:tabs>
                      <w:tab w:val="center" w:pos="4153"/>
                      <w:tab w:val="right" w:pos="8306"/>
                    </w:tabs>
                    <w:spacing w:line="240" w:lineRule="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无变化</w:t>
                  </w:r>
                </w:p>
              </w:tc>
              <w:tc>
                <w:tcPr>
                  <w:tcW w:w="1627" w:type="dxa"/>
                  <w:noWrap w:val="0"/>
                  <w:vAlign w:val="center"/>
                </w:tcPr>
                <w:p w14:paraId="5732EF27">
                  <w:pPr>
                    <w:pStyle w:val="76"/>
                    <w:tabs>
                      <w:tab w:val="center" w:pos="4153"/>
                      <w:tab w:val="right" w:pos="8306"/>
                    </w:tabs>
                    <w:spacing w:line="240" w:lineRule="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否</w:t>
                  </w:r>
                </w:p>
              </w:tc>
            </w:tr>
            <w:tr w14:paraId="4AD1A8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2" w:type="dxa"/>
                  <w:noWrap w:val="0"/>
                  <w:vAlign w:val="center"/>
                </w:tcPr>
                <w:p w14:paraId="0CCA6274">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 4 \* GB2 \* MERGEFORMAT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sz w:val="21"/>
                      <w:szCs w:val="21"/>
                    </w:rPr>
                    <w:t>⑷</w:t>
                  </w:r>
                  <w:r>
                    <w:rPr>
                      <w:rFonts w:hint="default" w:ascii="Times New Roman" w:hAnsi="Times New Roman" w:eastAsia="宋体" w:cs="Times New Roman"/>
                      <w:color w:val="auto"/>
                      <w:kern w:val="0"/>
                      <w:sz w:val="21"/>
                      <w:szCs w:val="21"/>
                    </w:rPr>
                    <w:fldChar w:fldCharType="end"/>
                  </w:r>
                </w:p>
              </w:tc>
              <w:tc>
                <w:tcPr>
                  <w:tcW w:w="4200" w:type="dxa"/>
                  <w:noWrap w:val="0"/>
                  <w:vAlign w:val="center"/>
                </w:tcPr>
                <w:p w14:paraId="127D3AAA">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其他污染物排放量增加10%及以上的</w:t>
                  </w:r>
                </w:p>
              </w:tc>
              <w:tc>
                <w:tcPr>
                  <w:tcW w:w="3704" w:type="dxa"/>
                  <w:noWrap w:val="0"/>
                  <w:vAlign w:val="center"/>
                </w:tcPr>
                <w:p w14:paraId="4CD5AEE4">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污水处理厂处理尾水夏季（3月~10月）用于周边林地绿化，冬季（11月~2月）排入污水处理厂东北侧洪水河；根据本次污染源强核算，新增COD、NH</w:t>
                  </w:r>
                  <w:r>
                    <w:rPr>
                      <w:rFonts w:hint="default" w:ascii="Times New Roman" w:hAnsi="Times New Roman" w:eastAsia="宋体" w:cs="Times New Roman"/>
                      <w:color w:val="auto"/>
                      <w:kern w:val="0"/>
                      <w:sz w:val="21"/>
                      <w:szCs w:val="21"/>
                      <w:vertAlign w:val="subscript"/>
                      <w:lang w:val="en-US" w:eastAsia="zh-CN"/>
                    </w:rPr>
                    <w:t>3</w:t>
                  </w:r>
                  <w:r>
                    <w:rPr>
                      <w:rFonts w:hint="default" w:ascii="Times New Roman" w:hAnsi="Times New Roman" w:eastAsia="宋体" w:cs="Times New Roman"/>
                      <w:color w:val="auto"/>
                      <w:kern w:val="0"/>
                      <w:sz w:val="21"/>
                      <w:szCs w:val="21"/>
                      <w:vertAlign w:val="baseline"/>
                      <w:lang w:val="en-US" w:eastAsia="zh-CN"/>
                    </w:rPr>
                    <w:t>-N排放量为3.04t/a、0.67t/a。</w:t>
                  </w:r>
                </w:p>
              </w:tc>
              <w:tc>
                <w:tcPr>
                  <w:tcW w:w="2480" w:type="dxa"/>
                  <w:noWrap w:val="0"/>
                  <w:vAlign w:val="center"/>
                </w:tcPr>
                <w:p w14:paraId="7DBC0FDC">
                  <w:pPr>
                    <w:pStyle w:val="76"/>
                    <w:tabs>
                      <w:tab w:val="center" w:pos="4153"/>
                      <w:tab w:val="right" w:pos="8306"/>
                    </w:tabs>
                    <w:spacing w:line="240" w:lineRule="auto"/>
                    <w:jc w:val="both"/>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污水处理厂处理尾水常年排入至洪水河。排水量由原来的9.2万t/a（11月份至2月份）增加到29.2万t/a（1-12月/全年）</w:t>
                  </w:r>
                </w:p>
              </w:tc>
              <w:tc>
                <w:tcPr>
                  <w:tcW w:w="1627" w:type="dxa"/>
                  <w:noWrap w:val="0"/>
                  <w:vAlign w:val="center"/>
                </w:tcPr>
                <w:p w14:paraId="10FBF956">
                  <w:pPr>
                    <w:pStyle w:val="76"/>
                    <w:tabs>
                      <w:tab w:val="center" w:pos="4153"/>
                      <w:tab w:val="right" w:pos="8306"/>
                    </w:tabs>
                    <w:spacing w:line="240" w:lineRule="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是</w:t>
                  </w:r>
                </w:p>
              </w:tc>
            </w:tr>
            <w:tr w14:paraId="7F148E5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692" w:type="dxa"/>
                  <w:noWrap w:val="0"/>
                  <w:vAlign w:val="center"/>
                </w:tcPr>
                <w:p w14:paraId="6E12D69C">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4200" w:type="dxa"/>
                  <w:noWrap w:val="0"/>
                  <w:vAlign w:val="center"/>
                </w:tcPr>
                <w:p w14:paraId="3DE21173">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物料运输、装卸、贮存方式变化，导致大气污染物无组织排放量增加10%及以上的</w:t>
                  </w:r>
                </w:p>
              </w:tc>
              <w:tc>
                <w:tcPr>
                  <w:tcW w:w="3704" w:type="dxa"/>
                  <w:noWrap w:val="0"/>
                  <w:vAlign w:val="center"/>
                </w:tcPr>
                <w:p w14:paraId="5B315B9C">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本项目无物料运输、装卸、贮存等环节。</w:t>
                  </w:r>
                </w:p>
              </w:tc>
              <w:tc>
                <w:tcPr>
                  <w:tcW w:w="2480" w:type="dxa"/>
                  <w:noWrap w:val="0"/>
                  <w:vAlign w:val="center"/>
                </w:tcPr>
                <w:p w14:paraId="5E9F645D">
                  <w:pPr>
                    <w:snapToGrid w:val="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无变化</w:t>
                  </w:r>
                </w:p>
              </w:tc>
              <w:tc>
                <w:tcPr>
                  <w:tcW w:w="1627" w:type="dxa"/>
                  <w:noWrap w:val="0"/>
                  <w:vAlign w:val="center"/>
                </w:tcPr>
                <w:p w14:paraId="6736B209">
                  <w:pPr>
                    <w:snapToGrid w:val="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否</w:t>
                  </w:r>
                </w:p>
              </w:tc>
            </w:tr>
          </w:tbl>
          <w:p w14:paraId="3B0B2F49">
            <w:pPr>
              <w:pStyle w:val="7"/>
              <w:keepNext w:val="0"/>
              <w:keepLines w:val="0"/>
              <w:pageBreakBefore w:val="0"/>
              <w:widowControl/>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adjustRightInd w:val="0"/>
              <w:snapToGrid/>
              <w:spacing w:before="0" w:after="0" w:line="240" w:lineRule="auto"/>
              <w:ind w:left="0" w:firstLine="420" w:firstLineChars="200"/>
              <w:jc w:val="left"/>
              <w:textAlignment w:val="baseline"/>
              <w:rPr>
                <w:rFonts w:hint="eastAsia" w:ascii="Times New Roman" w:eastAsia="宋体"/>
                <w:b w:val="0"/>
                <w:bCs w:val="0"/>
                <w:color w:val="auto"/>
                <w:sz w:val="21"/>
                <w:szCs w:val="21"/>
                <w:lang w:eastAsia="zh-CN"/>
              </w:rPr>
            </w:pPr>
          </w:p>
          <w:p w14:paraId="063D380F">
            <w:pPr>
              <w:rPr>
                <w:rFonts w:hint="eastAsia" w:ascii="Times New Roman" w:eastAsia="宋体"/>
                <w:b w:val="0"/>
                <w:bCs w:val="0"/>
                <w:color w:val="auto"/>
                <w:sz w:val="21"/>
                <w:szCs w:val="21"/>
                <w:lang w:eastAsia="zh-CN"/>
              </w:rPr>
            </w:pPr>
          </w:p>
          <w:p w14:paraId="60113788">
            <w:pPr>
              <w:pStyle w:val="2"/>
              <w:rPr>
                <w:rFonts w:hint="eastAsia" w:ascii="Times New Roman" w:eastAsia="宋体"/>
                <w:b w:val="0"/>
                <w:bCs w:val="0"/>
                <w:color w:val="auto"/>
                <w:sz w:val="21"/>
                <w:szCs w:val="21"/>
                <w:lang w:eastAsia="zh-CN"/>
              </w:rPr>
            </w:pPr>
          </w:p>
          <w:p w14:paraId="44062A36">
            <w:pPr>
              <w:rPr>
                <w:rFonts w:hint="eastAsia" w:ascii="Times New Roman" w:eastAsia="宋体"/>
                <w:b w:val="0"/>
                <w:bCs w:val="0"/>
                <w:color w:val="auto"/>
                <w:sz w:val="21"/>
                <w:szCs w:val="21"/>
                <w:lang w:eastAsia="zh-CN"/>
              </w:rPr>
            </w:pPr>
          </w:p>
          <w:p w14:paraId="4E0D19A6">
            <w:pPr>
              <w:pStyle w:val="2"/>
              <w:rPr>
                <w:rFonts w:hint="eastAsia"/>
                <w:color w:val="auto"/>
                <w:lang w:eastAsia="zh-CN"/>
              </w:rPr>
            </w:pPr>
          </w:p>
          <w:p w14:paraId="07E41710">
            <w:pPr>
              <w:pStyle w:val="7"/>
              <w:keepNext w:val="0"/>
              <w:keepLines w:val="0"/>
              <w:pageBreakBefore w:val="0"/>
              <w:widowControl/>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adjustRightInd w:val="0"/>
              <w:snapToGrid/>
              <w:spacing w:before="0" w:after="0" w:line="240" w:lineRule="auto"/>
              <w:jc w:val="center"/>
              <w:textAlignment w:val="baseline"/>
              <w:rPr>
                <w:rFonts w:ascii="Times New Roman" w:eastAsia="宋体"/>
                <w:color w:val="auto"/>
              </w:rPr>
            </w:pPr>
            <w:r>
              <w:rPr>
                <w:rFonts w:hint="eastAsia" w:ascii="Times New Roman" w:eastAsia="宋体"/>
                <w:b w:val="0"/>
                <w:bCs w:val="0"/>
                <w:color w:val="auto"/>
                <w:sz w:val="21"/>
                <w:szCs w:val="21"/>
                <w:lang w:eastAsia="zh-CN"/>
              </w:rPr>
              <w:t>续</w:t>
            </w:r>
            <w:r>
              <w:rPr>
                <w:rFonts w:ascii="Times New Roman" w:eastAsia="宋体"/>
                <w:b w:val="0"/>
                <w:bCs w:val="0"/>
                <w:color w:val="auto"/>
                <w:sz w:val="21"/>
                <w:szCs w:val="21"/>
              </w:rPr>
              <w:t>表</w:t>
            </w:r>
            <w:r>
              <w:rPr>
                <w:rFonts w:hint="eastAsia" w:ascii="Times New Roman" w:eastAsia="宋体"/>
                <w:b w:val="0"/>
                <w:bCs w:val="0"/>
                <w:color w:val="auto"/>
                <w:sz w:val="21"/>
                <w:szCs w:val="21"/>
                <w:lang w:val="en-US" w:eastAsia="zh-CN"/>
              </w:rPr>
              <w:t>2-2</w:t>
            </w:r>
            <w:r>
              <w:rPr>
                <w:rFonts w:ascii="Times New Roman" w:eastAsia="宋体"/>
                <w:b/>
                <w:bCs/>
                <w:color w:val="auto"/>
              </w:rPr>
              <w:t xml:space="preserve"> </w:t>
            </w:r>
            <w:r>
              <w:rPr>
                <w:rFonts w:hint="eastAsia" w:ascii="Times New Roman" w:eastAsia="宋体"/>
                <w:b/>
                <w:bCs/>
                <w:color w:val="auto"/>
                <w:lang w:val="en-US" w:eastAsia="zh-CN"/>
              </w:rPr>
              <w:t xml:space="preserve">   </w:t>
            </w:r>
            <w:r>
              <w:rPr>
                <w:rFonts w:ascii="Times New Roman" w:eastAsia="宋体"/>
                <w:b/>
                <w:bCs/>
                <w:color w:val="auto"/>
                <w:sz w:val="24"/>
                <w:szCs w:val="24"/>
              </w:rPr>
              <w:t>本项目与</w:t>
            </w:r>
            <w:r>
              <w:rPr>
                <w:rFonts w:ascii="Times New Roman" w:eastAsia="宋体"/>
                <w:b/>
                <w:bCs/>
                <w:color w:val="auto"/>
                <w:kern w:val="0"/>
                <w:sz w:val="24"/>
                <w:szCs w:val="24"/>
              </w:rPr>
              <w:t>《污染影响类建设项目重大变动清单（试行）》认定的重大变动情况对照表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79" w:type="dxa"/>
                <w:bottom w:w="0" w:type="dxa"/>
                <w:right w:w="79" w:type="dxa"/>
              </w:tblCellMar>
            </w:tblPr>
            <w:tblGrid>
              <w:gridCol w:w="702"/>
              <w:gridCol w:w="4286"/>
              <w:gridCol w:w="3777"/>
              <w:gridCol w:w="2528"/>
              <w:gridCol w:w="1667"/>
            </w:tblGrid>
            <w:tr w14:paraId="6BE2C1A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271" w:type="pct"/>
                  <w:noWrap w:val="0"/>
                  <w:vAlign w:val="center"/>
                </w:tcPr>
                <w:p w14:paraId="3A2D177E">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序号</w:t>
                  </w:r>
                </w:p>
              </w:tc>
              <w:tc>
                <w:tcPr>
                  <w:tcW w:w="1653" w:type="pct"/>
                  <w:noWrap w:val="0"/>
                  <w:vAlign w:val="center"/>
                </w:tcPr>
                <w:p w14:paraId="1D86EDC5">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具体规定</w:t>
                  </w:r>
                </w:p>
              </w:tc>
              <w:tc>
                <w:tcPr>
                  <w:tcW w:w="1457" w:type="pct"/>
                  <w:noWrap w:val="0"/>
                  <w:vAlign w:val="center"/>
                </w:tcPr>
                <w:p w14:paraId="69110E7D">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b/>
                      <w:color w:val="auto"/>
                      <w:kern w:val="0"/>
                      <w:sz w:val="21"/>
                      <w:szCs w:val="21"/>
                      <w:lang w:eastAsia="zh-CN"/>
                    </w:rPr>
                    <w:t>原环评情况</w:t>
                  </w:r>
                </w:p>
              </w:tc>
              <w:tc>
                <w:tcPr>
                  <w:tcW w:w="975" w:type="pct"/>
                  <w:noWrap w:val="0"/>
                  <w:vAlign w:val="center"/>
                </w:tcPr>
                <w:p w14:paraId="7169A58D">
                  <w:pPr>
                    <w:pStyle w:val="76"/>
                    <w:tabs>
                      <w:tab w:val="center" w:pos="4153"/>
                      <w:tab w:val="right" w:pos="8306"/>
                    </w:tabs>
                    <w:spacing w:line="240" w:lineRule="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变化情况说明</w:t>
                  </w:r>
                </w:p>
              </w:tc>
              <w:tc>
                <w:tcPr>
                  <w:tcW w:w="642" w:type="pct"/>
                  <w:noWrap w:val="0"/>
                  <w:vAlign w:val="center"/>
                </w:tcPr>
                <w:p w14:paraId="693643EC">
                  <w:pPr>
                    <w:pStyle w:val="76"/>
                    <w:tabs>
                      <w:tab w:val="center" w:pos="4153"/>
                      <w:tab w:val="right" w:pos="8306"/>
                    </w:tabs>
                    <w:spacing w:line="240" w:lineRule="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是否属于重大变动</w:t>
                  </w:r>
                </w:p>
              </w:tc>
            </w:tr>
            <w:tr w14:paraId="56F8675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271" w:type="pct"/>
                  <w:noWrap w:val="0"/>
                  <w:vAlign w:val="center"/>
                </w:tcPr>
                <w:p w14:paraId="4553AB03">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val="0"/>
                      <w:color w:val="auto"/>
                      <w:kern w:val="0"/>
                      <w:sz w:val="21"/>
                      <w:szCs w:val="21"/>
                    </w:rPr>
                    <w:t>五</w:t>
                  </w:r>
                </w:p>
              </w:tc>
              <w:tc>
                <w:tcPr>
                  <w:tcW w:w="4728" w:type="pct"/>
                  <w:gridSpan w:val="4"/>
                  <w:noWrap w:val="0"/>
                  <w:vAlign w:val="center"/>
                </w:tcPr>
                <w:p w14:paraId="6D691407">
                  <w:pPr>
                    <w:pStyle w:val="76"/>
                    <w:tabs>
                      <w:tab w:val="center" w:pos="4153"/>
                      <w:tab w:val="right" w:pos="8306"/>
                    </w:tabs>
                    <w:spacing w:line="240" w:lineRule="auto"/>
                    <w:jc w:val="both"/>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环境保护措施</w:t>
                  </w:r>
                </w:p>
              </w:tc>
            </w:tr>
            <w:tr w14:paraId="6A9CF5C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271" w:type="pct"/>
                  <w:noWrap w:val="0"/>
                  <w:vAlign w:val="center"/>
                </w:tcPr>
                <w:p w14:paraId="51E682E4">
                  <w:pPr>
                    <w:pStyle w:val="76"/>
                    <w:tabs>
                      <w:tab w:val="center" w:pos="4153"/>
                      <w:tab w:val="right" w:pos="8306"/>
                    </w:tabs>
                    <w:spacing w:line="240" w:lineRule="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kern w:val="0"/>
                      <w:sz w:val="21"/>
                      <w:szCs w:val="21"/>
                    </w:rPr>
                    <w:t>环境保护措施</w:t>
                  </w:r>
                </w:p>
              </w:tc>
              <w:tc>
                <w:tcPr>
                  <w:tcW w:w="1653" w:type="pct"/>
                  <w:noWrap w:val="0"/>
                  <w:vAlign w:val="center"/>
                </w:tcPr>
                <w:p w14:paraId="301A3027">
                  <w:pPr>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废气、废水处理工艺变化，导致第6条所列情形之一（废气无组织排放改为有组织排放、污染防治措施强化或改进的除外）或大气污染物无组织排放量增加10%及以上的</w:t>
                  </w:r>
                </w:p>
              </w:tc>
              <w:tc>
                <w:tcPr>
                  <w:tcW w:w="1457" w:type="pct"/>
                  <w:noWrap w:val="0"/>
                  <w:vAlign w:val="center"/>
                </w:tcPr>
                <w:p w14:paraId="40C65A5E">
                  <w:pPr>
                    <w:pStyle w:val="76"/>
                    <w:tabs>
                      <w:tab w:val="center" w:pos="4153"/>
                      <w:tab w:val="right" w:pos="8306"/>
                    </w:tabs>
                    <w:spacing w:line="240" w:lineRule="auto"/>
                    <w:jc w:val="left"/>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废气：</w:t>
                  </w:r>
                  <w:r>
                    <w:rPr>
                      <w:rFonts w:hint="default" w:ascii="Times New Roman" w:hAnsi="Times New Roman" w:eastAsia="宋体" w:cs="Times New Roman"/>
                      <w:color w:val="auto"/>
                      <w:sz w:val="21"/>
                      <w:szCs w:val="21"/>
                    </w:rPr>
                    <w:t>恶臭气体通过风管收集（收集效率98%）后采用生物除臭滤池工艺处理（处理效率90%），净化后的废气通过15m高的排气筒排放</w:t>
                  </w:r>
                  <w:r>
                    <w:rPr>
                      <w:rFonts w:hint="eastAsia" w:ascii="Times New Roman" w:hAnsi="Times New Roman" w:eastAsia="宋体" w:cs="Times New Roman"/>
                      <w:color w:val="auto"/>
                      <w:sz w:val="21"/>
                      <w:szCs w:val="21"/>
                      <w:lang w:eastAsia="zh-CN"/>
                    </w:rPr>
                    <w:t>。</w:t>
                  </w:r>
                </w:p>
              </w:tc>
              <w:tc>
                <w:tcPr>
                  <w:tcW w:w="975" w:type="pct"/>
                  <w:noWrap w:val="0"/>
                  <w:vAlign w:val="center"/>
                </w:tcPr>
                <w:p w14:paraId="4576D8FE">
                  <w:pPr>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无变化</w:t>
                  </w:r>
                </w:p>
              </w:tc>
              <w:tc>
                <w:tcPr>
                  <w:tcW w:w="642" w:type="pct"/>
                  <w:noWrap w:val="0"/>
                  <w:vAlign w:val="center"/>
                </w:tcPr>
                <w:p w14:paraId="2B54D977">
                  <w:pPr>
                    <w:snapToGrid w:val="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否</w:t>
                  </w:r>
                </w:p>
              </w:tc>
            </w:tr>
            <w:tr w14:paraId="6AA1F25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271" w:type="pct"/>
                  <w:vMerge w:val="restart"/>
                  <w:noWrap w:val="0"/>
                  <w:vAlign w:val="center"/>
                </w:tcPr>
                <w:p w14:paraId="4CFEEE10">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环境保护措施</w:t>
                  </w:r>
                </w:p>
              </w:tc>
              <w:tc>
                <w:tcPr>
                  <w:tcW w:w="1653" w:type="pct"/>
                  <w:noWrap w:val="0"/>
                  <w:vAlign w:val="center"/>
                </w:tcPr>
                <w:p w14:paraId="52604E47">
                  <w:pPr>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废气、废水处理工艺变化，导致第6条所列情形之一（废气无组织排放改为有组织排放、污染防治措施强化或改进的除外）或大气污染物无组织排放量增加10%及以上的</w:t>
                  </w:r>
                </w:p>
              </w:tc>
              <w:tc>
                <w:tcPr>
                  <w:tcW w:w="1457" w:type="pct"/>
                  <w:noWrap w:val="0"/>
                  <w:vAlign w:val="center"/>
                </w:tcPr>
                <w:p w14:paraId="6733B003">
                  <w:pPr>
                    <w:pStyle w:val="76"/>
                    <w:tabs>
                      <w:tab w:val="center" w:pos="4153"/>
                      <w:tab w:val="right" w:pos="8306"/>
                    </w:tabs>
                    <w:spacing w:line="240" w:lineRule="auto"/>
                    <w:jc w:val="left"/>
                    <w:rPr>
                      <w:rFonts w:hint="eastAsia"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kern w:val="0"/>
                      <w:sz w:val="21"/>
                      <w:szCs w:val="21"/>
                      <w:lang w:eastAsia="zh-CN"/>
                    </w:rPr>
                    <w:t>废水</w:t>
                  </w:r>
                  <w:r>
                    <w:rPr>
                      <w:rFonts w:hint="eastAsia" w:ascii="Times New Roman" w:hAnsi="Times New Roman" w:eastAsia="宋体" w:cs="Times New Roman"/>
                      <w:color w:val="auto"/>
                      <w:kern w:val="0"/>
                      <w:sz w:val="21"/>
                      <w:szCs w:val="21"/>
                      <w:lang w:eastAsia="zh-CN"/>
                    </w:rPr>
                    <w:t>处理工艺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lang w:val="en-US" w:eastAsia="zh-CN"/>
                    </w:rPr>
                    <w:t>预处理间（粗细格栅+平流沉砂池）＋调节池＋A</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/O生物反应池＋平流沉淀池＋高效沉淀池+竖片滤池+次氯酸钠消毒</w:t>
                  </w:r>
                  <w:r>
                    <w:rPr>
                      <w:rFonts w:hint="eastAsia" w:ascii="Times New Roman" w:hAnsi="Times New Roman" w:eastAsia="宋体" w:cs="Times New Roman"/>
                      <w:color w:val="auto"/>
                      <w:spacing w:val="0"/>
                      <w:sz w:val="21"/>
                      <w:szCs w:val="21"/>
                      <w:lang w:eastAsia="zh-CN"/>
                    </w:rPr>
                    <w:t>；</w:t>
                  </w:r>
                </w:p>
                <w:p w14:paraId="2F2B01E2">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pacing w:val="0"/>
                      <w:sz w:val="21"/>
                      <w:szCs w:val="21"/>
                      <w:lang w:eastAsia="zh-CN"/>
                    </w:rPr>
                    <w:t>大气污染物无组织排放量：</w:t>
                  </w:r>
                  <w:r>
                    <w:rPr>
                      <w:rFonts w:hint="eastAsia" w:ascii="Times New Roman" w:hAnsi="Times New Roman" w:eastAsia="宋体" w:cs="Times New Roman"/>
                      <w:color w:val="auto"/>
                      <w:spacing w:val="0"/>
                      <w:sz w:val="21"/>
                      <w:szCs w:val="21"/>
                      <w:lang w:val="en-US" w:eastAsia="zh-CN"/>
                    </w:rPr>
                    <w:t>NH</w:t>
                  </w:r>
                  <w:r>
                    <w:rPr>
                      <w:rFonts w:hint="eastAsia" w:ascii="Times New Roman" w:hAnsi="Times New Roman" w:eastAsia="宋体" w:cs="Times New Roman"/>
                      <w:color w:val="auto"/>
                      <w:spacing w:val="0"/>
                      <w:sz w:val="21"/>
                      <w:szCs w:val="21"/>
                      <w:vertAlign w:val="subscript"/>
                      <w:lang w:val="en-US" w:eastAsia="zh-CN"/>
                    </w:rPr>
                    <w:t>3</w:t>
                  </w:r>
                  <w:r>
                    <w:rPr>
                      <w:rFonts w:hint="eastAsia" w:ascii="Times New Roman" w:hAnsi="Times New Roman" w:eastAsia="宋体" w:cs="Times New Roman"/>
                      <w:color w:val="auto"/>
                      <w:spacing w:val="0"/>
                      <w:sz w:val="21"/>
                      <w:szCs w:val="21"/>
                      <w:vertAlign w:val="baseline"/>
                      <w:lang w:val="en-US" w:eastAsia="zh-CN"/>
                    </w:rPr>
                    <w:t>0.058t/a、H</w:t>
                  </w:r>
                  <w:r>
                    <w:rPr>
                      <w:rFonts w:hint="eastAsia" w:ascii="Times New Roman" w:hAnsi="Times New Roman" w:eastAsia="宋体" w:cs="Times New Roman"/>
                      <w:color w:val="auto"/>
                      <w:spacing w:val="0"/>
                      <w:sz w:val="21"/>
                      <w:szCs w:val="21"/>
                      <w:vertAlign w:val="subscript"/>
                      <w:lang w:val="en-US" w:eastAsia="zh-CN"/>
                    </w:rPr>
                    <w:t>2</w:t>
                  </w:r>
                  <w:r>
                    <w:rPr>
                      <w:rFonts w:hint="eastAsia" w:ascii="Times New Roman" w:hAnsi="Times New Roman" w:eastAsia="宋体" w:cs="Times New Roman"/>
                      <w:color w:val="auto"/>
                      <w:spacing w:val="0"/>
                      <w:sz w:val="21"/>
                      <w:szCs w:val="21"/>
                      <w:vertAlign w:val="baseline"/>
                      <w:lang w:val="en-US" w:eastAsia="zh-CN"/>
                    </w:rPr>
                    <w:t>S0.00056t/a。</w:t>
                  </w:r>
                </w:p>
              </w:tc>
              <w:tc>
                <w:tcPr>
                  <w:tcW w:w="975" w:type="pct"/>
                  <w:noWrap w:val="0"/>
                  <w:vAlign w:val="center"/>
                </w:tcPr>
                <w:p w14:paraId="1DED2548">
                  <w:pPr>
                    <w:pStyle w:val="76"/>
                    <w:tabs>
                      <w:tab w:val="center" w:pos="4153"/>
                      <w:tab w:val="right" w:pos="8306"/>
                    </w:tabs>
                    <w:spacing w:line="240"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无变化</w:t>
                  </w:r>
                </w:p>
              </w:tc>
              <w:tc>
                <w:tcPr>
                  <w:tcW w:w="642" w:type="pct"/>
                  <w:noWrap w:val="0"/>
                  <w:vAlign w:val="center"/>
                </w:tcPr>
                <w:p w14:paraId="5053E6AA">
                  <w:pPr>
                    <w:pStyle w:val="76"/>
                    <w:tabs>
                      <w:tab w:val="center" w:pos="4153"/>
                      <w:tab w:val="right" w:pos="8306"/>
                    </w:tabs>
                    <w:spacing w:line="240" w:lineRule="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否</w:t>
                  </w:r>
                </w:p>
              </w:tc>
            </w:tr>
            <w:tr w14:paraId="0784AD2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271" w:type="pct"/>
                  <w:vMerge w:val="continue"/>
                  <w:noWrap w:val="0"/>
                  <w:vAlign w:val="center"/>
                </w:tcPr>
                <w:p w14:paraId="17144942">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p>
              </w:tc>
              <w:tc>
                <w:tcPr>
                  <w:tcW w:w="1653" w:type="pct"/>
                  <w:noWrap w:val="0"/>
                  <w:vAlign w:val="center"/>
                </w:tcPr>
                <w:p w14:paraId="36A48E21">
                  <w:pPr>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新增废水直接排放口；废水由间接排放改为直接排放；废水直接排放口位置变化，导致不利环境影响加重的</w:t>
                  </w:r>
                </w:p>
              </w:tc>
              <w:tc>
                <w:tcPr>
                  <w:tcW w:w="1457" w:type="pct"/>
                  <w:noWrap w:val="0"/>
                  <w:vAlign w:val="center"/>
                </w:tcPr>
                <w:p w14:paraId="1944E96D">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新增1处废水直接排放口，排放口坐标：北纬36°56'43.89"、东经105°15'00.94"</w:t>
                  </w:r>
                </w:p>
              </w:tc>
              <w:tc>
                <w:tcPr>
                  <w:tcW w:w="975" w:type="pct"/>
                  <w:noWrap w:val="0"/>
                  <w:vAlign w:val="center"/>
                </w:tcPr>
                <w:p w14:paraId="01B464C4">
                  <w:pPr>
                    <w:pStyle w:val="76"/>
                    <w:tabs>
                      <w:tab w:val="center" w:pos="4153"/>
                      <w:tab w:val="right" w:pos="8306"/>
                    </w:tabs>
                    <w:spacing w:line="240"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无变化</w:t>
                  </w:r>
                </w:p>
              </w:tc>
              <w:tc>
                <w:tcPr>
                  <w:tcW w:w="642" w:type="pct"/>
                  <w:noWrap w:val="0"/>
                  <w:vAlign w:val="center"/>
                </w:tcPr>
                <w:p w14:paraId="34679C0B">
                  <w:pPr>
                    <w:pStyle w:val="76"/>
                    <w:tabs>
                      <w:tab w:val="center" w:pos="4153"/>
                      <w:tab w:val="right" w:pos="8306"/>
                    </w:tabs>
                    <w:spacing w:line="240" w:lineRule="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否</w:t>
                  </w:r>
                </w:p>
              </w:tc>
            </w:tr>
            <w:tr w14:paraId="06BE97D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271" w:type="pct"/>
                  <w:vMerge w:val="continue"/>
                  <w:noWrap w:val="0"/>
                  <w:vAlign w:val="center"/>
                </w:tcPr>
                <w:p w14:paraId="3B55BBAE">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p>
              </w:tc>
              <w:tc>
                <w:tcPr>
                  <w:tcW w:w="1653" w:type="pct"/>
                  <w:noWrap w:val="0"/>
                  <w:vAlign w:val="center"/>
                </w:tcPr>
                <w:p w14:paraId="5F9B3BEF">
                  <w:pPr>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新增废气主要排放口（废气无组织排放改为有组织排放的除外）；主要排放口排气筒高度降低10%及以上的</w:t>
                  </w:r>
                </w:p>
              </w:tc>
              <w:tc>
                <w:tcPr>
                  <w:tcW w:w="1457" w:type="pct"/>
                  <w:noWrap w:val="0"/>
                  <w:vAlign w:val="center"/>
                </w:tcPr>
                <w:p w14:paraId="6BBB4721">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污水处理厂</w:t>
                  </w:r>
                  <w:r>
                    <w:rPr>
                      <w:rFonts w:hint="default" w:ascii="Times New Roman" w:hAnsi="Times New Roman" w:eastAsia="宋体" w:cs="Times New Roman"/>
                      <w:color w:val="auto"/>
                      <w:kern w:val="0"/>
                      <w:sz w:val="21"/>
                      <w:szCs w:val="21"/>
                      <w:lang w:eastAsia="zh-CN"/>
                    </w:rPr>
                    <w:t>：设置</w:t>
                  </w:r>
                  <w:r>
                    <w:rPr>
                      <w:rFonts w:hint="default" w:ascii="Times New Roman" w:hAnsi="Times New Roman" w:eastAsia="宋体" w:cs="Times New Roman"/>
                      <w:color w:val="auto"/>
                      <w:kern w:val="0"/>
                      <w:sz w:val="21"/>
                      <w:szCs w:val="21"/>
                      <w:lang w:val="en-US" w:eastAsia="zh-CN"/>
                    </w:rPr>
                    <w:t>1根</w:t>
                  </w:r>
                  <w:r>
                    <w:rPr>
                      <w:rFonts w:hint="eastAsia" w:ascii="Times New Roman" w:hAnsi="Times New Roman" w:eastAsia="宋体" w:cs="Times New Roman"/>
                      <w:color w:val="auto"/>
                      <w:kern w:val="0"/>
                      <w:sz w:val="21"/>
                      <w:szCs w:val="21"/>
                      <w:lang w:val="en-US" w:eastAsia="zh-CN"/>
                    </w:rPr>
                    <w:t>15</w:t>
                  </w:r>
                  <w:r>
                    <w:rPr>
                      <w:rFonts w:hint="default" w:ascii="Times New Roman" w:hAnsi="Times New Roman" w:eastAsia="宋体" w:cs="Times New Roman"/>
                      <w:color w:val="auto"/>
                      <w:kern w:val="0"/>
                      <w:sz w:val="21"/>
                      <w:szCs w:val="21"/>
                      <w:lang w:val="en-US" w:eastAsia="zh-CN"/>
                    </w:rPr>
                    <w:t>m高排气筒</w:t>
                  </w:r>
                </w:p>
              </w:tc>
              <w:tc>
                <w:tcPr>
                  <w:tcW w:w="975" w:type="pct"/>
                  <w:noWrap w:val="0"/>
                  <w:vAlign w:val="center"/>
                </w:tcPr>
                <w:p w14:paraId="7F201902">
                  <w:pPr>
                    <w:pStyle w:val="76"/>
                    <w:tabs>
                      <w:tab w:val="center" w:pos="4153"/>
                      <w:tab w:val="right" w:pos="8306"/>
                    </w:tabs>
                    <w:spacing w:line="240" w:lineRule="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无变化</w:t>
                  </w:r>
                </w:p>
              </w:tc>
              <w:tc>
                <w:tcPr>
                  <w:tcW w:w="642" w:type="pct"/>
                  <w:noWrap w:val="0"/>
                  <w:vAlign w:val="center"/>
                </w:tcPr>
                <w:p w14:paraId="519C6C6F">
                  <w:pPr>
                    <w:pStyle w:val="76"/>
                    <w:tabs>
                      <w:tab w:val="center" w:pos="4153"/>
                      <w:tab w:val="right" w:pos="8306"/>
                    </w:tabs>
                    <w:spacing w:line="240" w:lineRule="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否</w:t>
                  </w:r>
                </w:p>
              </w:tc>
            </w:tr>
            <w:tr w14:paraId="71A9CB9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271" w:type="pct"/>
                  <w:vMerge w:val="continue"/>
                  <w:noWrap w:val="0"/>
                  <w:vAlign w:val="center"/>
                </w:tcPr>
                <w:p w14:paraId="2B47A12D">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p>
              </w:tc>
              <w:tc>
                <w:tcPr>
                  <w:tcW w:w="1653" w:type="pct"/>
                  <w:vMerge w:val="restart"/>
                  <w:noWrap w:val="0"/>
                  <w:vAlign w:val="center"/>
                </w:tcPr>
                <w:p w14:paraId="16A61164">
                  <w:pPr>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噪声、土壤或地下水污染防治措施变化，导致不利环境影响加重的</w:t>
                  </w:r>
                </w:p>
              </w:tc>
              <w:tc>
                <w:tcPr>
                  <w:tcW w:w="1457" w:type="pct"/>
                  <w:noWrap w:val="0"/>
                  <w:vAlign w:val="center"/>
                </w:tcPr>
                <w:p w14:paraId="390D8DA7">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噪声：车间内安装，减振、隔音措施</w:t>
                  </w:r>
                </w:p>
              </w:tc>
              <w:tc>
                <w:tcPr>
                  <w:tcW w:w="975" w:type="pct"/>
                  <w:noWrap w:val="0"/>
                  <w:vAlign w:val="center"/>
                </w:tcPr>
                <w:p w14:paraId="0C55394B">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无变化</w:t>
                  </w:r>
                </w:p>
              </w:tc>
              <w:tc>
                <w:tcPr>
                  <w:tcW w:w="642" w:type="pct"/>
                  <w:noWrap w:val="0"/>
                  <w:vAlign w:val="center"/>
                </w:tcPr>
                <w:p w14:paraId="56E8E4B9">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否</w:t>
                  </w:r>
                </w:p>
              </w:tc>
            </w:tr>
            <w:tr w14:paraId="5ED8AC4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271" w:type="pct"/>
                  <w:vMerge w:val="continue"/>
                  <w:noWrap w:val="0"/>
                  <w:vAlign w:val="center"/>
                </w:tcPr>
                <w:p w14:paraId="25866A51">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p>
              </w:tc>
              <w:tc>
                <w:tcPr>
                  <w:tcW w:w="1653" w:type="pct"/>
                  <w:vMerge w:val="continue"/>
                  <w:noWrap w:val="0"/>
                  <w:vAlign w:val="center"/>
                </w:tcPr>
                <w:p w14:paraId="531CD731">
                  <w:pPr>
                    <w:snapToGrid w:val="0"/>
                    <w:jc w:val="center"/>
                    <w:rPr>
                      <w:rFonts w:hint="default" w:ascii="Times New Roman" w:hAnsi="Times New Roman" w:eastAsia="宋体" w:cs="Times New Roman"/>
                      <w:color w:val="auto"/>
                      <w:kern w:val="0"/>
                      <w:sz w:val="21"/>
                      <w:szCs w:val="21"/>
                    </w:rPr>
                  </w:pPr>
                </w:p>
              </w:tc>
              <w:tc>
                <w:tcPr>
                  <w:tcW w:w="1457" w:type="pct"/>
                  <w:noWrap w:val="0"/>
                  <w:vAlign w:val="center"/>
                </w:tcPr>
                <w:p w14:paraId="2A8F33F0">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地下水、土壤：全厂采取分区防渗措施，按照重点防渗区和一般防渗区进行防渗，设置地下水跟踪监测井</w:t>
                  </w:r>
                </w:p>
              </w:tc>
              <w:tc>
                <w:tcPr>
                  <w:tcW w:w="975" w:type="pct"/>
                  <w:noWrap w:val="0"/>
                  <w:vAlign w:val="center"/>
                </w:tcPr>
                <w:p w14:paraId="1F16FE11">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无变化</w:t>
                  </w:r>
                </w:p>
              </w:tc>
              <w:tc>
                <w:tcPr>
                  <w:tcW w:w="642" w:type="pct"/>
                  <w:noWrap w:val="0"/>
                  <w:vAlign w:val="center"/>
                </w:tcPr>
                <w:p w14:paraId="1204897D">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否</w:t>
                  </w:r>
                </w:p>
              </w:tc>
            </w:tr>
            <w:tr w14:paraId="62FBB39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79" w:type="dxa"/>
                  <w:bottom w:w="0" w:type="dxa"/>
                  <w:right w:w="79" w:type="dxa"/>
                </w:tblCellMar>
              </w:tblPrEx>
              <w:trPr>
                <w:trHeight w:val="340" w:hRule="atLeast"/>
                <w:jc w:val="center"/>
              </w:trPr>
              <w:tc>
                <w:tcPr>
                  <w:tcW w:w="271" w:type="pct"/>
                  <w:vMerge w:val="continue"/>
                  <w:noWrap w:val="0"/>
                  <w:vAlign w:val="center"/>
                </w:tcPr>
                <w:p w14:paraId="77A072F1">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p>
              </w:tc>
              <w:tc>
                <w:tcPr>
                  <w:tcW w:w="1653" w:type="pct"/>
                  <w:noWrap w:val="0"/>
                  <w:vAlign w:val="center"/>
                </w:tcPr>
                <w:p w14:paraId="54FBAC6F">
                  <w:pPr>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457" w:type="pct"/>
                  <w:noWrap w:val="0"/>
                  <w:vAlign w:val="center"/>
                </w:tcPr>
                <w:p w14:paraId="34772F8E">
                  <w:pPr>
                    <w:pStyle w:val="76"/>
                    <w:tabs>
                      <w:tab w:val="center" w:pos="4153"/>
                      <w:tab w:val="right" w:pos="8306"/>
                    </w:tabs>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栅渣井产生的栅渣、沉砂池产生的沉渣收集后均送至垃圾中转站；产生的污泥经脱水处理后含水率达到60%以下外运至中卫市绿能新能源有限公司集中处置。</w:t>
                  </w:r>
                </w:p>
              </w:tc>
              <w:tc>
                <w:tcPr>
                  <w:tcW w:w="975" w:type="pct"/>
                  <w:noWrap w:val="0"/>
                  <w:vAlign w:val="center"/>
                </w:tcPr>
                <w:p w14:paraId="4A1A24A4">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无变化</w:t>
                  </w:r>
                </w:p>
              </w:tc>
              <w:tc>
                <w:tcPr>
                  <w:tcW w:w="642" w:type="pct"/>
                  <w:noWrap w:val="0"/>
                  <w:vAlign w:val="center"/>
                </w:tcPr>
                <w:p w14:paraId="2A7789E1">
                  <w:pPr>
                    <w:pStyle w:val="76"/>
                    <w:tabs>
                      <w:tab w:val="center" w:pos="4153"/>
                      <w:tab w:val="right" w:pos="8306"/>
                    </w:tabs>
                    <w:spacing w:line="240" w:lineRule="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否</w:t>
                  </w:r>
                </w:p>
              </w:tc>
            </w:tr>
          </w:tbl>
          <w:p w14:paraId="224375DE">
            <w:pPr>
              <w:spacing w:before="50" w:after="50" w:line="360" w:lineRule="auto"/>
              <w:rPr>
                <w:rFonts w:ascii="Times New Roman" w:hAnsi="Times New Roman" w:eastAsia="仿宋" w:cs="Times New Roman"/>
                <w:color w:val="auto"/>
                <w:sz w:val="24"/>
                <w:szCs w:val="24"/>
              </w:rPr>
            </w:pPr>
          </w:p>
        </w:tc>
      </w:tr>
    </w:tbl>
    <w:p w14:paraId="3B2690F1">
      <w:pPr>
        <w:pStyle w:val="19"/>
        <w:rPr>
          <w:color w:val="auto"/>
        </w:rPr>
        <w:sectPr>
          <w:pgSz w:w="16838" w:h="11906" w:orient="landscape"/>
          <w:pgMar w:top="1361" w:right="1588" w:bottom="1361" w:left="1588"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91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7"/>
        <w:gridCol w:w="8177"/>
      </w:tblGrid>
      <w:tr w14:paraId="28B06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97" w:hRule="atLeast"/>
          <w:jc w:val="center"/>
        </w:trPr>
        <w:tc>
          <w:tcPr>
            <w:tcW w:w="977" w:type="dxa"/>
            <w:vAlign w:val="center"/>
          </w:tcPr>
          <w:p w14:paraId="69E389F3">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建设内容</w:t>
            </w:r>
          </w:p>
        </w:tc>
        <w:tc>
          <w:tcPr>
            <w:tcW w:w="8177" w:type="dxa"/>
            <w:vAlign w:val="top"/>
          </w:tcPr>
          <w:p w14:paraId="355C3816">
            <w:pPr>
              <w:keepNext w:val="0"/>
              <w:keepLines w:val="0"/>
              <w:pageBreakBefore w:val="0"/>
              <w:widowControl w:val="0"/>
              <w:kinsoku/>
              <w:wordWrap/>
              <w:overflowPunct/>
              <w:topLinePunct w:val="0"/>
              <w:autoSpaceDE/>
              <w:autoSpaceDN/>
              <w:bidi w:val="0"/>
              <w:adjustRightInd w:val="0"/>
              <w:snapToGrid w:val="0"/>
              <w:spacing w:before="156" w:beforeLines="50" w:line="360" w:lineRule="auto"/>
              <w:textAlignment w:val="auto"/>
              <w:rPr>
                <w:rFonts w:ascii="Times New Roman" w:hAnsi="Times New Roman" w:eastAsia="仿宋" w:cs="Times New Roman"/>
                <w:b/>
                <w:bCs/>
                <w:color w:val="auto"/>
                <w:sz w:val="24"/>
                <w:szCs w:val="24"/>
              </w:rPr>
            </w:pPr>
            <w:r>
              <w:rPr>
                <w:rFonts w:hint="eastAsia" w:ascii="Times New Roman" w:hAnsi="Times New Roman" w:eastAsia="仿宋" w:cs="Times New Roman"/>
                <w:b/>
                <w:bCs/>
                <w:color w:val="auto"/>
                <w:sz w:val="24"/>
                <w:szCs w:val="24"/>
                <w:lang w:val="en-US" w:eastAsia="zh-CN"/>
              </w:rPr>
              <w:t>2、</w:t>
            </w:r>
            <w:r>
              <w:rPr>
                <w:rFonts w:ascii="Times New Roman" w:hAnsi="Times New Roman" w:eastAsia="仿宋" w:cs="Times New Roman"/>
                <w:b/>
                <w:bCs/>
                <w:color w:val="auto"/>
                <w:sz w:val="24"/>
                <w:szCs w:val="24"/>
              </w:rPr>
              <w:t>项目工程组成</w:t>
            </w:r>
          </w:p>
          <w:p w14:paraId="1699AF62">
            <w:pPr>
              <w:adjustRightInd w:val="0"/>
              <w:snapToGrid w:val="0"/>
              <w:spacing w:before="50" w:after="50" w:line="360" w:lineRule="auto"/>
              <w:ind w:firstLine="482" w:firstLineChars="200"/>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bCs/>
                <w:color w:val="auto"/>
                <w:sz w:val="24"/>
                <w:szCs w:val="24"/>
              </w:rPr>
              <w:t>建设</w:t>
            </w:r>
            <w:r>
              <w:rPr>
                <w:rFonts w:hint="eastAsia" w:ascii="Times New Roman" w:hAnsi="Times New Roman" w:eastAsia="仿宋_GB2312" w:cs="Times New Roman"/>
                <w:b/>
                <w:bCs/>
                <w:color w:val="auto"/>
                <w:sz w:val="24"/>
                <w:szCs w:val="24"/>
                <w:lang w:eastAsia="zh-CN"/>
              </w:rPr>
              <w:t>规模</w:t>
            </w:r>
            <w:r>
              <w:rPr>
                <w:rFonts w:hint="default" w:ascii="Times New Roman" w:hAnsi="Times New Roman" w:eastAsia="仿宋_GB2312" w:cs="Times New Roman"/>
                <w:b/>
                <w:bCs/>
                <w:color w:val="auto"/>
                <w:sz w:val="24"/>
                <w:szCs w:val="24"/>
              </w:rPr>
              <w:t>：</w:t>
            </w:r>
            <w:r>
              <w:rPr>
                <w:rFonts w:hint="default" w:ascii="Times New Roman" w:hAnsi="Times New Roman" w:eastAsia="仿宋_GB2312" w:cs="Times New Roman"/>
                <w:b w:val="0"/>
                <w:bCs w:val="0"/>
                <w:color w:val="auto"/>
                <w:sz w:val="24"/>
                <w:szCs w:val="24"/>
                <w:lang w:val="en-US" w:eastAsia="zh-CN"/>
              </w:rPr>
              <w:t>工程近期规模为800m</w:t>
            </w:r>
            <w:r>
              <w:rPr>
                <w:rFonts w:hint="default" w:ascii="Times New Roman" w:hAnsi="Times New Roman" w:eastAsia="仿宋_GB2312" w:cs="Times New Roman"/>
                <w:b w:val="0"/>
                <w:bCs w:val="0"/>
                <w:color w:val="auto"/>
                <w:sz w:val="24"/>
                <w:szCs w:val="24"/>
                <w:vertAlign w:val="superscript"/>
                <w:lang w:val="en-US" w:eastAsia="zh-CN"/>
              </w:rPr>
              <w:t>3</w:t>
            </w:r>
            <w:r>
              <w:rPr>
                <w:rFonts w:hint="default" w:ascii="Times New Roman" w:hAnsi="Times New Roman" w:eastAsia="仿宋_GB2312" w:cs="Times New Roman"/>
                <w:b w:val="0"/>
                <w:bCs w:val="0"/>
                <w:color w:val="auto"/>
                <w:sz w:val="24"/>
                <w:szCs w:val="24"/>
                <w:lang w:val="en-US" w:eastAsia="zh-CN"/>
              </w:rPr>
              <w:t>/d，远期规模1500m</w:t>
            </w:r>
            <w:r>
              <w:rPr>
                <w:rFonts w:hint="default" w:ascii="Times New Roman" w:hAnsi="Times New Roman" w:eastAsia="仿宋_GB2312" w:cs="Times New Roman"/>
                <w:b w:val="0"/>
                <w:bCs w:val="0"/>
                <w:color w:val="auto"/>
                <w:sz w:val="24"/>
                <w:szCs w:val="24"/>
                <w:vertAlign w:val="superscript"/>
                <w:lang w:val="en-US" w:eastAsia="zh-CN"/>
              </w:rPr>
              <w:t>3</w:t>
            </w:r>
            <w:r>
              <w:rPr>
                <w:rFonts w:hint="default" w:ascii="Times New Roman" w:hAnsi="Times New Roman" w:eastAsia="仿宋_GB2312" w:cs="Times New Roman"/>
                <w:b w:val="0"/>
                <w:bCs w:val="0"/>
                <w:color w:val="auto"/>
                <w:sz w:val="24"/>
                <w:szCs w:val="24"/>
                <w:lang w:val="en-US" w:eastAsia="zh-CN"/>
              </w:rPr>
              <w:t>/d</w:t>
            </w:r>
            <w:r>
              <w:rPr>
                <w:rFonts w:hint="eastAsia" w:ascii="Times New Roman" w:hAnsi="Times New Roman" w:eastAsia="仿宋_GB2312" w:cs="Times New Roman"/>
                <w:b w:val="0"/>
                <w:bCs w:val="0"/>
                <w:color w:val="auto"/>
                <w:sz w:val="24"/>
                <w:szCs w:val="24"/>
                <w:lang w:val="en-US" w:eastAsia="zh-CN"/>
              </w:rPr>
              <w:t>（本次不评价）</w:t>
            </w:r>
            <w:r>
              <w:rPr>
                <w:rFonts w:hint="default" w:ascii="Times New Roman" w:hAnsi="Times New Roman" w:eastAsia="仿宋_GB2312" w:cs="Times New Roman"/>
                <w:b w:val="0"/>
                <w:bCs w:val="0"/>
                <w:color w:val="auto"/>
                <w:sz w:val="24"/>
                <w:szCs w:val="24"/>
                <w:lang w:val="en-US" w:eastAsia="zh-CN"/>
              </w:rPr>
              <w:t>。</w:t>
            </w:r>
          </w:p>
          <w:p w14:paraId="781A9961">
            <w:pPr>
              <w:adjustRightInd w:val="0"/>
              <w:snapToGrid w:val="0"/>
              <w:spacing w:before="50" w:after="50" w:line="360" w:lineRule="auto"/>
              <w:ind w:firstLine="482" w:firstLineChars="200"/>
              <w:rPr>
                <w:rFonts w:hint="default"/>
                <w:color w:val="auto"/>
              </w:rPr>
            </w:pPr>
            <w:r>
              <w:rPr>
                <w:rFonts w:hint="default" w:ascii="Times New Roman" w:hAnsi="Times New Roman" w:eastAsia="仿宋_GB2312" w:cs="Times New Roman"/>
                <w:b/>
                <w:bCs/>
                <w:color w:val="auto"/>
                <w:sz w:val="24"/>
                <w:szCs w:val="24"/>
              </w:rPr>
              <w:t>建设</w:t>
            </w:r>
            <w:r>
              <w:rPr>
                <w:rFonts w:hint="eastAsia" w:ascii="Times New Roman" w:hAnsi="Times New Roman" w:eastAsia="仿宋_GB2312" w:cs="Times New Roman"/>
                <w:b/>
                <w:bCs/>
                <w:color w:val="auto"/>
                <w:sz w:val="24"/>
                <w:szCs w:val="24"/>
                <w:lang w:eastAsia="zh-CN"/>
              </w:rPr>
              <w:t>内容</w:t>
            </w:r>
            <w:r>
              <w:rPr>
                <w:rFonts w:hint="default" w:ascii="Times New Roman" w:hAnsi="Times New Roman" w:eastAsia="仿宋_GB2312" w:cs="Times New Roman"/>
                <w:b/>
                <w:bCs/>
                <w:color w:val="auto"/>
                <w:sz w:val="24"/>
                <w:szCs w:val="24"/>
              </w:rPr>
              <w:t>：</w:t>
            </w:r>
          </w:p>
          <w:p w14:paraId="3A41D830">
            <w:pPr>
              <w:adjustRightInd w:val="0"/>
              <w:snapToGrid w:val="0"/>
              <w:spacing w:before="50" w:after="50" w:line="360" w:lineRule="auto"/>
              <w:ind w:firstLine="480" w:firstLineChars="200"/>
              <w:rPr>
                <w:rFonts w:hint="eastAsia" w:ascii="Times New Roman" w:hAnsi="Times New Roman" w:eastAsia="仿宋_GB2312" w:cs="Times New Roman"/>
                <w:b w:val="0"/>
                <w:bCs w:val="0"/>
                <w:color w:val="auto"/>
                <w:sz w:val="24"/>
                <w:szCs w:val="24"/>
                <w:lang w:eastAsia="zh-CN"/>
              </w:rPr>
            </w:pPr>
            <w:r>
              <w:rPr>
                <w:rFonts w:hint="eastAsia" w:ascii="Times New Roman" w:hAnsi="Times New Roman" w:eastAsia="仿宋_GB2312" w:cs="Times New Roman"/>
                <w:b w:val="0"/>
                <w:bCs w:val="0"/>
                <w:color w:val="auto"/>
                <w:sz w:val="24"/>
                <w:szCs w:val="24"/>
                <w:lang w:eastAsia="zh-CN"/>
              </w:rPr>
              <w:t>（</w:t>
            </w:r>
            <w:r>
              <w:rPr>
                <w:rFonts w:hint="eastAsia" w:ascii="Times New Roman" w:hAnsi="Times New Roman" w:eastAsia="仿宋_GB2312" w:cs="Times New Roman"/>
                <w:b w:val="0"/>
                <w:bCs w:val="0"/>
                <w:color w:val="auto"/>
                <w:sz w:val="24"/>
                <w:szCs w:val="24"/>
                <w:lang w:val="en-US" w:eastAsia="zh-CN"/>
              </w:rPr>
              <w:t>1</w:t>
            </w:r>
            <w:r>
              <w:rPr>
                <w:rFonts w:hint="eastAsia" w:ascii="Times New Roman" w:hAnsi="Times New Roman" w:eastAsia="仿宋_GB2312" w:cs="Times New Roman"/>
                <w:b w:val="0"/>
                <w:bCs w:val="0"/>
                <w:color w:val="auto"/>
                <w:sz w:val="24"/>
                <w:szCs w:val="24"/>
                <w:lang w:eastAsia="zh-CN"/>
              </w:rPr>
              <w:t>）污水处理厂：</w:t>
            </w:r>
            <w:r>
              <w:rPr>
                <w:rFonts w:hint="eastAsia" w:ascii="Times New Roman" w:hAnsi="Times New Roman" w:eastAsia="仿宋_GB2312" w:cs="Times New Roman"/>
                <w:b w:val="0"/>
                <w:bCs w:val="0"/>
                <w:color w:val="auto"/>
                <w:sz w:val="24"/>
                <w:szCs w:val="24"/>
                <w:lang w:val="en-US" w:eastAsia="zh-CN"/>
              </w:rPr>
              <w:t>工程近期规模为800m</w:t>
            </w:r>
            <w:r>
              <w:rPr>
                <w:rFonts w:hint="eastAsia" w:ascii="Times New Roman" w:hAnsi="Times New Roman" w:eastAsia="仿宋_GB2312" w:cs="Times New Roman"/>
                <w:b w:val="0"/>
                <w:bCs w:val="0"/>
                <w:color w:val="auto"/>
                <w:sz w:val="24"/>
                <w:szCs w:val="24"/>
                <w:vertAlign w:val="superscript"/>
                <w:lang w:val="en-US" w:eastAsia="zh-CN"/>
              </w:rPr>
              <w:t>3</w:t>
            </w:r>
            <w:r>
              <w:rPr>
                <w:rFonts w:hint="eastAsia" w:ascii="Times New Roman" w:hAnsi="Times New Roman" w:eastAsia="仿宋_GB2312" w:cs="Times New Roman"/>
                <w:b w:val="0"/>
                <w:bCs w:val="0"/>
                <w:color w:val="auto"/>
                <w:sz w:val="24"/>
                <w:szCs w:val="24"/>
                <w:lang w:val="en-US" w:eastAsia="zh-CN"/>
              </w:rPr>
              <w:t>/d，远期规模1500m</w:t>
            </w:r>
            <w:r>
              <w:rPr>
                <w:rFonts w:hint="eastAsia" w:ascii="Times New Roman" w:hAnsi="Times New Roman" w:eastAsia="仿宋_GB2312" w:cs="Times New Roman"/>
                <w:b w:val="0"/>
                <w:bCs w:val="0"/>
                <w:color w:val="auto"/>
                <w:sz w:val="24"/>
                <w:szCs w:val="24"/>
                <w:vertAlign w:val="superscript"/>
                <w:lang w:val="en-US" w:eastAsia="zh-CN"/>
              </w:rPr>
              <w:t>3</w:t>
            </w:r>
            <w:r>
              <w:rPr>
                <w:rFonts w:hint="eastAsia" w:ascii="Times New Roman" w:hAnsi="Times New Roman" w:eastAsia="仿宋_GB2312" w:cs="Times New Roman"/>
                <w:b w:val="0"/>
                <w:bCs w:val="0"/>
                <w:color w:val="auto"/>
                <w:sz w:val="24"/>
                <w:szCs w:val="24"/>
                <w:lang w:val="en-US" w:eastAsia="zh-CN"/>
              </w:rPr>
              <w:t>/d。本次部分建构筑物土建按远期规模（预处理间及调节池、深度处理间、接触池及巴氏计量槽、污泥池、进出水在线站房、管理用房、综合车间等）设计；部分构筑物（一体化生物池）土建按近期规模设计；设备安装按近期规模设计。</w:t>
            </w:r>
          </w:p>
          <w:p w14:paraId="36982FDF">
            <w:pPr>
              <w:adjustRightInd w:val="0"/>
              <w:snapToGrid w:val="0"/>
              <w:spacing w:before="50" w:after="50" w:line="360" w:lineRule="auto"/>
              <w:ind w:firstLine="480" w:firstLineChars="200"/>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eastAsia="zh-CN"/>
              </w:rPr>
              <w:t>（</w:t>
            </w:r>
            <w:r>
              <w:rPr>
                <w:rFonts w:hint="eastAsia" w:ascii="Times New Roman" w:hAnsi="Times New Roman" w:eastAsia="仿宋_GB2312" w:cs="Times New Roman"/>
                <w:b w:val="0"/>
                <w:bCs w:val="0"/>
                <w:color w:val="auto"/>
                <w:sz w:val="24"/>
                <w:szCs w:val="24"/>
                <w:lang w:val="en-US" w:eastAsia="zh-CN"/>
              </w:rPr>
              <w:t>2</w:t>
            </w:r>
            <w:r>
              <w:rPr>
                <w:rFonts w:hint="eastAsia" w:ascii="Times New Roman" w:hAnsi="Times New Roman" w:eastAsia="仿宋_GB2312" w:cs="Times New Roman"/>
                <w:b w:val="0"/>
                <w:bCs w:val="0"/>
                <w:color w:val="auto"/>
                <w:sz w:val="24"/>
                <w:szCs w:val="24"/>
                <w:lang w:eastAsia="zh-CN"/>
              </w:rPr>
              <w:t>）纳污管道：</w:t>
            </w:r>
            <w:r>
              <w:rPr>
                <w:rFonts w:hint="eastAsia" w:ascii="Times New Roman" w:hAnsi="Times New Roman" w:eastAsia="仿宋_GB2312" w:cs="Times New Roman"/>
                <w:b w:val="0"/>
                <w:bCs w:val="0"/>
                <w:color w:val="auto"/>
                <w:sz w:val="24"/>
                <w:szCs w:val="24"/>
                <w:lang w:val="en-US" w:eastAsia="zh-CN"/>
              </w:rPr>
              <w:t>结合场地竖向、洪水河位置将镇区划分为东西3个污水系统分区：洪水河以东区域沿109国道、202省道、环城路敷设污水主管道，汇合后向西经北环路排入污水处理厂；洪水河以西区域沿西街敷设主管网，汇合后向北经西环路排入污水处理厂。</w:t>
            </w:r>
          </w:p>
          <w:p w14:paraId="779C1316">
            <w:pPr>
              <w:adjustRightInd w:val="0"/>
              <w:snapToGrid w:val="0"/>
              <w:spacing w:before="50" w:after="50" w:line="360" w:lineRule="auto"/>
              <w:ind w:firstLine="480" w:firstLineChars="200"/>
              <w:rPr>
                <w:rFonts w:hint="default"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本次工程新建污水管道总长度16680米，其中DN500mm污水主管道1850m，DN400mm污水主管道10140米，DN300mm污水管道4690米，DN110压力污水管860m，管道沿现状路面两侧敷设，收集沿街地块污水。</w:t>
            </w:r>
            <w:r>
              <w:rPr>
                <w:rFonts w:hint="default" w:ascii="Times New Roman" w:hAnsi="Times New Roman" w:eastAsia="仿宋_GB2312" w:cs="Times New Roman"/>
                <w:color w:val="auto"/>
                <w:sz w:val="24"/>
                <w:highlight w:val="none"/>
              </w:rPr>
              <w:t>项目</w:t>
            </w:r>
            <w:r>
              <w:rPr>
                <w:rFonts w:hint="eastAsia" w:ascii="Times New Roman" w:hAnsi="Times New Roman" w:eastAsia="仿宋_GB2312" w:cs="Times New Roman"/>
                <w:color w:val="auto"/>
                <w:sz w:val="24"/>
                <w:highlight w:val="none"/>
                <w:lang w:eastAsia="zh-CN"/>
              </w:rPr>
              <w:t>与中卫</w:t>
            </w:r>
            <w:r>
              <w:rPr>
                <w:rFonts w:hint="default" w:ascii="Times New Roman" w:hAnsi="Times New Roman" w:eastAsia="仿宋_GB2312" w:cs="Times New Roman"/>
                <w:color w:val="auto"/>
                <w:sz w:val="24"/>
                <w:highlight w:val="none"/>
                <w:lang w:eastAsia="zh-CN"/>
              </w:rPr>
              <w:t>市</w:t>
            </w:r>
            <w:r>
              <w:rPr>
                <w:rFonts w:hint="eastAsia" w:ascii="Times New Roman" w:hAnsi="Times New Roman" w:eastAsia="仿宋_GB2312" w:cs="Times New Roman"/>
                <w:color w:val="auto"/>
                <w:sz w:val="24"/>
                <w:highlight w:val="none"/>
                <w:lang w:eastAsia="zh-CN"/>
              </w:rPr>
              <w:t>行政区划位置关系</w:t>
            </w:r>
            <w:r>
              <w:rPr>
                <w:rFonts w:hint="default" w:ascii="Times New Roman" w:hAnsi="Times New Roman" w:eastAsia="仿宋_GB2312" w:cs="Times New Roman"/>
                <w:bCs/>
                <w:color w:val="auto"/>
                <w:sz w:val="24"/>
                <w:highlight w:val="none"/>
              </w:rPr>
              <w:t>见附图</w:t>
            </w:r>
            <w:r>
              <w:rPr>
                <w:rFonts w:hint="eastAsia" w:ascii="Times New Roman" w:hAnsi="Times New Roman" w:eastAsia="仿宋_GB2312" w:cs="Times New Roman"/>
                <w:bCs/>
                <w:color w:val="auto"/>
                <w:sz w:val="24"/>
                <w:highlight w:val="none"/>
                <w:lang w:val="en-US" w:eastAsia="zh-CN"/>
              </w:rPr>
              <w:t>7</w:t>
            </w:r>
            <w:r>
              <w:rPr>
                <w:rFonts w:hint="default" w:ascii="Times New Roman" w:hAnsi="Times New Roman" w:eastAsia="仿宋_GB2312" w:cs="Times New Roman"/>
                <w:bCs/>
                <w:color w:val="auto"/>
                <w:sz w:val="24"/>
                <w:highlight w:val="none"/>
                <w:lang w:val="en-US" w:eastAsia="zh-CN"/>
              </w:rPr>
              <w:t>。</w:t>
            </w:r>
          </w:p>
          <w:p w14:paraId="40FF5663">
            <w:pPr>
              <w:adjustRightInd w:val="0"/>
              <w:snapToGrid w:val="0"/>
              <w:spacing w:before="50" w:after="50" w:line="360" w:lineRule="auto"/>
              <w:ind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_GB2312" w:cs="Times New Roman"/>
                <w:color w:val="auto"/>
                <w:sz w:val="24"/>
                <w:szCs w:val="24"/>
              </w:rPr>
              <w:t>本项目的工程组成由主体工程、辅助工程、公用工程及环保工程组成。具体工程组成详见表</w:t>
            </w:r>
            <w:r>
              <w:rPr>
                <w:rFonts w:hint="eastAsia" w:ascii="Times New Roman" w:hAnsi="Times New Roman" w:eastAsia="仿宋_GB2312" w:cs="Times New Roman"/>
                <w:color w:val="auto"/>
                <w:sz w:val="24"/>
                <w:szCs w:val="24"/>
                <w:lang w:val="en-US" w:eastAsia="zh-CN"/>
              </w:rPr>
              <w:t>2-3</w:t>
            </w:r>
            <w:r>
              <w:rPr>
                <w:rFonts w:hint="default" w:ascii="Times New Roman" w:hAnsi="Times New Roman" w:eastAsia="仿宋_GB2312" w:cs="Times New Roman"/>
                <w:color w:val="auto"/>
                <w:sz w:val="24"/>
                <w:szCs w:val="24"/>
              </w:rPr>
              <w:t>。</w:t>
            </w:r>
          </w:p>
        </w:tc>
      </w:tr>
    </w:tbl>
    <w:p w14:paraId="53A9598C">
      <w:pPr>
        <w:rPr>
          <w:color w:val="auto"/>
        </w:rPr>
        <w:sectPr>
          <w:pgSz w:w="11906" w:h="16838"/>
          <w:pgMar w:top="1588" w:right="1361" w:bottom="1588" w:left="1361"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49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3211"/>
      </w:tblGrid>
      <w:tr w14:paraId="6CD7C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68" w:hRule="atLeast"/>
          <w:jc w:val="center"/>
        </w:trPr>
        <w:tc>
          <w:tcPr>
            <w:tcW w:w="523" w:type="dxa"/>
            <w:vAlign w:val="center"/>
          </w:tcPr>
          <w:p w14:paraId="00DA6FC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250C40E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3D0C17C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423E102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45F85A1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1C588D6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538906C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5990AB8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5090204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2EFC48A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0E9F24B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p>
          <w:p w14:paraId="1DBE5C0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建设内容</w:t>
            </w:r>
          </w:p>
          <w:p w14:paraId="2FB5788B">
            <w:pPr>
              <w:pStyle w:val="65"/>
              <w:rPr>
                <w:rFonts w:hint="default" w:ascii="Times New Roman" w:hAnsi="Times New Roman" w:eastAsia="宋体" w:cs="Times New Roman"/>
                <w:b/>
                <w:bCs/>
                <w:color w:val="auto"/>
                <w:sz w:val="28"/>
                <w:szCs w:val="28"/>
                <w:lang w:eastAsia="zh-CN"/>
              </w:rPr>
            </w:pPr>
          </w:p>
          <w:p w14:paraId="449FC665">
            <w:pPr>
              <w:rPr>
                <w:rFonts w:hint="default" w:ascii="Times New Roman" w:hAnsi="Times New Roman" w:eastAsia="宋体" w:cs="Times New Roman"/>
                <w:b/>
                <w:bCs/>
                <w:color w:val="auto"/>
                <w:sz w:val="28"/>
                <w:szCs w:val="28"/>
                <w:lang w:eastAsia="zh-CN"/>
              </w:rPr>
            </w:pPr>
          </w:p>
          <w:p w14:paraId="133DF181">
            <w:pPr>
              <w:pStyle w:val="65"/>
              <w:rPr>
                <w:rFonts w:hint="default" w:ascii="Times New Roman" w:hAnsi="Times New Roman" w:eastAsia="宋体" w:cs="Times New Roman"/>
                <w:b/>
                <w:bCs/>
                <w:color w:val="auto"/>
                <w:sz w:val="28"/>
                <w:szCs w:val="28"/>
                <w:lang w:eastAsia="zh-CN"/>
              </w:rPr>
            </w:pPr>
          </w:p>
          <w:p w14:paraId="754A6AC2">
            <w:pPr>
              <w:rPr>
                <w:rFonts w:hint="default" w:ascii="Times New Roman" w:hAnsi="Times New Roman" w:eastAsia="宋体" w:cs="Times New Roman"/>
                <w:b/>
                <w:bCs/>
                <w:color w:val="auto"/>
                <w:sz w:val="28"/>
                <w:szCs w:val="28"/>
                <w:lang w:eastAsia="zh-CN"/>
              </w:rPr>
            </w:pPr>
          </w:p>
          <w:p w14:paraId="614AED17">
            <w:pPr>
              <w:pStyle w:val="65"/>
              <w:rPr>
                <w:rFonts w:hint="default" w:ascii="Times New Roman" w:hAnsi="Times New Roman" w:eastAsia="宋体" w:cs="Times New Roman"/>
                <w:b/>
                <w:bCs/>
                <w:color w:val="auto"/>
                <w:sz w:val="28"/>
                <w:szCs w:val="28"/>
                <w:lang w:eastAsia="zh-CN"/>
              </w:rPr>
            </w:pPr>
          </w:p>
          <w:p w14:paraId="30044B48">
            <w:pPr>
              <w:rPr>
                <w:rFonts w:hint="default" w:ascii="Times New Roman" w:hAnsi="Times New Roman" w:eastAsia="宋体" w:cs="Times New Roman"/>
                <w:b/>
                <w:bCs/>
                <w:color w:val="auto"/>
                <w:sz w:val="28"/>
                <w:szCs w:val="28"/>
                <w:lang w:eastAsia="zh-CN"/>
              </w:rPr>
            </w:pPr>
          </w:p>
          <w:p w14:paraId="07042B57">
            <w:pPr>
              <w:pStyle w:val="65"/>
              <w:rPr>
                <w:rFonts w:hint="default" w:ascii="Times New Roman" w:hAnsi="Times New Roman" w:eastAsia="宋体" w:cs="Times New Roman"/>
                <w:b/>
                <w:bCs/>
                <w:color w:val="auto"/>
                <w:sz w:val="28"/>
                <w:szCs w:val="28"/>
                <w:lang w:eastAsia="zh-CN"/>
              </w:rPr>
            </w:pPr>
          </w:p>
          <w:p w14:paraId="76072E0E">
            <w:pPr>
              <w:rPr>
                <w:rFonts w:hint="default" w:ascii="Times New Roman" w:hAnsi="Times New Roman" w:eastAsia="宋体" w:cs="Times New Roman"/>
                <w:b/>
                <w:bCs/>
                <w:color w:val="auto"/>
                <w:sz w:val="28"/>
                <w:szCs w:val="28"/>
                <w:lang w:eastAsia="zh-CN"/>
              </w:rPr>
            </w:pPr>
          </w:p>
          <w:p w14:paraId="43D7A3BC">
            <w:pPr>
              <w:pStyle w:val="65"/>
              <w:rPr>
                <w:rFonts w:hint="default" w:ascii="Times New Roman" w:hAnsi="Times New Roman" w:eastAsia="宋体" w:cs="Times New Roman"/>
                <w:b/>
                <w:bCs/>
                <w:color w:val="auto"/>
                <w:sz w:val="28"/>
                <w:szCs w:val="28"/>
                <w:lang w:eastAsia="zh-CN"/>
              </w:rPr>
            </w:pPr>
          </w:p>
          <w:p w14:paraId="62CAB4D1">
            <w:pPr>
              <w:pStyle w:val="65"/>
              <w:rPr>
                <w:rFonts w:hint="default" w:ascii="Times New Roman" w:hAnsi="Times New Roman" w:eastAsia="宋体" w:cs="Times New Roman"/>
                <w:b/>
                <w:bCs/>
                <w:color w:val="auto"/>
                <w:sz w:val="28"/>
                <w:szCs w:val="28"/>
                <w:lang w:eastAsia="zh-CN"/>
              </w:rPr>
            </w:pPr>
          </w:p>
          <w:p w14:paraId="393DC51A">
            <w:pPr>
              <w:pStyle w:val="65"/>
              <w:rPr>
                <w:rFonts w:hint="default"/>
                <w:color w:val="auto"/>
                <w:lang w:eastAsia="zh-CN"/>
              </w:rPr>
            </w:pPr>
          </w:p>
          <w:p w14:paraId="46036410">
            <w:pPr>
              <w:pStyle w:val="65"/>
              <w:rPr>
                <w:rFonts w:hint="default" w:ascii="Times New Roman" w:hAnsi="Times New Roman" w:eastAsia="宋体" w:cs="Times New Roman"/>
                <w:b/>
                <w:bCs/>
                <w:color w:val="auto"/>
                <w:sz w:val="28"/>
                <w:szCs w:val="28"/>
                <w:lang w:eastAsia="zh-CN"/>
              </w:rPr>
            </w:pPr>
          </w:p>
          <w:p w14:paraId="627ABFE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建设内容</w:t>
            </w:r>
          </w:p>
          <w:p w14:paraId="6779578A">
            <w:pPr>
              <w:rPr>
                <w:rFonts w:hint="default" w:ascii="Times New Roman" w:hAnsi="Times New Roman" w:eastAsia="宋体" w:cs="Times New Roman"/>
                <w:b/>
                <w:bCs/>
                <w:color w:val="auto"/>
                <w:sz w:val="28"/>
                <w:szCs w:val="28"/>
                <w:lang w:eastAsia="zh-CN"/>
              </w:rPr>
            </w:pPr>
          </w:p>
          <w:p w14:paraId="078C3E17">
            <w:pPr>
              <w:pStyle w:val="65"/>
              <w:rPr>
                <w:rFonts w:hint="default" w:ascii="Times New Roman" w:hAnsi="Times New Roman" w:eastAsia="宋体" w:cs="Times New Roman"/>
                <w:b/>
                <w:bCs/>
                <w:color w:val="auto"/>
                <w:sz w:val="28"/>
                <w:szCs w:val="28"/>
                <w:lang w:eastAsia="zh-CN"/>
              </w:rPr>
            </w:pPr>
          </w:p>
          <w:p w14:paraId="4C8399D5">
            <w:pPr>
              <w:rPr>
                <w:rFonts w:hint="default" w:ascii="Times New Roman" w:hAnsi="Times New Roman" w:eastAsia="宋体" w:cs="Times New Roman"/>
                <w:b/>
                <w:bCs/>
                <w:color w:val="auto"/>
                <w:sz w:val="28"/>
                <w:szCs w:val="28"/>
                <w:lang w:eastAsia="zh-CN"/>
              </w:rPr>
            </w:pPr>
          </w:p>
          <w:p w14:paraId="58B352EF">
            <w:pPr>
              <w:pStyle w:val="65"/>
              <w:rPr>
                <w:rFonts w:hint="default" w:ascii="Times New Roman" w:hAnsi="Times New Roman" w:eastAsia="宋体" w:cs="Times New Roman"/>
                <w:b/>
                <w:bCs/>
                <w:color w:val="auto"/>
                <w:sz w:val="28"/>
                <w:szCs w:val="28"/>
                <w:lang w:eastAsia="zh-CN"/>
              </w:rPr>
            </w:pPr>
          </w:p>
          <w:p w14:paraId="252D3F84">
            <w:pPr>
              <w:rPr>
                <w:rFonts w:hint="default" w:ascii="Times New Roman" w:hAnsi="Times New Roman" w:eastAsia="宋体" w:cs="Times New Roman"/>
                <w:b/>
                <w:bCs/>
                <w:color w:val="auto"/>
                <w:sz w:val="28"/>
                <w:szCs w:val="28"/>
                <w:lang w:eastAsia="zh-CN"/>
              </w:rPr>
            </w:pPr>
          </w:p>
          <w:p w14:paraId="50652635">
            <w:pPr>
              <w:pStyle w:val="65"/>
              <w:rPr>
                <w:rFonts w:hint="default" w:ascii="Times New Roman" w:hAnsi="Times New Roman" w:eastAsia="宋体" w:cs="Times New Roman"/>
                <w:b/>
                <w:bCs/>
                <w:color w:val="auto"/>
                <w:sz w:val="28"/>
                <w:szCs w:val="28"/>
                <w:lang w:eastAsia="zh-CN"/>
              </w:rPr>
            </w:pPr>
          </w:p>
          <w:p w14:paraId="13715641">
            <w:pPr>
              <w:rPr>
                <w:rFonts w:hint="default" w:ascii="Times New Roman" w:hAnsi="Times New Roman" w:eastAsia="宋体" w:cs="Times New Roman"/>
                <w:b/>
                <w:bCs/>
                <w:color w:val="auto"/>
                <w:sz w:val="28"/>
                <w:szCs w:val="28"/>
                <w:lang w:eastAsia="zh-CN"/>
              </w:rPr>
            </w:pPr>
          </w:p>
          <w:p w14:paraId="623CF244">
            <w:pPr>
              <w:pStyle w:val="65"/>
              <w:rPr>
                <w:rFonts w:hint="default" w:ascii="Times New Roman" w:hAnsi="Times New Roman" w:eastAsia="宋体" w:cs="Times New Roman"/>
                <w:b/>
                <w:bCs/>
                <w:color w:val="auto"/>
                <w:sz w:val="28"/>
                <w:szCs w:val="28"/>
                <w:lang w:eastAsia="zh-CN"/>
              </w:rPr>
            </w:pPr>
          </w:p>
          <w:p w14:paraId="7F028EF7">
            <w:pPr>
              <w:rPr>
                <w:rFonts w:hint="default" w:ascii="Times New Roman" w:hAnsi="Times New Roman" w:eastAsia="宋体" w:cs="Times New Roman"/>
                <w:b/>
                <w:bCs/>
                <w:color w:val="auto"/>
                <w:sz w:val="28"/>
                <w:szCs w:val="28"/>
                <w:lang w:eastAsia="zh-CN"/>
              </w:rPr>
            </w:pPr>
          </w:p>
          <w:p w14:paraId="58D88909">
            <w:pPr>
              <w:pStyle w:val="65"/>
              <w:rPr>
                <w:rFonts w:hint="default" w:ascii="Times New Roman" w:hAnsi="Times New Roman" w:eastAsia="宋体" w:cs="Times New Roman"/>
                <w:b/>
                <w:bCs/>
                <w:color w:val="auto"/>
                <w:sz w:val="28"/>
                <w:szCs w:val="28"/>
                <w:lang w:eastAsia="zh-CN"/>
              </w:rPr>
            </w:pPr>
          </w:p>
          <w:p w14:paraId="3E2AAFA9">
            <w:pPr>
              <w:rPr>
                <w:rFonts w:hint="default" w:ascii="Times New Roman" w:hAnsi="Times New Roman" w:eastAsia="宋体" w:cs="Times New Roman"/>
                <w:b/>
                <w:bCs/>
                <w:color w:val="auto"/>
                <w:sz w:val="28"/>
                <w:szCs w:val="28"/>
                <w:lang w:eastAsia="zh-CN"/>
              </w:rPr>
            </w:pPr>
          </w:p>
          <w:p w14:paraId="71A68662">
            <w:pPr>
              <w:pStyle w:val="65"/>
              <w:rPr>
                <w:rFonts w:hint="default"/>
                <w:color w:val="auto"/>
                <w:lang w:eastAsia="zh-CN"/>
              </w:rPr>
            </w:pPr>
          </w:p>
          <w:p w14:paraId="0BACABE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建设内容</w:t>
            </w:r>
          </w:p>
          <w:p w14:paraId="2AA1AD9C">
            <w:pPr>
              <w:pStyle w:val="65"/>
              <w:rPr>
                <w:rFonts w:hint="default"/>
                <w:color w:val="auto"/>
                <w:lang w:eastAsia="zh-CN"/>
              </w:rPr>
            </w:pPr>
          </w:p>
          <w:p w14:paraId="55ECD3D4">
            <w:pPr>
              <w:pStyle w:val="65"/>
              <w:rPr>
                <w:rFonts w:hint="default" w:ascii="Times New Roman" w:hAnsi="Times New Roman" w:eastAsia="宋体" w:cs="Times New Roman"/>
                <w:b/>
                <w:bCs/>
                <w:color w:val="auto"/>
                <w:sz w:val="28"/>
                <w:szCs w:val="28"/>
                <w:lang w:eastAsia="zh-CN"/>
              </w:rPr>
            </w:pPr>
          </w:p>
          <w:p w14:paraId="031FC987">
            <w:pPr>
              <w:rPr>
                <w:rFonts w:hint="default" w:ascii="Times New Roman" w:hAnsi="Times New Roman" w:eastAsia="宋体" w:cs="Times New Roman"/>
                <w:b/>
                <w:bCs/>
                <w:color w:val="auto"/>
                <w:sz w:val="28"/>
                <w:szCs w:val="28"/>
                <w:lang w:eastAsia="zh-CN"/>
              </w:rPr>
            </w:pPr>
          </w:p>
          <w:p w14:paraId="6B3686D2">
            <w:pPr>
              <w:pStyle w:val="65"/>
              <w:rPr>
                <w:rFonts w:hint="default" w:ascii="Times New Roman" w:hAnsi="Times New Roman" w:eastAsia="宋体" w:cs="Times New Roman"/>
                <w:b/>
                <w:bCs/>
                <w:color w:val="auto"/>
                <w:sz w:val="28"/>
                <w:szCs w:val="28"/>
                <w:lang w:eastAsia="zh-CN"/>
              </w:rPr>
            </w:pPr>
          </w:p>
          <w:p w14:paraId="653EB97B">
            <w:pPr>
              <w:rPr>
                <w:rFonts w:hint="default"/>
                <w:color w:val="auto"/>
                <w:lang w:eastAsia="zh-CN"/>
              </w:rPr>
            </w:pPr>
          </w:p>
          <w:p w14:paraId="7FC494D2">
            <w:pPr>
              <w:pStyle w:val="65"/>
              <w:rPr>
                <w:rFonts w:hint="default"/>
                <w:color w:val="auto"/>
                <w:lang w:eastAsia="zh-CN"/>
              </w:rPr>
            </w:pPr>
          </w:p>
          <w:p w14:paraId="2DEFEF02">
            <w:pPr>
              <w:rPr>
                <w:rFonts w:hint="default"/>
                <w:color w:val="auto"/>
                <w:lang w:eastAsia="zh-CN"/>
              </w:rPr>
            </w:pPr>
          </w:p>
          <w:p w14:paraId="6C236E2E">
            <w:pPr>
              <w:pStyle w:val="65"/>
              <w:rPr>
                <w:rFonts w:hint="default"/>
                <w:color w:val="auto"/>
                <w:lang w:eastAsia="zh-CN"/>
              </w:rPr>
            </w:pPr>
          </w:p>
          <w:p w14:paraId="73F6A26A">
            <w:pPr>
              <w:rPr>
                <w:rFonts w:hint="default"/>
                <w:color w:val="auto"/>
                <w:lang w:eastAsia="zh-CN"/>
              </w:rPr>
            </w:pPr>
          </w:p>
          <w:p w14:paraId="6D9F01FF">
            <w:pPr>
              <w:pStyle w:val="65"/>
              <w:rPr>
                <w:rFonts w:hint="default"/>
                <w:color w:val="auto"/>
                <w:lang w:eastAsia="zh-CN"/>
              </w:rPr>
            </w:pPr>
          </w:p>
          <w:p w14:paraId="43572724">
            <w:pPr>
              <w:rPr>
                <w:rFonts w:hint="default"/>
                <w:color w:val="auto"/>
                <w:lang w:eastAsia="zh-CN"/>
              </w:rPr>
            </w:pPr>
          </w:p>
          <w:p w14:paraId="771E7481">
            <w:pPr>
              <w:pStyle w:val="65"/>
              <w:rPr>
                <w:rFonts w:hint="default"/>
                <w:color w:val="auto"/>
                <w:lang w:eastAsia="zh-CN"/>
              </w:rPr>
            </w:pPr>
          </w:p>
          <w:p w14:paraId="4DFF828E">
            <w:pPr>
              <w:pStyle w:val="65"/>
              <w:rPr>
                <w:rFonts w:hint="default"/>
                <w:color w:val="auto"/>
                <w:lang w:eastAsia="zh-CN"/>
              </w:rPr>
            </w:pPr>
          </w:p>
          <w:p w14:paraId="4CE8749F">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建设内容</w:t>
            </w:r>
          </w:p>
          <w:p w14:paraId="2DF7E1E2">
            <w:pPr>
              <w:rPr>
                <w:rFonts w:hint="default"/>
                <w:color w:val="auto"/>
                <w:lang w:eastAsia="zh-CN"/>
              </w:rPr>
            </w:pPr>
          </w:p>
          <w:p w14:paraId="4895831C">
            <w:pPr>
              <w:pStyle w:val="65"/>
              <w:rPr>
                <w:rFonts w:hint="eastAsia"/>
                <w:color w:val="auto"/>
                <w:lang w:eastAsia="zh-CN"/>
              </w:rPr>
            </w:pPr>
          </w:p>
          <w:p w14:paraId="0FAB7593">
            <w:pPr>
              <w:rPr>
                <w:rFonts w:hint="eastAsia"/>
                <w:color w:val="auto"/>
                <w:lang w:eastAsia="zh-CN"/>
              </w:rPr>
            </w:pPr>
          </w:p>
          <w:p w14:paraId="3B1408A7">
            <w:pPr>
              <w:pStyle w:val="65"/>
              <w:rPr>
                <w:rFonts w:hint="eastAsia"/>
                <w:color w:val="auto"/>
                <w:lang w:eastAsia="zh-CN"/>
              </w:rPr>
            </w:pPr>
          </w:p>
          <w:p w14:paraId="2F813493">
            <w:pPr>
              <w:rPr>
                <w:rFonts w:hint="eastAsia"/>
                <w:color w:val="auto"/>
                <w:lang w:eastAsia="zh-CN"/>
              </w:rPr>
            </w:pPr>
          </w:p>
          <w:p w14:paraId="5FFE703E">
            <w:pPr>
              <w:pStyle w:val="65"/>
              <w:rPr>
                <w:rFonts w:hint="eastAsia"/>
                <w:color w:val="auto"/>
                <w:lang w:eastAsia="zh-CN"/>
              </w:rPr>
            </w:pPr>
          </w:p>
        </w:tc>
        <w:tc>
          <w:tcPr>
            <w:tcW w:w="13211" w:type="dxa"/>
            <w:vAlign w:val="center"/>
          </w:tcPr>
          <w:p w14:paraId="69ABBA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sz w:val="21"/>
                <w:szCs w:val="21"/>
              </w:rPr>
              <w:t>表</w:t>
            </w:r>
            <w:r>
              <w:rPr>
                <w:rFonts w:hint="eastAsia" w:ascii="Times New Roman" w:hAnsi="Times New Roman" w:eastAsia="宋体" w:cs="Times New Roman"/>
                <w:b w:val="0"/>
                <w:bCs w:val="0"/>
                <w:color w:val="auto"/>
                <w:sz w:val="21"/>
                <w:szCs w:val="21"/>
                <w:lang w:val="en-US" w:eastAsia="zh-CN"/>
              </w:rPr>
              <w:t xml:space="preserve">2-3    </w:t>
            </w:r>
            <w:r>
              <w:rPr>
                <w:rFonts w:hint="default" w:ascii="Times New Roman" w:hAnsi="Times New Roman" w:eastAsia="宋体" w:cs="Times New Roman"/>
                <w:b/>
                <w:bCs/>
                <w:color w:val="auto"/>
                <w:sz w:val="24"/>
              </w:rPr>
              <w:t>项目组成一览表</w:t>
            </w:r>
          </w:p>
          <w:tbl>
            <w:tblPr>
              <w:tblStyle w:val="26"/>
              <w:tblW w:w="127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4"/>
              <w:gridCol w:w="510"/>
              <w:gridCol w:w="495"/>
              <w:gridCol w:w="10313"/>
              <w:gridCol w:w="644"/>
              <w:gridCol w:w="16"/>
            </w:tblGrid>
            <w:tr w14:paraId="6B7138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6" w:type="dxa"/>
                <w:trHeight w:val="574" w:hRule="atLeast"/>
                <w:tblHeader/>
                <w:jc w:val="center"/>
              </w:trPr>
              <w:tc>
                <w:tcPr>
                  <w:tcW w:w="794" w:type="dxa"/>
                  <w:vAlign w:val="center"/>
                </w:tcPr>
                <w:p w14:paraId="213A60D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工程类别</w:t>
                  </w:r>
                </w:p>
              </w:tc>
              <w:tc>
                <w:tcPr>
                  <w:tcW w:w="1005" w:type="dxa"/>
                  <w:gridSpan w:val="2"/>
                  <w:vAlign w:val="center"/>
                </w:tcPr>
                <w:p w14:paraId="5A776E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10313" w:type="dxa"/>
                  <w:vAlign w:val="center"/>
                </w:tcPr>
                <w:p w14:paraId="4431633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组成</w:t>
                  </w:r>
                </w:p>
              </w:tc>
              <w:tc>
                <w:tcPr>
                  <w:tcW w:w="644" w:type="dxa"/>
                  <w:vAlign w:val="center"/>
                </w:tcPr>
                <w:p w14:paraId="256CB96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备注</w:t>
                  </w:r>
                </w:p>
              </w:tc>
            </w:tr>
            <w:tr w14:paraId="7D3F0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5" w:hRule="atLeast"/>
                <w:jc w:val="center"/>
              </w:trPr>
              <w:tc>
                <w:tcPr>
                  <w:tcW w:w="794" w:type="dxa"/>
                  <w:vMerge w:val="restart"/>
                  <w:vAlign w:val="center"/>
                </w:tcPr>
                <w:p w14:paraId="201910B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主体工程</w:t>
                  </w:r>
                </w:p>
              </w:tc>
              <w:tc>
                <w:tcPr>
                  <w:tcW w:w="510" w:type="dxa"/>
                  <w:vMerge w:val="restart"/>
                  <w:vAlign w:val="center"/>
                </w:tcPr>
                <w:p w14:paraId="5C86E1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污水处理厂</w:t>
                  </w:r>
                </w:p>
              </w:tc>
              <w:tc>
                <w:tcPr>
                  <w:tcW w:w="495" w:type="dxa"/>
                  <w:vAlign w:val="center"/>
                </w:tcPr>
                <w:p w14:paraId="7D38764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污水处理设施</w:t>
                  </w:r>
                </w:p>
              </w:tc>
              <w:tc>
                <w:tcPr>
                  <w:tcW w:w="10313" w:type="dxa"/>
                  <w:vAlign w:val="center"/>
                </w:tcPr>
                <w:p w14:paraId="35D4EA94">
                  <w:pPr>
                    <w:pStyle w:val="8"/>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占地面积12609m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，主要建设：污水处理部分：（</w:t>
                  </w:r>
                  <w:r>
                    <w:rPr>
                      <w:rFonts w:hint="default" w:ascii="Times New Roman" w:hAnsi="Times New Roman" w:eastAsia="宋体" w:cs="Times New Roman"/>
                      <w:color w:val="auto"/>
                      <w:sz w:val="21"/>
                      <w:szCs w:val="21"/>
                      <w:lang w:eastAsia="zh-CN"/>
                    </w:rPr>
                    <w:t>预处理间（粗细格栅</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平流</w:t>
                  </w:r>
                  <w:r>
                    <w:rPr>
                      <w:rFonts w:hint="default" w:ascii="Times New Roman" w:hAnsi="Times New Roman" w:eastAsia="宋体" w:cs="Times New Roman"/>
                      <w:color w:val="auto"/>
                      <w:sz w:val="21"/>
                      <w:szCs w:val="21"/>
                    </w:rPr>
                    <w:t>沉砂池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、调节池、</w:t>
                  </w:r>
                  <w:r>
                    <w:rPr>
                      <w:rFonts w:hint="default" w:ascii="Times New Roman" w:hAnsi="Times New Roman" w:eastAsia="宋体" w:cs="Times New Roman"/>
                      <w:color w:val="auto"/>
                      <w:sz w:val="21"/>
                      <w:szCs w:val="21"/>
                      <w:lang w:eastAsia="zh-CN"/>
                    </w:rPr>
                    <w:t>一体化</w:t>
                  </w:r>
                  <w:r>
                    <w:rPr>
                      <w:rFonts w:hint="default" w:ascii="Times New Roman" w:hAnsi="Times New Roman" w:eastAsia="宋体" w:cs="Times New Roman"/>
                      <w:color w:val="auto"/>
                      <w:sz w:val="21"/>
                      <w:szCs w:val="21"/>
                      <w:lang w:val="en-US" w:eastAsia="zh-CN"/>
                    </w:rPr>
                    <w:t>AAO</w:t>
                  </w:r>
                  <w:r>
                    <w:rPr>
                      <w:rFonts w:hint="default" w:ascii="Times New Roman" w:hAnsi="Times New Roman" w:eastAsia="宋体" w:cs="Times New Roman"/>
                      <w:color w:val="auto"/>
                      <w:sz w:val="21"/>
                      <w:szCs w:val="21"/>
                    </w:rPr>
                    <w:t>生物池、</w:t>
                  </w:r>
                  <w:r>
                    <w:rPr>
                      <w:rFonts w:hint="default" w:ascii="Times New Roman" w:hAnsi="Times New Roman" w:eastAsia="宋体" w:cs="Times New Roman"/>
                      <w:color w:val="auto"/>
                      <w:sz w:val="21"/>
                      <w:szCs w:val="21"/>
                      <w:lang w:eastAsia="zh-CN"/>
                    </w:rPr>
                    <w:t>中间提升泵池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深度处理间（高效沉淀池、竖片式滤池）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接触池及巴氏计量槽</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再生水池</w:t>
                  </w:r>
                  <w:r>
                    <w:rPr>
                      <w:rFonts w:hint="default" w:ascii="Times New Roman" w:hAnsi="Times New Roman" w:eastAsia="宋体" w:cs="Times New Roman"/>
                      <w:color w:val="auto"/>
                      <w:sz w:val="21"/>
                      <w:szCs w:val="21"/>
                    </w:rPr>
                    <w:t>；污泥处理部分：（贮泥池、污泥脱水间等）；辅助生产部分：（鼓风机房、变配电室、加氯加药间、</w:t>
                  </w:r>
                  <w:r>
                    <w:rPr>
                      <w:rFonts w:hint="default" w:ascii="Times New Roman" w:hAnsi="Times New Roman" w:eastAsia="宋体" w:cs="Times New Roman"/>
                      <w:color w:val="auto"/>
                      <w:sz w:val="21"/>
                      <w:szCs w:val="21"/>
                      <w:lang w:eastAsia="zh-CN"/>
                    </w:rPr>
                    <w:t>脱水机房、生物除臭设备</w:t>
                  </w:r>
                  <w:r>
                    <w:rPr>
                      <w:rFonts w:hint="default" w:ascii="Times New Roman" w:hAnsi="Times New Roman" w:eastAsia="宋体" w:cs="Times New Roman"/>
                      <w:color w:val="auto"/>
                      <w:sz w:val="21"/>
                      <w:szCs w:val="21"/>
                    </w:rPr>
                    <w:t>）。</w:t>
                  </w:r>
                </w:p>
                <w:p w14:paraId="53E3DD3A">
                  <w:pPr>
                    <w:pStyle w:val="8"/>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污水处理规模：800m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p w14:paraId="3A35A7FD">
                  <w:pPr>
                    <w:pStyle w:val="8"/>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服务范围：兴仁镇镇区。</w:t>
                  </w:r>
                </w:p>
                <w:p w14:paraId="61CAF149">
                  <w:pPr>
                    <w:pStyle w:val="8"/>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服务对象：服务范围内的城市污水。</w:t>
                  </w:r>
                </w:p>
                <w:p w14:paraId="46FE9E2B">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污水处理工艺：</w:t>
                  </w:r>
                  <w:r>
                    <w:rPr>
                      <w:rFonts w:hint="default" w:ascii="Times New Roman" w:hAnsi="Times New Roman" w:eastAsia="宋体" w:cs="Times New Roman"/>
                      <w:color w:val="auto"/>
                      <w:sz w:val="21"/>
                      <w:szCs w:val="21"/>
                      <w:lang w:val="en-US" w:eastAsia="zh-CN"/>
                    </w:rPr>
                    <w:t>预处理间（粗细格栅+平流沉砂池）＋调节池＋A</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/O生物反应池＋平流沉淀池＋高效沉淀池+竖片滤池+次氯酸钠消毒</w:t>
                  </w:r>
                  <w:r>
                    <w:rPr>
                      <w:rFonts w:hint="eastAsia" w:ascii="Times New Roman" w:hAnsi="Times New Roman" w:eastAsia="宋体" w:cs="Times New Roman"/>
                      <w:color w:val="auto"/>
                      <w:sz w:val="21"/>
                      <w:szCs w:val="21"/>
                      <w:lang w:val="en-US" w:eastAsia="zh-CN"/>
                    </w:rPr>
                    <w:t>。</w:t>
                  </w:r>
                </w:p>
                <w:p w14:paraId="35DECF5C">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污泥处理工艺：</w:t>
                  </w:r>
                  <w:r>
                    <w:rPr>
                      <w:rFonts w:hint="default" w:ascii="Times New Roman" w:hAnsi="Times New Roman" w:eastAsia="宋体" w:cs="Times New Roman"/>
                      <w:color w:val="auto"/>
                      <w:sz w:val="21"/>
                      <w:szCs w:val="21"/>
                      <w:lang w:val="en-US" w:eastAsia="zh-CN"/>
                    </w:rPr>
                    <w:t>叠螺式污泥浓缩机+超高压弹性压榨机</w:t>
                  </w:r>
                  <w:r>
                    <w:rPr>
                      <w:rFonts w:hint="eastAsia" w:ascii="Times New Roman" w:hAnsi="Times New Roman" w:eastAsia="宋体" w:cs="Times New Roman"/>
                      <w:color w:val="auto"/>
                      <w:sz w:val="21"/>
                      <w:szCs w:val="21"/>
                      <w:lang w:val="en-US" w:eastAsia="zh-CN"/>
                    </w:rPr>
                    <w:t>。</w:t>
                  </w:r>
                </w:p>
                <w:p w14:paraId="6507EDBD">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排水去向：污水处理厂设计要求经处理后的</w:t>
                  </w:r>
                  <w:r>
                    <w:rPr>
                      <w:rFonts w:hint="eastAsia" w:ascii="Times New Roman" w:hAnsi="Times New Roman" w:eastAsia="宋体" w:cs="Times New Roman"/>
                      <w:color w:val="auto"/>
                      <w:sz w:val="21"/>
                      <w:szCs w:val="21"/>
                      <w:lang w:eastAsia="zh-CN"/>
                    </w:rPr>
                    <w:t>尾水</w:t>
                  </w:r>
                  <w:r>
                    <w:rPr>
                      <w:rFonts w:hint="default" w:ascii="Times New Roman" w:hAnsi="Times New Roman" w:eastAsia="宋体" w:cs="Times New Roman"/>
                      <w:color w:val="auto"/>
                      <w:sz w:val="21"/>
                      <w:szCs w:val="21"/>
                    </w:rPr>
                    <w:t>达到《城镇污水处理厂污染物排放标准（修改单）》(GB18918-2002)一级A标准</w:t>
                  </w:r>
                  <w:r>
                    <w:rPr>
                      <w:rFonts w:hint="eastAsia" w:ascii="Times New Roman" w:hAnsi="Times New Roman" w:eastAsia="宋体" w:cs="Times New Roman"/>
                      <w:color w:val="auto"/>
                      <w:sz w:val="21"/>
                      <w:szCs w:val="21"/>
                      <w:lang w:eastAsia="zh-CN"/>
                    </w:rPr>
                    <w:t>，排入污水处理厂东北侧洪水河</w:t>
                  </w:r>
                  <w:r>
                    <w:rPr>
                      <w:rFonts w:hint="default" w:ascii="Times New Roman" w:hAnsi="Times New Roman" w:eastAsia="宋体" w:cs="Times New Roman"/>
                      <w:color w:val="auto"/>
                      <w:sz w:val="21"/>
                      <w:szCs w:val="21"/>
                    </w:rPr>
                    <w:t>。</w:t>
                  </w:r>
                </w:p>
              </w:tc>
              <w:tc>
                <w:tcPr>
                  <w:tcW w:w="660" w:type="dxa"/>
                  <w:gridSpan w:val="2"/>
                  <w:vAlign w:val="center"/>
                </w:tcPr>
                <w:p w14:paraId="0C5CCB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p>
              </w:tc>
            </w:tr>
            <w:tr w14:paraId="27042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5" w:hRule="atLeast"/>
                <w:jc w:val="center"/>
              </w:trPr>
              <w:tc>
                <w:tcPr>
                  <w:tcW w:w="794" w:type="dxa"/>
                  <w:vMerge w:val="continue"/>
                  <w:vAlign w:val="center"/>
                </w:tcPr>
                <w:p w14:paraId="2A0641E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510" w:type="dxa"/>
                  <w:vMerge w:val="continue"/>
                  <w:vAlign w:val="center"/>
                </w:tcPr>
                <w:p w14:paraId="4E044A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495" w:type="dxa"/>
                  <w:vAlign w:val="center"/>
                </w:tcPr>
                <w:p w14:paraId="4A690C7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预处理间</w:t>
                  </w:r>
                </w:p>
              </w:tc>
              <w:tc>
                <w:tcPr>
                  <w:tcW w:w="10313" w:type="dxa"/>
                  <w:vAlign w:val="center"/>
                </w:tcPr>
                <w:p w14:paraId="52D589BD">
                  <w:pPr>
                    <w:pStyle w:val="8"/>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平面尺寸：L×B×H=</w:t>
                  </w:r>
                  <w:r>
                    <w:rPr>
                      <w:rFonts w:hint="default" w:ascii="Times New Roman" w:hAnsi="Times New Roman" w:eastAsia="宋体" w:cs="Times New Roman"/>
                      <w:color w:val="auto"/>
                      <w:kern w:val="0"/>
                      <w:sz w:val="21"/>
                      <w:szCs w:val="21"/>
                    </w:rPr>
                    <w:t>18m×10.4m×6.0m</w:t>
                  </w:r>
                  <w:r>
                    <w:rPr>
                      <w:rFonts w:hint="default" w:ascii="Times New Roman" w:hAnsi="Times New Roman" w:eastAsia="宋体" w:cs="Times New Roman"/>
                      <w:color w:val="auto"/>
                      <w:kern w:val="0"/>
                      <w:sz w:val="21"/>
                      <w:szCs w:val="21"/>
                      <w:lang w:eastAsia="zh-CN"/>
                    </w:rPr>
                    <w:t>；</w:t>
                  </w:r>
                </w:p>
                <w:p w14:paraId="2FC1CBF2">
                  <w:pPr>
                    <w:pStyle w:val="8"/>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预处理间为粗细格栅、平流沉砂池、调节池及提升泵房为一体的综合构筑物。地上部分为半地下式钢筋混凝土结构，地面以上为框架结构。</w:t>
                  </w:r>
                </w:p>
                <w:p w14:paraId="1F66BF5B">
                  <w:pPr>
                    <w:pStyle w:val="8"/>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eastAsia="zh-CN"/>
                    </w:rPr>
                    <w:t>①</w:t>
                  </w:r>
                  <w:r>
                    <w:rPr>
                      <w:rFonts w:hint="eastAsia" w:ascii="Times New Roman" w:hAnsi="Times New Roman" w:cs="Times New Roman"/>
                      <w:color w:val="auto"/>
                      <w:kern w:val="0"/>
                      <w:sz w:val="21"/>
                      <w:szCs w:val="21"/>
                      <w:lang w:eastAsia="zh-CN"/>
                    </w:rPr>
                    <w:t>粗、细格栅</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格栅</w:t>
                  </w:r>
                  <w:r>
                    <w:rPr>
                      <w:rFonts w:hint="default" w:ascii="Times New Roman" w:hAnsi="Times New Roman" w:eastAsia="宋体" w:cs="Times New Roman"/>
                      <w:color w:val="auto"/>
                      <w:sz w:val="21"/>
                      <w:szCs w:val="21"/>
                      <w:lang w:val="en-US" w:eastAsia="zh-CN"/>
                    </w:rPr>
                    <w:t>2条，一用一备；单条渠道宽度为0.7m，粗格栅间隙b=20mm，细格栅间歇b=5mm；</w:t>
                  </w:r>
                </w:p>
                <w:p w14:paraId="2AE46C82">
                  <w:pPr>
                    <w:pStyle w:val="8"/>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主要用于去除污水中混有纤维、木材、塑料制品和纸张等大小不同杂物，防止水泵和处理构筑物的机械设备和管道被损或堵塞，使后续处理流程能顺利进行；</w:t>
                  </w:r>
                </w:p>
                <w:p w14:paraId="2FA13587">
                  <w:pPr>
                    <w:pStyle w:val="8"/>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②</w:t>
                  </w:r>
                  <w:r>
                    <w:rPr>
                      <w:rFonts w:hint="eastAsia" w:ascii="Times New Roman" w:hAnsi="Times New Roman" w:cs="Times New Roman"/>
                      <w:color w:val="auto"/>
                      <w:sz w:val="21"/>
                      <w:szCs w:val="21"/>
                      <w:lang w:eastAsia="zh-CN"/>
                    </w:rPr>
                    <w:t>平流式</w:t>
                  </w:r>
                  <w:r>
                    <w:rPr>
                      <w:rFonts w:hint="default" w:ascii="Times New Roman" w:hAnsi="Times New Roman" w:eastAsia="宋体" w:cs="Times New Roman"/>
                      <w:color w:val="auto"/>
                      <w:sz w:val="21"/>
                      <w:szCs w:val="21"/>
                    </w:rPr>
                    <w:t>沉砂池：直径1.83m，深2.65m，2座，主要用于去除相对密度2.65、粒径0.2mm以上的砂粒，以及浮油脂，使无机砂粒与有机物分离开来，便于后续生物处理；</w:t>
                  </w:r>
                </w:p>
                <w:p w14:paraId="07CAAD2E">
                  <w:pPr>
                    <w:pStyle w:val="8"/>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③调节池：</w:t>
                  </w:r>
                  <w:r>
                    <w:rPr>
                      <w:rFonts w:hint="default" w:ascii="Times New Roman" w:hAnsi="Times New Roman" w:eastAsia="宋体" w:cs="Times New Roman"/>
                      <w:color w:val="auto"/>
                      <w:sz w:val="21"/>
                      <w:szCs w:val="21"/>
                    </w:rPr>
                    <w:t>平面尺寸：L×B=15.</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×1</w:t>
                  </w:r>
                  <w:r>
                    <w:rPr>
                      <w:rFonts w:hint="eastAsia"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rPr>
                    <w:t>m，有效水深</w:t>
                  </w:r>
                  <w:r>
                    <w:rPr>
                      <w:rFonts w:hint="eastAsia" w:ascii="Times New Roman" w:hAnsi="Times New Roman" w:cs="Times New Roman"/>
                      <w:color w:val="auto"/>
                      <w:sz w:val="21"/>
                      <w:szCs w:val="21"/>
                      <w:lang w:val="en-US" w:eastAsia="zh-CN"/>
                    </w:rPr>
                    <w:t>3.8</w:t>
                  </w:r>
                  <w:r>
                    <w:rPr>
                      <w:rFonts w:hint="default" w:ascii="Times New Roman" w:hAnsi="Times New Roman" w:eastAsia="宋体" w:cs="Times New Roman"/>
                      <w:color w:val="auto"/>
                      <w:sz w:val="21"/>
                      <w:szCs w:val="21"/>
                    </w:rPr>
                    <w:t>m，</w:t>
                  </w:r>
                  <w:r>
                    <w:rPr>
                      <w:rFonts w:hint="eastAsia" w:ascii="Times New Roman" w:hAnsi="Times New Roman" w:cs="Times New Roman"/>
                      <w:color w:val="auto"/>
                      <w:sz w:val="21"/>
                      <w:szCs w:val="21"/>
                      <w:lang w:eastAsia="zh-CN"/>
                    </w:rPr>
                    <w:t>池深</w:t>
                  </w:r>
                  <w:r>
                    <w:rPr>
                      <w:rFonts w:hint="eastAsia" w:ascii="Times New Roman" w:hAnsi="Times New Roman" w:cs="Times New Roman"/>
                      <w:color w:val="auto"/>
                      <w:sz w:val="21"/>
                      <w:szCs w:val="21"/>
                      <w:lang w:val="en-US" w:eastAsia="zh-CN"/>
                    </w:rPr>
                    <w:t>8.8m，</w:t>
                  </w:r>
                  <w:r>
                    <w:rPr>
                      <w:rFonts w:hint="default" w:ascii="Times New Roman" w:hAnsi="Times New Roman" w:eastAsia="宋体" w:cs="Times New Roman"/>
                      <w:color w:val="auto"/>
                      <w:sz w:val="21"/>
                      <w:szCs w:val="21"/>
                    </w:rPr>
                    <w:t>采用现浇钢筋混凝土结构，主要用于将污水的水量和水质进行调节。池内配置搅拌提升泵，进行提升和搅拌，使污水处于紊流状态，有效的防止污水中的悬浮物在此发生沉淀。</w:t>
                  </w:r>
                </w:p>
              </w:tc>
              <w:tc>
                <w:tcPr>
                  <w:tcW w:w="660" w:type="dxa"/>
                  <w:gridSpan w:val="2"/>
                  <w:vAlign w:val="center"/>
                </w:tcPr>
                <w:p w14:paraId="4DE81578">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p>
              </w:tc>
            </w:tr>
            <w:tr w14:paraId="252B25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3" w:hRule="atLeast"/>
                <w:jc w:val="center"/>
              </w:trPr>
              <w:tc>
                <w:tcPr>
                  <w:tcW w:w="794" w:type="dxa"/>
                  <w:vMerge w:val="continue"/>
                  <w:vAlign w:val="center"/>
                </w:tcPr>
                <w:p w14:paraId="5516617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510" w:type="dxa"/>
                  <w:vMerge w:val="continue"/>
                  <w:vAlign w:val="center"/>
                </w:tcPr>
                <w:p w14:paraId="3C06F7D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495" w:type="dxa"/>
                  <w:vAlign w:val="center"/>
                </w:tcPr>
                <w:p w14:paraId="10A0F9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一体化AAO</w:t>
                  </w:r>
                </w:p>
              </w:tc>
              <w:tc>
                <w:tcPr>
                  <w:tcW w:w="10313" w:type="dxa"/>
                  <w:vAlign w:val="center"/>
                </w:tcPr>
                <w:p w14:paraId="199EBD2B">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一体化AAO生物池包含AAO生物池和平流沉淀池，本次工程按近期设计，远期预留空地。</w:t>
                  </w:r>
                </w:p>
                <w:p w14:paraId="58D2A6EB">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平面尺寸：L×B=</w:t>
                  </w: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6.8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8.1m</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有效水深4.5m，采用现浇钢筋混凝土结构，主要用于经过预缺氧/厌氧/缺氧/好氧/缺氧/好氧环境，在释磷、吸磷、硝化和反硝化的过程中，实现污染物的降解，使污水中的有机物、氨氮、磷等得以去除。</w:t>
                  </w:r>
                </w:p>
              </w:tc>
              <w:tc>
                <w:tcPr>
                  <w:tcW w:w="660" w:type="dxa"/>
                  <w:gridSpan w:val="2"/>
                  <w:vAlign w:val="center"/>
                </w:tcPr>
                <w:p w14:paraId="384886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已建成</w:t>
                  </w:r>
                </w:p>
              </w:tc>
            </w:tr>
          </w:tbl>
          <w:p w14:paraId="21CA7A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b w:val="0"/>
                <w:bCs w:val="0"/>
                <w:color w:val="auto"/>
                <w:sz w:val="21"/>
                <w:szCs w:val="21"/>
                <w:lang w:eastAsia="zh-CN"/>
              </w:rPr>
              <w:t>续</w:t>
            </w:r>
            <w:r>
              <w:rPr>
                <w:rFonts w:hint="default" w:ascii="Times New Roman" w:hAnsi="Times New Roman" w:eastAsia="宋体" w:cs="Times New Roman"/>
                <w:b w:val="0"/>
                <w:bCs w:val="0"/>
                <w:color w:val="auto"/>
                <w:sz w:val="21"/>
                <w:szCs w:val="21"/>
              </w:rPr>
              <w:t>表</w:t>
            </w:r>
            <w:r>
              <w:rPr>
                <w:rFonts w:hint="eastAsia" w:ascii="Times New Roman" w:hAnsi="Times New Roman" w:eastAsia="宋体" w:cs="Times New Roman"/>
                <w:b w:val="0"/>
                <w:bCs w:val="0"/>
                <w:color w:val="auto"/>
                <w:sz w:val="21"/>
                <w:szCs w:val="21"/>
                <w:lang w:val="en-US" w:eastAsia="zh-CN"/>
              </w:rPr>
              <w:t>2-3</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项目组成一览表</w:t>
            </w:r>
          </w:p>
          <w:tbl>
            <w:tblPr>
              <w:tblStyle w:val="26"/>
              <w:tblW w:w="127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6"/>
              <w:gridCol w:w="465"/>
              <w:gridCol w:w="1110"/>
              <w:gridCol w:w="9735"/>
              <w:gridCol w:w="690"/>
            </w:tblGrid>
            <w:tr w14:paraId="32628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756" w:type="dxa"/>
                  <w:vAlign w:val="center"/>
                </w:tcPr>
                <w:p w14:paraId="77B20F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工程类别</w:t>
                  </w:r>
                </w:p>
              </w:tc>
              <w:tc>
                <w:tcPr>
                  <w:tcW w:w="1575" w:type="dxa"/>
                  <w:gridSpan w:val="2"/>
                  <w:vAlign w:val="center"/>
                </w:tcPr>
                <w:p w14:paraId="21D3BE8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9735" w:type="dxa"/>
                  <w:vAlign w:val="center"/>
                </w:tcPr>
                <w:p w14:paraId="2BD29F1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组成</w:t>
                  </w:r>
                </w:p>
              </w:tc>
              <w:tc>
                <w:tcPr>
                  <w:tcW w:w="690" w:type="dxa"/>
                  <w:vAlign w:val="center"/>
                </w:tcPr>
                <w:p w14:paraId="00A4D1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备注</w:t>
                  </w:r>
                </w:p>
              </w:tc>
            </w:tr>
            <w:tr w14:paraId="4D6C8A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restart"/>
                  <w:vAlign w:val="center"/>
                </w:tcPr>
                <w:p w14:paraId="5EA9CCB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主体工程</w:t>
                  </w:r>
                </w:p>
              </w:tc>
              <w:tc>
                <w:tcPr>
                  <w:tcW w:w="465" w:type="dxa"/>
                  <w:vMerge w:val="restart"/>
                  <w:vAlign w:val="center"/>
                </w:tcPr>
                <w:p w14:paraId="0BB0ACC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污污水处理厂</w:t>
                  </w:r>
                </w:p>
              </w:tc>
              <w:tc>
                <w:tcPr>
                  <w:tcW w:w="1110" w:type="dxa"/>
                  <w:vAlign w:val="center"/>
                </w:tcPr>
                <w:p w14:paraId="7D47135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中间提升池</w:t>
                  </w:r>
                </w:p>
              </w:tc>
              <w:tc>
                <w:tcPr>
                  <w:tcW w:w="9735" w:type="dxa"/>
                  <w:vAlign w:val="center"/>
                </w:tcPr>
                <w:p w14:paraId="65DE9C86">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平面尺寸为：L×B=3.8×5.8m，池深：4.5m。土建按远期考虑，设备按近期800m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/d考虑。</w:t>
                  </w:r>
                </w:p>
                <w:p w14:paraId="56E932F0">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主要用于</w:t>
                  </w:r>
                  <w:r>
                    <w:rPr>
                      <w:rFonts w:hint="default" w:ascii="Times New Roman" w:hAnsi="Times New Roman" w:eastAsia="宋体" w:cs="Times New Roman"/>
                      <w:color w:val="auto"/>
                      <w:sz w:val="21"/>
                      <w:szCs w:val="21"/>
                      <w:lang w:val="en-US" w:eastAsia="zh-CN"/>
                    </w:rPr>
                    <w:t>将平流沉淀池出水提升，以满足后续处理竖向水力流程的要求。</w:t>
                  </w:r>
                </w:p>
              </w:tc>
              <w:tc>
                <w:tcPr>
                  <w:tcW w:w="690" w:type="dxa"/>
                  <w:vAlign w:val="center"/>
                </w:tcPr>
                <w:p w14:paraId="4307FCA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p>
              </w:tc>
            </w:tr>
            <w:tr w14:paraId="3AD8C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6ADC792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p>
              </w:tc>
              <w:tc>
                <w:tcPr>
                  <w:tcW w:w="465" w:type="dxa"/>
                  <w:vMerge w:val="continue"/>
                  <w:vAlign w:val="center"/>
                </w:tcPr>
                <w:p w14:paraId="63552F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110" w:type="dxa"/>
                  <w:vAlign w:val="center"/>
                </w:tcPr>
                <w:p w14:paraId="70CD7405">
                  <w:pPr>
                    <w:keepNext w:val="0"/>
                    <w:keepLines w:val="0"/>
                    <w:pageBreakBefore w:val="0"/>
                    <w:tabs>
                      <w:tab w:val="left" w:pos="1337"/>
                    </w:tabs>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深度处理间</w:t>
                  </w:r>
                </w:p>
              </w:tc>
              <w:tc>
                <w:tcPr>
                  <w:tcW w:w="9735" w:type="dxa"/>
                  <w:vAlign w:val="center"/>
                </w:tcPr>
                <w:p w14:paraId="290F9A26">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土框架式结构，</w:t>
                  </w:r>
                  <w:r>
                    <w:rPr>
                      <w:rFonts w:hint="default" w:ascii="Times New Roman" w:hAnsi="Times New Roman" w:eastAsia="宋体" w:cs="Times New Roman"/>
                      <w:color w:val="auto"/>
                      <w:sz w:val="21"/>
                      <w:szCs w:val="21"/>
                      <w:lang w:val="en-US" w:eastAsia="zh-CN"/>
                    </w:rPr>
                    <w:t>平面尺寸：L×B×H=13.5×12.6×9.2m。</w:t>
                  </w:r>
                </w:p>
                <w:p w14:paraId="010DEBE7">
                  <w:pPr>
                    <w:pStyle w:val="19"/>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污水深度处理间包含高效沉淀池、竖片式滤池。土建按远期考虑，设备按近期考虑</w:t>
                  </w:r>
                  <w:r>
                    <w:rPr>
                      <w:rFonts w:hint="default" w:ascii="Times New Roman" w:hAnsi="Times New Roman" w:eastAsia="宋体" w:cs="Times New Roman"/>
                      <w:color w:val="auto"/>
                      <w:sz w:val="21"/>
                      <w:szCs w:val="21"/>
                    </w:rPr>
                    <w:t>。</w:t>
                  </w:r>
                </w:p>
                <w:p w14:paraId="5DE201A6">
                  <w:pPr>
                    <w:pStyle w:val="19"/>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高效</w:t>
                  </w:r>
                  <w:r>
                    <w:rPr>
                      <w:rFonts w:hint="default" w:ascii="Times New Roman" w:hAnsi="Times New Roman" w:eastAsia="宋体" w:cs="Times New Roman"/>
                      <w:color w:val="auto"/>
                      <w:sz w:val="21"/>
                      <w:szCs w:val="21"/>
                    </w:rPr>
                    <w:t>沉淀池：</w:t>
                  </w:r>
                  <w:r>
                    <w:rPr>
                      <w:rFonts w:hint="default" w:ascii="Times New Roman" w:hAnsi="Times New Roman" w:eastAsia="宋体" w:cs="Times New Roman"/>
                      <w:color w:val="auto"/>
                      <w:sz w:val="21"/>
                      <w:szCs w:val="21"/>
                      <w:lang w:val="en-US" w:eastAsia="zh-CN"/>
                    </w:rPr>
                    <w:t>利用加速混合原理、接触絮凝原理和浅池沉淀原理，实现机械混合凝聚、机械强化絮凝和斜管沉淀分离，同时借助外部污泥回流，改善和提高絮凝和沉淀的效果</w:t>
                  </w:r>
                  <w:r>
                    <w:rPr>
                      <w:rFonts w:hint="eastAsia" w:ascii="Times New Roman" w:hAnsi="Times New Roman" w:eastAsia="宋体" w:cs="Times New Roman"/>
                      <w:color w:val="auto"/>
                      <w:sz w:val="21"/>
                      <w:szCs w:val="21"/>
                      <w:lang w:val="en-US" w:eastAsia="zh-CN"/>
                    </w:rPr>
                    <w:t>。</w:t>
                  </w:r>
                </w:p>
                <w:p w14:paraId="1424ED50">
                  <w:pPr>
                    <w:pStyle w:val="19"/>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竖片式滤池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根据实际进水水质投加絮凝剂（具有除磷功能）、助凝剂，使水中的微絮体凝结成大的沉降性良好的致密絮体，经过竖片式滤池过滤。确保水质除生物学指标外全部达到排放要求。</w:t>
                  </w:r>
                </w:p>
              </w:tc>
              <w:tc>
                <w:tcPr>
                  <w:tcW w:w="690" w:type="dxa"/>
                  <w:vAlign w:val="center"/>
                </w:tcPr>
                <w:p w14:paraId="7BE28ECC">
                  <w:pPr>
                    <w:pStyle w:val="1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已建成</w:t>
                  </w:r>
                </w:p>
              </w:tc>
            </w:tr>
            <w:tr w14:paraId="3D2B8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7E89653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465" w:type="dxa"/>
                  <w:vMerge w:val="continue"/>
                  <w:vAlign w:val="center"/>
                </w:tcPr>
                <w:p w14:paraId="6593745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110" w:type="dxa"/>
                  <w:vAlign w:val="center"/>
                </w:tcPr>
                <w:p w14:paraId="2E84FFC9">
                  <w:pPr>
                    <w:keepNext w:val="0"/>
                    <w:keepLines w:val="0"/>
                    <w:pageBreakBefore w:val="0"/>
                    <w:tabs>
                      <w:tab w:val="left" w:pos="1337"/>
                    </w:tabs>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接触消毒池</w:t>
                  </w:r>
                  <w:r>
                    <w:rPr>
                      <w:rFonts w:hint="default" w:ascii="Times New Roman" w:hAnsi="Times New Roman" w:eastAsia="宋体" w:cs="Times New Roman"/>
                      <w:color w:val="auto"/>
                      <w:sz w:val="21"/>
                      <w:szCs w:val="21"/>
                      <w:lang w:val="en-US" w:eastAsia="zh-CN"/>
                    </w:rPr>
                    <w:t>及巴氏计量槽</w:t>
                  </w:r>
                </w:p>
              </w:tc>
              <w:tc>
                <w:tcPr>
                  <w:tcW w:w="9735" w:type="dxa"/>
                  <w:vAlign w:val="center"/>
                </w:tcPr>
                <w:p w14:paraId="06B11706">
                  <w:pPr>
                    <w:pStyle w:val="19"/>
                    <w:keepNext w:val="0"/>
                    <w:keepLines w:val="0"/>
                    <w:pageBreakBefore w:val="0"/>
                    <w:kinsoku/>
                    <w:wordWrap/>
                    <w:overflowPunct/>
                    <w:topLinePunct w:val="0"/>
                    <w:autoSpaceDE/>
                    <w:autoSpaceDN/>
                    <w:bidi w:val="0"/>
                    <w:spacing w:line="240" w:lineRule="auto"/>
                    <w:ind w:left="0" w:leftChars="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平面尺寸：L×B×H=</w:t>
                  </w:r>
                  <w:r>
                    <w:rPr>
                      <w:rFonts w:hint="eastAsia" w:ascii="Times New Roman" w:hAnsi="Times New Roman" w:eastAsia="宋体" w:cs="Times New Roman"/>
                      <w:color w:val="auto"/>
                      <w:sz w:val="21"/>
                      <w:szCs w:val="21"/>
                      <w:lang w:val="en-US" w:eastAsia="zh-CN"/>
                    </w:rPr>
                    <w:t>27</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35.85</w:t>
                  </w:r>
                  <w:r>
                    <w:rPr>
                      <w:rFonts w:hint="default"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lang w:eastAsia="zh-CN"/>
                    </w:rPr>
                    <w:t>池深</w:t>
                  </w:r>
                  <w:r>
                    <w:rPr>
                      <w:rFonts w:hint="eastAsia" w:ascii="Times New Roman" w:hAnsi="Times New Roman" w:eastAsia="宋体" w:cs="Times New Roman"/>
                      <w:color w:val="auto"/>
                      <w:sz w:val="21"/>
                      <w:szCs w:val="21"/>
                      <w:lang w:val="en-US" w:eastAsia="zh-CN"/>
                    </w:rPr>
                    <w:t>4.5m，</w:t>
                  </w:r>
                  <w:r>
                    <w:rPr>
                      <w:rFonts w:hint="default" w:ascii="Times New Roman" w:hAnsi="Times New Roman" w:eastAsia="宋体" w:cs="Times New Roman"/>
                      <w:color w:val="auto"/>
                      <w:sz w:val="21"/>
                      <w:szCs w:val="21"/>
                    </w:rPr>
                    <w:t>接触消毒池对出厂污水进行次氯酸钠消毒，进行充分的混合和接触，保证灭菌效果。</w:t>
                  </w:r>
                </w:p>
              </w:tc>
              <w:tc>
                <w:tcPr>
                  <w:tcW w:w="690" w:type="dxa"/>
                  <w:vAlign w:val="center"/>
                </w:tcPr>
                <w:p w14:paraId="57D55B1A">
                  <w:pPr>
                    <w:pStyle w:val="1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已建成</w:t>
                  </w:r>
                </w:p>
              </w:tc>
            </w:tr>
            <w:tr w14:paraId="3180B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7DE9426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465" w:type="dxa"/>
                  <w:vMerge w:val="continue"/>
                  <w:vAlign w:val="center"/>
                </w:tcPr>
                <w:p w14:paraId="0AEE22F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110" w:type="dxa"/>
                  <w:vAlign w:val="center"/>
                </w:tcPr>
                <w:p w14:paraId="6056471F">
                  <w:pPr>
                    <w:keepNext w:val="0"/>
                    <w:keepLines w:val="0"/>
                    <w:pageBreakBefore w:val="0"/>
                    <w:tabs>
                      <w:tab w:val="left" w:pos="1337"/>
                    </w:tabs>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贮泥池及</w:t>
                  </w:r>
                  <w:r>
                    <w:rPr>
                      <w:rFonts w:hint="default" w:ascii="Times New Roman" w:hAnsi="Times New Roman" w:eastAsia="宋体" w:cs="Times New Roman"/>
                      <w:color w:val="auto"/>
                      <w:sz w:val="21"/>
                      <w:szCs w:val="21"/>
                      <w:lang w:eastAsia="zh-CN"/>
                    </w:rPr>
                    <w:t>污泥泵池</w:t>
                  </w:r>
                </w:p>
              </w:tc>
              <w:tc>
                <w:tcPr>
                  <w:tcW w:w="9735" w:type="dxa"/>
                  <w:vAlign w:val="center"/>
                </w:tcPr>
                <w:p w14:paraId="35B85CFC">
                  <w:pPr>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平面尺寸：L×B×H=</w:t>
                  </w:r>
                  <w:r>
                    <w:rPr>
                      <w:rFonts w:hint="default" w:ascii="Times New Roman" w:hAnsi="Times New Roman" w:eastAsia="宋体" w:cs="Times New Roman"/>
                      <w:color w:val="auto"/>
                      <w:sz w:val="21"/>
                      <w:szCs w:val="21"/>
                      <w:lang w:val="en-US" w:eastAsia="zh-CN"/>
                    </w:rPr>
                    <w:t>8.3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m，框架结构；</w:t>
                  </w:r>
                </w:p>
                <w:p w14:paraId="321BA012">
                  <w:pPr>
                    <w:keepNext w:val="0"/>
                    <w:keepLines w:val="0"/>
                    <w:pageBreakBefore w:val="0"/>
                    <w:widowControl/>
                    <w:suppressLineNumbers w:val="0"/>
                    <w:kinsoku/>
                    <w:wordWrap/>
                    <w:overflowPunct/>
                    <w:topLinePunct w:val="0"/>
                    <w:autoSpaceDE/>
                    <w:autoSpaceDN/>
                    <w:bidi w:val="0"/>
                    <w:spacing w:line="240" w:lineRule="auto"/>
                    <w:ind w:left="0" w:leftChars="0"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功能：</w:t>
                  </w:r>
                  <w:r>
                    <w:rPr>
                      <w:rFonts w:hint="default" w:ascii="Times New Roman" w:hAnsi="Times New Roman" w:eastAsia="宋体" w:cs="Times New Roman"/>
                      <w:color w:val="auto"/>
                      <w:kern w:val="0"/>
                      <w:sz w:val="21"/>
                      <w:szCs w:val="21"/>
                      <w:lang w:val="en-US" w:eastAsia="zh-CN" w:bidi="ar"/>
                    </w:rPr>
                    <w:t>位于连续运转的剩余污泥泵和间歇运转的污泥离心机之间，起调节和贮存污泥量的作用；</w:t>
                  </w:r>
                </w:p>
              </w:tc>
              <w:tc>
                <w:tcPr>
                  <w:tcW w:w="690" w:type="dxa"/>
                  <w:vAlign w:val="center"/>
                </w:tcPr>
                <w:p w14:paraId="6F8B701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已建成</w:t>
                  </w:r>
                </w:p>
              </w:tc>
            </w:tr>
            <w:tr w14:paraId="4CB0A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1A5D787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465" w:type="dxa"/>
                  <w:vMerge w:val="continue"/>
                  <w:vAlign w:val="center"/>
                </w:tcPr>
                <w:p w14:paraId="2002C44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110" w:type="dxa"/>
                  <w:vAlign w:val="center"/>
                </w:tcPr>
                <w:p w14:paraId="63DDCBCB">
                  <w:pPr>
                    <w:keepNext w:val="0"/>
                    <w:keepLines w:val="0"/>
                    <w:pageBreakBefore w:val="0"/>
                    <w:tabs>
                      <w:tab w:val="left" w:pos="1337"/>
                    </w:tabs>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综合车间</w:t>
                  </w:r>
                </w:p>
              </w:tc>
              <w:tc>
                <w:tcPr>
                  <w:tcW w:w="9735" w:type="dxa"/>
                  <w:vAlign w:val="center"/>
                </w:tcPr>
                <w:p w14:paraId="225AA614">
                  <w:pPr>
                    <w:keepNext w:val="0"/>
                    <w:keepLines w:val="0"/>
                    <w:pageBreakBefore w:val="0"/>
                    <w:widowControl/>
                    <w:suppressLineNumbers w:val="0"/>
                    <w:kinsoku/>
                    <w:wordWrap/>
                    <w:overflowPunct/>
                    <w:topLinePunct w:val="0"/>
                    <w:bidi w:val="0"/>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综合车间为鼓风机房和变配电室、加药加氯间、脱水机房和生物除臭设备一体的综合建筑物，框架结构。</w:t>
                  </w:r>
                </w:p>
                <w:p w14:paraId="3BB6D503">
                  <w:pPr>
                    <w:keepNext w:val="0"/>
                    <w:keepLines w:val="0"/>
                    <w:pageBreakBefore w:val="0"/>
                    <w:widowControl/>
                    <w:suppressLineNumbers w:val="0"/>
                    <w:kinsoku/>
                    <w:wordWrap/>
                    <w:overflowPunct/>
                    <w:topLinePunct w:val="0"/>
                    <w:bidi w:val="0"/>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①鼓风机房：建筑尺寸 L×B×H=6.9×8.1×6.3m；</w:t>
                  </w:r>
                </w:p>
                <w:p w14:paraId="503132F6">
                  <w:pPr>
                    <w:keepNext w:val="0"/>
                    <w:keepLines w:val="0"/>
                    <w:pageBreakBefore w:val="0"/>
                    <w:widowControl/>
                    <w:suppressLineNumbers w:val="0"/>
                    <w:kinsoku/>
                    <w:wordWrap/>
                    <w:overflowPunct/>
                    <w:topLinePunct w:val="0"/>
                    <w:bidi w:val="0"/>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功能：为生物池生化反应提供所需的氧气量，变电站为污水厂用电设备供电；</w:t>
                  </w:r>
                </w:p>
                <w:p w14:paraId="7F69A812">
                  <w:pPr>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②加药加氯间：建筑尺寸L×B×H=10.1×8.1×6.9m；</w:t>
                  </w:r>
                </w:p>
                <w:p w14:paraId="7C897F91">
                  <w:pPr>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功能：主要向高效沉淀池提供PAC及PAM用于去除污水中的磷，使出水中磷含量达到出水标准要求；向脱水机房提供PAM，作为污泥浓缩脱水的助凝剂；向接触消毒池提供次氯酸钠，使出水粪大肠菌群达标；向生物反应池缺氧区提供外加碳源（乙酸钠），用于总氮的去除；</w:t>
                  </w:r>
                </w:p>
                <w:p w14:paraId="413A7DAC">
                  <w:pPr>
                    <w:pStyle w:val="40"/>
                    <w:keepNext w:val="0"/>
                    <w:keepLines w:val="0"/>
                    <w:pageBreakBefore w:val="0"/>
                    <w:kinsoku/>
                    <w:wordWrap/>
                    <w:overflowPunct/>
                    <w:topLinePunct w:val="0"/>
                    <w:bidi w:val="0"/>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③脱水机房：</w:t>
                  </w:r>
                  <w:r>
                    <w:rPr>
                      <w:rFonts w:hint="default" w:ascii="Times New Roman" w:hAnsi="Times New Roman" w:eastAsia="宋体" w:cs="Times New Roman"/>
                      <w:color w:val="auto"/>
                      <w:kern w:val="2"/>
                      <w:sz w:val="21"/>
                      <w:szCs w:val="21"/>
                      <w:lang w:val="en-US" w:eastAsia="zh-CN" w:bidi="ar-SA"/>
                    </w:rPr>
                    <w:t>建筑尺寸L×B×H=</w:t>
                  </w:r>
                  <w:r>
                    <w:rPr>
                      <w:rFonts w:hint="eastAsia" w:ascii="Times New Roman" w:cs="Times New Roman"/>
                      <w:color w:val="auto"/>
                      <w:kern w:val="2"/>
                      <w:sz w:val="21"/>
                      <w:szCs w:val="21"/>
                      <w:lang w:val="en-US" w:eastAsia="zh-CN" w:bidi="ar-SA"/>
                    </w:rPr>
                    <w:t>6.9</w:t>
                  </w:r>
                  <w:r>
                    <w:rPr>
                      <w:rFonts w:hint="default" w:ascii="Times New Roman" w:hAnsi="Times New Roman" w:eastAsia="宋体" w:cs="Times New Roman"/>
                      <w:color w:val="auto"/>
                      <w:kern w:val="2"/>
                      <w:sz w:val="21"/>
                      <w:szCs w:val="21"/>
                      <w:lang w:val="en-US" w:eastAsia="zh-CN" w:bidi="ar-SA"/>
                    </w:rPr>
                    <w:t>×</w:t>
                  </w:r>
                  <w:r>
                    <w:rPr>
                      <w:rFonts w:hint="eastAsia" w:ascii="Times New Roman" w:cs="Times New Roman"/>
                      <w:color w:val="auto"/>
                      <w:kern w:val="2"/>
                      <w:sz w:val="21"/>
                      <w:szCs w:val="21"/>
                      <w:lang w:val="en-US" w:eastAsia="zh-CN" w:bidi="ar-SA"/>
                    </w:rPr>
                    <w:t>14.3</w:t>
                  </w:r>
                  <w:r>
                    <w:rPr>
                      <w:rFonts w:hint="default" w:ascii="Times New Roman" w:hAnsi="Times New Roman" w:eastAsia="宋体" w:cs="Times New Roman"/>
                      <w:color w:val="auto"/>
                      <w:kern w:val="2"/>
                      <w:sz w:val="21"/>
                      <w:szCs w:val="21"/>
                      <w:lang w:val="en-US" w:eastAsia="zh-CN" w:bidi="ar-SA"/>
                    </w:rPr>
                    <w:t>×</w:t>
                  </w:r>
                  <w:r>
                    <w:rPr>
                      <w:rFonts w:hint="eastAsia" w:ascii="Times New Roman" w:cs="Times New Roman"/>
                      <w:color w:val="auto"/>
                      <w:kern w:val="2"/>
                      <w:sz w:val="21"/>
                      <w:szCs w:val="21"/>
                      <w:lang w:val="en-US" w:eastAsia="zh-CN" w:bidi="ar-SA"/>
                    </w:rPr>
                    <w:t>10.7</w:t>
                  </w:r>
                  <w:r>
                    <w:rPr>
                      <w:rFonts w:hint="default" w:ascii="Times New Roman" w:hAnsi="Times New Roman" w:eastAsia="宋体" w:cs="Times New Roman"/>
                      <w:color w:val="auto"/>
                      <w:kern w:val="2"/>
                      <w:sz w:val="21"/>
                      <w:szCs w:val="21"/>
                      <w:lang w:val="en-US" w:eastAsia="zh-CN" w:bidi="ar-SA"/>
                    </w:rPr>
                    <w:t>m；</w:t>
                  </w:r>
                </w:p>
                <w:p w14:paraId="3EAD8261">
                  <w:pPr>
                    <w:keepNext w:val="0"/>
                    <w:keepLines w:val="0"/>
                    <w:pageBreakBefore w:val="0"/>
                    <w:widowControl/>
                    <w:suppressLineNumbers w:val="0"/>
                    <w:kinsoku/>
                    <w:wordWrap/>
                    <w:overflowPunct/>
                    <w:topLinePunct w:val="0"/>
                    <w:bidi w:val="0"/>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功能：</w:t>
                  </w:r>
                  <w:r>
                    <w:rPr>
                      <w:rFonts w:hint="default" w:ascii="Times New Roman" w:hAnsi="Times New Roman" w:eastAsia="宋体" w:cs="Times New Roman"/>
                      <w:color w:val="auto"/>
                      <w:kern w:val="0"/>
                      <w:sz w:val="21"/>
                      <w:szCs w:val="21"/>
                      <w:lang w:val="en-US" w:eastAsia="zh-CN" w:bidi="ar"/>
                    </w:rPr>
                    <w:t>污泥先储存在储泥池中，然后进入污泥脱水机，其对剩余污泥进行脱水，进一步降低污泥含水率，减少污泥体积，以便于污泥运输处置。</w:t>
                  </w:r>
                </w:p>
                <w:p w14:paraId="5586DE63">
                  <w:pPr>
                    <w:keepNext w:val="0"/>
                    <w:keepLines w:val="0"/>
                    <w:pageBreakBefore w:val="0"/>
                    <w:widowControl/>
                    <w:suppressLineNumbers w:val="0"/>
                    <w:kinsoku/>
                    <w:wordWrap/>
                    <w:overflowPunct/>
                    <w:topLinePunct w:val="0"/>
                    <w:bidi w:val="0"/>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④生物除臭设备：</w:t>
                  </w:r>
                  <w:r>
                    <w:rPr>
                      <w:rFonts w:hint="default" w:ascii="Times New Roman" w:hAnsi="Times New Roman" w:eastAsia="宋体" w:cs="Times New Roman"/>
                      <w:color w:val="auto"/>
                      <w:kern w:val="0"/>
                      <w:sz w:val="21"/>
                      <w:szCs w:val="21"/>
                      <w:lang w:val="en-US" w:eastAsia="zh-CN" w:bidi="ar"/>
                    </w:rPr>
                    <w:t>设置1套生物除臭系统，对预处理间、贮泥池及脱水机房进行除臭。</w:t>
                  </w:r>
                </w:p>
                <w:p w14:paraId="48F05127">
                  <w:pPr>
                    <w:keepNext w:val="0"/>
                    <w:keepLines w:val="0"/>
                    <w:pageBreakBefore w:val="0"/>
                    <w:widowControl/>
                    <w:suppressLineNumbers w:val="0"/>
                    <w:kinsoku/>
                    <w:wordWrap/>
                    <w:overflowPunct/>
                    <w:topLinePunct w:val="0"/>
                    <w:bidi w:val="0"/>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设生物除臭滤池1套，处理量5000m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/h，需配套循环水泵、加湿水泵、加热器、仪表及配电设备。</w:t>
                  </w:r>
                </w:p>
              </w:tc>
              <w:tc>
                <w:tcPr>
                  <w:tcW w:w="690" w:type="dxa"/>
                  <w:vAlign w:val="center"/>
                </w:tcPr>
                <w:p w14:paraId="658E42F2">
                  <w:pPr>
                    <w:keepNext w:val="0"/>
                    <w:keepLines w:val="0"/>
                    <w:pageBreakBefore w:val="0"/>
                    <w:widowControl/>
                    <w:suppressLineNumbers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已建成</w:t>
                  </w:r>
                </w:p>
              </w:tc>
            </w:tr>
          </w:tbl>
          <w:p w14:paraId="47113B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b w:val="0"/>
                <w:bCs w:val="0"/>
                <w:color w:val="auto"/>
                <w:sz w:val="21"/>
                <w:szCs w:val="21"/>
                <w:lang w:eastAsia="zh-CN"/>
              </w:rPr>
              <w:t>续</w:t>
            </w:r>
            <w:r>
              <w:rPr>
                <w:rFonts w:hint="default" w:ascii="Times New Roman" w:hAnsi="Times New Roman" w:eastAsia="宋体" w:cs="Times New Roman"/>
                <w:b w:val="0"/>
                <w:bCs w:val="0"/>
                <w:color w:val="auto"/>
                <w:sz w:val="21"/>
                <w:szCs w:val="21"/>
              </w:rPr>
              <w:t>表</w:t>
            </w:r>
            <w:r>
              <w:rPr>
                <w:rFonts w:hint="eastAsia" w:ascii="Times New Roman" w:hAnsi="Times New Roman" w:eastAsia="宋体" w:cs="Times New Roman"/>
                <w:b w:val="0"/>
                <w:bCs w:val="0"/>
                <w:color w:val="auto"/>
                <w:sz w:val="21"/>
                <w:szCs w:val="21"/>
                <w:lang w:val="en-US" w:eastAsia="zh-CN"/>
              </w:rPr>
              <w:t xml:space="preserve">2-3 </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项目组成一览表</w:t>
            </w:r>
          </w:p>
          <w:tbl>
            <w:tblPr>
              <w:tblStyle w:val="26"/>
              <w:tblW w:w="127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1"/>
              <w:gridCol w:w="1051"/>
              <w:gridCol w:w="10274"/>
              <w:gridCol w:w="660"/>
            </w:tblGrid>
            <w:tr w14:paraId="4AF92B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771" w:type="dxa"/>
                  <w:vAlign w:val="center"/>
                </w:tcPr>
                <w:p w14:paraId="4EB4DCF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工程类别</w:t>
                  </w:r>
                </w:p>
              </w:tc>
              <w:tc>
                <w:tcPr>
                  <w:tcW w:w="1051" w:type="dxa"/>
                  <w:vAlign w:val="center"/>
                </w:tcPr>
                <w:p w14:paraId="56C96A9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10274" w:type="dxa"/>
                  <w:vAlign w:val="center"/>
                </w:tcPr>
                <w:p w14:paraId="45103ED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组成</w:t>
                  </w:r>
                </w:p>
              </w:tc>
              <w:tc>
                <w:tcPr>
                  <w:tcW w:w="660" w:type="dxa"/>
                  <w:vAlign w:val="center"/>
                </w:tcPr>
                <w:p w14:paraId="2B2953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备注</w:t>
                  </w:r>
                </w:p>
              </w:tc>
            </w:tr>
            <w:tr w14:paraId="71DDB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71" w:type="dxa"/>
                  <w:vAlign w:val="center"/>
                </w:tcPr>
                <w:p w14:paraId="219F97E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主体工程</w:t>
                  </w:r>
                </w:p>
              </w:tc>
              <w:tc>
                <w:tcPr>
                  <w:tcW w:w="1051" w:type="dxa"/>
                  <w:vAlign w:val="center"/>
                </w:tcPr>
                <w:p w14:paraId="1492E0A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污水管网</w:t>
                  </w:r>
                </w:p>
              </w:tc>
              <w:tc>
                <w:tcPr>
                  <w:tcW w:w="10274" w:type="dxa"/>
                  <w:vAlign w:val="center"/>
                </w:tcPr>
                <w:p w14:paraId="0C43EAC9">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项目配套污水管网</w:t>
                  </w:r>
                  <w:r>
                    <w:rPr>
                      <w:rFonts w:hint="default" w:ascii="Times New Roman" w:hAnsi="Times New Roman" w:eastAsia="宋体" w:cs="Times New Roman"/>
                      <w:color w:val="auto"/>
                      <w:sz w:val="21"/>
                      <w:szCs w:val="21"/>
                      <w:lang w:val="en-US" w:eastAsia="zh-CN"/>
                    </w:rPr>
                    <w:t>结合场地竖向、洪水河位置将镇区划分为东西3个污水系统分区</w:t>
                  </w:r>
                  <w:r>
                    <w:rPr>
                      <w:rFonts w:hint="default" w:ascii="Times New Roman" w:hAnsi="Times New Roman" w:eastAsia="宋体" w:cs="Times New Roman"/>
                      <w:color w:val="auto"/>
                      <w:sz w:val="21"/>
                      <w:szCs w:val="21"/>
                    </w:rPr>
                    <w:t>：</w:t>
                  </w:r>
                </w:p>
                <w:p w14:paraId="0AE1D62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东区污水收集系统：</w:t>
                  </w:r>
                </w:p>
                <w:p w14:paraId="032E46B7">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lang w:val="en-US" w:eastAsia="zh-CN"/>
                    </w:rPr>
                    <w:t>沿205省道（109国道以南）自南向北敷设DN400mm污水管道1060m，沿205省道（109国道以北）自南向北敷设DN400mm污水管道1430m、自北向南敷设DN400mm污水管道1200m，于北环路汇合后自东向西敷设DN400-DN500mm污水主管道至污水处理厂，长度1090m；</w:t>
                  </w:r>
                </w:p>
                <w:p w14:paraId="1BFB4C00">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lang w:val="en-US" w:eastAsia="zh-CN"/>
                    </w:rPr>
                    <w:t>109国道东侧区域（壳牌加油站以东），沿109国道自东西两侧向中间（昆仑好客加油站）铺设DN300mm污水管道4390米，进入昆仑好客加油站对面本次拟建一体化泵站内，经本站提升，进入109国道（壳牌加油站以西）拟建DN400mm污水管道，沿109国道（壳牌加油站以西）自东向西敷设DN400mm污水管道2140米；沿109国道（205省道以西）自西向东敷设DN300mm污水管道300m，接入205省道无数管道</w:t>
                  </w:r>
                  <w:r>
                    <w:rPr>
                      <w:rFonts w:hint="default" w:ascii="Times New Roman" w:hAnsi="Times New Roman" w:eastAsia="宋体" w:cs="Times New Roman"/>
                      <w:color w:val="auto"/>
                      <w:sz w:val="21"/>
                      <w:szCs w:val="21"/>
                    </w:rPr>
                    <w:t>；</w:t>
                  </w:r>
                </w:p>
                <w:p w14:paraId="75CE8907">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③</w:t>
                  </w:r>
                  <w:r>
                    <w:rPr>
                      <w:rFonts w:hint="eastAsia" w:ascii="Times New Roman" w:hAnsi="Times New Roman" w:eastAsia="宋体" w:cs="Times New Roman"/>
                      <w:color w:val="auto"/>
                      <w:sz w:val="21"/>
                      <w:szCs w:val="21"/>
                      <w:lang w:val="en-US" w:eastAsia="zh-CN"/>
                    </w:rPr>
                    <w:t>沿109国道（洪水河-环城路）自东向西敷设DN400mm污水管道1810m，沿109国道（环城路以西）自西向东敷设DN400mm污水管道2300m，南北两侧汇合后沿西环路向北敷设DN500mm污水管道至污水处理厂，长度960m。具体详见污水管道布置图（见附图8）。</w:t>
                  </w:r>
                </w:p>
                <w:p w14:paraId="1553A484">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污水管道沿109国道、202省道双侧布置，沿环城路单侧布置。</w:t>
                  </w:r>
                </w:p>
              </w:tc>
              <w:tc>
                <w:tcPr>
                  <w:tcW w:w="660" w:type="dxa"/>
                  <w:vAlign w:val="center"/>
                </w:tcPr>
                <w:p w14:paraId="49495D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p>
              </w:tc>
            </w:tr>
            <w:tr w14:paraId="0C2154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71" w:type="dxa"/>
                  <w:vMerge w:val="restart"/>
                  <w:vAlign w:val="center"/>
                </w:tcPr>
                <w:p w14:paraId="399E7B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辅助工程</w:t>
                  </w:r>
                </w:p>
              </w:tc>
              <w:tc>
                <w:tcPr>
                  <w:tcW w:w="1051" w:type="dxa"/>
                  <w:vMerge w:val="restart"/>
                  <w:vAlign w:val="center"/>
                </w:tcPr>
                <w:p w14:paraId="58AFB7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管理用房</w:t>
                  </w:r>
                </w:p>
              </w:tc>
              <w:tc>
                <w:tcPr>
                  <w:tcW w:w="10274" w:type="dxa"/>
                  <w:vAlign w:val="center"/>
                </w:tcPr>
                <w:p w14:paraId="054B45A9">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建设</w:t>
                  </w:r>
                  <w:r>
                    <w:rPr>
                      <w:rFonts w:hint="eastAsia" w:ascii="Times New Roman" w:hAnsi="Times New Roman" w:eastAsia="宋体" w:cs="Times New Roman"/>
                      <w:color w:val="auto"/>
                      <w:sz w:val="21"/>
                      <w:szCs w:val="21"/>
                      <w:lang w:eastAsia="zh-CN"/>
                    </w:rPr>
                    <w:t>管理用房</w:t>
                  </w:r>
                  <w:r>
                    <w:rPr>
                      <w:rFonts w:hint="default" w:ascii="Times New Roman" w:hAnsi="Times New Roman" w:eastAsia="宋体" w:cs="Times New Roman"/>
                      <w:color w:val="auto"/>
                      <w:sz w:val="21"/>
                      <w:szCs w:val="21"/>
                    </w:rPr>
                    <w:t>1座，</w:t>
                  </w:r>
                  <w:r>
                    <w:rPr>
                      <w:rFonts w:hint="eastAsia"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val="en-US" w:eastAsia="zh-CN"/>
                    </w:rPr>
                    <w:t>264.67m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，H=4.2m</w:t>
                  </w:r>
                  <w:r>
                    <w:rPr>
                      <w:rFonts w:hint="default" w:ascii="Times New Roman" w:hAnsi="Times New Roman" w:eastAsia="宋体" w:cs="Times New Roman"/>
                      <w:color w:val="auto"/>
                      <w:sz w:val="21"/>
                      <w:szCs w:val="21"/>
                    </w:rPr>
                    <w:t>，采用现浇钢筋混凝土框架结构，主要建设办公室、控制室及员工宿舍等。</w:t>
                  </w:r>
                </w:p>
              </w:tc>
              <w:tc>
                <w:tcPr>
                  <w:tcW w:w="660" w:type="dxa"/>
                  <w:vAlign w:val="center"/>
                </w:tcPr>
                <w:p w14:paraId="20B330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已建成</w:t>
                  </w:r>
                </w:p>
              </w:tc>
            </w:tr>
            <w:tr w14:paraId="0F452D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71" w:type="dxa"/>
                  <w:vMerge w:val="continue"/>
                  <w:vAlign w:val="center"/>
                </w:tcPr>
                <w:p w14:paraId="6EFC426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eastAsia="zh-CN"/>
                    </w:rPr>
                  </w:pPr>
                </w:p>
              </w:tc>
              <w:tc>
                <w:tcPr>
                  <w:tcW w:w="1051" w:type="dxa"/>
                  <w:vMerge w:val="continue"/>
                  <w:vAlign w:val="center"/>
                </w:tcPr>
                <w:p w14:paraId="3B40F41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p>
              </w:tc>
              <w:tc>
                <w:tcPr>
                  <w:tcW w:w="10274" w:type="dxa"/>
                  <w:vAlign w:val="center"/>
                </w:tcPr>
                <w:p w14:paraId="1EF3C030">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管理用房内内置化验室</w:t>
                  </w:r>
                  <w:r>
                    <w:rPr>
                      <w:rFonts w:hint="eastAsia" w:ascii="Times New Roman" w:hAnsi="Times New Roman" w:eastAsia="宋体" w:cs="Times New Roman"/>
                      <w:color w:val="auto"/>
                      <w:sz w:val="21"/>
                      <w:szCs w:val="21"/>
                      <w:lang w:val="en-US" w:eastAsia="zh-CN"/>
                    </w:rPr>
                    <w:t>1间，主要用于废水水质化验。</w:t>
                  </w:r>
                </w:p>
              </w:tc>
              <w:tc>
                <w:tcPr>
                  <w:tcW w:w="660" w:type="dxa"/>
                  <w:vAlign w:val="center"/>
                </w:tcPr>
                <w:p w14:paraId="6CDF5B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已建成</w:t>
                  </w:r>
                </w:p>
              </w:tc>
            </w:tr>
            <w:tr w14:paraId="3C0CF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71" w:type="dxa"/>
                  <w:vMerge w:val="continue"/>
                  <w:vAlign w:val="center"/>
                </w:tcPr>
                <w:p w14:paraId="7FB5E23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eastAsia="zh-CN"/>
                    </w:rPr>
                  </w:pPr>
                </w:p>
              </w:tc>
              <w:tc>
                <w:tcPr>
                  <w:tcW w:w="1051" w:type="dxa"/>
                  <w:vAlign w:val="center"/>
                </w:tcPr>
                <w:p w14:paraId="1CC9EDF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进、出水在线站房</w:t>
                  </w:r>
                </w:p>
              </w:tc>
              <w:tc>
                <w:tcPr>
                  <w:tcW w:w="10274" w:type="dxa"/>
                  <w:vAlign w:val="center"/>
                </w:tcPr>
                <w:p w14:paraId="45C41210">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建设进、出水在线站房</w:t>
                  </w:r>
                  <w:r>
                    <w:rPr>
                      <w:rFonts w:hint="eastAsia" w:ascii="Times New Roman" w:hAnsi="Times New Roman" w:eastAsia="宋体" w:cs="Times New Roman"/>
                      <w:color w:val="auto"/>
                      <w:sz w:val="21"/>
                      <w:szCs w:val="21"/>
                      <w:lang w:val="en-US" w:eastAsia="zh-CN"/>
                    </w:rPr>
                    <w:t>1座，占地面积28.42m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，H=3.6m，</w:t>
                  </w:r>
                  <w:r>
                    <w:rPr>
                      <w:rFonts w:hint="default" w:ascii="Times New Roman" w:hAnsi="Times New Roman" w:eastAsia="宋体" w:cs="Times New Roman"/>
                      <w:color w:val="auto"/>
                      <w:sz w:val="21"/>
                      <w:szCs w:val="21"/>
                    </w:rPr>
                    <w:t>采用现浇钢筋混凝土框架结构，</w:t>
                  </w:r>
                  <w:r>
                    <w:rPr>
                      <w:rFonts w:hint="eastAsia" w:ascii="Times New Roman" w:hAnsi="Times New Roman" w:eastAsia="宋体" w:cs="Times New Roman"/>
                      <w:color w:val="auto"/>
                      <w:sz w:val="21"/>
                      <w:szCs w:val="21"/>
                      <w:lang w:eastAsia="zh-CN"/>
                    </w:rPr>
                    <w:t>内置</w:t>
                  </w:r>
                  <w:r>
                    <w:rPr>
                      <w:rFonts w:hint="eastAsia" w:ascii="Times New Roman" w:hAnsi="Times New Roman" w:eastAsia="宋体" w:cs="Times New Roman"/>
                      <w:color w:val="auto"/>
                      <w:sz w:val="21"/>
                      <w:szCs w:val="21"/>
                      <w:lang w:val="en-US" w:eastAsia="zh-CN"/>
                    </w:rPr>
                    <w:t>流量、pH、温度、COD、氨氮、总磷、总氮等在线监测设备。</w:t>
                  </w:r>
                </w:p>
              </w:tc>
              <w:tc>
                <w:tcPr>
                  <w:tcW w:w="660" w:type="dxa"/>
                  <w:vAlign w:val="center"/>
                </w:tcPr>
                <w:p w14:paraId="6CC1E4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已建成</w:t>
                  </w:r>
                </w:p>
              </w:tc>
            </w:tr>
            <w:tr w14:paraId="08048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71" w:type="dxa"/>
                  <w:vMerge w:val="restart"/>
                  <w:vAlign w:val="center"/>
                </w:tcPr>
                <w:p w14:paraId="687112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公用工程</w:t>
                  </w:r>
                </w:p>
              </w:tc>
              <w:tc>
                <w:tcPr>
                  <w:tcW w:w="1051" w:type="dxa"/>
                  <w:vAlign w:val="center"/>
                </w:tcPr>
                <w:p w14:paraId="44F4B22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排水</w:t>
                  </w:r>
                </w:p>
              </w:tc>
              <w:tc>
                <w:tcPr>
                  <w:tcW w:w="10274" w:type="dxa"/>
                  <w:vAlign w:val="center"/>
                </w:tcPr>
                <w:p w14:paraId="46FF6512">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本项目废水主要为污水处理厂职工生活污水及污水处理厂收纳城镇生活污水，废水全部进入本项目污水处理厂进行处理后排入污水处理厂东北侧洪水河</w:t>
                  </w:r>
                  <w:r>
                    <w:rPr>
                      <w:rFonts w:hint="default" w:ascii="Times New Roman" w:hAnsi="Times New Roman" w:eastAsia="宋体" w:cs="Times New Roman"/>
                      <w:color w:val="auto"/>
                      <w:sz w:val="21"/>
                      <w:szCs w:val="21"/>
                    </w:rPr>
                    <w:t>。</w:t>
                  </w:r>
                </w:p>
              </w:tc>
              <w:tc>
                <w:tcPr>
                  <w:tcW w:w="660" w:type="dxa"/>
                  <w:vAlign w:val="center"/>
                </w:tcPr>
                <w:p w14:paraId="2D5891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55F5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71" w:type="dxa"/>
                  <w:vMerge w:val="continue"/>
                  <w:vAlign w:val="center"/>
                </w:tcPr>
                <w:p w14:paraId="5C7E794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1051" w:type="dxa"/>
                  <w:vAlign w:val="center"/>
                </w:tcPr>
                <w:p w14:paraId="28FAEE2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供电</w:t>
                  </w:r>
                </w:p>
              </w:tc>
              <w:tc>
                <w:tcPr>
                  <w:tcW w:w="10274" w:type="dxa"/>
                  <w:vAlign w:val="center"/>
                </w:tcPr>
                <w:p w14:paraId="6EF682FE">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用电</w:t>
                  </w:r>
                  <w:r>
                    <w:rPr>
                      <w:rFonts w:hint="default" w:ascii="Times New Roman" w:hAnsi="Times New Roman" w:eastAsia="宋体" w:cs="Times New Roman"/>
                      <w:color w:val="auto"/>
                      <w:spacing w:val="4"/>
                      <w:sz w:val="21"/>
                      <w:szCs w:val="21"/>
                    </w:rPr>
                    <w:t>由兴仁镇电网接入</w:t>
                  </w:r>
                  <w:r>
                    <w:rPr>
                      <w:rFonts w:hint="eastAsia" w:ascii="Times New Roman" w:hAnsi="Times New Roman" w:eastAsia="宋体" w:cs="Times New Roman"/>
                      <w:color w:val="auto"/>
                      <w:spacing w:val="4"/>
                      <w:sz w:val="21"/>
                      <w:szCs w:val="21"/>
                      <w:lang w:val="en-US" w:eastAsia="zh-CN"/>
                    </w:rPr>
                    <w:t>一路</w:t>
                  </w:r>
                  <w:r>
                    <w:rPr>
                      <w:rFonts w:hint="default" w:ascii="Times New Roman" w:hAnsi="Times New Roman" w:eastAsia="宋体" w:cs="Times New Roman"/>
                      <w:color w:val="auto"/>
                      <w:spacing w:val="4"/>
                      <w:sz w:val="21"/>
                      <w:szCs w:val="21"/>
                      <w:lang w:val="en-US" w:eastAsia="zh-CN"/>
                    </w:rPr>
                    <w:t>10kV电源</w:t>
                  </w:r>
                  <w:r>
                    <w:rPr>
                      <w:rFonts w:hint="eastAsia" w:ascii="Times New Roman" w:hAnsi="Times New Roman" w:eastAsia="宋体" w:cs="Times New Roman"/>
                      <w:color w:val="auto"/>
                      <w:spacing w:val="4"/>
                      <w:sz w:val="21"/>
                      <w:szCs w:val="21"/>
                      <w:lang w:val="en-US" w:eastAsia="zh-CN"/>
                    </w:rPr>
                    <w:t>。</w:t>
                  </w:r>
                </w:p>
              </w:tc>
              <w:tc>
                <w:tcPr>
                  <w:tcW w:w="660" w:type="dxa"/>
                  <w:vAlign w:val="center"/>
                </w:tcPr>
                <w:p w14:paraId="3B3D4F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AD98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71" w:type="dxa"/>
                  <w:vMerge w:val="continue"/>
                  <w:vAlign w:val="center"/>
                </w:tcPr>
                <w:p w14:paraId="68CC424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1051" w:type="dxa"/>
                  <w:vAlign w:val="center"/>
                </w:tcPr>
                <w:p w14:paraId="19955C2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供暖</w:t>
                  </w:r>
                </w:p>
              </w:tc>
              <w:tc>
                <w:tcPr>
                  <w:tcW w:w="10274" w:type="dxa"/>
                  <w:vAlign w:val="center"/>
                </w:tcPr>
                <w:p w14:paraId="0EF3FBBF">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项目厂区生产车间及办公用房均采用市政热网采暖。</w:t>
                  </w:r>
                </w:p>
              </w:tc>
              <w:tc>
                <w:tcPr>
                  <w:tcW w:w="660" w:type="dxa"/>
                  <w:vAlign w:val="center"/>
                </w:tcPr>
                <w:p w14:paraId="42457B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5C4F5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71" w:type="dxa"/>
                  <w:vMerge w:val="continue"/>
                  <w:vAlign w:val="center"/>
                </w:tcPr>
                <w:p w14:paraId="36397AD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1051" w:type="dxa"/>
                  <w:vAlign w:val="center"/>
                </w:tcPr>
                <w:p w14:paraId="423663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供水</w:t>
                  </w:r>
                </w:p>
              </w:tc>
              <w:tc>
                <w:tcPr>
                  <w:tcW w:w="10274" w:type="dxa"/>
                  <w:vAlign w:val="center"/>
                </w:tcPr>
                <w:p w14:paraId="24B73AE5">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本项目给水主要包括生产用水、生活用水和绿化用水，用水由市政供水管网供给，总新鲜水用水量为1.96m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/d（715.2m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/a），其中生产用水主要包括化验室用水、配调药剂用水。</w:t>
                  </w:r>
                </w:p>
              </w:tc>
              <w:tc>
                <w:tcPr>
                  <w:tcW w:w="660" w:type="dxa"/>
                  <w:vAlign w:val="center"/>
                </w:tcPr>
                <w:p w14:paraId="0EDC9B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14:paraId="128FABD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s="Times New Roman"/>
                <w:b w:val="0"/>
                <w:bCs w:val="0"/>
                <w:color w:val="auto"/>
                <w:sz w:val="21"/>
                <w:szCs w:val="21"/>
                <w:lang w:eastAsia="zh-CN"/>
              </w:rPr>
            </w:pPr>
          </w:p>
          <w:p w14:paraId="0766050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s="Times New Roman"/>
                <w:b w:val="0"/>
                <w:bCs w:val="0"/>
                <w:color w:val="auto"/>
                <w:sz w:val="21"/>
                <w:szCs w:val="21"/>
                <w:lang w:eastAsia="zh-CN"/>
              </w:rPr>
            </w:pPr>
          </w:p>
          <w:p w14:paraId="736FDE6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s="Times New Roman"/>
                <w:b w:val="0"/>
                <w:bCs w:val="0"/>
                <w:color w:val="auto"/>
                <w:sz w:val="21"/>
                <w:szCs w:val="21"/>
                <w:lang w:eastAsia="zh-CN"/>
              </w:rPr>
            </w:pPr>
          </w:p>
          <w:p w14:paraId="1F7C4F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b w:val="0"/>
                <w:bCs w:val="0"/>
                <w:color w:val="auto"/>
                <w:sz w:val="21"/>
                <w:szCs w:val="21"/>
                <w:lang w:eastAsia="zh-CN"/>
              </w:rPr>
              <w:t>续</w:t>
            </w:r>
            <w:r>
              <w:rPr>
                <w:rFonts w:hint="default" w:ascii="Times New Roman" w:hAnsi="Times New Roman" w:eastAsia="宋体" w:cs="Times New Roman"/>
                <w:b w:val="0"/>
                <w:bCs w:val="0"/>
                <w:color w:val="auto"/>
                <w:sz w:val="21"/>
                <w:szCs w:val="21"/>
              </w:rPr>
              <w:t>表</w:t>
            </w:r>
            <w:r>
              <w:rPr>
                <w:rFonts w:hint="eastAsia" w:ascii="Times New Roman" w:hAnsi="Times New Roman" w:eastAsia="宋体" w:cs="Times New Roman"/>
                <w:b w:val="0"/>
                <w:bCs w:val="0"/>
                <w:color w:val="auto"/>
                <w:sz w:val="21"/>
                <w:szCs w:val="21"/>
                <w:lang w:val="en-US" w:eastAsia="zh-CN"/>
              </w:rPr>
              <w:t>2-3</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项目组成一览表</w:t>
            </w:r>
          </w:p>
          <w:tbl>
            <w:tblPr>
              <w:tblStyle w:val="26"/>
              <w:tblW w:w="127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066"/>
              <w:gridCol w:w="10259"/>
              <w:gridCol w:w="675"/>
            </w:tblGrid>
            <w:tr w14:paraId="2F84F9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756" w:type="dxa"/>
                  <w:vAlign w:val="center"/>
                </w:tcPr>
                <w:p w14:paraId="0CDEB34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工程类别</w:t>
                  </w:r>
                </w:p>
              </w:tc>
              <w:tc>
                <w:tcPr>
                  <w:tcW w:w="1066" w:type="dxa"/>
                  <w:vAlign w:val="center"/>
                </w:tcPr>
                <w:p w14:paraId="03A95CC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10259" w:type="dxa"/>
                  <w:vAlign w:val="center"/>
                </w:tcPr>
                <w:p w14:paraId="08F2346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组成</w:t>
                  </w:r>
                </w:p>
              </w:tc>
              <w:tc>
                <w:tcPr>
                  <w:tcW w:w="675" w:type="dxa"/>
                  <w:vAlign w:val="center"/>
                </w:tcPr>
                <w:p w14:paraId="3F2E32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备注</w:t>
                  </w:r>
                </w:p>
              </w:tc>
            </w:tr>
            <w:tr w14:paraId="12D12D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restart"/>
                  <w:vAlign w:val="center"/>
                </w:tcPr>
                <w:p w14:paraId="23C3F6D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z w:val="21"/>
                      <w:szCs w:val="21"/>
                    </w:rPr>
                    <w:t>环保工程</w:t>
                  </w:r>
                </w:p>
              </w:tc>
              <w:tc>
                <w:tcPr>
                  <w:tcW w:w="1066" w:type="dxa"/>
                  <w:vAlign w:val="center"/>
                </w:tcPr>
                <w:p w14:paraId="2C936B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废气治理设施</w:t>
                  </w:r>
                </w:p>
              </w:tc>
              <w:tc>
                <w:tcPr>
                  <w:tcW w:w="10259" w:type="dxa"/>
                  <w:vAlign w:val="center"/>
                </w:tcPr>
                <w:p w14:paraId="16E390C5">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格栅、生物池、污泥脱水间、污泥池、深床滤池等产生恶臭气体通过风管收集（收集效率98%）后采用生物除臭滤池工艺处理（处理效率90%），净化后的废气通过15m高的排气筒排放，恶臭污染物有组织废气达到《恶臭污染物排放标准》(GB14554-93)中表2标准限值(排气筒高度15m，硫化氢≤0.33kg/h，氨≤4.9kg/h)，无组织废气达到《城镇污水处理厂污染物排放标准（修改单）》(GB18918-2002)中表4厂界(防护带边缘)废气排放最高允许浓度中二级标准。</w:t>
                  </w:r>
                </w:p>
              </w:tc>
              <w:tc>
                <w:tcPr>
                  <w:tcW w:w="675" w:type="dxa"/>
                  <w:vAlign w:val="center"/>
                </w:tcPr>
                <w:p w14:paraId="4BBA78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已建成</w:t>
                  </w:r>
                </w:p>
              </w:tc>
            </w:tr>
            <w:tr w14:paraId="5852A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4E4F4FD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1066" w:type="dxa"/>
                  <w:vMerge w:val="restart"/>
                  <w:vAlign w:val="center"/>
                </w:tcPr>
                <w:p w14:paraId="632088F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废水治理设施</w:t>
                  </w:r>
                </w:p>
              </w:tc>
              <w:tc>
                <w:tcPr>
                  <w:tcW w:w="10259" w:type="dxa"/>
                  <w:vAlign w:val="center"/>
                </w:tcPr>
                <w:p w14:paraId="28E063AA">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废水经“</w:t>
                  </w:r>
                  <w:r>
                    <w:rPr>
                      <w:rFonts w:hint="default" w:ascii="Times New Roman" w:hAnsi="Times New Roman" w:eastAsia="宋体" w:cs="Times New Roman"/>
                      <w:color w:val="auto"/>
                      <w:sz w:val="21"/>
                      <w:szCs w:val="21"/>
                      <w:lang w:val="en-US" w:eastAsia="zh-CN"/>
                    </w:rPr>
                    <w:t>预处理间（粗细格栅+平流沉砂池）＋调节池＋A</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/O生物反应池＋平流沉淀池＋高效沉淀池+竖片滤池+次氯酸钠消毒</w:t>
                  </w:r>
                  <w:r>
                    <w:rPr>
                      <w:rFonts w:hint="eastAsia" w:ascii="Times New Roman" w:hAnsi="Times New Roman" w:eastAsia="宋体" w:cs="Times New Roman"/>
                      <w:color w:val="auto"/>
                      <w:sz w:val="21"/>
                      <w:szCs w:val="21"/>
                      <w:lang w:eastAsia="zh-CN"/>
                    </w:rPr>
                    <w:t>”处理后</w:t>
                  </w:r>
                  <w:r>
                    <w:rPr>
                      <w:rFonts w:hint="default" w:ascii="Times New Roman" w:hAnsi="Times New Roman" w:eastAsia="宋体" w:cs="Times New Roman"/>
                      <w:color w:val="auto"/>
                      <w:sz w:val="21"/>
                      <w:szCs w:val="21"/>
                    </w:rPr>
                    <w:t>达到《城镇污水处理厂污染物排放标准（修改单）》(GB18918-2002)一级A标准</w:t>
                  </w:r>
                  <w:r>
                    <w:rPr>
                      <w:rFonts w:hint="eastAsia" w:ascii="Times New Roman" w:hAnsi="Times New Roman" w:eastAsia="宋体" w:cs="Times New Roman"/>
                      <w:color w:val="auto"/>
                      <w:sz w:val="21"/>
                      <w:szCs w:val="21"/>
                      <w:lang w:eastAsia="zh-CN"/>
                    </w:rPr>
                    <w:t>，排入污水处理厂东北侧洪水河</w:t>
                  </w:r>
                  <w:r>
                    <w:rPr>
                      <w:rFonts w:hint="default" w:ascii="Times New Roman" w:hAnsi="Times New Roman" w:eastAsia="宋体" w:cs="Times New Roman"/>
                      <w:color w:val="auto"/>
                      <w:sz w:val="21"/>
                      <w:szCs w:val="21"/>
                    </w:rPr>
                    <w:t>。</w:t>
                  </w:r>
                </w:p>
                <w:p w14:paraId="0D3EECB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污水处理厂安装废水</w:t>
                  </w:r>
                  <w:r>
                    <w:rPr>
                      <w:rFonts w:hint="eastAsia" w:ascii="Times New Roman" w:hAnsi="Times New Roman" w:eastAsia="宋体" w:cs="Times New Roman"/>
                      <w:color w:val="auto"/>
                      <w:sz w:val="21"/>
                      <w:szCs w:val="21"/>
                      <w:lang w:eastAsia="zh-CN"/>
                    </w:rPr>
                    <w:t>流量计</w:t>
                  </w:r>
                  <w:r>
                    <w:rPr>
                      <w:rFonts w:hint="default" w:ascii="Times New Roman" w:hAnsi="Times New Roman" w:eastAsia="宋体" w:cs="Times New Roman"/>
                      <w:color w:val="auto"/>
                      <w:sz w:val="21"/>
                      <w:szCs w:val="21"/>
                    </w:rPr>
                    <w:t>、pH、</w:t>
                  </w:r>
                  <w:r>
                    <w:rPr>
                      <w:rFonts w:hint="eastAsia" w:ascii="Times New Roman" w:hAnsi="Times New Roman" w:eastAsia="宋体" w:cs="Times New Roman"/>
                      <w:color w:val="auto"/>
                      <w:sz w:val="21"/>
                      <w:szCs w:val="21"/>
                      <w:lang w:val="en-US" w:eastAsia="zh-CN"/>
                    </w:rPr>
                    <w:t>水温、</w:t>
                  </w:r>
                  <w:r>
                    <w:rPr>
                      <w:rFonts w:hint="default" w:ascii="Times New Roman" w:hAnsi="Times New Roman" w:eastAsia="宋体" w:cs="Times New Roman"/>
                      <w:color w:val="auto"/>
                      <w:sz w:val="21"/>
                      <w:szCs w:val="21"/>
                    </w:rPr>
                    <w:t>COD、氨氮、总氮、总磷等在线监测仪。</w:t>
                  </w:r>
                </w:p>
              </w:tc>
              <w:tc>
                <w:tcPr>
                  <w:tcW w:w="675" w:type="dxa"/>
                  <w:vAlign w:val="center"/>
                </w:tcPr>
                <w:p w14:paraId="20C16C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已建成</w:t>
                  </w:r>
                </w:p>
              </w:tc>
            </w:tr>
            <w:tr w14:paraId="59C4D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6FFE031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1066" w:type="dxa"/>
                  <w:vMerge w:val="continue"/>
                  <w:vAlign w:val="center"/>
                </w:tcPr>
                <w:p w14:paraId="13A6F27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rPr>
                  </w:pPr>
                </w:p>
              </w:tc>
              <w:tc>
                <w:tcPr>
                  <w:tcW w:w="10259" w:type="dxa"/>
                  <w:vAlign w:val="center"/>
                </w:tcPr>
                <w:p w14:paraId="1C8904EE">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eastAsia="zh-CN"/>
                    </w:rPr>
                    <w:t>在项目污水处理厂东北侧设置</w:t>
                  </w:r>
                  <w:r>
                    <w:rPr>
                      <w:rFonts w:hint="eastAsia" w:ascii="Times New Roman" w:hAnsi="Times New Roman" w:eastAsia="宋体" w:cs="Times New Roman"/>
                      <w:color w:val="auto"/>
                      <w:kern w:val="0"/>
                      <w:sz w:val="21"/>
                      <w:szCs w:val="21"/>
                      <w:lang w:val="en-US" w:eastAsia="zh-CN"/>
                    </w:rPr>
                    <w:t>1处尾水排放口，排放口坐标为</w:t>
                  </w:r>
                  <w:r>
                    <w:rPr>
                      <w:rFonts w:hint="default" w:ascii="Times New Roman" w:hAnsi="Times New Roman" w:eastAsia="宋体" w:cs="Times New Roman"/>
                      <w:color w:val="auto"/>
                      <w:kern w:val="0"/>
                      <w:sz w:val="21"/>
                      <w:szCs w:val="21"/>
                    </w:rPr>
                    <w:t>北纬3</w:t>
                  </w: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56</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43</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89</w:t>
                  </w:r>
                  <w:r>
                    <w:rPr>
                      <w:rFonts w:hint="default" w:ascii="Times New Roman" w:hAnsi="Times New Roman" w:eastAsia="宋体" w:cs="Times New Roman"/>
                      <w:color w:val="auto"/>
                      <w:kern w:val="0"/>
                      <w:sz w:val="21"/>
                      <w:szCs w:val="21"/>
                    </w:rPr>
                    <w:t>"、东经10</w:t>
                  </w: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15</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00</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94</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eastAsia="zh-CN"/>
                    </w:rPr>
                    <w:t>。</w:t>
                  </w:r>
                </w:p>
              </w:tc>
              <w:tc>
                <w:tcPr>
                  <w:tcW w:w="675" w:type="dxa"/>
                  <w:vAlign w:val="center"/>
                </w:tcPr>
                <w:p w14:paraId="07B8C9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sz w:val="21"/>
                      <w:szCs w:val="21"/>
                      <w:lang w:val="en-US" w:eastAsia="zh-CN"/>
                    </w:rPr>
                    <w:t>已建成</w:t>
                  </w:r>
                </w:p>
              </w:tc>
            </w:tr>
            <w:tr w14:paraId="3A2CA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49C260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66" w:type="dxa"/>
                  <w:vAlign w:val="center"/>
                </w:tcPr>
                <w:p w14:paraId="6269159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z w:val="21"/>
                      <w:szCs w:val="21"/>
                    </w:rPr>
                    <w:t>噪声治理</w:t>
                  </w:r>
                </w:p>
              </w:tc>
              <w:tc>
                <w:tcPr>
                  <w:tcW w:w="10259" w:type="dxa"/>
                  <w:vAlign w:val="center"/>
                </w:tcPr>
                <w:p w14:paraId="2F191A2A">
                  <w:pPr>
                    <w:pStyle w:val="14"/>
                    <w:keepNext w:val="0"/>
                    <w:keepLines w:val="0"/>
                    <w:pageBreakBefore w:val="0"/>
                    <w:kinsoku/>
                    <w:wordWrap/>
                    <w:overflowPunct/>
                    <w:topLinePunct w:val="0"/>
                    <w:autoSpaceDE/>
                    <w:autoSpaceDN/>
                    <w:bidi w:val="0"/>
                    <w:snapToGrid w:val="0"/>
                    <w:spacing w:after="0" w:line="240" w:lineRule="auto"/>
                    <w:ind w:left="0" w:leftChars="0"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选用低噪声鼓风机，并加装隔音罩，在进出气管上加装消声器和可曲饶橡胶接头，设备底座加设减震垫，加强绿化，机器间设计中采用常闭门窗。</w:t>
                  </w:r>
                </w:p>
              </w:tc>
              <w:tc>
                <w:tcPr>
                  <w:tcW w:w="675" w:type="dxa"/>
                  <w:vAlign w:val="center"/>
                </w:tcPr>
                <w:p w14:paraId="658C370A">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已建成</w:t>
                  </w:r>
                </w:p>
              </w:tc>
            </w:tr>
            <w:tr w14:paraId="528F67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6983FE3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66" w:type="dxa"/>
                  <w:vMerge w:val="restart"/>
                  <w:vAlign w:val="center"/>
                </w:tcPr>
                <w:p w14:paraId="0ACA860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固废处理</w:t>
                  </w:r>
                </w:p>
                <w:p w14:paraId="7ED01F0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设施</w:t>
                  </w:r>
                </w:p>
              </w:tc>
              <w:tc>
                <w:tcPr>
                  <w:tcW w:w="10259" w:type="dxa"/>
                  <w:vAlign w:val="center"/>
                </w:tcPr>
                <w:p w14:paraId="5E56B8EB">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pacing w:val="-8"/>
                      <w:kern w:val="2"/>
                      <w:sz w:val="21"/>
                      <w:szCs w:val="21"/>
                      <w:lang w:val="en-US" w:eastAsia="zh-CN" w:bidi="ar-SA"/>
                    </w:rPr>
                  </w:pPr>
                  <w:r>
                    <w:rPr>
                      <w:rFonts w:hint="eastAsia" w:ascii="Times New Roman" w:hAnsi="Times New Roman" w:eastAsia="宋体" w:cs="Times New Roman"/>
                      <w:color w:val="auto"/>
                      <w:sz w:val="21"/>
                      <w:szCs w:val="21"/>
                      <w:lang w:eastAsia="zh-CN"/>
                    </w:rPr>
                    <w:t>一般工业固体废物：</w:t>
                  </w:r>
                  <w:r>
                    <w:rPr>
                      <w:rFonts w:hint="default" w:ascii="Times New Roman" w:hAnsi="Times New Roman" w:eastAsia="宋体" w:cs="Times New Roman"/>
                      <w:color w:val="auto"/>
                      <w:sz w:val="21"/>
                      <w:szCs w:val="21"/>
                    </w:rPr>
                    <w:t>栅渣井产生的栅渣、沉砂池产生的沉渣收集后均送至垃圾中转站；产生的污泥经脱水处理后含水率达到60%以下外运至中卫市绿能新能源有限公司集中处置</w:t>
                  </w:r>
                  <w:r>
                    <w:rPr>
                      <w:rFonts w:hint="eastAsia" w:ascii="Times New Roman" w:hAnsi="Times New Roman" w:eastAsia="宋体" w:cs="Times New Roman"/>
                      <w:color w:val="auto"/>
                      <w:sz w:val="21"/>
                      <w:szCs w:val="21"/>
                      <w:lang w:eastAsia="zh-CN"/>
                    </w:rPr>
                    <w:t>，如当日产生污泥量较少应暂存于污泥转运车内并采用苫布遮盖</w:t>
                  </w:r>
                  <w:r>
                    <w:rPr>
                      <w:rFonts w:hint="default" w:ascii="Times New Roman" w:hAnsi="Times New Roman" w:eastAsia="宋体" w:cs="Times New Roman"/>
                      <w:color w:val="auto"/>
                      <w:sz w:val="21"/>
                      <w:szCs w:val="21"/>
                    </w:rPr>
                    <w:t>；生活垃圾集中收集后交由环卫部门统一处置。</w:t>
                  </w:r>
                </w:p>
              </w:tc>
              <w:tc>
                <w:tcPr>
                  <w:tcW w:w="675" w:type="dxa"/>
                  <w:vAlign w:val="center"/>
                </w:tcPr>
                <w:p w14:paraId="300A18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已建成</w:t>
                  </w:r>
                </w:p>
              </w:tc>
            </w:tr>
            <w:tr w14:paraId="1EB24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027C9CC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66" w:type="dxa"/>
                  <w:vMerge w:val="continue"/>
                  <w:vAlign w:val="center"/>
                </w:tcPr>
                <w:p w14:paraId="65D7168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0259" w:type="dxa"/>
                  <w:vAlign w:val="center"/>
                </w:tcPr>
                <w:p w14:paraId="29A3EB2C">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危险废物：废机油等危险废物</w:t>
                  </w:r>
                  <w:r>
                    <w:rPr>
                      <w:rFonts w:hint="eastAsia" w:ascii="Times New Roman" w:hAnsi="Times New Roman" w:eastAsia="宋体" w:cs="Times New Roman"/>
                      <w:color w:val="auto"/>
                      <w:sz w:val="21"/>
                      <w:szCs w:val="21"/>
                      <w:lang w:val="en-US" w:eastAsia="zh-CN"/>
                    </w:rPr>
                    <w:t>收集暂存于危险废物贮存库（5m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），定期交有资质单位处置</w:t>
                  </w:r>
                </w:p>
              </w:tc>
              <w:tc>
                <w:tcPr>
                  <w:tcW w:w="675" w:type="dxa"/>
                  <w:vAlign w:val="center"/>
                </w:tcPr>
                <w:p w14:paraId="57AD4E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已建成</w:t>
                  </w:r>
                </w:p>
              </w:tc>
            </w:tr>
            <w:tr w14:paraId="7F233E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1669711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1066" w:type="dxa"/>
                  <w:vAlign w:val="center"/>
                </w:tcPr>
                <w:p w14:paraId="2F4E93A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地下水防控措施</w:t>
                  </w:r>
                </w:p>
              </w:tc>
              <w:tc>
                <w:tcPr>
                  <w:tcW w:w="10259" w:type="dxa"/>
                  <w:vAlign w:val="center"/>
                </w:tcPr>
                <w:p w14:paraId="1AD71129">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设置地下水跟踪监测井1个，位于建设项目场地下游（厂址西北侧），用于地下水日常监控。</w:t>
                  </w:r>
                </w:p>
              </w:tc>
              <w:tc>
                <w:tcPr>
                  <w:tcW w:w="675" w:type="dxa"/>
                  <w:vAlign w:val="center"/>
                </w:tcPr>
                <w:p w14:paraId="2EF8D9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已建成</w:t>
                  </w:r>
                </w:p>
              </w:tc>
            </w:tr>
            <w:tr w14:paraId="32D88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56" w:type="dxa"/>
                  <w:vMerge w:val="continue"/>
                  <w:vAlign w:val="center"/>
                </w:tcPr>
                <w:p w14:paraId="485A18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1066" w:type="dxa"/>
                  <w:vAlign w:val="center"/>
                </w:tcPr>
                <w:p w14:paraId="711F8AE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防渗</w:t>
                  </w:r>
                </w:p>
              </w:tc>
              <w:tc>
                <w:tcPr>
                  <w:tcW w:w="10259" w:type="dxa"/>
                  <w:vAlign w:val="center"/>
                </w:tcPr>
                <w:p w14:paraId="5DBAEB87">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沉淀池、生物池以及污泥池等构筑物进行重点防渗，重点污染防治区的防渗性能应不低于1.5mm厚、渗透系数为1.0×10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cm/s的复合衬层；办公区域进行一般防渗，一般污染防治区的防渗性能应不低于1.5mm厚、渗透系数为1.0×10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tc>
              <w:tc>
                <w:tcPr>
                  <w:tcW w:w="675" w:type="dxa"/>
                  <w:vAlign w:val="center"/>
                </w:tcPr>
                <w:p w14:paraId="4E6E5D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已建成</w:t>
                  </w:r>
                </w:p>
              </w:tc>
            </w:tr>
            <w:tr w14:paraId="325445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22" w:type="dxa"/>
                  <w:gridSpan w:val="2"/>
                  <w:vAlign w:val="center"/>
                </w:tcPr>
                <w:p w14:paraId="7AE21B1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绿化</w:t>
                  </w:r>
                </w:p>
              </w:tc>
              <w:tc>
                <w:tcPr>
                  <w:tcW w:w="10259" w:type="dxa"/>
                  <w:vAlign w:val="center"/>
                </w:tcPr>
                <w:p w14:paraId="0FEC2A88">
                  <w:pPr>
                    <w:keepNext w:val="0"/>
                    <w:keepLines w:val="0"/>
                    <w:pageBreakBefore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绿化面积</w:t>
                  </w:r>
                  <w:r>
                    <w:rPr>
                      <w:rFonts w:hint="eastAsia" w:ascii="Times New Roman" w:hAnsi="Times New Roman" w:eastAsia="宋体" w:cs="Times New Roman"/>
                      <w:color w:val="auto"/>
                      <w:sz w:val="21"/>
                      <w:szCs w:val="21"/>
                      <w:lang w:val="en-US" w:eastAsia="zh-CN"/>
                    </w:rPr>
                    <w:t>5059.41</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，绿化率</w:t>
                  </w:r>
                  <w:r>
                    <w:rPr>
                      <w:rFonts w:hint="eastAsia" w:ascii="Times New Roman" w:hAnsi="Times New Roman" w:eastAsia="宋体" w:cs="Times New Roman"/>
                      <w:color w:val="auto"/>
                      <w:sz w:val="21"/>
                      <w:szCs w:val="21"/>
                      <w:lang w:val="en-US" w:eastAsia="zh-CN"/>
                    </w:rPr>
                    <w:t>40.12</w:t>
                  </w:r>
                  <w:r>
                    <w:rPr>
                      <w:rFonts w:hint="default" w:ascii="Times New Roman" w:hAnsi="Times New Roman" w:eastAsia="宋体" w:cs="Times New Roman"/>
                      <w:color w:val="auto"/>
                      <w:sz w:val="21"/>
                      <w:szCs w:val="21"/>
                    </w:rPr>
                    <w:t>%。</w:t>
                  </w:r>
                </w:p>
              </w:tc>
              <w:tc>
                <w:tcPr>
                  <w:tcW w:w="675" w:type="dxa"/>
                  <w:vAlign w:val="center"/>
                </w:tcPr>
                <w:p w14:paraId="1D8E19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14:paraId="11B20812">
            <w:pPr>
              <w:spacing w:before="50" w:after="50" w:line="360" w:lineRule="auto"/>
              <w:rPr>
                <w:rFonts w:ascii="Times New Roman" w:hAnsi="Times New Roman" w:eastAsia="仿宋" w:cs="Times New Roman"/>
                <w:color w:val="auto"/>
                <w:sz w:val="24"/>
                <w:szCs w:val="24"/>
              </w:rPr>
            </w:pPr>
          </w:p>
        </w:tc>
      </w:tr>
    </w:tbl>
    <w:p w14:paraId="4E7B1931">
      <w:pPr>
        <w:pStyle w:val="65"/>
        <w:rPr>
          <w:color w:val="auto"/>
        </w:rPr>
        <w:sectPr>
          <w:pgSz w:w="16838" w:h="11906" w:orient="landscape"/>
          <w:pgMar w:top="1361" w:right="1588" w:bottom="1361" w:left="1588"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91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8120"/>
      </w:tblGrid>
      <w:tr w14:paraId="06480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6" w:hRule="atLeast"/>
          <w:jc w:val="center"/>
        </w:trPr>
        <w:tc>
          <w:tcPr>
            <w:tcW w:w="1034" w:type="dxa"/>
            <w:vAlign w:val="center"/>
          </w:tcPr>
          <w:p w14:paraId="1B83D5E2">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lang w:eastAsia="zh-CN"/>
              </w:rPr>
              <w:t>建设内容</w:t>
            </w:r>
          </w:p>
        </w:tc>
        <w:tc>
          <w:tcPr>
            <w:tcW w:w="8120" w:type="dxa"/>
            <w:vAlign w:val="center"/>
          </w:tcPr>
          <w:p w14:paraId="1ED44E51">
            <w:pPr>
              <w:keepNext w:val="0"/>
              <w:keepLines w:val="0"/>
              <w:pageBreakBefore w:val="0"/>
              <w:widowControl w:val="0"/>
              <w:kinsoku/>
              <w:wordWrap/>
              <w:overflowPunct/>
              <w:topLinePunct w:val="0"/>
              <w:autoSpaceDE/>
              <w:autoSpaceDN/>
              <w:bidi w:val="0"/>
              <w:adjustRightInd w:val="0"/>
              <w:snapToGrid w:val="0"/>
              <w:spacing w:before="156" w:beforeLines="50" w:line="360" w:lineRule="auto"/>
              <w:textAlignment w:val="auto"/>
              <w:rPr>
                <w:rFonts w:hint="default" w:ascii="Times New Roman" w:hAnsi="Times New Roman" w:eastAsia="仿宋_GB2312" w:cs="Times New Roman"/>
                <w:b/>
                <w:bCs/>
                <w:color w:val="auto"/>
                <w:sz w:val="24"/>
                <w:szCs w:val="24"/>
                <w:lang w:val="en-US" w:eastAsia="zh-CN"/>
              </w:rPr>
            </w:pPr>
            <w:r>
              <w:rPr>
                <w:rFonts w:hint="eastAsia" w:ascii="Times New Roman" w:hAnsi="Times New Roman" w:eastAsia="仿宋_GB2312" w:cs="Times New Roman"/>
                <w:b/>
                <w:bCs/>
                <w:color w:val="auto"/>
                <w:sz w:val="24"/>
                <w:szCs w:val="24"/>
                <w:lang w:val="en-US" w:eastAsia="zh-CN"/>
              </w:rPr>
              <w:t>3</w:t>
            </w:r>
            <w:r>
              <w:rPr>
                <w:rFonts w:hint="default" w:ascii="Times New Roman" w:hAnsi="Times New Roman" w:eastAsia="仿宋_GB2312" w:cs="Times New Roman"/>
                <w:b/>
                <w:bCs/>
                <w:color w:val="auto"/>
                <w:sz w:val="24"/>
                <w:szCs w:val="24"/>
                <w:lang w:val="en-US" w:eastAsia="zh-CN"/>
              </w:rPr>
              <w:t>、</w:t>
            </w:r>
            <w:r>
              <w:rPr>
                <w:rFonts w:hint="eastAsia" w:ascii="Times New Roman" w:hAnsi="Times New Roman" w:eastAsia="仿宋_GB2312" w:cs="Times New Roman"/>
                <w:b/>
                <w:bCs/>
                <w:color w:val="auto"/>
                <w:sz w:val="24"/>
                <w:szCs w:val="24"/>
                <w:lang w:val="en-US" w:eastAsia="zh-CN"/>
              </w:rPr>
              <w:t>处理能力</w:t>
            </w:r>
            <w:r>
              <w:rPr>
                <w:rFonts w:hint="default" w:ascii="Times New Roman" w:hAnsi="Times New Roman" w:eastAsia="仿宋_GB2312" w:cs="Times New Roman"/>
                <w:b/>
                <w:bCs/>
                <w:color w:val="auto"/>
                <w:sz w:val="24"/>
                <w:szCs w:val="24"/>
                <w:lang w:val="en-US" w:eastAsia="zh-CN"/>
              </w:rPr>
              <w:t>及</w:t>
            </w:r>
            <w:r>
              <w:rPr>
                <w:rFonts w:hint="eastAsia" w:ascii="Times New Roman" w:hAnsi="Times New Roman" w:eastAsia="仿宋_GB2312" w:cs="Times New Roman"/>
                <w:b/>
                <w:bCs/>
                <w:color w:val="auto"/>
                <w:sz w:val="24"/>
                <w:szCs w:val="24"/>
                <w:lang w:val="en-US" w:eastAsia="zh-CN"/>
              </w:rPr>
              <w:t>服务范围</w:t>
            </w:r>
          </w:p>
          <w:p w14:paraId="1C61DD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本项目为城镇污水处理厂建设项目，污水处理厂服务范围为兴仁镇集镇及附近居民小区，此次纳入污水处理范围的居民有3750户，1.5万人左右，集污面积约为395.12hm</w:t>
            </w:r>
            <w:r>
              <w:rPr>
                <w:rFonts w:hint="default" w:ascii="Times New Roman" w:hAnsi="Times New Roman" w:eastAsia="仿宋_GB2312" w:cs="Times New Roman"/>
                <w:b w:val="0"/>
                <w:bCs w:val="0"/>
                <w:color w:val="auto"/>
                <w:sz w:val="24"/>
                <w:szCs w:val="24"/>
                <w:vertAlign w:val="superscript"/>
                <w:lang w:val="en-US" w:eastAsia="zh-CN"/>
              </w:rPr>
              <w:t>2</w:t>
            </w:r>
            <w:r>
              <w:rPr>
                <w:rFonts w:hint="default" w:ascii="Times New Roman" w:hAnsi="Times New Roman" w:eastAsia="仿宋_GB2312" w:cs="Times New Roman"/>
                <w:b w:val="0"/>
                <w:bCs w:val="0"/>
                <w:color w:val="auto"/>
                <w:sz w:val="24"/>
                <w:szCs w:val="24"/>
                <w:lang w:val="en-US" w:eastAsia="zh-CN"/>
              </w:rPr>
              <w:t>。项目服务对象以服务范围内居民生活污水为主。项目主要对兴仁镇镇区废水收集后通过“预处理间（粗细格栅+平流沉砂池）＋调节池＋A</w:t>
            </w:r>
            <w:r>
              <w:rPr>
                <w:rFonts w:hint="default" w:ascii="Times New Roman" w:hAnsi="Times New Roman" w:eastAsia="仿宋_GB2312" w:cs="Times New Roman"/>
                <w:b w:val="0"/>
                <w:bCs w:val="0"/>
                <w:color w:val="auto"/>
                <w:sz w:val="24"/>
                <w:szCs w:val="24"/>
                <w:vertAlign w:val="superscript"/>
                <w:lang w:val="en-US" w:eastAsia="zh-CN"/>
              </w:rPr>
              <w:t>2</w:t>
            </w:r>
            <w:r>
              <w:rPr>
                <w:rFonts w:hint="default" w:ascii="Times New Roman" w:hAnsi="Times New Roman" w:eastAsia="仿宋_GB2312" w:cs="Times New Roman"/>
                <w:b w:val="0"/>
                <w:bCs w:val="0"/>
                <w:color w:val="auto"/>
                <w:sz w:val="24"/>
                <w:szCs w:val="24"/>
                <w:lang w:val="en-US" w:eastAsia="zh-CN"/>
              </w:rPr>
              <w:t>/O生物反应池＋平流沉淀池＋高效沉淀池+竖片滤池+次氯酸钠消毒”工艺进行处理达到</w:t>
            </w:r>
            <w:r>
              <w:rPr>
                <w:rFonts w:hint="default" w:ascii="Times New Roman" w:hAnsi="Times New Roman" w:eastAsia="仿宋_GB2312" w:cs="Times New Roman"/>
                <w:b w:val="0"/>
                <w:bCs w:val="0"/>
                <w:color w:val="auto"/>
                <w:sz w:val="24"/>
                <w:szCs w:val="24"/>
              </w:rPr>
              <w:t>《城镇污水处理厂污染物排放标准（修改单）》(GB18918-2002)一级A标准</w:t>
            </w:r>
            <w:r>
              <w:rPr>
                <w:rFonts w:hint="default" w:ascii="Times New Roman" w:hAnsi="Times New Roman" w:eastAsia="仿宋_GB2312" w:cs="Times New Roman"/>
                <w:b w:val="0"/>
                <w:bCs w:val="0"/>
                <w:color w:val="auto"/>
                <w:sz w:val="24"/>
                <w:szCs w:val="24"/>
                <w:lang w:eastAsia="zh-CN"/>
              </w:rPr>
              <w:t>后排入污水处理厂东北侧洪水河</w:t>
            </w:r>
            <w:r>
              <w:rPr>
                <w:rFonts w:hint="default" w:ascii="Times New Roman" w:hAnsi="Times New Roman" w:eastAsia="仿宋_GB2312" w:cs="Times New Roman"/>
                <w:b w:val="0"/>
                <w:bCs w:val="0"/>
                <w:color w:val="auto"/>
                <w:sz w:val="24"/>
                <w:szCs w:val="24"/>
              </w:rPr>
              <w:t>。</w:t>
            </w:r>
            <w:r>
              <w:rPr>
                <w:rFonts w:hint="default" w:ascii="Times New Roman" w:hAnsi="Times New Roman" w:eastAsia="仿宋_GB2312" w:cs="Times New Roman"/>
                <w:b w:val="0"/>
                <w:bCs w:val="0"/>
                <w:color w:val="auto"/>
                <w:sz w:val="24"/>
                <w:szCs w:val="24"/>
                <w:lang w:eastAsia="zh-CN"/>
              </w:rPr>
              <w:t>污水处理厂设计近期处理能力为</w:t>
            </w:r>
            <w:r>
              <w:rPr>
                <w:rFonts w:hint="default" w:ascii="Times New Roman" w:hAnsi="Times New Roman" w:eastAsia="仿宋_GB2312" w:cs="Times New Roman"/>
                <w:b w:val="0"/>
                <w:bCs w:val="0"/>
                <w:color w:val="auto"/>
                <w:sz w:val="24"/>
                <w:szCs w:val="24"/>
                <w:lang w:val="en-US" w:eastAsia="zh-CN"/>
              </w:rPr>
              <w:t>800m</w:t>
            </w:r>
            <w:r>
              <w:rPr>
                <w:rFonts w:hint="default" w:ascii="Times New Roman" w:hAnsi="Times New Roman" w:eastAsia="仿宋_GB2312" w:cs="Times New Roman"/>
                <w:b w:val="0"/>
                <w:bCs w:val="0"/>
                <w:color w:val="auto"/>
                <w:sz w:val="24"/>
                <w:szCs w:val="24"/>
                <w:vertAlign w:val="superscript"/>
                <w:lang w:val="en-US" w:eastAsia="zh-CN"/>
              </w:rPr>
              <w:t>3</w:t>
            </w:r>
            <w:r>
              <w:rPr>
                <w:rFonts w:hint="default" w:ascii="Times New Roman" w:hAnsi="Times New Roman" w:eastAsia="仿宋_GB2312" w:cs="Times New Roman"/>
                <w:b w:val="0"/>
                <w:bCs w:val="0"/>
                <w:color w:val="auto"/>
                <w:sz w:val="24"/>
                <w:szCs w:val="24"/>
                <w:lang w:val="en-US" w:eastAsia="zh-CN"/>
              </w:rPr>
              <w:t>/d，远期处理能力为1500m</w:t>
            </w:r>
            <w:r>
              <w:rPr>
                <w:rFonts w:hint="default" w:ascii="Times New Roman" w:hAnsi="Times New Roman" w:eastAsia="仿宋_GB2312" w:cs="Times New Roman"/>
                <w:b w:val="0"/>
                <w:bCs w:val="0"/>
                <w:color w:val="auto"/>
                <w:sz w:val="24"/>
                <w:szCs w:val="24"/>
                <w:vertAlign w:val="superscript"/>
                <w:lang w:val="en-US" w:eastAsia="zh-CN"/>
              </w:rPr>
              <w:t>3</w:t>
            </w:r>
            <w:r>
              <w:rPr>
                <w:rFonts w:hint="default" w:ascii="Times New Roman" w:hAnsi="Times New Roman" w:eastAsia="仿宋_GB2312" w:cs="Times New Roman"/>
                <w:b w:val="0"/>
                <w:bCs w:val="0"/>
                <w:color w:val="auto"/>
                <w:sz w:val="24"/>
                <w:szCs w:val="24"/>
                <w:lang w:val="en-US" w:eastAsia="zh-CN"/>
              </w:rPr>
              <w:t>/d，</w:t>
            </w:r>
            <w:r>
              <w:rPr>
                <w:rFonts w:ascii="Times New Roman" w:hAnsi="Times New Roman" w:eastAsia="仿宋_GB2312" w:cs="Times New Roman"/>
                <w:color w:val="auto"/>
                <w:sz w:val="24"/>
                <w:szCs w:val="24"/>
              </w:rPr>
              <w:t>本环评仅针对近期涉及内容进行评价</w:t>
            </w:r>
            <w:r>
              <w:rPr>
                <w:rFonts w:hint="eastAsia" w:ascii="Times New Roman" w:hAnsi="Times New Roman" w:eastAsia="仿宋_GB2312" w:cs="Times New Roman"/>
                <w:color w:val="auto"/>
                <w:sz w:val="24"/>
                <w:szCs w:val="24"/>
              </w:rPr>
              <w:t>，远期污水处理厂扩建需单独进行环境影响评价</w:t>
            </w:r>
            <w:r>
              <w:rPr>
                <w:rFonts w:hint="default" w:ascii="Times New Roman" w:hAnsi="Times New Roman" w:eastAsia="仿宋_GB2312" w:cs="Times New Roman"/>
                <w:b w:val="0"/>
                <w:bCs w:val="0"/>
                <w:color w:val="auto"/>
                <w:sz w:val="24"/>
                <w:szCs w:val="24"/>
                <w:lang w:val="en-US" w:eastAsia="zh-CN"/>
              </w:rPr>
              <w:t>。</w:t>
            </w:r>
          </w:p>
          <w:p w14:paraId="00FDBF0A">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val="0"/>
                <w:color w:val="auto"/>
                <w:kern w:val="0"/>
                <w:szCs w:val="28"/>
                <w:highlight w:val="none"/>
                <w:lang w:val="en-US" w:eastAsia="zh-CN"/>
              </w:rPr>
            </w:pPr>
            <w:r>
              <w:rPr>
                <w:rFonts w:hint="eastAsia"/>
                <w:b w:val="0"/>
                <w:color w:val="auto"/>
                <w:kern w:val="0"/>
                <w:szCs w:val="28"/>
                <w:highlight w:val="none"/>
                <w:lang w:val="en-US" w:eastAsia="zh-CN"/>
              </w:rPr>
              <w:drawing>
                <wp:inline distT="0" distB="0" distL="114300" distR="114300">
                  <wp:extent cx="4892675" cy="3447415"/>
                  <wp:effectExtent l="0" t="0" r="3175" b="635"/>
                  <wp:docPr id="3" name="图片 3" descr="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 - 副本"/>
                          <pic:cNvPicPr>
                            <a:picLocks noChangeAspect="1"/>
                          </pic:cNvPicPr>
                        </pic:nvPicPr>
                        <pic:blipFill>
                          <a:blip r:embed="rId6"/>
                          <a:stretch>
                            <a:fillRect/>
                          </a:stretch>
                        </pic:blipFill>
                        <pic:spPr>
                          <a:xfrm>
                            <a:off x="0" y="0"/>
                            <a:ext cx="4892675" cy="3447415"/>
                          </a:xfrm>
                          <a:prstGeom prst="rect">
                            <a:avLst/>
                          </a:prstGeom>
                          <a:noFill/>
                          <a:ln>
                            <a:noFill/>
                          </a:ln>
                        </pic:spPr>
                      </pic:pic>
                    </a:graphicData>
                  </a:graphic>
                </wp:inline>
              </w:drawing>
            </w:r>
          </w:p>
          <w:p w14:paraId="695A5E9A">
            <w:pPr>
              <w:jc w:val="center"/>
              <w:rPr>
                <w:rFonts w:hint="default"/>
                <w:color w:val="auto"/>
                <w:lang w:val="en-US" w:eastAsia="zh-CN"/>
              </w:rPr>
            </w:pPr>
            <w:r>
              <w:rPr>
                <w:rFonts w:hint="default" w:ascii="Times New Roman" w:hAnsi="Times New Roman" w:eastAsia="宋体" w:cs="Times New Roman"/>
                <w:b/>
                <w:bCs/>
                <w:color w:val="auto"/>
                <w:sz w:val="24"/>
                <w:szCs w:val="24"/>
                <w:lang w:val="en-US" w:eastAsia="zh-CN"/>
              </w:rPr>
              <w:t>图</w:t>
            </w:r>
            <w:r>
              <w:rPr>
                <w:rFonts w:hint="eastAsia" w:ascii="Times New Roman" w:hAnsi="Times New Roman" w:eastAsia="宋体" w:cs="Times New Roman"/>
                <w:b/>
                <w:bCs/>
                <w:color w:val="auto"/>
                <w:sz w:val="24"/>
                <w:szCs w:val="24"/>
                <w:lang w:val="en-US" w:eastAsia="zh-CN"/>
              </w:rPr>
              <w:t>2-1</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highlight w:val="none"/>
                <w:lang w:val="en-US" w:eastAsia="zh-CN"/>
              </w:rPr>
              <w:t>兴仁镇</w:t>
            </w:r>
            <w:r>
              <w:rPr>
                <w:rFonts w:hint="default" w:ascii="Times New Roman" w:hAnsi="Times New Roman" w:eastAsia="宋体" w:cs="Times New Roman"/>
                <w:b/>
                <w:bCs/>
                <w:color w:val="auto"/>
                <w:sz w:val="24"/>
                <w:highlight w:val="none"/>
                <w:lang w:val="en-US" w:eastAsia="zh-CN"/>
              </w:rPr>
              <w:t>污水处理工程位置图</w:t>
            </w:r>
          </w:p>
          <w:p w14:paraId="69ADCF1B">
            <w:pPr>
              <w:keepNext w:val="0"/>
              <w:keepLines w:val="0"/>
              <w:pageBreakBefore w:val="0"/>
              <w:widowControl w:val="0"/>
              <w:kinsoku/>
              <w:wordWrap/>
              <w:overflowPunct/>
              <w:topLinePunct w:val="0"/>
              <w:autoSpaceDE/>
              <w:autoSpaceDN/>
              <w:bidi w:val="0"/>
              <w:adjustRightInd w:val="0"/>
              <w:snapToGrid w:val="0"/>
              <w:spacing w:before="156" w:beforeLines="50" w:line="360" w:lineRule="auto"/>
              <w:jc w:val="left"/>
              <w:textAlignment w:val="auto"/>
              <w:rPr>
                <w:rFonts w:hint="default" w:ascii="Times New Roman" w:hAnsi="Times New Roman" w:eastAsia="仿宋_GB2312" w:cs="Times New Roman"/>
                <w:b/>
                <w:bCs/>
                <w:color w:val="auto"/>
                <w:sz w:val="24"/>
                <w:szCs w:val="24"/>
              </w:rPr>
            </w:pPr>
            <w:r>
              <w:rPr>
                <w:rFonts w:hint="eastAsia" w:ascii="Times New Roman" w:hAnsi="Times New Roman" w:eastAsia="仿宋_GB2312" w:cs="Times New Roman"/>
                <w:b/>
                <w:bCs/>
                <w:color w:val="auto"/>
                <w:sz w:val="24"/>
                <w:szCs w:val="24"/>
                <w:lang w:val="en-US" w:eastAsia="zh-CN"/>
              </w:rPr>
              <w:t>4</w:t>
            </w:r>
            <w:r>
              <w:rPr>
                <w:rFonts w:hint="default" w:ascii="Times New Roman" w:hAnsi="Times New Roman" w:eastAsia="仿宋_GB2312" w:cs="Times New Roman"/>
                <w:b/>
                <w:bCs/>
                <w:color w:val="auto"/>
                <w:sz w:val="24"/>
                <w:szCs w:val="24"/>
                <w:lang w:val="en-US" w:eastAsia="zh-CN"/>
              </w:rPr>
              <w:t>、</w:t>
            </w:r>
            <w:r>
              <w:rPr>
                <w:rFonts w:hint="default" w:ascii="Times New Roman" w:hAnsi="Times New Roman" w:eastAsia="仿宋_GB2312" w:cs="Times New Roman"/>
                <w:b/>
                <w:bCs/>
                <w:color w:val="auto"/>
                <w:sz w:val="24"/>
                <w:szCs w:val="24"/>
              </w:rPr>
              <w:t>主要生产设备</w:t>
            </w:r>
          </w:p>
          <w:p w14:paraId="2403DEAF">
            <w:pPr>
              <w:adjustRightInd w:val="0"/>
              <w:snapToGrid w:val="0"/>
              <w:spacing w:before="50" w:after="50"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w:t>
            </w:r>
            <w:r>
              <w:rPr>
                <w:rFonts w:hint="default" w:ascii="Times New Roman" w:hAnsi="Times New Roman" w:eastAsia="仿宋_GB2312" w:cs="Times New Roman"/>
                <w:color w:val="auto"/>
                <w:sz w:val="24"/>
                <w:szCs w:val="24"/>
                <w:lang w:eastAsia="zh-CN"/>
              </w:rPr>
              <w:t>污水处理</w:t>
            </w:r>
            <w:r>
              <w:rPr>
                <w:rFonts w:hint="eastAsia" w:ascii="Times New Roman" w:hAnsi="Times New Roman" w:eastAsia="仿宋_GB2312" w:cs="Times New Roman"/>
                <w:color w:val="auto"/>
                <w:sz w:val="24"/>
                <w:szCs w:val="24"/>
                <w:lang w:eastAsia="zh-CN"/>
              </w:rPr>
              <w:t>厂</w:t>
            </w:r>
            <w:r>
              <w:rPr>
                <w:rFonts w:hint="default" w:ascii="Times New Roman" w:hAnsi="Times New Roman" w:eastAsia="仿宋_GB2312" w:cs="Times New Roman"/>
                <w:color w:val="auto"/>
                <w:sz w:val="24"/>
                <w:szCs w:val="24"/>
              </w:rPr>
              <w:t>主要生产设备见表</w:t>
            </w:r>
            <w:r>
              <w:rPr>
                <w:rFonts w:hint="eastAsia" w:ascii="Times New Roman" w:hAnsi="Times New Roman" w:eastAsia="仿宋_GB2312" w:cs="Times New Roman"/>
                <w:color w:val="auto"/>
                <w:sz w:val="24"/>
                <w:szCs w:val="24"/>
                <w:lang w:val="en-US" w:eastAsia="zh-CN"/>
              </w:rPr>
              <w:t>2-4</w:t>
            </w:r>
            <w:r>
              <w:rPr>
                <w:rFonts w:hint="default" w:ascii="Times New Roman" w:hAnsi="Times New Roman" w:eastAsia="仿宋_GB2312" w:cs="Times New Roman"/>
                <w:color w:val="auto"/>
                <w:sz w:val="24"/>
                <w:szCs w:val="24"/>
              </w:rPr>
              <w:t>。</w:t>
            </w:r>
          </w:p>
          <w:p w14:paraId="7F8161FC">
            <w:pPr>
              <w:adjustRightInd w:val="0"/>
              <w:snapToGrid w:val="0"/>
              <w:jc w:val="center"/>
              <w:rPr>
                <w:rFonts w:hint="default" w:ascii="Times New Roman" w:hAnsi="Times New Roman" w:eastAsia="宋体" w:cs="Times New Roman"/>
                <w:color w:val="auto"/>
                <w:szCs w:val="21"/>
              </w:rPr>
            </w:pPr>
          </w:p>
          <w:p w14:paraId="179DCB61">
            <w:pPr>
              <w:adjustRightInd w:val="0"/>
              <w:snapToGrid w:val="0"/>
              <w:jc w:val="center"/>
              <w:rPr>
                <w:rFonts w:hint="default" w:ascii="Times New Roman" w:hAnsi="Times New Roman" w:eastAsia="宋体" w:cs="Times New Roman"/>
                <w:color w:val="auto"/>
                <w:szCs w:val="21"/>
              </w:rPr>
            </w:pPr>
          </w:p>
          <w:p w14:paraId="76742D7D">
            <w:pPr>
              <w:adjustRightInd w:val="0"/>
              <w:snapToGrid w:val="0"/>
              <w:jc w:val="center"/>
              <w:rPr>
                <w:rFonts w:hint="default" w:ascii="Times New Roman" w:hAnsi="Times New Roman" w:eastAsia="宋体" w:cs="Times New Roman"/>
                <w:color w:val="auto"/>
                <w:szCs w:val="21"/>
              </w:rPr>
            </w:pPr>
          </w:p>
          <w:p w14:paraId="5D01016B">
            <w:pPr>
              <w:adjustRightInd w:val="0"/>
              <w:snapToGrid w:val="0"/>
              <w:jc w:val="center"/>
              <w:rPr>
                <w:rFonts w:hint="default" w:ascii="Times New Roman" w:hAnsi="Times New Roman" w:eastAsia="宋体" w:cs="Times New Roman"/>
                <w:color w:val="auto"/>
                <w:szCs w:val="21"/>
              </w:rPr>
            </w:pPr>
          </w:p>
          <w:p w14:paraId="2B624F37">
            <w:pPr>
              <w:adjustRightInd w:val="0"/>
              <w:snapToGrid w:val="0"/>
              <w:jc w:val="center"/>
              <w:rPr>
                <w:rFonts w:hint="default" w:ascii="Times New Roman" w:hAnsi="Times New Roman" w:eastAsia="宋体" w:cs="Times New Roman"/>
                <w:color w:val="auto"/>
                <w:szCs w:val="21"/>
              </w:rPr>
            </w:pPr>
          </w:p>
          <w:p w14:paraId="477B4528">
            <w:pPr>
              <w:adjustRightInd w:val="0"/>
              <w:snapToGrid w:val="0"/>
              <w:jc w:val="center"/>
              <w:rPr>
                <w:rFonts w:hint="default" w:ascii="Times New Roman" w:hAnsi="Times New Roman" w:eastAsia="宋体" w:cs="Times New Roman"/>
                <w:color w:val="auto"/>
                <w:szCs w:val="21"/>
              </w:rPr>
            </w:pPr>
          </w:p>
          <w:p w14:paraId="08C74B2C">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Cs w:val="21"/>
              </w:rPr>
              <w:t>表</w:t>
            </w:r>
            <w:r>
              <w:rPr>
                <w:rFonts w:hint="eastAsia" w:ascii="Times New Roman" w:hAnsi="Times New Roman" w:eastAsia="宋体" w:cs="Times New Roman"/>
                <w:color w:val="auto"/>
                <w:szCs w:val="21"/>
                <w:lang w:val="en-US" w:eastAsia="zh-CN"/>
              </w:rPr>
              <w:t>2-4</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b/>
                <w:bCs/>
                <w:color w:val="auto"/>
                <w:sz w:val="24"/>
                <w:szCs w:val="24"/>
              </w:rPr>
              <w:t>本项目主要生产设备一览表</w:t>
            </w:r>
          </w:p>
          <w:tbl>
            <w:tblPr>
              <w:tblStyle w:val="26"/>
              <w:tblW w:w="49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470"/>
              <w:gridCol w:w="1636"/>
              <w:gridCol w:w="16"/>
              <w:gridCol w:w="1825"/>
              <w:gridCol w:w="155"/>
              <w:gridCol w:w="709"/>
              <w:gridCol w:w="621"/>
              <w:gridCol w:w="586"/>
              <w:gridCol w:w="1699"/>
            </w:tblGrid>
            <w:tr w14:paraId="660F5CE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70" w:type="dxa"/>
                  <w:noWrap w:val="0"/>
                  <w:vAlign w:val="center"/>
                </w:tcPr>
                <w:p w14:paraId="171E0D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636" w:type="dxa"/>
                  <w:noWrap w:val="0"/>
                  <w:vAlign w:val="center"/>
                </w:tcPr>
                <w:p w14:paraId="0EB583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841" w:type="dxa"/>
                  <w:gridSpan w:val="2"/>
                  <w:noWrap w:val="0"/>
                  <w:vAlign w:val="center"/>
                </w:tcPr>
                <w:p w14:paraId="4B6DA8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w:t>
                  </w:r>
                </w:p>
              </w:tc>
              <w:tc>
                <w:tcPr>
                  <w:tcW w:w="864" w:type="dxa"/>
                  <w:gridSpan w:val="2"/>
                  <w:noWrap w:val="0"/>
                  <w:vAlign w:val="center"/>
                </w:tcPr>
                <w:p w14:paraId="6545C3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材料</w:t>
                  </w:r>
                </w:p>
              </w:tc>
              <w:tc>
                <w:tcPr>
                  <w:tcW w:w="621" w:type="dxa"/>
                  <w:noWrap w:val="0"/>
                  <w:vAlign w:val="center"/>
                </w:tcPr>
                <w:p w14:paraId="17B8E0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586" w:type="dxa"/>
                  <w:noWrap w:val="0"/>
                  <w:vAlign w:val="center"/>
                </w:tcPr>
                <w:p w14:paraId="011C3C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699" w:type="dxa"/>
                  <w:noWrap w:val="0"/>
                  <w:vAlign w:val="center"/>
                </w:tcPr>
                <w:p w14:paraId="035C58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07ADD8C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7717" w:type="dxa"/>
                  <w:gridSpan w:val="9"/>
                  <w:noWrap w:val="0"/>
                  <w:vAlign w:val="center"/>
                </w:tcPr>
                <w:p w14:paraId="2D7D4A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 污水处理厂</w:t>
                  </w:r>
                </w:p>
              </w:tc>
            </w:tr>
            <w:tr w14:paraId="17CF31D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70" w:type="dxa"/>
                  <w:noWrap w:val="0"/>
                  <w:vAlign w:val="center"/>
                </w:tcPr>
                <w:p w14:paraId="374A7D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一</w:t>
                  </w:r>
                </w:p>
              </w:tc>
              <w:tc>
                <w:tcPr>
                  <w:tcW w:w="7247" w:type="dxa"/>
                  <w:gridSpan w:val="8"/>
                  <w:noWrap w:val="0"/>
                  <w:vAlign w:val="center"/>
                </w:tcPr>
                <w:p w14:paraId="38959F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预处理间及调节池</w:t>
                  </w:r>
                </w:p>
              </w:tc>
            </w:tr>
            <w:tr w14:paraId="4028F43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70" w:type="dxa"/>
                  <w:noWrap w:val="0"/>
                  <w:vAlign w:val="center"/>
                </w:tcPr>
                <w:p w14:paraId="55E6C5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36" w:type="dxa"/>
                  <w:noWrap w:val="0"/>
                  <w:vAlign w:val="center"/>
                </w:tcPr>
                <w:p w14:paraId="7CFD4E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回转式格栅清污机</w:t>
                  </w:r>
                </w:p>
              </w:tc>
              <w:tc>
                <w:tcPr>
                  <w:tcW w:w="1841" w:type="dxa"/>
                  <w:gridSpan w:val="2"/>
                  <w:noWrap w:val="0"/>
                  <w:vAlign w:val="center"/>
                </w:tcPr>
                <w:p w14:paraId="75F484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N=1.10KW，间隙20mm，倾角75°</w:t>
                  </w:r>
                </w:p>
              </w:tc>
              <w:tc>
                <w:tcPr>
                  <w:tcW w:w="864" w:type="dxa"/>
                  <w:gridSpan w:val="2"/>
                  <w:noWrap w:val="0"/>
                  <w:vAlign w:val="center"/>
                </w:tcPr>
                <w:p w14:paraId="147505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235258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427F47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5329B2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1用1备</w:t>
                  </w:r>
                </w:p>
              </w:tc>
            </w:tr>
            <w:tr w14:paraId="63DB18D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70" w:type="dxa"/>
                  <w:noWrap w:val="0"/>
                  <w:vAlign w:val="center"/>
                </w:tcPr>
                <w:p w14:paraId="3997DB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36" w:type="dxa"/>
                  <w:noWrap w:val="0"/>
                  <w:vAlign w:val="center"/>
                </w:tcPr>
                <w:p w14:paraId="189FF5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回转式格栅清污机</w:t>
                  </w:r>
                </w:p>
              </w:tc>
              <w:tc>
                <w:tcPr>
                  <w:tcW w:w="1841" w:type="dxa"/>
                  <w:gridSpan w:val="2"/>
                  <w:noWrap w:val="0"/>
                  <w:vAlign w:val="center"/>
                </w:tcPr>
                <w:p w14:paraId="42BAA0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N=1.10KW，间隙5mm，倾角75°</w:t>
                  </w:r>
                </w:p>
              </w:tc>
              <w:tc>
                <w:tcPr>
                  <w:tcW w:w="864" w:type="dxa"/>
                  <w:gridSpan w:val="2"/>
                  <w:noWrap w:val="0"/>
                  <w:vAlign w:val="center"/>
                </w:tcPr>
                <w:p w14:paraId="7ECDEF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34A24C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3386D7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3FEF18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1用1备</w:t>
                  </w:r>
                </w:p>
              </w:tc>
            </w:tr>
            <w:tr w14:paraId="1D0ACBB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70" w:type="dxa"/>
                  <w:noWrap w:val="0"/>
                  <w:vAlign w:val="center"/>
                </w:tcPr>
                <w:p w14:paraId="4159CC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36" w:type="dxa"/>
                  <w:noWrap w:val="0"/>
                  <w:vAlign w:val="center"/>
                </w:tcPr>
                <w:p w14:paraId="51156C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砂水分离器</w:t>
                  </w:r>
                </w:p>
              </w:tc>
              <w:tc>
                <w:tcPr>
                  <w:tcW w:w="1841" w:type="dxa"/>
                  <w:gridSpan w:val="2"/>
                  <w:noWrap w:val="0"/>
                  <w:vAlign w:val="center"/>
                </w:tcPr>
                <w:p w14:paraId="4A9C33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Q=5-12L/s</w:t>
                  </w:r>
                </w:p>
                <w:p w14:paraId="17D3F2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N=0.37KW</w:t>
                  </w:r>
                </w:p>
              </w:tc>
              <w:tc>
                <w:tcPr>
                  <w:tcW w:w="864" w:type="dxa"/>
                  <w:gridSpan w:val="2"/>
                  <w:noWrap w:val="0"/>
                  <w:vAlign w:val="center"/>
                </w:tcPr>
                <w:p w14:paraId="2EB674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389D20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7DFE7B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356083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B428D8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70" w:type="dxa"/>
                  <w:noWrap w:val="0"/>
                  <w:vAlign w:val="center"/>
                </w:tcPr>
                <w:p w14:paraId="2D3011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36" w:type="dxa"/>
                  <w:noWrap w:val="0"/>
                  <w:vAlign w:val="center"/>
                </w:tcPr>
                <w:p w14:paraId="37E1C9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吸砂泵</w:t>
                  </w:r>
                </w:p>
              </w:tc>
              <w:tc>
                <w:tcPr>
                  <w:tcW w:w="1841" w:type="dxa"/>
                  <w:gridSpan w:val="2"/>
                  <w:noWrap w:val="0"/>
                  <w:vAlign w:val="center"/>
                </w:tcPr>
                <w:p w14:paraId="0FB429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Q=30m</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/h，H=15m，N=4KW</w:t>
                  </w:r>
                </w:p>
              </w:tc>
              <w:tc>
                <w:tcPr>
                  <w:tcW w:w="864" w:type="dxa"/>
                  <w:gridSpan w:val="2"/>
                  <w:noWrap w:val="0"/>
                  <w:vAlign w:val="center"/>
                </w:tcPr>
                <w:p w14:paraId="350AFA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648750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1E9AA1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12E0D4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1用1备</w:t>
                  </w:r>
                </w:p>
              </w:tc>
            </w:tr>
            <w:tr w14:paraId="1D4981B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70" w:type="dxa"/>
                  <w:noWrap w:val="0"/>
                  <w:vAlign w:val="center"/>
                </w:tcPr>
                <w:p w14:paraId="522AD9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36" w:type="dxa"/>
                  <w:noWrap w:val="0"/>
                  <w:vAlign w:val="center"/>
                </w:tcPr>
                <w:p w14:paraId="143327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潜水搅拌器</w:t>
                  </w:r>
                </w:p>
              </w:tc>
              <w:tc>
                <w:tcPr>
                  <w:tcW w:w="1841" w:type="dxa"/>
                  <w:gridSpan w:val="2"/>
                  <w:noWrap w:val="0"/>
                  <w:vAlign w:val="center"/>
                </w:tcPr>
                <w:p w14:paraId="35077F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叶轮直径：400mm， 转速：740rpm，N=8.0kW</w:t>
                  </w:r>
                </w:p>
              </w:tc>
              <w:tc>
                <w:tcPr>
                  <w:tcW w:w="864" w:type="dxa"/>
                  <w:gridSpan w:val="2"/>
                  <w:noWrap w:val="0"/>
                  <w:vAlign w:val="center"/>
                </w:tcPr>
                <w:p w14:paraId="043433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6A93BE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0E4453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008196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72A98D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3947" w:type="dxa"/>
                  <w:gridSpan w:val="4"/>
                  <w:noWrap w:val="0"/>
                  <w:vAlign w:val="center"/>
                </w:tcPr>
                <w:p w14:paraId="06343C9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drawing>
                      <wp:inline distT="0" distB="0" distL="114300" distR="114300">
                        <wp:extent cx="2482850" cy="1861820"/>
                        <wp:effectExtent l="0" t="0" r="12700" b="5080"/>
                        <wp:docPr id="8" name="图片 8" descr="acd086cf37776495e0ccb2500df2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cd086cf37776495e0ccb2500df2e61"/>
                                <pic:cNvPicPr>
                                  <a:picLocks noChangeAspect="1"/>
                                </pic:cNvPicPr>
                              </pic:nvPicPr>
                              <pic:blipFill>
                                <a:blip r:embed="rId7"/>
                                <a:stretch>
                                  <a:fillRect/>
                                </a:stretch>
                              </pic:blipFill>
                              <pic:spPr>
                                <a:xfrm>
                                  <a:off x="0" y="0"/>
                                  <a:ext cx="2482850" cy="1861820"/>
                                </a:xfrm>
                                <a:prstGeom prst="rect">
                                  <a:avLst/>
                                </a:prstGeom>
                              </pic:spPr>
                            </pic:pic>
                          </a:graphicData>
                        </a:graphic>
                      </wp:inline>
                    </w:drawing>
                  </w:r>
                </w:p>
              </w:tc>
              <w:tc>
                <w:tcPr>
                  <w:tcW w:w="3770" w:type="dxa"/>
                  <w:gridSpan w:val="5"/>
                  <w:noWrap w:val="0"/>
                  <w:vAlign w:val="center"/>
                </w:tcPr>
                <w:p w14:paraId="7772A001">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drawing>
                      <wp:inline distT="0" distB="0" distL="114300" distR="114300">
                        <wp:extent cx="2461260" cy="1847215"/>
                        <wp:effectExtent l="0" t="0" r="15240" b="635"/>
                        <wp:docPr id="9" name="图片 3" descr="e1c32dcb75b5fdd0a8dcddcd591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e1c32dcb75b5fdd0a8dcddcd5918504"/>
                                <pic:cNvPicPr>
                                  <a:picLocks noChangeAspect="1"/>
                                </pic:cNvPicPr>
                              </pic:nvPicPr>
                              <pic:blipFill>
                                <a:blip r:embed="rId8"/>
                                <a:stretch>
                                  <a:fillRect/>
                                </a:stretch>
                              </pic:blipFill>
                              <pic:spPr>
                                <a:xfrm>
                                  <a:off x="0" y="0"/>
                                  <a:ext cx="2461260" cy="1847215"/>
                                </a:xfrm>
                                <a:prstGeom prst="rect">
                                  <a:avLst/>
                                </a:prstGeom>
                                <a:noFill/>
                                <a:ln>
                                  <a:noFill/>
                                </a:ln>
                              </pic:spPr>
                            </pic:pic>
                          </a:graphicData>
                        </a:graphic>
                      </wp:inline>
                    </w:drawing>
                  </w:r>
                </w:p>
              </w:tc>
            </w:tr>
            <w:tr w14:paraId="05BB678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C586D15">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w w:val="99"/>
                      <w:sz w:val="21"/>
                      <w:szCs w:val="21"/>
                    </w:rPr>
                    <w:t>二</w:t>
                  </w:r>
                </w:p>
              </w:tc>
              <w:tc>
                <w:tcPr>
                  <w:tcW w:w="7247" w:type="dxa"/>
                  <w:gridSpan w:val="8"/>
                  <w:noWrap w:val="0"/>
                  <w:vAlign w:val="center"/>
                </w:tcPr>
                <w:p w14:paraId="6E99276D">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一体化</w:t>
                  </w:r>
                  <w:r>
                    <w:rPr>
                      <w:rFonts w:hint="default" w:ascii="Times New Roman" w:hAnsi="Times New Roman" w:eastAsia="宋体" w:cs="Times New Roman"/>
                      <w:b/>
                      <w:color w:val="auto"/>
                      <w:sz w:val="21"/>
                      <w:szCs w:val="21"/>
                      <w:lang w:val="en-US" w:eastAsia="zh-CN"/>
                    </w:rPr>
                    <w:t>AAO</w:t>
                  </w:r>
                  <w:r>
                    <w:rPr>
                      <w:rFonts w:hint="default" w:ascii="Times New Roman" w:hAnsi="Times New Roman" w:eastAsia="宋体" w:cs="Times New Roman"/>
                      <w:b/>
                      <w:color w:val="auto"/>
                      <w:sz w:val="21"/>
                      <w:szCs w:val="21"/>
                    </w:rPr>
                    <w:t>生物反应池</w:t>
                  </w:r>
                </w:p>
              </w:tc>
            </w:tr>
            <w:tr w14:paraId="4EA4DBE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083292AC">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1</w:t>
                  </w:r>
                </w:p>
              </w:tc>
              <w:tc>
                <w:tcPr>
                  <w:tcW w:w="1652" w:type="dxa"/>
                  <w:gridSpan w:val="2"/>
                  <w:noWrap w:val="0"/>
                  <w:vAlign w:val="center"/>
                </w:tcPr>
                <w:p w14:paraId="59980E58">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潜水搅拌器</w:t>
                  </w:r>
                </w:p>
              </w:tc>
              <w:tc>
                <w:tcPr>
                  <w:tcW w:w="1980" w:type="dxa"/>
                  <w:gridSpan w:val="2"/>
                  <w:noWrap w:val="0"/>
                  <w:vAlign w:val="center"/>
                </w:tcPr>
                <w:p w14:paraId="177ED9BB">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D=250mm，=0.75KW</w:t>
                  </w:r>
                </w:p>
              </w:tc>
              <w:tc>
                <w:tcPr>
                  <w:tcW w:w="709" w:type="dxa"/>
                  <w:noWrap w:val="0"/>
                  <w:vAlign w:val="center"/>
                </w:tcPr>
                <w:p w14:paraId="09B9C00C">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2548A5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4B116A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99" w:type="dxa"/>
                  <w:noWrap w:val="0"/>
                  <w:vAlign w:val="center"/>
                </w:tcPr>
                <w:p w14:paraId="5DFB99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配套起吊装置</w:t>
                  </w:r>
                </w:p>
              </w:tc>
            </w:tr>
            <w:tr w14:paraId="27FEA4A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6E32A08E">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2</w:t>
                  </w:r>
                </w:p>
              </w:tc>
              <w:tc>
                <w:tcPr>
                  <w:tcW w:w="1652" w:type="dxa"/>
                  <w:gridSpan w:val="2"/>
                  <w:noWrap w:val="0"/>
                  <w:vAlign w:val="center"/>
                </w:tcPr>
                <w:p w14:paraId="084A473A">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潜水推流器</w:t>
                  </w:r>
                </w:p>
              </w:tc>
              <w:tc>
                <w:tcPr>
                  <w:tcW w:w="1980" w:type="dxa"/>
                  <w:gridSpan w:val="2"/>
                  <w:noWrap w:val="0"/>
                  <w:vAlign w:val="center"/>
                </w:tcPr>
                <w:p w14:paraId="3631F2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D=1100mm，叶轮转速63r/min，N=0.75KW</w:t>
                  </w:r>
                </w:p>
              </w:tc>
              <w:tc>
                <w:tcPr>
                  <w:tcW w:w="709" w:type="dxa"/>
                  <w:noWrap w:val="0"/>
                  <w:vAlign w:val="center"/>
                </w:tcPr>
                <w:p w14:paraId="22E6BFC7">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1D2083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6715B3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99" w:type="dxa"/>
                  <w:noWrap w:val="0"/>
                  <w:vAlign w:val="center"/>
                </w:tcPr>
                <w:p w14:paraId="43FA27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配套起吊装置</w:t>
                  </w:r>
                </w:p>
              </w:tc>
            </w:tr>
            <w:tr w14:paraId="445FF6B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6E9BF9F">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3</w:t>
                  </w:r>
                </w:p>
              </w:tc>
              <w:tc>
                <w:tcPr>
                  <w:tcW w:w="1652" w:type="dxa"/>
                  <w:gridSpan w:val="2"/>
                  <w:noWrap w:val="0"/>
                  <w:vAlign w:val="center"/>
                </w:tcPr>
                <w:p w14:paraId="15E1D38E">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桁车式刮泥机</w:t>
                  </w:r>
                </w:p>
              </w:tc>
              <w:tc>
                <w:tcPr>
                  <w:tcW w:w="1980" w:type="dxa"/>
                  <w:gridSpan w:val="2"/>
                  <w:noWrap w:val="0"/>
                  <w:vAlign w:val="center"/>
                </w:tcPr>
                <w:p w14:paraId="522A5B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L=3.0m，行车功率0.37KW，卷扬功率0.55KW</w:t>
                  </w:r>
                </w:p>
              </w:tc>
              <w:tc>
                <w:tcPr>
                  <w:tcW w:w="709" w:type="dxa"/>
                  <w:noWrap w:val="0"/>
                  <w:vAlign w:val="center"/>
                </w:tcPr>
                <w:p w14:paraId="45090228">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44A7D3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30175B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76CD3D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配套轨道、</w:t>
                  </w:r>
                </w:p>
                <w:p w14:paraId="5AD6B6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刮渣装置</w:t>
                  </w:r>
                </w:p>
              </w:tc>
            </w:tr>
            <w:tr w14:paraId="71FBA1C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53D2FC70">
                  <w:pPr>
                    <w:pStyle w:val="67"/>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w w:val="99"/>
                      <w:sz w:val="21"/>
                      <w:szCs w:val="21"/>
                    </w:rPr>
                  </w:pPr>
                  <w:r>
                    <w:rPr>
                      <w:rFonts w:hint="default" w:ascii="Times New Roman" w:hAnsi="Times New Roman" w:eastAsia="宋体" w:cs="Times New Roman"/>
                      <w:color w:val="auto"/>
                      <w:w w:val="99"/>
                      <w:sz w:val="21"/>
                      <w:szCs w:val="21"/>
                    </w:rPr>
                    <w:t>4</w:t>
                  </w:r>
                </w:p>
              </w:tc>
              <w:tc>
                <w:tcPr>
                  <w:tcW w:w="1652" w:type="dxa"/>
                  <w:gridSpan w:val="2"/>
                  <w:noWrap w:val="0"/>
                  <w:vAlign w:val="center"/>
                </w:tcPr>
                <w:p w14:paraId="56555B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回流污泥泵（潜水排污泵）</w:t>
                  </w:r>
                </w:p>
              </w:tc>
              <w:tc>
                <w:tcPr>
                  <w:tcW w:w="1980" w:type="dxa"/>
                  <w:gridSpan w:val="2"/>
                  <w:noWrap w:val="0"/>
                  <w:vAlign w:val="center"/>
                </w:tcPr>
                <w:p w14:paraId="07D603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Q=21m/h，H=7m，N=0.75kW</w:t>
                  </w:r>
                </w:p>
              </w:tc>
              <w:tc>
                <w:tcPr>
                  <w:tcW w:w="709" w:type="dxa"/>
                  <w:noWrap w:val="0"/>
                  <w:vAlign w:val="center"/>
                </w:tcPr>
                <w:p w14:paraId="09B48CCB">
                  <w:pPr>
                    <w:pStyle w:val="67"/>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5C6434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w w:val="99"/>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65C931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99" w:type="dxa"/>
                  <w:noWrap w:val="0"/>
                  <w:vAlign w:val="center"/>
                </w:tcPr>
                <w:p w14:paraId="42C962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1用1库备，变频控</w:t>
                  </w:r>
                </w:p>
                <w:p w14:paraId="396C8C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制，配套起吊装置</w:t>
                  </w:r>
                </w:p>
              </w:tc>
            </w:tr>
            <w:tr w14:paraId="389BF28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6C772029">
                  <w:pPr>
                    <w:pStyle w:val="67"/>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w w:val="99"/>
                      <w:sz w:val="21"/>
                      <w:szCs w:val="21"/>
                    </w:rPr>
                  </w:pPr>
                  <w:r>
                    <w:rPr>
                      <w:rFonts w:hint="default" w:ascii="Times New Roman" w:hAnsi="Times New Roman" w:eastAsia="宋体" w:cs="Times New Roman"/>
                      <w:color w:val="auto"/>
                      <w:w w:val="99"/>
                      <w:sz w:val="21"/>
                      <w:szCs w:val="21"/>
                    </w:rPr>
                    <w:t>5</w:t>
                  </w:r>
                </w:p>
              </w:tc>
              <w:tc>
                <w:tcPr>
                  <w:tcW w:w="1652" w:type="dxa"/>
                  <w:gridSpan w:val="2"/>
                  <w:noWrap w:val="0"/>
                  <w:vAlign w:val="center"/>
                </w:tcPr>
                <w:p w14:paraId="1B599A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剩余污泥泵（潜水排污泵）</w:t>
                  </w:r>
                </w:p>
              </w:tc>
              <w:tc>
                <w:tcPr>
                  <w:tcW w:w="1980" w:type="dxa"/>
                  <w:gridSpan w:val="2"/>
                  <w:noWrap w:val="0"/>
                  <w:vAlign w:val="center"/>
                </w:tcPr>
                <w:p w14:paraId="446EFF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Q=8m/h，H=5m，N=0.75kW</w:t>
                  </w:r>
                </w:p>
              </w:tc>
              <w:tc>
                <w:tcPr>
                  <w:tcW w:w="709" w:type="dxa"/>
                  <w:noWrap w:val="0"/>
                  <w:vAlign w:val="center"/>
                </w:tcPr>
                <w:p w14:paraId="215C6D3A">
                  <w:pPr>
                    <w:pStyle w:val="67"/>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45DF01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w w:val="99"/>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2F8F1B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15E216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1用1库备，配套起吊装置</w:t>
                  </w:r>
                </w:p>
              </w:tc>
            </w:tr>
            <w:tr w14:paraId="4E640C6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38CE5CE">
                  <w:pPr>
                    <w:pStyle w:val="67"/>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w w:val="99"/>
                      <w:sz w:val="21"/>
                      <w:szCs w:val="21"/>
                    </w:rPr>
                  </w:pPr>
                  <w:r>
                    <w:rPr>
                      <w:rFonts w:hint="default" w:ascii="Times New Roman" w:hAnsi="Times New Roman" w:eastAsia="宋体" w:cs="Times New Roman"/>
                      <w:color w:val="auto"/>
                      <w:w w:val="99"/>
                      <w:sz w:val="21"/>
                      <w:szCs w:val="21"/>
                    </w:rPr>
                    <w:t>6</w:t>
                  </w:r>
                </w:p>
              </w:tc>
              <w:tc>
                <w:tcPr>
                  <w:tcW w:w="1652" w:type="dxa"/>
                  <w:gridSpan w:val="2"/>
                  <w:noWrap w:val="0"/>
                  <w:vAlign w:val="center"/>
                </w:tcPr>
                <w:p w14:paraId="6ADF7E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穿墙内回流泵</w:t>
                  </w:r>
                </w:p>
              </w:tc>
              <w:tc>
                <w:tcPr>
                  <w:tcW w:w="1980" w:type="dxa"/>
                  <w:gridSpan w:val="2"/>
                  <w:noWrap w:val="0"/>
                  <w:vAlign w:val="center"/>
                </w:tcPr>
                <w:p w14:paraId="1BFB5B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Q=42m/h，H=1m，N=0.25kW</w:t>
                  </w:r>
                </w:p>
              </w:tc>
              <w:tc>
                <w:tcPr>
                  <w:tcW w:w="709" w:type="dxa"/>
                  <w:noWrap w:val="0"/>
                  <w:vAlign w:val="center"/>
                </w:tcPr>
                <w:p w14:paraId="593E46E8">
                  <w:pPr>
                    <w:pStyle w:val="67"/>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5648B3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w w:val="99"/>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53C53B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99" w:type="dxa"/>
                  <w:noWrap w:val="0"/>
                  <w:vAlign w:val="center"/>
                </w:tcPr>
                <w:p w14:paraId="7C2FE4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1用1库备，变频控制，出口带拍门配套起吊装置</w:t>
                  </w:r>
                </w:p>
              </w:tc>
            </w:tr>
            <w:tr w14:paraId="144B64F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102" w:type="dxa"/>
                  <w:gridSpan w:val="5"/>
                  <w:noWrap w:val="0"/>
                  <w:vAlign w:val="center"/>
                </w:tcPr>
                <w:p w14:paraId="44D80AA8">
                  <w:pPr>
                    <w:pStyle w:val="67"/>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highlight w:val="none"/>
                      <w:lang w:val="en-US" w:eastAsia="zh-CN"/>
                    </w:rPr>
                    <w:drawing>
                      <wp:inline distT="0" distB="0" distL="114300" distR="114300">
                        <wp:extent cx="2378710" cy="1785620"/>
                        <wp:effectExtent l="0" t="0" r="2540" b="5080"/>
                        <wp:docPr id="14" name="图片 5" descr="3466eaeb633f64ed2413ac43aa5f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3466eaeb633f64ed2413ac43aa5fa7f"/>
                                <pic:cNvPicPr>
                                  <a:picLocks noChangeAspect="1"/>
                                </pic:cNvPicPr>
                              </pic:nvPicPr>
                              <pic:blipFill>
                                <a:blip r:embed="rId9"/>
                                <a:stretch>
                                  <a:fillRect/>
                                </a:stretch>
                              </pic:blipFill>
                              <pic:spPr>
                                <a:xfrm>
                                  <a:off x="0" y="0"/>
                                  <a:ext cx="2378710" cy="1785620"/>
                                </a:xfrm>
                                <a:prstGeom prst="rect">
                                  <a:avLst/>
                                </a:prstGeom>
                                <a:noFill/>
                                <a:ln>
                                  <a:noFill/>
                                </a:ln>
                              </pic:spPr>
                            </pic:pic>
                          </a:graphicData>
                        </a:graphic>
                      </wp:inline>
                    </w:drawing>
                  </w:r>
                </w:p>
              </w:tc>
              <w:tc>
                <w:tcPr>
                  <w:tcW w:w="3615" w:type="dxa"/>
                  <w:gridSpan w:val="4"/>
                  <w:noWrap w:val="0"/>
                  <w:vAlign w:val="center"/>
                </w:tcPr>
                <w:p w14:paraId="6FC5DA11">
                  <w:pPr>
                    <w:pStyle w:val="67"/>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highlight w:val="none"/>
                      <w:lang w:val="en-US" w:eastAsia="zh-CN"/>
                    </w:rPr>
                    <w:drawing>
                      <wp:inline distT="0" distB="0" distL="114300" distR="114300">
                        <wp:extent cx="2345690" cy="1767840"/>
                        <wp:effectExtent l="0" t="0" r="16510" b="3810"/>
                        <wp:docPr id="15" name="图片 6" descr="142707b84627f0ed229e174e5884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142707b84627f0ed229e174e588469e"/>
                                <pic:cNvPicPr>
                                  <a:picLocks noChangeAspect="1"/>
                                </pic:cNvPicPr>
                              </pic:nvPicPr>
                              <pic:blipFill>
                                <a:blip r:embed="rId10"/>
                                <a:stretch>
                                  <a:fillRect/>
                                </a:stretch>
                              </pic:blipFill>
                              <pic:spPr>
                                <a:xfrm>
                                  <a:off x="0" y="0"/>
                                  <a:ext cx="2345690" cy="1767840"/>
                                </a:xfrm>
                                <a:prstGeom prst="rect">
                                  <a:avLst/>
                                </a:prstGeom>
                                <a:noFill/>
                                <a:ln>
                                  <a:noFill/>
                                </a:ln>
                              </pic:spPr>
                            </pic:pic>
                          </a:graphicData>
                        </a:graphic>
                      </wp:inline>
                    </w:drawing>
                  </w:r>
                </w:p>
              </w:tc>
            </w:tr>
            <w:tr w14:paraId="7C1A800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2F74C012">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w w:val="99"/>
                      <w:sz w:val="21"/>
                      <w:szCs w:val="21"/>
                      <w:lang w:val="en-US" w:eastAsia="zh-CN"/>
                    </w:rPr>
                    <w:t>三</w:t>
                  </w:r>
                </w:p>
              </w:tc>
              <w:tc>
                <w:tcPr>
                  <w:tcW w:w="7247" w:type="dxa"/>
                  <w:gridSpan w:val="8"/>
                  <w:noWrap w:val="0"/>
                  <w:vAlign w:val="center"/>
                </w:tcPr>
                <w:p w14:paraId="5286D087">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深度处理车间</w:t>
                  </w:r>
                </w:p>
              </w:tc>
            </w:tr>
            <w:tr w14:paraId="687E2DE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1133BC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2" w:type="dxa"/>
                  <w:gridSpan w:val="2"/>
                  <w:noWrap w:val="0"/>
                  <w:vAlign w:val="center"/>
                </w:tcPr>
                <w:p w14:paraId="009767D9">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一体化高密池</w:t>
                  </w:r>
                </w:p>
              </w:tc>
              <w:tc>
                <w:tcPr>
                  <w:tcW w:w="1980" w:type="dxa"/>
                  <w:gridSpan w:val="2"/>
                  <w:noWrap w:val="0"/>
                  <w:vAlign w:val="center"/>
                </w:tcPr>
                <w:p w14:paraId="1891DC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/d</w:t>
                  </w:r>
                </w:p>
              </w:tc>
              <w:tc>
                <w:tcPr>
                  <w:tcW w:w="709" w:type="dxa"/>
                  <w:noWrap w:val="0"/>
                  <w:vAlign w:val="center"/>
                </w:tcPr>
                <w:p w14:paraId="04FBD16E">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6F91F7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0B5E43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2EDB8817">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远期增加1套</w:t>
                  </w:r>
                </w:p>
              </w:tc>
            </w:tr>
            <w:tr w14:paraId="72E292E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E5BE2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652" w:type="dxa"/>
                  <w:gridSpan w:val="2"/>
                  <w:noWrap w:val="0"/>
                  <w:vAlign w:val="center"/>
                </w:tcPr>
                <w:p w14:paraId="12A5475D">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混合池搅拌机</w:t>
                  </w:r>
                </w:p>
              </w:tc>
              <w:tc>
                <w:tcPr>
                  <w:tcW w:w="1980" w:type="dxa"/>
                  <w:gridSpan w:val="2"/>
                  <w:noWrap w:val="0"/>
                  <w:vAlign w:val="center"/>
                </w:tcPr>
                <w:p w14:paraId="28992A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Φ300mm，L=2900mm，N=1.1kw</w:t>
                  </w:r>
                </w:p>
              </w:tc>
              <w:tc>
                <w:tcPr>
                  <w:tcW w:w="709" w:type="dxa"/>
                  <w:noWrap w:val="0"/>
                  <w:vAlign w:val="center"/>
                </w:tcPr>
                <w:p w14:paraId="7654370B">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17ABCD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32BEC8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05DED2B2">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厂家配套供货</w:t>
                  </w:r>
                </w:p>
              </w:tc>
            </w:tr>
            <w:tr w14:paraId="24CBCDD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1D2A7D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652" w:type="dxa"/>
                  <w:gridSpan w:val="2"/>
                  <w:noWrap w:val="0"/>
                  <w:vAlign w:val="center"/>
                </w:tcPr>
                <w:p w14:paraId="058869B0">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絮凝池搅拌机</w:t>
                  </w:r>
                </w:p>
              </w:tc>
              <w:tc>
                <w:tcPr>
                  <w:tcW w:w="1980" w:type="dxa"/>
                  <w:gridSpan w:val="2"/>
                  <w:noWrap w:val="0"/>
                  <w:vAlign w:val="center"/>
                </w:tcPr>
                <w:p w14:paraId="64767C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Φ350mm，L=3500mm，N=0.75kw</w:t>
                  </w:r>
                </w:p>
              </w:tc>
              <w:tc>
                <w:tcPr>
                  <w:tcW w:w="709" w:type="dxa"/>
                  <w:noWrap w:val="0"/>
                  <w:vAlign w:val="center"/>
                </w:tcPr>
                <w:p w14:paraId="29F21D0E">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6AD86F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390343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4D1AED73">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厂家配套供货</w:t>
                  </w:r>
                </w:p>
              </w:tc>
            </w:tr>
            <w:tr w14:paraId="713BA0C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7DD22D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652" w:type="dxa"/>
                  <w:gridSpan w:val="2"/>
                  <w:noWrap w:val="0"/>
                  <w:vAlign w:val="center"/>
                </w:tcPr>
                <w:p w14:paraId="7ACA8E6A">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浓缩刮泥机</w:t>
                  </w:r>
                </w:p>
              </w:tc>
              <w:tc>
                <w:tcPr>
                  <w:tcW w:w="1980" w:type="dxa"/>
                  <w:gridSpan w:val="2"/>
                  <w:noWrap w:val="0"/>
                  <w:vAlign w:val="center"/>
                </w:tcPr>
                <w:p w14:paraId="627B0E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Φ2600mm，N=0.37kw，外缘线速度3m/min</w:t>
                  </w:r>
                </w:p>
              </w:tc>
              <w:tc>
                <w:tcPr>
                  <w:tcW w:w="709" w:type="dxa"/>
                  <w:noWrap w:val="0"/>
                  <w:vAlign w:val="center"/>
                </w:tcPr>
                <w:p w14:paraId="17CD66C0">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68CBE6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503893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6E751663">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厂家配套供货</w:t>
                  </w:r>
                </w:p>
              </w:tc>
            </w:tr>
            <w:tr w14:paraId="5ED109E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9D54B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652" w:type="dxa"/>
                  <w:gridSpan w:val="2"/>
                  <w:noWrap w:val="0"/>
                  <w:vAlign w:val="center"/>
                </w:tcPr>
                <w:p w14:paraId="0EB3B287">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导流筒</w:t>
                  </w:r>
                </w:p>
              </w:tc>
              <w:tc>
                <w:tcPr>
                  <w:tcW w:w="1980" w:type="dxa"/>
                  <w:gridSpan w:val="2"/>
                  <w:noWrap w:val="0"/>
                  <w:vAlign w:val="center"/>
                </w:tcPr>
                <w:p w14:paraId="4A1BF0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Φ600mm</w:t>
                  </w:r>
                </w:p>
              </w:tc>
              <w:tc>
                <w:tcPr>
                  <w:tcW w:w="709" w:type="dxa"/>
                  <w:noWrap w:val="0"/>
                  <w:vAlign w:val="center"/>
                </w:tcPr>
                <w:p w14:paraId="3B12D4A3">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524B9A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679D28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36FF9092">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厂家配套供货</w:t>
                  </w:r>
                </w:p>
              </w:tc>
            </w:tr>
            <w:tr w14:paraId="266F2A5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102" w:type="dxa"/>
                  <w:gridSpan w:val="5"/>
                  <w:noWrap w:val="0"/>
                  <w:vAlign w:val="center"/>
                </w:tcPr>
                <w:p w14:paraId="17489FAE">
                  <w:pPr>
                    <w:pStyle w:val="67"/>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eastAsia="zh-CN"/>
                    </w:rPr>
                    <w:drawing>
                      <wp:inline distT="0" distB="0" distL="114300" distR="114300">
                        <wp:extent cx="2500630" cy="1875155"/>
                        <wp:effectExtent l="0" t="0" r="13970" b="10795"/>
                        <wp:docPr id="18" name="图片 6" descr="008f56fbb9df1a7057da0b21e7e8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008f56fbb9df1a7057da0b21e7e81f4"/>
                                <pic:cNvPicPr>
                                  <a:picLocks noChangeAspect="1"/>
                                </pic:cNvPicPr>
                              </pic:nvPicPr>
                              <pic:blipFill>
                                <a:blip r:embed="rId11"/>
                                <a:stretch>
                                  <a:fillRect/>
                                </a:stretch>
                              </pic:blipFill>
                              <pic:spPr>
                                <a:xfrm>
                                  <a:off x="0" y="0"/>
                                  <a:ext cx="2500630" cy="1875155"/>
                                </a:xfrm>
                                <a:prstGeom prst="rect">
                                  <a:avLst/>
                                </a:prstGeom>
                                <a:noFill/>
                                <a:ln>
                                  <a:noFill/>
                                </a:ln>
                              </pic:spPr>
                            </pic:pic>
                          </a:graphicData>
                        </a:graphic>
                      </wp:inline>
                    </w:drawing>
                  </w:r>
                </w:p>
              </w:tc>
              <w:tc>
                <w:tcPr>
                  <w:tcW w:w="3615" w:type="dxa"/>
                  <w:gridSpan w:val="4"/>
                  <w:noWrap w:val="0"/>
                  <w:vAlign w:val="center"/>
                </w:tcPr>
                <w:p w14:paraId="07D40B69">
                  <w:pPr>
                    <w:pStyle w:val="67"/>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eastAsia="zh-CN"/>
                    </w:rPr>
                    <w:drawing>
                      <wp:inline distT="0" distB="0" distL="114300" distR="114300">
                        <wp:extent cx="2460625" cy="1845945"/>
                        <wp:effectExtent l="0" t="0" r="15875" b="1905"/>
                        <wp:docPr id="16" name="图片 4" descr="80aa0c38d05f701e56327c4c9f8f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80aa0c38d05f701e56327c4c9f8f7fd"/>
                                <pic:cNvPicPr>
                                  <a:picLocks noChangeAspect="1"/>
                                </pic:cNvPicPr>
                              </pic:nvPicPr>
                              <pic:blipFill>
                                <a:blip r:embed="rId12"/>
                                <a:stretch>
                                  <a:fillRect/>
                                </a:stretch>
                              </pic:blipFill>
                              <pic:spPr>
                                <a:xfrm>
                                  <a:off x="0" y="0"/>
                                  <a:ext cx="2460625" cy="1845945"/>
                                </a:xfrm>
                                <a:prstGeom prst="rect">
                                  <a:avLst/>
                                </a:prstGeom>
                                <a:noFill/>
                                <a:ln>
                                  <a:noFill/>
                                </a:ln>
                              </pic:spPr>
                            </pic:pic>
                          </a:graphicData>
                        </a:graphic>
                      </wp:inline>
                    </w:drawing>
                  </w:r>
                </w:p>
              </w:tc>
            </w:tr>
            <w:tr w14:paraId="2B42AE0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2C5BA5B">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w w:val="99"/>
                      <w:sz w:val="21"/>
                      <w:szCs w:val="21"/>
                      <w:lang w:val="en-US" w:eastAsia="zh-CN"/>
                    </w:rPr>
                    <w:t>四</w:t>
                  </w:r>
                </w:p>
              </w:tc>
              <w:tc>
                <w:tcPr>
                  <w:tcW w:w="7247" w:type="dxa"/>
                  <w:gridSpan w:val="8"/>
                  <w:noWrap w:val="0"/>
                  <w:vAlign w:val="center"/>
                </w:tcPr>
                <w:p w14:paraId="445EDE7D">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接触池及巴氏计量槽</w:t>
                  </w:r>
                </w:p>
              </w:tc>
            </w:tr>
            <w:tr w14:paraId="332E430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5A018C86">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1</w:t>
                  </w:r>
                </w:p>
              </w:tc>
              <w:tc>
                <w:tcPr>
                  <w:tcW w:w="1652" w:type="dxa"/>
                  <w:gridSpan w:val="2"/>
                  <w:noWrap w:val="0"/>
                  <w:vAlign w:val="center"/>
                </w:tcPr>
                <w:p w14:paraId="6241C9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潜污泵</w:t>
                  </w:r>
                </w:p>
              </w:tc>
              <w:tc>
                <w:tcPr>
                  <w:tcW w:w="1980" w:type="dxa"/>
                  <w:gridSpan w:val="2"/>
                  <w:noWrap w:val="0"/>
                  <w:vAlign w:val="center"/>
                </w:tcPr>
                <w:p w14:paraId="1D58CC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Q=20m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/h，H=35m，P=2.2kW</w:t>
                  </w:r>
                </w:p>
              </w:tc>
              <w:tc>
                <w:tcPr>
                  <w:tcW w:w="709" w:type="dxa"/>
                  <w:noWrap w:val="0"/>
                  <w:vAlign w:val="center"/>
                </w:tcPr>
                <w:p w14:paraId="440A6E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310F1B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1AC178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1699" w:type="dxa"/>
                  <w:noWrap w:val="0"/>
                  <w:vAlign w:val="center"/>
                </w:tcPr>
                <w:p w14:paraId="6DB194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用1备，2台变频</w:t>
                  </w:r>
                </w:p>
              </w:tc>
            </w:tr>
            <w:tr w14:paraId="5B61CA3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5FFF7BB0">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w w:val="99"/>
                      <w:sz w:val="21"/>
                      <w:szCs w:val="21"/>
                      <w:lang w:val="en-US" w:eastAsia="zh-CN"/>
                    </w:rPr>
                  </w:pPr>
                  <w:r>
                    <w:rPr>
                      <w:rFonts w:hint="default" w:ascii="Times New Roman" w:hAnsi="Times New Roman" w:eastAsia="宋体" w:cs="Times New Roman"/>
                      <w:color w:val="auto"/>
                      <w:w w:val="99"/>
                      <w:sz w:val="21"/>
                      <w:szCs w:val="21"/>
                      <w:lang w:val="en-US" w:eastAsia="zh-CN"/>
                    </w:rPr>
                    <w:t>2</w:t>
                  </w:r>
                </w:p>
              </w:tc>
              <w:tc>
                <w:tcPr>
                  <w:tcW w:w="1652" w:type="dxa"/>
                  <w:gridSpan w:val="2"/>
                  <w:noWrap w:val="0"/>
                  <w:vAlign w:val="center"/>
                </w:tcPr>
                <w:p w14:paraId="2E649E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巴氏计量槽</w:t>
                  </w:r>
                </w:p>
              </w:tc>
              <w:tc>
                <w:tcPr>
                  <w:tcW w:w="1980" w:type="dxa"/>
                  <w:gridSpan w:val="2"/>
                  <w:noWrap w:val="0"/>
                  <w:vAlign w:val="center"/>
                </w:tcPr>
                <w:p w14:paraId="14D94A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喉宽</w:t>
                  </w:r>
                  <w:r>
                    <w:rPr>
                      <w:rFonts w:hint="default" w:ascii="Times New Roman" w:hAnsi="Times New Roman" w:eastAsia="宋体" w:cs="Times New Roman"/>
                      <w:color w:val="auto"/>
                      <w:sz w:val="21"/>
                      <w:szCs w:val="21"/>
                      <w:lang w:val="en-US" w:eastAsia="zh-CN"/>
                    </w:rPr>
                    <w:t>152mm</w:t>
                  </w:r>
                </w:p>
              </w:tc>
              <w:tc>
                <w:tcPr>
                  <w:tcW w:w="709" w:type="dxa"/>
                  <w:noWrap w:val="0"/>
                  <w:vAlign w:val="center"/>
                </w:tcPr>
                <w:p w14:paraId="3BD20C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不锈钢</w:t>
                  </w:r>
                </w:p>
              </w:tc>
              <w:tc>
                <w:tcPr>
                  <w:tcW w:w="621" w:type="dxa"/>
                  <w:noWrap w:val="0"/>
                  <w:vAlign w:val="center"/>
                </w:tcPr>
                <w:p w14:paraId="568EE9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套</w:t>
                  </w:r>
                </w:p>
              </w:tc>
              <w:tc>
                <w:tcPr>
                  <w:tcW w:w="586" w:type="dxa"/>
                  <w:noWrap w:val="0"/>
                  <w:vAlign w:val="center"/>
                </w:tcPr>
                <w:p w14:paraId="0E8497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99" w:type="dxa"/>
                  <w:noWrap w:val="0"/>
                  <w:vAlign w:val="center"/>
                </w:tcPr>
                <w:p w14:paraId="77C995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7827D5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102" w:type="dxa"/>
                  <w:gridSpan w:val="5"/>
                  <w:noWrap w:val="0"/>
                  <w:vAlign w:val="center"/>
                </w:tcPr>
                <w:p w14:paraId="5F8599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kern w:val="0"/>
                      <w:sz w:val="21"/>
                      <w:szCs w:val="21"/>
                      <w:highlight w:val="none"/>
                      <w:lang w:val="en-US" w:eastAsia="zh-CN"/>
                    </w:rPr>
                    <w:drawing>
                      <wp:inline distT="0" distB="0" distL="114300" distR="114300">
                        <wp:extent cx="2459355" cy="1846580"/>
                        <wp:effectExtent l="0" t="0" r="17145" b="1270"/>
                        <wp:docPr id="20" name="图片 7" descr="f9eccf5b33729dca18186339fcc4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f9eccf5b33729dca18186339fcc46c8"/>
                                <pic:cNvPicPr>
                                  <a:picLocks noChangeAspect="1"/>
                                </pic:cNvPicPr>
                              </pic:nvPicPr>
                              <pic:blipFill>
                                <a:blip r:embed="rId13"/>
                                <a:stretch>
                                  <a:fillRect/>
                                </a:stretch>
                              </pic:blipFill>
                              <pic:spPr>
                                <a:xfrm>
                                  <a:off x="0" y="0"/>
                                  <a:ext cx="2459355" cy="1846580"/>
                                </a:xfrm>
                                <a:prstGeom prst="rect">
                                  <a:avLst/>
                                </a:prstGeom>
                                <a:noFill/>
                                <a:ln>
                                  <a:noFill/>
                                </a:ln>
                              </pic:spPr>
                            </pic:pic>
                          </a:graphicData>
                        </a:graphic>
                      </wp:inline>
                    </w:drawing>
                  </w:r>
                </w:p>
              </w:tc>
              <w:tc>
                <w:tcPr>
                  <w:tcW w:w="3615" w:type="dxa"/>
                  <w:gridSpan w:val="4"/>
                  <w:noWrap w:val="0"/>
                  <w:vAlign w:val="center"/>
                </w:tcPr>
                <w:p w14:paraId="141C96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highlight w:val="none"/>
                      <w:lang w:val="en-US" w:eastAsia="zh-CN"/>
                    </w:rPr>
                    <w:drawing>
                      <wp:inline distT="0" distB="0" distL="114300" distR="114300">
                        <wp:extent cx="2411095" cy="1809115"/>
                        <wp:effectExtent l="0" t="0" r="8255" b="635"/>
                        <wp:docPr id="21" name="图片 8" descr="6b92abcb85db9f9c2c5acb04548e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6b92abcb85db9f9c2c5acb04548e32e"/>
                                <pic:cNvPicPr>
                                  <a:picLocks noChangeAspect="1"/>
                                </pic:cNvPicPr>
                              </pic:nvPicPr>
                              <pic:blipFill>
                                <a:blip r:embed="rId14"/>
                                <a:stretch>
                                  <a:fillRect/>
                                </a:stretch>
                              </pic:blipFill>
                              <pic:spPr>
                                <a:xfrm>
                                  <a:off x="0" y="0"/>
                                  <a:ext cx="2411095" cy="1809115"/>
                                </a:xfrm>
                                <a:prstGeom prst="rect">
                                  <a:avLst/>
                                </a:prstGeom>
                                <a:noFill/>
                                <a:ln>
                                  <a:noFill/>
                                </a:ln>
                              </pic:spPr>
                            </pic:pic>
                          </a:graphicData>
                        </a:graphic>
                      </wp:inline>
                    </w:drawing>
                  </w:r>
                </w:p>
              </w:tc>
            </w:tr>
            <w:tr w14:paraId="143B3CD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104E8409">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w w:val="99"/>
                      <w:sz w:val="21"/>
                      <w:szCs w:val="21"/>
                      <w:lang w:val="en-US" w:eastAsia="zh-CN"/>
                    </w:rPr>
                    <w:t>五</w:t>
                  </w:r>
                </w:p>
              </w:tc>
              <w:tc>
                <w:tcPr>
                  <w:tcW w:w="7247" w:type="dxa"/>
                  <w:gridSpan w:val="8"/>
                  <w:noWrap w:val="0"/>
                  <w:vAlign w:val="center"/>
                </w:tcPr>
                <w:p w14:paraId="5C24B843">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贮泥池及污泥泵池</w:t>
                  </w:r>
                </w:p>
              </w:tc>
            </w:tr>
            <w:tr w14:paraId="65B694D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0A1D6203">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1</w:t>
                  </w:r>
                </w:p>
              </w:tc>
              <w:tc>
                <w:tcPr>
                  <w:tcW w:w="1652" w:type="dxa"/>
                  <w:gridSpan w:val="2"/>
                  <w:noWrap w:val="0"/>
                  <w:vAlign w:val="center"/>
                </w:tcPr>
                <w:p w14:paraId="241595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污泥螺杆泵</w:t>
                  </w:r>
                </w:p>
              </w:tc>
              <w:tc>
                <w:tcPr>
                  <w:tcW w:w="1980" w:type="dxa"/>
                  <w:gridSpan w:val="2"/>
                  <w:noWrap w:val="0"/>
                  <w:vAlign w:val="center"/>
                </w:tcPr>
                <w:p w14:paraId="3FDCAA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Q=15-20m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/h，压力0.3MPa，N=4kW</w:t>
                  </w:r>
                </w:p>
              </w:tc>
              <w:tc>
                <w:tcPr>
                  <w:tcW w:w="709" w:type="dxa"/>
                  <w:noWrap w:val="0"/>
                  <w:vAlign w:val="center"/>
                </w:tcPr>
                <w:p w14:paraId="5B1F94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5EFD18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40BB68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5D540E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1用1备,均变频</w:t>
                  </w:r>
                </w:p>
              </w:tc>
            </w:tr>
            <w:tr w14:paraId="65CE64A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139CCCCF">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2</w:t>
                  </w:r>
                </w:p>
              </w:tc>
              <w:tc>
                <w:tcPr>
                  <w:tcW w:w="1652" w:type="dxa"/>
                  <w:gridSpan w:val="2"/>
                  <w:noWrap w:val="0"/>
                  <w:vAlign w:val="center"/>
                </w:tcPr>
                <w:p w14:paraId="49BA1A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潜水搅拌器</w:t>
                  </w:r>
                </w:p>
              </w:tc>
              <w:tc>
                <w:tcPr>
                  <w:tcW w:w="1980" w:type="dxa"/>
                  <w:gridSpan w:val="2"/>
                  <w:noWrap w:val="0"/>
                  <w:vAlign w:val="center"/>
                </w:tcPr>
                <w:p w14:paraId="3290CA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Φ210，N=1.5kW叶轮转速1425RPM</w:t>
                  </w:r>
                </w:p>
              </w:tc>
              <w:tc>
                <w:tcPr>
                  <w:tcW w:w="709" w:type="dxa"/>
                  <w:noWrap w:val="0"/>
                  <w:vAlign w:val="center"/>
                </w:tcPr>
                <w:p w14:paraId="2230A0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6A9725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47A0C4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732116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配套起吊设备</w:t>
                  </w:r>
                </w:p>
              </w:tc>
            </w:tr>
            <w:tr w14:paraId="1CD007F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102" w:type="dxa"/>
                  <w:gridSpan w:val="5"/>
                  <w:noWrap w:val="0"/>
                  <w:vAlign w:val="center"/>
                </w:tcPr>
                <w:p w14:paraId="311BE6E9">
                  <w:pPr>
                    <w:pStyle w:val="67"/>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highlight w:val="none"/>
                      <w:lang w:val="en-US" w:eastAsia="zh-CN"/>
                    </w:rPr>
                    <w:drawing>
                      <wp:inline distT="0" distB="0" distL="114300" distR="114300">
                        <wp:extent cx="2435225" cy="1824990"/>
                        <wp:effectExtent l="0" t="0" r="3175" b="3810"/>
                        <wp:docPr id="22" name="图片 9" descr="591ead7e41c1fc4362d849d31e6b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591ead7e41c1fc4362d849d31e6b694"/>
                                <pic:cNvPicPr>
                                  <a:picLocks noChangeAspect="1"/>
                                </pic:cNvPicPr>
                              </pic:nvPicPr>
                              <pic:blipFill>
                                <a:blip r:embed="rId15"/>
                                <a:stretch>
                                  <a:fillRect/>
                                </a:stretch>
                              </pic:blipFill>
                              <pic:spPr>
                                <a:xfrm>
                                  <a:off x="0" y="0"/>
                                  <a:ext cx="2435225" cy="1824990"/>
                                </a:xfrm>
                                <a:prstGeom prst="rect">
                                  <a:avLst/>
                                </a:prstGeom>
                                <a:noFill/>
                                <a:ln>
                                  <a:noFill/>
                                </a:ln>
                              </pic:spPr>
                            </pic:pic>
                          </a:graphicData>
                        </a:graphic>
                      </wp:inline>
                    </w:drawing>
                  </w:r>
                </w:p>
              </w:tc>
              <w:tc>
                <w:tcPr>
                  <w:tcW w:w="3615" w:type="dxa"/>
                  <w:gridSpan w:val="4"/>
                  <w:noWrap w:val="0"/>
                  <w:vAlign w:val="center"/>
                </w:tcPr>
                <w:p w14:paraId="69719CD9">
                  <w:pPr>
                    <w:pStyle w:val="67"/>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highlight w:val="none"/>
                      <w:lang w:val="en-US" w:eastAsia="zh-CN"/>
                    </w:rPr>
                    <w:drawing>
                      <wp:inline distT="0" distB="0" distL="114300" distR="114300">
                        <wp:extent cx="2425065" cy="1819275"/>
                        <wp:effectExtent l="0" t="0" r="13335" b="9525"/>
                        <wp:docPr id="23" name="图片 10" descr="0a9c688f9412e08a6760fc0cb910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0a9c688f9412e08a6760fc0cb910ea0"/>
                                <pic:cNvPicPr>
                                  <a:picLocks noChangeAspect="1"/>
                                </pic:cNvPicPr>
                              </pic:nvPicPr>
                              <pic:blipFill>
                                <a:blip r:embed="rId16"/>
                                <a:stretch>
                                  <a:fillRect/>
                                </a:stretch>
                              </pic:blipFill>
                              <pic:spPr>
                                <a:xfrm>
                                  <a:off x="0" y="0"/>
                                  <a:ext cx="2425065" cy="1819275"/>
                                </a:xfrm>
                                <a:prstGeom prst="rect">
                                  <a:avLst/>
                                </a:prstGeom>
                                <a:noFill/>
                                <a:ln>
                                  <a:noFill/>
                                </a:ln>
                              </pic:spPr>
                            </pic:pic>
                          </a:graphicData>
                        </a:graphic>
                      </wp:inline>
                    </w:drawing>
                  </w:r>
                </w:p>
              </w:tc>
            </w:tr>
            <w:tr w14:paraId="046908F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4B019CCF">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w w:val="99"/>
                      <w:sz w:val="21"/>
                      <w:szCs w:val="21"/>
                      <w:lang w:val="en-US" w:eastAsia="zh-CN"/>
                    </w:rPr>
                    <w:t>六</w:t>
                  </w:r>
                </w:p>
              </w:tc>
              <w:tc>
                <w:tcPr>
                  <w:tcW w:w="7247" w:type="dxa"/>
                  <w:gridSpan w:val="8"/>
                  <w:noWrap w:val="0"/>
                  <w:vAlign w:val="center"/>
                </w:tcPr>
                <w:p w14:paraId="5FEFF835">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综合车间</w:t>
                  </w:r>
                </w:p>
              </w:tc>
            </w:tr>
            <w:tr w14:paraId="178CD86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0C31F4E2">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7247" w:type="dxa"/>
                  <w:gridSpan w:val="8"/>
                  <w:noWrap w:val="0"/>
                  <w:vAlign w:val="center"/>
                </w:tcPr>
                <w:p w14:paraId="24ABB09F">
                  <w:pPr>
                    <w:pStyle w:val="67"/>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（1）除臭生物滤池</w:t>
                  </w:r>
                </w:p>
              </w:tc>
            </w:tr>
            <w:tr w14:paraId="0D58110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6DC590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2" w:type="dxa"/>
                  <w:gridSpan w:val="2"/>
                  <w:noWrap w:val="0"/>
                  <w:vAlign w:val="center"/>
                </w:tcPr>
                <w:p w14:paraId="2D19D9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除臭设备</w:t>
                  </w:r>
                </w:p>
              </w:tc>
              <w:tc>
                <w:tcPr>
                  <w:tcW w:w="1980" w:type="dxa"/>
                  <w:gridSpan w:val="2"/>
                  <w:noWrap w:val="0"/>
                  <w:vAlign w:val="center"/>
                </w:tcPr>
                <w:p w14:paraId="442CFA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Q=5000m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w:t>
                  </w:r>
                </w:p>
              </w:tc>
              <w:tc>
                <w:tcPr>
                  <w:tcW w:w="709" w:type="dxa"/>
                  <w:noWrap w:val="0"/>
                  <w:vAlign w:val="center"/>
                </w:tcPr>
                <w:p w14:paraId="7C87FD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31385B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793FEF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4FD45F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A596FD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5B2C93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652" w:type="dxa"/>
                  <w:gridSpan w:val="2"/>
                  <w:noWrap w:val="0"/>
                  <w:vAlign w:val="center"/>
                </w:tcPr>
                <w:p w14:paraId="53DFD1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预洗段填料</w:t>
                  </w:r>
                </w:p>
              </w:tc>
              <w:tc>
                <w:tcPr>
                  <w:tcW w:w="1980" w:type="dxa"/>
                  <w:gridSpan w:val="2"/>
                  <w:noWrap w:val="0"/>
                  <w:vAlign w:val="center"/>
                </w:tcPr>
                <w:p w14:paraId="3749FF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9" w:type="dxa"/>
                  <w:noWrap w:val="0"/>
                  <w:vAlign w:val="center"/>
                </w:tcPr>
                <w:p w14:paraId="725D77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668740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6" w:type="dxa"/>
                  <w:noWrap w:val="0"/>
                  <w:vAlign w:val="center"/>
                </w:tcPr>
                <w:p w14:paraId="66F454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99" w:type="dxa"/>
                  <w:noWrap w:val="0"/>
                  <w:vAlign w:val="center"/>
                </w:tcPr>
                <w:p w14:paraId="7D6FFA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7A0037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FC526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652" w:type="dxa"/>
                  <w:gridSpan w:val="2"/>
                  <w:noWrap w:val="0"/>
                  <w:vAlign w:val="center"/>
                </w:tcPr>
                <w:p w14:paraId="0EF115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生物段填料</w:t>
                  </w:r>
                </w:p>
              </w:tc>
              <w:tc>
                <w:tcPr>
                  <w:tcW w:w="1980" w:type="dxa"/>
                  <w:gridSpan w:val="2"/>
                  <w:noWrap w:val="0"/>
                  <w:vAlign w:val="center"/>
                </w:tcPr>
                <w:p w14:paraId="4E0530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9" w:type="dxa"/>
                  <w:noWrap w:val="0"/>
                  <w:vAlign w:val="center"/>
                </w:tcPr>
                <w:p w14:paraId="1EF605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15750E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6" w:type="dxa"/>
                  <w:noWrap w:val="0"/>
                  <w:vAlign w:val="center"/>
                </w:tcPr>
                <w:p w14:paraId="15E2AD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99" w:type="dxa"/>
                  <w:noWrap w:val="0"/>
                  <w:vAlign w:val="center"/>
                </w:tcPr>
                <w:p w14:paraId="7B033E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D03750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612E9E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652" w:type="dxa"/>
                  <w:gridSpan w:val="2"/>
                  <w:noWrap w:val="0"/>
                  <w:vAlign w:val="center"/>
                </w:tcPr>
                <w:p w14:paraId="2F5ABF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喷淋循环水及排水</w:t>
                  </w:r>
                </w:p>
                <w:p w14:paraId="40CE9D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管路系统管路配件</w:t>
                  </w:r>
                </w:p>
              </w:tc>
              <w:tc>
                <w:tcPr>
                  <w:tcW w:w="1980" w:type="dxa"/>
                  <w:gridSpan w:val="2"/>
                  <w:noWrap w:val="0"/>
                  <w:vAlign w:val="center"/>
                </w:tcPr>
                <w:p w14:paraId="59445C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9" w:type="dxa"/>
                  <w:noWrap w:val="0"/>
                  <w:vAlign w:val="center"/>
                </w:tcPr>
                <w:p w14:paraId="67CAFB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PE</w:t>
                  </w:r>
                </w:p>
              </w:tc>
              <w:tc>
                <w:tcPr>
                  <w:tcW w:w="621" w:type="dxa"/>
                  <w:noWrap w:val="0"/>
                  <w:vAlign w:val="center"/>
                </w:tcPr>
                <w:p w14:paraId="58D0E2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3DA1A9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4827F9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设备厂家配套</w:t>
                  </w:r>
                </w:p>
              </w:tc>
            </w:tr>
            <w:tr w14:paraId="259B025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01DD42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652" w:type="dxa"/>
                  <w:gridSpan w:val="2"/>
                  <w:noWrap w:val="0"/>
                  <w:vAlign w:val="center"/>
                </w:tcPr>
                <w:p w14:paraId="7A746F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尾气排放管</w:t>
                  </w:r>
                </w:p>
              </w:tc>
              <w:tc>
                <w:tcPr>
                  <w:tcW w:w="1980" w:type="dxa"/>
                  <w:gridSpan w:val="2"/>
                  <w:noWrap w:val="0"/>
                  <w:vAlign w:val="center"/>
                </w:tcPr>
                <w:p w14:paraId="6ECE75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9" w:type="dxa"/>
                  <w:noWrap w:val="0"/>
                  <w:vAlign w:val="center"/>
                </w:tcPr>
                <w:p w14:paraId="553FF3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玻璃钢</w:t>
                  </w:r>
                </w:p>
              </w:tc>
              <w:tc>
                <w:tcPr>
                  <w:tcW w:w="621" w:type="dxa"/>
                  <w:noWrap w:val="0"/>
                  <w:vAlign w:val="center"/>
                </w:tcPr>
                <w:p w14:paraId="455F7B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w:t>
                  </w:r>
                </w:p>
              </w:tc>
              <w:tc>
                <w:tcPr>
                  <w:tcW w:w="586" w:type="dxa"/>
                  <w:noWrap w:val="0"/>
                  <w:vAlign w:val="center"/>
                </w:tcPr>
                <w:p w14:paraId="2BC8B5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6214F0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设备厂家配套</w:t>
                  </w:r>
                </w:p>
              </w:tc>
            </w:tr>
            <w:tr w14:paraId="0381A34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5D3844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52" w:type="dxa"/>
                  <w:gridSpan w:val="2"/>
                  <w:noWrap w:val="0"/>
                  <w:vAlign w:val="center"/>
                </w:tcPr>
                <w:p w14:paraId="49C5B4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尾气排放管支架</w:t>
                  </w:r>
                </w:p>
              </w:tc>
              <w:tc>
                <w:tcPr>
                  <w:tcW w:w="1980" w:type="dxa"/>
                  <w:gridSpan w:val="2"/>
                  <w:noWrap w:val="0"/>
                  <w:vAlign w:val="center"/>
                </w:tcPr>
                <w:p w14:paraId="48C5EC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DN400</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H=15m</w:t>
                  </w:r>
                </w:p>
              </w:tc>
              <w:tc>
                <w:tcPr>
                  <w:tcW w:w="709" w:type="dxa"/>
                  <w:noWrap w:val="0"/>
                  <w:vAlign w:val="center"/>
                </w:tcPr>
                <w:p w14:paraId="04376F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碳钢防</w:t>
                  </w:r>
                </w:p>
                <w:p w14:paraId="1F3DEE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腐</w:t>
                  </w:r>
                </w:p>
              </w:tc>
              <w:tc>
                <w:tcPr>
                  <w:tcW w:w="621" w:type="dxa"/>
                  <w:noWrap w:val="0"/>
                  <w:vAlign w:val="center"/>
                </w:tcPr>
                <w:p w14:paraId="1D3729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550C03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699" w:type="dxa"/>
                  <w:noWrap w:val="0"/>
                  <w:vAlign w:val="center"/>
                </w:tcPr>
                <w:p w14:paraId="36AA0E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设备厂家配套</w:t>
                  </w:r>
                </w:p>
              </w:tc>
            </w:tr>
            <w:tr w14:paraId="68CEE2F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0FE55E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2" w:type="dxa"/>
                  <w:gridSpan w:val="2"/>
                  <w:noWrap w:val="0"/>
                  <w:vAlign w:val="center"/>
                </w:tcPr>
                <w:p w14:paraId="13CF54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循环水箱</w:t>
                  </w:r>
                </w:p>
              </w:tc>
              <w:tc>
                <w:tcPr>
                  <w:tcW w:w="1980" w:type="dxa"/>
                  <w:gridSpan w:val="2"/>
                  <w:noWrap w:val="0"/>
                  <w:vAlign w:val="center"/>
                </w:tcPr>
                <w:p w14:paraId="33A68B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Vmax=1m</w:t>
                  </w:r>
                  <w:r>
                    <w:rPr>
                      <w:rFonts w:hint="default" w:ascii="Times New Roman" w:hAnsi="Times New Roman" w:eastAsia="宋体" w:cs="Times New Roman"/>
                      <w:color w:val="auto"/>
                      <w:sz w:val="21"/>
                      <w:szCs w:val="21"/>
                      <w:vertAlign w:val="superscript"/>
                      <w:lang w:val="en-US" w:eastAsia="zh-CN"/>
                    </w:rPr>
                    <w:t>3</w:t>
                  </w:r>
                </w:p>
              </w:tc>
              <w:tc>
                <w:tcPr>
                  <w:tcW w:w="709" w:type="dxa"/>
                  <w:noWrap w:val="0"/>
                  <w:vAlign w:val="center"/>
                </w:tcPr>
                <w:p w14:paraId="34460F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121E49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50EE80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04BDB3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C5EA1B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555FE0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52" w:type="dxa"/>
                  <w:gridSpan w:val="2"/>
                  <w:noWrap w:val="0"/>
                  <w:vAlign w:val="center"/>
                </w:tcPr>
                <w:p w14:paraId="48671C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喷淋水箱</w:t>
                  </w:r>
                </w:p>
              </w:tc>
              <w:tc>
                <w:tcPr>
                  <w:tcW w:w="1980" w:type="dxa"/>
                  <w:gridSpan w:val="2"/>
                  <w:noWrap w:val="0"/>
                  <w:vAlign w:val="center"/>
                </w:tcPr>
                <w:p w14:paraId="6CB384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Vmax=1m</w:t>
                  </w:r>
                  <w:r>
                    <w:rPr>
                      <w:rFonts w:hint="default" w:ascii="Times New Roman" w:hAnsi="Times New Roman" w:eastAsia="宋体" w:cs="Times New Roman"/>
                      <w:color w:val="auto"/>
                      <w:sz w:val="21"/>
                      <w:szCs w:val="21"/>
                      <w:vertAlign w:val="superscript"/>
                      <w:lang w:val="en-US" w:eastAsia="zh-CN"/>
                    </w:rPr>
                    <w:t>3</w:t>
                  </w:r>
                </w:p>
              </w:tc>
              <w:tc>
                <w:tcPr>
                  <w:tcW w:w="709" w:type="dxa"/>
                  <w:noWrap w:val="0"/>
                  <w:vAlign w:val="center"/>
                </w:tcPr>
                <w:p w14:paraId="5328D5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121BB7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66FEC7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18D944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681D312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5FEE5E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52" w:type="dxa"/>
                  <w:gridSpan w:val="2"/>
                  <w:noWrap w:val="0"/>
                  <w:vAlign w:val="center"/>
                </w:tcPr>
                <w:p w14:paraId="0151B7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预洗段循环水泵</w:t>
                  </w:r>
                </w:p>
              </w:tc>
              <w:tc>
                <w:tcPr>
                  <w:tcW w:w="1980" w:type="dxa"/>
                  <w:gridSpan w:val="2"/>
                  <w:noWrap w:val="0"/>
                  <w:vAlign w:val="center"/>
                </w:tcPr>
                <w:p w14:paraId="56C597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/h，N=5.5kW，H=25.5m</w:t>
                  </w:r>
                </w:p>
              </w:tc>
              <w:tc>
                <w:tcPr>
                  <w:tcW w:w="709" w:type="dxa"/>
                  <w:noWrap w:val="0"/>
                  <w:vAlign w:val="center"/>
                </w:tcPr>
                <w:p w14:paraId="3BD87B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60873C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0DBE8D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38A43C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1用1备；含进出口软连接、配件</w:t>
                  </w:r>
                </w:p>
              </w:tc>
            </w:tr>
            <w:tr w14:paraId="48ABAC7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503A4D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52" w:type="dxa"/>
                  <w:gridSpan w:val="2"/>
                  <w:noWrap w:val="0"/>
                  <w:vAlign w:val="center"/>
                </w:tcPr>
                <w:p w14:paraId="22614F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生物段喷淋水泵</w:t>
                  </w:r>
                </w:p>
              </w:tc>
              <w:tc>
                <w:tcPr>
                  <w:tcW w:w="1980" w:type="dxa"/>
                  <w:gridSpan w:val="2"/>
                  <w:noWrap w:val="0"/>
                  <w:vAlign w:val="center"/>
                </w:tcPr>
                <w:p w14:paraId="6BF945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/h，N=5.5kW，H=25.5m</w:t>
                  </w:r>
                </w:p>
              </w:tc>
              <w:tc>
                <w:tcPr>
                  <w:tcW w:w="709" w:type="dxa"/>
                  <w:noWrap w:val="0"/>
                  <w:vAlign w:val="center"/>
                </w:tcPr>
                <w:p w14:paraId="347DD9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527C62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0E4400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3AC605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17050B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4A032F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52" w:type="dxa"/>
                  <w:gridSpan w:val="2"/>
                  <w:noWrap w:val="0"/>
                  <w:vAlign w:val="center"/>
                </w:tcPr>
                <w:p w14:paraId="713114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离心风机</w:t>
                  </w:r>
                </w:p>
              </w:tc>
              <w:tc>
                <w:tcPr>
                  <w:tcW w:w="1980" w:type="dxa"/>
                  <w:gridSpan w:val="2"/>
                  <w:noWrap w:val="0"/>
                  <w:vAlign w:val="center"/>
                </w:tcPr>
                <w:p w14:paraId="0FC2E8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Q=5000m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h，H=3.0KPa，=7.5Kw</w:t>
                  </w:r>
                </w:p>
              </w:tc>
              <w:tc>
                <w:tcPr>
                  <w:tcW w:w="709" w:type="dxa"/>
                  <w:noWrap w:val="0"/>
                  <w:vAlign w:val="center"/>
                </w:tcPr>
                <w:p w14:paraId="14CAFE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0FB4CC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2BBE7D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3D0081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659704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7717" w:type="dxa"/>
                  <w:gridSpan w:val="9"/>
                  <w:noWrap w:val="0"/>
                  <w:vAlign w:val="center"/>
                </w:tcPr>
                <w:p w14:paraId="031DB1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（2）鼓风机房</w:t>
                  </w:r>
                </w:p>
              </w:tc>
            </w:tr>
            <w:tr w14:paraId="47D025E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73ADEC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2" w:type="dxa"/>
                  <w:gridSpan w:val="2"/>
                  <w:noWrap w:val="0"/>
                  <w:vAlign w:val="center"/>
                </w:tcPr>
                <w:p w14:paraId="330DEC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罗茨鼓风机</w:t>
                  </w:r>
                </w:p>
              </w:tc>
              <w:tc>
                <w:tcPr>
                  <w:tcW w:w="1980" w:type="dxa"/>
                  <w:gridSpan w:val="2"/>
                  <w:noWrap w:val="0"/>
                  <w:vAlign w:val="center"/>
                </w:tcPr>
                <w:p w14:paraId="4DC5C7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Q=5.50m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/min，</w:t>
                  </w:r>
                </w:p>
                <w:p w14:paraId="7C6E66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H=55KPa，N=9.3kw</w:t>
                  </w:r>
                </w:p>
              </w:tc>
              <w:tc>
                <w:tcPr>
                  <w:tcW w:w="709" w:type="dxa"/>
                  <w:noWrap w:val="0"/>
                  <w:vAlign w:val="center"/>
                </w:tcPr>
                <w:p w14:paraId="40312A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0F187B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657462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252B71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近期1用1备</w:t>
                  </w:r>
                </w:p>
              </w:tc>
            </w:tr>
            <w:tr w14:paraId="2A656EF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7717" w:type="dxa"/>
                  <w:gridSpan w:val="9"/>
                  <w:noWrap w:val="0"/>
                  <w:vAlign w:val="center"/>
                </w:tcPr>
                <w:p w14:paraId="25EBEA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（3）加药间</w:t>
                  </w:r>
                </w:p>
              </w:tc>
            </w:tr>
            <w:tr w14:paraId="51EA094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6F6E26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2" w:type="dxa"/>
                  <w:gridSpan w:val="2"/>
                  <w:noWrap w:val="0"/>
                  <w:vAlign w:val="center"/>
                </w:tcPr>
                <w:p w14:paraId="629270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PAC加药罐</w:t>
                  </w:r>
                </w:p>
              </w:tc>
              <w:tc>
                <w:tcPr>
                  <w:tcW w:w="1980" w:type="dxa"/>
                  <w:gridSpan w:val="2"/>
                  <w:noWrap w:val="0"/>
                  <w:vAlign w:val="center"/>
                </w:tcPr>
                <w:p w14:paraId="14E6A1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Φ1040，H=1320</w:t>
                  </w:r>
                </w:p>
              </w:tc>
              <w:tc>
                <w:tcPr>
                  <w:tcW w:w="709" w:type="dxa"/>
                  <w:noWrap w:val="0"/>
                  <w:vAlign w:val="center"/>
                </w:tcPr>
                <w:p w14:paraId="174CD6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76CE64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461BF9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75C06B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与加药设备配套</w:t>
                  </w:r>
                </w:p>
              </w:tc>
            </w:tr>
            <w:tr w14:paraId="0EAD183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D14C3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2" w:type="dxa"/>
                  <w:gridSpan w:val="2"/>
                  <w:noWrap w:val="0"/>
                  <w:vAlign w:val="center"/>
                </w:tcPr>
                <w:p w14:paraId="28E622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PAC投药隔膜计量泵</w:t>
                  </w:r>
                </w:p>
              </w:tc>
              <w:tc>
                <w:tcPr>
                  <w:tcW w:w="1980" w:type="dxa"/>
                  <w:gridSpan w:val="2"/>
                  <w:noWrap w:val="0"/>
                  <w:vAlign w:val="center"/>
                </w:tcPr>
                <w:p w14:paraId="30C681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Q=0~40L/h，H=0.4MPa，N=0.55kW</w:t>
                  </w:r>
                </w:p>
              </w:tc>
              <w:tc>
                <w:tcPr>
                  <w:tcW w:w="709" w:type="dxa"/>
                  <w:noWrap w:val="0"/>
                  <w:vAlign w:val="center"/>
                </w:tcPr>
                <w:p w14:paraId="01A022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7DFC0B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0A5715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76265E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p w14:paraId="5CDF5D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与计量泵配套</w:t>
                  </w:r>
                </w:p>
              </w:tc>
            </w:tr>
            <w:tr w14:paraId="44C62E3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0C349C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52" w:type="dxa"/>
                  <w:gridSpan w:val="2"/>
                  <w:noWrap w:val="0"/>
                  <w:vAlign w:val="center"/>
                </w:tcPr>
                <w:p w14:paraId="7410BA9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溶药搅拌器</w:t>
                  </w:r>
                </w:p>
              </w:tc>
              <w:tc>
                <w:tcPr>
                  <w:tcW w:w="1980" w:type="dxa"/>
                  <w:gridSpan w:val="2"/>
                  <w:noWrap w:val="0"/>
                  <w:vAlign w:val="center"/>
                </w:tcPr>
                <w:p w14:paraId="261D72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N=0.75kW</w:t>
                  </w:r>
                </w:p>
              </w:tc>
              <w:tc>
                <w:tcPr>
                  <w:tcW w:w="709" w:type="dxa"/>
                  <w:noWrap w:val="0"/>
                  <w:vAlign w:val="center"/>
                </w:tcPr>
                <w:p w14:paraId="7215BB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7DF28D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56A0B4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062430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与计量泵配套</w:t>
                  </w:r>
                </w:p>
              </w:tc>
            </w:tr>
            <w:tr w14:paraId="437E7D0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430D7E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52" w:type="dxa"/>
                  <w:gridSpan w:val="2"/>
                  <w:noWrap w:val="0"/>
                  <w:vAlign w:val="center"/>
                </w:tcPr>
                <w:p w14:paraId="03A0DB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PAM全自动制备装置</w:t>
                  </w:r>
                </w:p>
              </w:tc>
              <w:tc>
                <w:tcPr>
                  <w:tcW w:w="1980" w:type="dxa"/>
                  <w:gridSpan w:val="2"/>
                  <w:noWrap w:val="0"/>
                  <w:vAlign w:val="center"/>
                </w:tcPr>
                <w:p w14:paraId="09FB54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制备能力1-2kg/h N=1.3KW</w:t>
                  </w:r>
                </w:p>
              </w:tc>
              <w:tc>
                <w:tcPr>
                  <w:tcW w:w="709" w:type="dxa"/>
                  <w:noWrap w:val="0"/>
                  <w:vAlign w:val="center"/>
                </w:tcPr>
                <w:p w14:paraId="790C61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737267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0D872B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5FE83A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与计量泵配套</w:t>
                  </w:r>
                </w:p>
              </w:tc>
            </w:tr>
            <w:tr w14:paraId="31E26F5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0AD1C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52" w:type="dxa"/>
                  <w:gridSpan w:val="2"/>
                  <w:noWrap w:val="0"/>
                  <w:vAlign w:val="center"/>
                </w:tcPr>
                <w:p w14:paraId="679588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PAM加药螺杆泵</w:t>
                  </w:r>
                </w:p>
              </w:tc>
              <w:tc>
                <w:tcPr>
                  <w:tcW w:w="1980" w:type="dxa"/>
                  <w:gridSpan w:val="2"/>
                  <w:noWrap w:val="0"/>
                  <w:vAlign w:val="center"/>
                </w:tcPr>
                <w:p w14:paraId="0D5145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Q=0.5m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w:t>
                  </w:r>
                </w:p>
                <w:p w14:paraId="7650AA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H=0.3Mpa N=0.75Kw</w:t>
                  </w:r>
                </w:p>
              </w:tc>
              <w:tc>
                <w:tcPr>
                  <w:tcW w:w="709" w:type="dxa"/>
                  <w:noWrap w:val="0"/>
                  <w:vAlign w:val="center"/>
                </w:tcPr>
                <w:p w14:paraId="293A3B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745264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586" w:type="dxa"/>
                  <w:noWrap w:val="0"/>
                  <w:vAlign w:val="center"/>
                </w:tcPr>
                <w:p w14:paraId="37BF87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72F3C3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32933A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1A6B85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52" w:type="dxa"/>
                  <w:gridSpan w:val="2"/>
                  <w:noWrap w:val="0"/>
                  <w:vAlign w:val="center"/>
                </w:tcPr>
                <w:p w14:paraId="526183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PAM加药螺杆泵</w:t>
                  </w:r>
                </w:p>
              </w:tc>
              <w:tc>
                <w:tcPr>
                  <w:tcW w:w="1980" w:type="dxa"/>
                  <w:gridSpan w:val="2"/>
                  <w:noWrap w:val="0"/>
                  <w:vAlign w:val="center"/>
                </w:tcPr>
                <w:p w14:paraId="1327B7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Q=0.5m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 H=0.3Mpa</w:t>
                  </w:r>
                </w:p>
                <w:p w14:paraId="7BAFCC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N=0.75Kw</w:t>
                  </w:r>
                </w:p>
              </w:tc>
              <w:tc>
                <w:tcPr>
                  <w:tcW w:w="709" w:type="dxa"/>
                  <w:noWrap w:val="0"/>
                  <w:vAlign w:val="center"/>
                </w:tcPr>
                <w:p w14:paraId="6518AC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329725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586" w:type="dxa"/>
                  <w:noWrap w:val="0"/>
                  <w:vAlign w:val="center"/>
                </w:tcPr>
                <w:p w14:paraId="2864AA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2CEE06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10C281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439026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52" w:type="dxa"/>
                  <w:gridSpan w:val="2"/>
                  <w:noWrap w:val="0"/>
                  <w:vAlign w:val="center"/>
                </w:tcPr>
                <w:p w14:paraId="30A06E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冲洗泵</w:t>
                  </w:r>
                </w:p>
              </w:tc>
              <w:tc>
                <w:tcPr>
                  <w:tcW w:w="1980" w:type="dxa"/>
                  <w:gridSpan w:val="2"/>
                  <w:noWrap w:val="0"/>
                  <w:vAlign w:val="center"/>
                </w:tcPr>
                <w:p w14:paraId="51DA0A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Q=5m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 H=30m</w:t>
                  </w:r>
                </w:p>
                <w:p w14:paraId="619323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N=1.5Kw</w:t>
                  </w:r>
                </w:p>
              </w:tc>
              <w:tc>
                <w:tcPr>
                  <w:tcW w:w="709" w:type="dxa"/>
                  <w:noWrap w:val="0"/>
                  <w:vAlign w:val="center"/>
                </w:tcPr>
                <w:p w14:paraId="2CD8C8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0B89E3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586" w:type="dxa"/>
                  <w:noWrap w:val="0"/>
                  <w:vAlign w:val="center"/>
                </w:tcPr>
                <w:p w14:paraId="030D93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20C071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6A96CA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6E56A1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652" w:type="dxa"/>
                  <w:gridSpan w:val="2"/>
                  <w:noWrap w:val="0"/>
                  <w:vAlign w:val="center"/>
                </w:tcPr>
                <w:p w14:paraId="493FCA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冲洗水箱</w:t>
                  </w:r>
                </w:p>
              </w:tc>
              <w:tc>
                <w:tcPr>
                  <w:tcW w:w="1980" w:type="dxa"/>
                  <w:gridSpan w:val="2"/>
                  <w:noWrap w:val="0"/>
                  <w:vAlign w:val="center"/>
                </w:tcPr>
                <w:p w14:paraId="0A7C2A6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V=1m</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Ф1100mm</w:t>
                  </w:r>
                </w:p>
                <w:p w14:paraId="41A3DE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H=1400mm</w:t>
                  </w:r>
                </w:p>
              </w:tc>
              <w:tc>
                <w:tcPr>
                  <w:tcW w:w="709" w:type="dxa"/>
                  <w:noWrap w:val="0"/>
                  <w:vAlign w:val="center"/>
                </w:tcPr>
                <w:p w14:paraId="74C7D2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5E0F07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586" w:type="dxa"/>
                  <w:noWrap w:val="0"/>
                  <w:vAlign w:val="center"/>
                </w:tcPr>
                <w:p w14:paraId="461E66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17BCFD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BF9D72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1F8397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652" w:type="dxa"/>
                  <w:gridSpan w:val="2"/>
                  <w:noWrap w:val="0"/>
                  <w:vAlign w:val="center"/>
                </w:tcPr>
                <w:p w14:paraId="28D679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乙酸钠加药罐</w:t>
                  </w:r>
                </w:p>
              </w:tc>
              <w:tc>
                <w:tcPr>
                  <w:tcW w:w="1980" w:type="dxa"/>
                  <w:gridSpan w:val="2"/>
                  <w:noWrap w:val="0"/>
                  <w:vAlign w:val="center"/>
                </w:tcPr>
                <w:p w14:paraId="624CD7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Ф1040，H=1320mm</w:t>
                  </w:r>
                </w:p>
              </w:tc>
              <w:tc>
                <w:tcPr>
                  <w:tcW w:w="709" w:type="dxa"/>
                  <w:noWrap w:val="0"/>
                  <w:vAlign w:val="center"/>
                </w:tcPr>
                <w:p w14:paraId="11BE5C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48C26B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3C7740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4348F3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A3274B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6F5F39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52" w:type="dxa"/>
                  <w:gridSpan w:val="2"/>
                  <w:noWrap w:val="0"/>
                  <w:vAlign w:val="center"/>
                </w:tcPr>
                <w:p w14:paraId="5FB8F4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乙酸钠加药泵</w:t>
                  </w:r>
                </w:p>
              </w:tc>
              <w:tc>
                <w:tcPr>
                  <w:tcW w:w="1980" w:type="dxa"/>
                  <w:gridSpan w:val="2"/>
                  <w:noWrap w:val="0"/>
                  <w:vAlign w:val="center"/>
                </w:tcPr>
                <w:p w14:paraId="2FA8DB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Q=0~50L/h，</w:t>
                  </w:r>
                </w:p>
                <w:p w14:paraId="02EB9F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H=0.5MPa， N=0.55kW</w:t>
                  </w:r>
                </w:p>
              </w:tc>
              <w:tc>
                <w:tcPr>
                  <w:tcW w:w="709" w:type="dxa"/>
                  <w:noWrap w:val="0"/>
                  <w:vAlign w:val="center"/>
                </w:tcPr>
                <w:p w14:paraId="1D94C3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0E21C0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21F55F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1E5939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78037C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7E35B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652" w:type="dxa"/>
                  <w:gridSpan w:val="2"/>
                  <w:noWrap w:val="0"/>
                  <w:vAlign w:val="center"/>
                </w:tcPr>
                <w:p w14:paraId="523046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溶药搅拌器</w:t>
                  </w:r>
                </w:p>
              </w:tc>
              <w:tc>
                <w:tcPr>
                  <w:tcW w:w="1980" w:type="dxa"/>
                  <w:gridSpan w:val="2"/>
                  <w:noWrap w:val="0"/>
                  <w:vAlign w:val="center"/>
                </w:tcPr>
                <w:p w14:paraId="63913E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N=0.75kW</w:t>
                  </w:r>
                </w:p>
              </w:tc>
              <w:tc>
                <w:tcPr>
                  <w:tcW w:w="709" w:type="dxa"/>
                  <w:noWrap w:val="0"/>
                  <w:vAlign w:val="center"/>
                </w:tcPr>
                <w:p w14:paraId="614754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621" w:type="dxa"/>
                  <w:noWrap w:val="0"/>
                  <w:vAlign w:val="center"/>
                </w:tcPr>
                <w:p w14:paraId="5AD2BA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413803A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6F0FC8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479ACB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4DFD7B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652" w:type="dxa"/>
                  <w:gridSpan w:val="2"/>
                  <w:noWrap w:val="0"/>
                  <w:vAlign w:val="center"/>
                </w:tcPr>
                <w:p w14:paraId="705947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次氯酸钠加药罐</w:t>
                  </w:r>
                </w:p>
              </w:tc>
              <w:tc>
                <w:tcPr>
                  <w:tcW w:w="1980" w:type="dxa"/>
                  <w:gridSpan w:val="2"/>
                  <w:noWrap w:val="0"/>
                  <w:vAlign w:val="center"/>
                </w:tcPr>
                <w:p w14:paraId="21EE14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Ф1500，H=1900mm</w:t>
                  </w:r>
                </w:p>
              </w:tc>
              <w:tc>
                <w:tcPr>
                  <w:tcW w:w="709" w:type="dxa"/>
                  <w:noWrap w:val="0"/>
                  <w:vAlign w:val="center"/>
                </w:tcPr>
                <w:p w14:paraId="7724DF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694981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586" w:type="dxa"/>
                  <w:noWrap w:val="0"/>
                  <w:vAlign w:val="center"/>
                </w:tcPr>
                <w:p w14:paraId="0EC5C0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30B3DC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867A7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7717" w:type="dxa"/>
                  <w:gridSpan w:val="9"/>
                  <w:noWrap w:val="0"/>
                  <w:vAlign w:val="center"/>
                </w:tcPr>
                <w:p w14:paraId="681742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（4）污泥脱水机房</w:t>
                  </w:r>
                </w:p>
              </w:tc>
            </w:tr>
            <w:tr w14:paraId="144ABCC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4C330C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52" w:type="dxa"/>
                  <w:gridSpan w:val="2"/>
                  <w:noWrap w:val="0"/>
                  <w:vAlign w:val="center"/>
                </w:tcPr>
                <w:p w14:paraId="36C773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浓缩机进料泵</w:t>
                  </w:r>
                </w:p>
              </w:tc>
              <w:tc>
                <w:tcPr>
                  <w:tcW w:w="1980" w:type="dxa"/>
                  <w:gridSpan w:val="2"/>
                  <w:noWrap w:val="0"/>
                  <w:vAlign w:val="center"/>
                </w:tcPr>
                <w:p w14:paraId="33FC77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Q=4~13m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w:t>
                  </w:r>
                </w:p>
                <w:p w14:paraId="01EDE2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H=0.3MPa，N=3kW</w:t>
                  </w:r>
                </w:p>
              </w:tc>
              <w:tc>
                <w:tcPr>
                  <w:tcW w:w="709" w:type="dxa"/>
                  <w:noWrap w:val="0"/>
                  <w:vAlign w:val="center"/>
                </w:tcPr>
                <w:p w14:paraId="2BBA9D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23EC07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7440A3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99" w:type="dxa"/>
                  <w:noWrap w:val="0"/>
                  <w:vAlign w:val="center"/>
                </w:tcPr>
                <w:p w14:paraId="5CD913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D7A9C5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dxa"/>
                  <w:noWrap w:val="0"/>
                  <w:vAlign w:val="center"/>
                </w:tcPr>
                <w:p w14:paraId="382A97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52" w:type="dxa"/>
                  <w:gridSpan w:val="2"/>
                  <w:noWrap w:val="0"/>
                  <w:vAlign w:val="center"/>
                </w:tcPr>
                <w:p w14:paraId="17A428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叠螺式污泥浓缩机</w:t>
                  </w:r>
                </w:p>
              </w:tc>
              <w:tc>
                <w:tcPr>
                  <w:tcW w:w="1980" w:type="dxa"/>
                  <w:gridSpan w:val="2"/>
                  <w:noWrap w:val="0"/>
                  <w:vAlign w:val="center"/>
                </w:tcPr>
                <w:p w14:paraId="5DED17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60~120kgDS/h,</w:t>
                  </w:r>
                </w:p>
              </w:tc>
              <w:tc>
                <w:tcPr>
                  <w:tcW w:w="709" w:type="dxa"/>
                  <w:noWrap w:val="0"/>
                  <w:vAlign w:val="center"/>
                </w:tcPr>
                <w:p w14:paraId="24C0B4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w:t>
                  </w:r>
                </w:p>
              </w:tc>
              <w:tc>
                <w:tcPr>
                  <w:tcW w:w="621" w:type="dxa"/>
                  <w:noWrap w:val="0"/>
                  <w:vAlign w:val="center"/>
                </w:tcPr>
                <w:p w14:paraId="05E40D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6" w:type="dxa"/>
                  <w:noWrap w:val="0"/>
                  <w:vAlign w:val="center"/>
                </w:tcPr>
                <w:p w14:paraId="703C07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99" w:type="dxa"/>
                  <w:noWrap w:val="0"/>
                  <w:vAlign w:val="center"/>
                </w:tcPr>
                <w:p w14:paraId="736962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1用1备，均变频</w:t>
                  </w:r>
                </w:p>
              </w:tc>
            </w:tr>
            <w:tr w14:paraId="1A00420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102" w:type="dxa"/>
                  <w:gridSpan w:val="5"/>
                  <w:noWrap w:val="0"/>
                  <w:vAlign w:val="center"/>
                </w:tcPr>
                <w:p w14:paraId="5E80FF8F">
                  <w:pPr>
                    <w:pStyle w:val="67"/>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eastAsia="zh-CN"/>
                    </w:rPr>
                    <w:drawing>
                      <wp:inline distT="0" distB="0" distL="114300" distR="114300">
                        <wp:extent cx="2427605" cy="1823085"/>
                        <wp:effectExtent l="0" t="0" r="10795" b="5715"/>
                        <wp:docPr id="24" name="图片 11" descr="a5e37a6e01587113fd02dc1b446a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a5e37a6e01587113fd02dc1b446a710"/>
                                <pic:cNvPicPr>
                                  <a:picLocks noChangeAspect="1"/>
                                </pic:cNvPicPr>
                              </pic:nvPicPr>
                              <pic:blipFill>
                                <a:blip r:embed="rId17"/>
                                <a:stretch>
                                  <a:fillRect/>
                                </a:stretch>
                              </pic:blipFill>
                              <pic:spPr>
                                <a:xfrm>
                                  <a:off x="0" y="0"/>
                                  <a:ext cx="2427605" cy="1823085"/>
                                </a:xfrm>
                                <a:prstGeom prst="rect">
                                  <a:avLst/>
                                </a:prstGeom>
                                <a:noFill/>
                                <a:ln>
                                  <a:noFill/>
                                </a:ln>
                              </pic:spPr>
                            </pic:pic>
                          </a:graphicData>
                        </a:graphic>
                      </wp:inline>
                    </w:drawing>
                  </w:r>
                </w:p>
              </w:tc>
              <w:tc>
                <w:tcPr>
                  <w:tcW w:w="3615" w:type="dxa"/>
                  <w:gridSpan w:val="4"/>
                  <w:noWrap w:val="0"/>
                  <w:vAlign w:val="center"/>
                </w:tcPr>
                <w:p w14:paraId="4F8F1BB2">
                  <w:pPr>
                    <w:pStyle w:val="67"/>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highlight w:val="none"/>
                      <w:lang w:val="en-US" w:eastAsia="zh-CN"/>
                    </w:rPr>
                    <w:drawing>
                      <wp:inline distT="0" distB="0" distL="114300" distR="114300">
                        <wp:extent cx="2400935" cy="1671955"/>
                        <wp:effectExtent l="0" t="0" r="18415" b="4445"/>
                        <wp:docPr id="25" name="图片 12" descr="c60011212bea94c0818e7622d765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c60011212bea94c0818e7622d765f64"/>
                                <pic:cNvPicPr>
                                  <a:picLocks noChangeAspect="1"/>
                                </pic:cNvPicPr>
                              </pic:nvPicPr>
                              <pic:blipFill>
                                <a:blip r:embed="rId18"/>
                                <a:stretch>
                                  <a:fillRect/>
                                </a:stretch>
                              </pic:blipFill>
                              <pic:spPr>
                                <a:xfrm>
                                  <a:off x="0" y="0"/>
                                  <a:ext cx="2400935" cy="1671955"/>
                                </a:xfrm>
                                <a:prstGeom prst="rect">
                                  <a:avLst/>
                                </a:prstGeom>
                                <a:noFill/>
                                <a:ln>
                                  <a:noFill/>
                                </a:ln>
                              </pic:spPr>
                            </pic:pic>
                          </a:graphicData>
                        </a:graphic>
                      </wp:inline>
                    </w:drawing>
                  </w:r>
                </w:p>
              </w:tc>
            </w:tr>
          </w:tbl>
          <w:p w14:paraId="6E4CD47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rPr>
              <w:t>、项目原辅材料</w:t>
            </w:r>
            <w:r>
              <w:rPr>
                <w:rFonts w:hint="default" w:ascii="Times New Roman" w:hAnsi="Times New Roman" w:eastAsia="仿宋_GB2312" w:cs="Times New Roman"/>
                <w:b/>
                <w:bCs/>
                <w:color w:val="auto"/>
                <w:sz w:val="24"/>
                <w:szCs w:val="24"/>
                <w:lang w:eastAsia="zh-CN"/>
              </w:rPr>
              <w:t>消耗</w:t>
            </w:r>
          </w:p>
          <w:p w14:paraId="1818FC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44"/>
                <w:sz w:val="24"/>
                <w:szCs w:val="24"/>
              </w:rPr>
              <w:t>本项目污水处理过程中需要投加定量的PAC、PAM、次氯酸钠，用于絮凝沉淀、除磷及消毒，具体用量见表</w:t>
            </w:r>
            <w:r>
              <w:rPr>
                <w:rFonts w:hint="eastAsia" w:ascii="Times New Roman" w:hAnsi="Times New Roman" w:eastAsia="仿宋_GB2312" w:cs="Times New Roman"/>
                <w:color w:val="auto"/>
                <w:kern w:val="44"/>
                <w:sz w:val="24"/>
                <w:szCs w:val="24"/>
                <w:lang w:val="en-US" w:eastAsia="zh-CN"/>
              </w:rPr>
              <w:t>2-5</w:t>
            </w:r>
            <w:r>
              <w:rPr>
                <w:rFonts w:hint="default" w:ascii="Times New Roman" w:hAnsi="Times New Roman" w:eastAsia="仿宋_GB2312" w:cs="Times New Roman"/>
                <w:color w:val="auto"/>
                <w:kern w:val="44"/>
                <w:sz w:val="24"/>
                <w:szCs w:val="24"/>
              </w:rPr>
              <w:t>。</w:t>
            </w:r>
          </w:p>
          <w:p w14:paraId="7DA06C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color w:val="auto"/>
                <w:szCs w:val="21"/>
              </w:rPr>
              <w:t>表</w:t>
            </w:r>
            <w:r>
              <w:rPr>
                <w:rFonts w:hint="eastAsia" w:ascii="Times New Roman" w:hAnsi="Times New Roman" w:eastAsia="仿宋_GB2312" w:cs="Times New Roman"/>
                <w:color w:val="auto"/>
                <w:szCs w:val="21"/>
                <w:lang w:val="en-US" w:eastAsia="zh-CN"/>
              </w:rPr>
              <w:t xml:space="preserve">2-5    </w:t>
            </w:r>
            <w:r>
              <w:rPr>
                <w:rFonts w:hint="default" w:ascii="Times New Roman" w:hAnsi="Times New Roman" w:eastAsia="仿宋_GB2312" w:cs="Times New Roman"/>
                <w:b/>
                <w:color w:val="auto"/>
                <w:sz w:val="24"/>
                <w:szCs w:val="24"/>
              </w:rPr>
              <w:t>项目药剂使用情况一览表</w:t>
            </w:r>
          </w:p>
          <w:tbl>
            <w:tblPr>
              <w:tblStyle w:val="26"/>
              <w:tblW w:w="49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2"/>
              <w:gridCol w:w="1460"/>
              <w:gridCol w:w="603"/>
              <w:gridCol w:w="1647"/>
              <w:gridCol w:w="687"/>
              <w:gridCol w:w="913"/>
              <w:gridCol w:w="787"/>
              <w:gridCol w:w="1048"/>
            </w:tblGrid>
            <w:tr w14:paraId="1D468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572" w:type="dxa"/>
                  <w:vAlign w:val="center"/>
                </w:tcPr>
                <w:p w14:paraId="4AA7DC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1460" w:type="dxa"/>
                  <w:vAlign w:val="center"/>
                </w:tcPr>
                <w:p w14:paraId="45FAB8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药剂名称</w:t>
                  </w:r>
                </w:p>
              </w:tc>
              <w:tc>
                <w:tcPr>
                  <w:tcW w:w="603" w:type="dxa"/>
                  <w:vAlign w:val="center"/>
                </w:tcPr>
                <w:p w14:paraId="01B4A9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形态</w:t>
                  </w:r>
                </w:p>
              </w:tc>
              <w:tc>
                <w:tcPr>
                  <w:tcW w:w="1647" w:type="dxa"/>
                  <w:vAlign w:val="center"/>
                </w:tcPr>
                <w:p w14:paraId="398C05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投加量</w:t>
                  </w:r>
                </w:p>
              </w:tc>
              <w:tc>
                <w:tcPr>
                  <w:tcW w:w="687" w:type="dxa"/>
                  <w:vAlign w:val="center"/>
                </w:tcPr>
                <w:p w14:paraId="2684F54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浓度</w:t>
                  </w:r>
                </w:p>
              </w:tc>
              <w:tc>
                <w:tcPr>
                  <w:tcW w:w="913" w:type="dxa"/>
                  <w:vAlign w:val="center"/>
                </w:tcPr>
                <w:p w14:paraId="65690E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年用量（t/a）</w:t>
                  </w:r>
                </w:p>
              </w:tc>
              <w:tc>
                <w:tcPr>
                  <w:tcW w:w="787" w:type="dxa"/>
                  <w:vAlign w:val="center"/>
                </w:tcPr>
                <w:p w14:paraId="5C5B1B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来源</w:t>
                  </w:r>
                </w:p>
              </w:tc>
              <w:tc>
                <w:tcPr>
                  <w:tcW w:w="1048" w:type="dxa"/>
                  <w:vAlign w:val="center"/>
                </w:tcPr>
                <w:p w14:paraId="63BE19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贮存位置</w:t>
                  </w:r>
                </w:p>
              </w:tc>
            </w:tr>
            <w:tr w14:paraId="1852D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572" w:type="dxa"/>
                  <w:vAlign w:val="center"/>
                </w:tcPr>
                <w:p w14:paraId="20282E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460" w:type="dxa"/>
                  <w:vAlign w:val="center"/>
                </w:tcPr>
                <w:p w14:paraId="0A47C7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PAM(絮凝剂)</w:t>
                  </w:r>
                </w:p>
              </w:tc>
              <w:tc>
                <w:tcPr>
                  <w:tcW w:w="603" w:type="dxa"/>
                  <w:vAlign w:val="center"/>
                </w:tcPr>
                <w:p w14:paraId="1D6584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固</w:t>
                  </w:r>
                </w:p>
              </w:tc>
              <w:tc>
                <w:tcPr>
                  <w:tcW w:w="1647" w:type="dxa"/>
                  <w:vAlign w:val="center"/>
                </w:tcPr>
                <w:p w14:paraId="1ED4E7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2.0mg/L·废水</w:t>
                  </w:r>
                </w:p>
              </w:tc>
              <w:tc>
                <w:tcPr>
                  <w:tcW w:w="687" w:type="dxa"/>
                  <w:vAlign w:val="center"/>
                </w:tcPr>
                <w:p w14:paraId="772D3D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w:t>
                  </w:r>
                </w:p>
              </w:tc>
              <w:tc>
                <w:tcPr>
                  <w:tcW w:w="913" w:type="dxa"/>
                  <w:vAlign w:val="center"/>
                </w:tcPr>
                <w:p w14:paraId="0256C6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0.584</w:t>
                  </w:r>
                </w:p>
              </w:tc>
              <w:tc>
                <w:tcPr>
                  <w:tcW w:w="787" w:type="dxa"/>
                  <w:vAlign w:val="center"/>
                </w:tcPr>
                <w:p w14:paraId="22A77B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外购</w:t>
                  </w:r>
                </w:p>
              </w:tc>
              <w:tc>
                <w:tcPr>
                  <w:tcW w:w="1048" w:type="dxa"/>
                  <w:vMerge w:val="restart"/>
                  <w:vAlign w:val="center"/>
                </w:tcPr>
                <w:p w14:paraId="72C2FE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eastAsia="zh-CN"/>
                    </w:rPr>
                    <w:t>污水处理厂深度处理车间</w:t>
                  </w:r>
                </w:p>
              </w:tc>
            </w:tr>
            <w:tr w14:paraId="69C27E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572" w:type="dxa"/>
                  <w:vAlign w:val="center"/>
                </w:tcPr>
                <w:p w14:paraId="3EA021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460" w:type="dxa"/>
                  <w:vAlign w:val="center"/>
                </w:tcPr>
                <w:p w14:paraId="3EA9F3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PAC(除磷剂)</w:t>
                  </w:r>
                </w:p>
              </w:tc>
              <w:tc>
                <w:tcPr>
                  <w:tcW w:w="603" w:type="dxa"/>
                  <w:vAlign w:val="center"/>
                </w:tcPr>
                <w:p w14:paraId="6B65D1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液</w:t>
                  </w:r>
                </w:p>
              </w:tc>
              <w:tc>
                <w:tcPr>
                  <w:tcW w:w="1647" w:type="dxa"/>
                  <w:vAlign w:val="center"/>
                </w:tcPr>
                <w:p w14:paraId="78EAE6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50.0mg/L·废水</w:t>
                  </w:r>
                </w:p>
              </w:tc>
              <w:tc>
                <w:tcPr>
                  <w:tcW w:w="687" w:type="dxa"/>
                  <w:vAlign w:val="center"/>
                </w:tcPr>
                <w:p w14:paraId="67E236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913" w:type="dxa"/>
                  <w:vAlign w:val="center"/>
                </w:tcPr>
                <w:p w14:paraId="356BAD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14.6</w:t>
                  </w:r>
                </w:p>
              </w:tc>
              <w:tc>
                <w:tcPr>
                  <w:tcW w:w="787" w:type="dxa"/>
                  <w:vAlign w:val="center"/>
                </w:tcPr>
                <w:p w14:paraId="73FB7C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外购</w:t>
                  </w:r>
                </w:p>
              </w:tc>
              <w:tc>
                <w:tcPr>
                  <w:tcW w:w="1048" w:type="dxa"/>
                  <w:vMerge w:val="continue"/>
                  <w:vAlign w:val="center"/>
                </w:tcPr>
                <w:p w14:paraId="1B43AD9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p>
              </w:tc>
            </w:tr>
            <w:tr w14:paraId="0BA8F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572" w:type="dxa"/>
                  <w:vAlign w:val="center"/>
                </w:tcPr>
                <w:p w14:paraId="33599F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460" w:type="dxa"/>
                  <w:vAlign w:val="center"/>
                </w:tcPr>
                <w:p w14:paraId="049ADF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次氯酸钠</w:t>
                  </w:r>
                </w:p>
              </w:tc>
              <w:tc>
                <w:tcPr>
                  <w:tcW w:w="603" w:type="dxa"/>
                  <w:vAlign w:val="center"/>
                </w:tcPr>
                <w:p w14:paraId="3B146E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液</w:t>
                  </w:r>
                </w:p>
              </w:tc>
              <w:tc>
                <w:tcPr>
                  <w:tcW w:w="1647" w:type="dxa"/>
                  <w:vAlign w:val="center"/>
                </w:tcPr>
                <w:p w14:paraId="7BBF19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10.0mg/L·废水</w:t>
                  </w:r>
                </w:p>
              </w:tc>
              <w:tc>
                <w:tcPr>
                  <w:tcW w:w="687" w:type="dxa"/>
                  <w:vAlign w:val="center"/>
                </w:tcPr>
                <w:p w14:paraId="475878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913" w:type="dxa"/>
                  <w:vAlign w:val="center"/>
                </w:tcPr>
                <w:p w14:paraId="381BFA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2.92</w:t>
                  </w:r>
                </w:p>
              </w:tc>
              <w:tc>
                <w:tcPr>
                  <w:tcW w:w="787" w:type="dxa"/>
                  <w:vAlign w:val="center"/>
                </w:tcPr>
                <w:p w14:paraId="407A7E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外购</w:t>
                  </w:r>
                </w:p>
              </w:tc>
              <w:tc>
                <w:tcPr>
                  <w:tcW w:w="1048" w:type="dxa"/>
                  <w:vMerge w:val="continue"/>
                  <w:vAlign w:val="center"/>
                </w:tcPr>
                <w:p w14:paraId="2D0DA3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p>
              </w:tc>
            </w:tr>
          </w:tbl>
          <w:p w14:paraId="061E603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color w:val="auto"/>
                <w:kern w:val="44"/>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）原辅材料性质</w:t>
            </w:r>
          </w:p>
          <w:p w14:paraId="4E818455">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_GB2312" w:cs="Times New Roman"/>
                <w:color w:val="auto"/>
                <w:kern w:val="44"/>
                <w:sz w:val="24"/>
                <w:szCs w:val="24"/>
              </w:rPr>
            </w:pPr>
            <w:r>
              <w:rPr>
                <w:rFonts w:hint="default" w:ascii="Times New Roman" w:hAnsi="Times New Roman" w:eastAsia="仿宋_GB2312" w:cs="Times New Roman"/>
                <w:color w:val="auto"/>
                <w:kern w:val="44"/>
                <w:sz w:val="24"/>
                <w:szCs w:val="24"/>
              </w:rPr>
              <w:t>PAC:PAC为聚合氯化铝，聚合氯化铝是一种净水材料，无机高分子混凝剂，由于氢氧根离子的架桥作用和多价阴离子的聚合作用而生产的分子量较大、电荷较高的无机高分子水处理药剂。在形态上又可以分为固体和液体两种。固体按颜色不同又分为棕褐色、米黄色、金黄色和白色，液体可以呈现为无色透明、微黄色、浅黄色至黄褐色。不同颜色的聚合氯化铝在应用及生产技术上也有较大的</w:t>
            </w: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HYPERLINK "http://baike.baidu.com/subview/367270/8050657.htm" \t "http://baike.baidu.com/view/_blank"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kern w:val="44"/>
                <w:sz w:val="24"/>
                <w:szCs w:val="24"/>
              </w:rPr>
              <w:t>区别</w:t>
            </w:r>
            <w:r>
              <w:rPr>
                <w:rFonts w:hint="default" w:ascii="Times New Roman" w:hAnsi="Times New Roman" w:eastAsia="仿宋_GB2312" w:cs="Times New Roman"/>
                <w:color w:val="auto"/>
                <w:kern w:val="44"/>
                <w:sz w:val="24"/>
                <w:szCs w:val="24"/>
              </w:rPr>
              <w:fldChar w:fldCharType="end"/>
            </w:r>
            <w:r>
              <w:rPr>
                <w:rFonts w:hint="default" w:ascii="Times New Roman" w:hAnsi="Times New Roman" w:eastAsia="仿宋_GB2312" w:cs="Times New Roman"/>
                <w:color w:val="auto"/>
                <w:kern w:val="44"/>
                <w:sz w:val="24"/>
                <w:szCs w:val="24"/>
              </w:rPr>
              <w:t>。</w:t>
            </w:r>
          </w:p>
          <w:p w14:paraId="416045AA">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_GB2312" w:cs="Times New Roman"/>
                <w:color w:val="auto"/>
                <w:kern w:val="44"/>
                <w:sz w:val="24"/>
                <w:szCs w:val="24"/>
              </w:rPr>
            </w:pPr>
            <w:r>
              <w:rPr>
                <w:rFonts w:hint="default" w:ascii="Times New Roman" w:hAnsi="Times New Roman" w:eastAsia="仿宋_GB2312" w:cs="Times New Roman"/>
                <w:color w:val="auto"/>
                <w:kern w:val="44"/>
                <w:sz w:val="24"/>
                <w:szCs w:val="24"/>
              </w:rPr>
              <w:t>PAM：PAM是Polyacrylamide的缩写，中文名字聚丙烯酰胺。PAM是国内常用的非离子型高分子絮凝剂，分子量150万－2000万，商品浓度一般为8%。有机高分子絮凝剂具有在颗粒间形成更大的絮体由此产生的巨大</w:t>
            </w: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HYPERLINK "http://baike.baidu.com/view/2416746.htm" \t "http://baike.baidu.com/item/PAM/_blank"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kern w:val="44"/>
                <w:sz w:val="24"/>
                <w:szCs w:val="24"/>
              </w:rPr>
              <w:t>表面吸附作用</w:t>
            </w:r>
            <w:r>
              <w:rPr>
                <w:rFonts w:hint="default" w:ascii="Times New Roman" w:hAnsi="Times New Roman" w:eastAsia="仿宋_GB2312" w:cs="Times New Roman"/>
                <w:color w:val="auto"/>
                <w:kern w:val="44"/>
                <w:sz w:val="24"/>
                <w:szCs w:val="24"/>
              </w:rPr>
              <w:fldChar w:fldCharType="end"/>
            </w:r>
            <w:r>
              <w:rPr>
                <w:rFonts w:hint="default" w:ascii="Times New Roman" w:hAnsi="Times New Roman" w:eastAsia="仿宋_GB2312" w:cs="Times New Roman"/>
                <w:color w:val="auto"/>
                <w:kern w:val="44"/>
                <w:sz w:val="24"/>
                <w:szCs w:val="24"/>
              </w:rPr>
              <w:t>。</w:t>
            </w:r>
          </w:p>
          <w:p w14:paraId="071782C8">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44"/>
                <w:sz w:val="24"/>
                <w:szCs w:val="24"/>
              </w:rPr>
              <w:t>次氯酸钠：中文名次氯酸钠，英文名Sodium hypochlorite，分子量74.44，化学结构式NaClO。次氯酸钠绿黄色水溶液，强氧化剂强碱性。次氯酸钠不属于毒性物质、也不属于易燃易爆物质，但次氯酸钠见光易分解产生氯气对环境及人群健康存在危害。氯酸不稳定，容易分解，放出氧气。当氯水受日光照射时，次氯酸的分解加速了。次氯酸是一种强氧化剂，能杀死水里的病菌。次氯酸化学式HClO，结构式H-O-Cl，仅存在于溶液中，浓溶液呈黄色，稀溶液无色，有非常刺鼻的气味，极不稳定，是很弱的酸，比碳酸弱，和氢硫酸相当。有很强的氧化性和漂白作用，它的盐类可用做漂白剂和消毒剂，次氯酸盐中最重要的是钙盐，也是漂白粉（次氯酸钙和碱式氯化钙的混合物）的有效成分。次氯酸是一种强氧化剂，能杀死水里的细菌。</w:t>
            </w:r>
          </w:p>
          <w:p w14:paraId="38A00B9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仿宋_GB2312" w:cs="Times New Roman"/>
                <w:b/>
                <w:bCs/>
                <w:color w:val="auto"/>
                <w:sz w:val="24"/>
                <w:szCs w:val="24"/>
              </w:rPr>
            </w:pPr>
            <w:r>
              <w:rPr>
                <w:rFonts w:hint="eastAsia" w:ascii="Times New Roman" w:hAnsi="Times New Roman" w:eastAsia="仿宋_GB2312" w:cs="Times New Roman"/>
                <w:b/>
                <w:bCs/>
                <w:color w:val="auto"/>
                <w:sz w:val="24"/>
                <w:szCs w:val="24"/>
                <w:lang w:val="en-US" w:eastAsia="zh-CN"/>
              </w:rPr>
              <w:t>6</w:t>
            </w:r>
            <w:r>
              <w:rPr>
                <w:rFonts w:hint="default" w:ascii="Times New Roman" w:hAnsi="Times New Roman" w:eastAsia="仿宋_GB2312" w:cs="Times New Roman"/>
                <w:b/>
                <w:bCs/>
                <w:color w:val="auto"/>
                <w:sz w:val="24"/>
                <w:szCs w:val="24"/>
              </w:rPr>
              <w:t>、公用工程</w:t>
            </w:r>
          </w:p>
          <w:p w14:paraId="03F9E51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b/>
                <w:color w:val="auto"/>
                <w:sz w:val="24"/>
                <w:szCs w:val="24"/>
                <w:highlight w:val="none"/>
                <w:lang w:val="en-US" w:eastAsia="zh-CN"/>
              </w:rPr>
              <w:t>6.1</w:t>
            </w:r>
            <w:r>
              <w:rPr>
                <w:rFonts w:hint="eastAsia" w:ascii="Times New Roman" w:hAnsi="Times New Roman" w:eastAsia="仿宋_GB2312" w:cs="Times New Roman"/>
                <w:b/>
                <w:color w:val="auto"/>
                <w:sz w:val="24"/>
                <w:szCs w:val="24"/>
                <w:highlight w:val="none"/>
                <w:lang w:eastAsia="zh-CN"/>
              </w:rPr>
              <w:t>供水</w:t>
            </w:r>
          </w:p>
          <w:p w14:paraId="0685B0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1</w:t>
            </w:r>
            <w:r>
              <w:rPr>
                <w:rFonts w:hint="eastAsia" w:ascii="Times New Roman" w:hAnsi="Times New Roman" w:eastAsia="仿宋_GB2312" w:cs="Times New Roman"/>
                <w:color w:val="auto"/>
                <w:sz w:val="24"/>
                <w:szCs w:val="24"/>
                <w:lang w:eastAsia="zh-CN"/>
              </w:rPr>
              <w:t>）运营期供水</w:t>
            </w:r>
          </w:p>
          <w:p w14:paraId="32949FA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项目运营期用水</w:t>
            </w:r>
            <w:r>
              <w:rPr>
                <w:rFonts w:hint="default" w:ascii="Times New Roman" w:hAnsi="Times New Roman" w:eastAsia="仿宋_GB2312" w:cs="Times New Roman"/>
                <w:color w:val="auto"/>
                <w:sz w:val="24"/>
                <w:szCs w:val="24"/>
              </w:rPr>
              <w:t>主要包括配调药剂用水</w:t>
            </w:r>
            <w:r>
              <w:rPr>
                <w:rFonts w:hint="eastAsia" w:ascii="Times New Roman" w:hAnsi="Times New Roman" w:eastAsia="仿宋_GB2312" w:cs="Times New Roman"/>
                <w:color w:val="auto"/>
                <w:sz w:val="24"/>
                <w:szCs w:val="24"/>
                <w:lang w:val="en-US" w:eastAsia="zh-CN"/>
              </w:rPr>
              <w:t>及绿化用水</w:t>
            </w:r>
            <w:r>
              <w:rPr>
                <w:rFonts w:hint="default" w:ascii="Times New Roman" w:hAnsi="Times New Roman" w:eastAsia="仿宋_GB2312" w:cs="Times New Roman"/>
                <w:color w:val="auto"/>
                <w:sz w:val="24"/>
                <w:szCs w:val="24"/>
              </w:rPr>
              <w:t>。</w:t>
            </w:r>
          </w:p>
          <w:p w14:paraId="051327C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①</w:t>
            </w:r>
            <w:r>
              <w:rPr>
                <w:rFonts w:hint="default" w:ascii="Times New Roman" w:hAnsi="Times New Roman" w:eastAsia="仿宋_GB2312" w:cs="Times New Roman"/>
                <w:color w:val="auto"/>
                <w:sz w:val="24"/>
                <w:szCs w:val="24"/>
              </w:rPr>
              <w:t>配调药剂用水</w:t>
            </w:r>
          </w:p>
          <w:p w14:paraId="4452693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eastAsia="zh-CN"/>
              </w:rPr>
              <w:t>本项目污水处理厂运营期主要投加药剂为</w:t>
            </w:r>
            <w:r>
              <w:rPr>
                <w:rFonts w:hint="default" w:ascii="Times New Roman" w:hAnsi="Times New Roman" w:eastAsia="仿宋_GB2312" w:cs="Times New Roman"/>
                <w:color w:val="auto"/>
                <w:sz w:val="24"/>
                <w:szCs w:val="24"/>
              </w:rPr>
              <w:t>PAM(絮凝剂)</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PAC(除磷剂)</w:t>
            </w:r>
            <w:r>
              <w:rPr>
                <w:rFonts w:hint="default" w:ascii="Times New Roman" w:hAnsi="Times New Roman" w:eastAsia="仿宋_GB2312" w:cs="Times New Roman"/>
                <w:color w:val="auto"/>
                <w:sz w:val="24"/>
                <w:szCs w:val="24"/>
                <w:lang w:eastAsia="zh-CN"/>
              </w:rPr>
              <w:t>及次氯酸钠，年用量分别为</w:t>
            </w:r>
            <w:r>
              <w:rPr>
                <w:rFonts w:hint="default" w:ascii="Times New Roman" w:hAnsi="Times New Roman" w:eastAsia="仿宋_GB2312" w:cs="Times New Roman"/>
                <w:color w:val="auto"/>
                <w:sz w:val="24"/>
                <w:szCs w:val="24"/>
                <w:lang w:val="en-US" w:eastAsia="zh-CN"/>
              </w:rPr>
              <w:t>0.584t/a、14.6t/a和2.92t/a</w:t>
            </w:r>
            <w:r>
              <w:rPr>
                <w:rFonts w:hint="eastAsia" w:ascii="Times New Roman" w:hAnsi="Times New Roman" w:eastAsia="仿宋_GB2312" w:cs="Times New Roman"/>
                <w:color w:val="auto"/>
                <w:sz w:val="24"/>
                <w:szCs w:val="24"/>
                <w:lang w:val="en-US" w:eastAsia="zh-CN"/>
              </w:rPr>
              <w:t>；根据厂家资料，PAC投加浓度为5%，PAM投加浓度为0.1%，次氯酸钠投加浓度为10%，根据计算本项目配调药剂用水水量为1168</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3</w:t>
            </w:r>
            <w:r>
              <w:rPr>
                <w:rFonts w:hint="eastAsia" w:ascii="Times New Roman" w:hAnsi="Times New Roman" w:eastAsia="仿宋_GB2312" w:cs="Times New Roman"/>
                <w:color w:val="auto"/>
                <w:sz w:val="24"/>
                <w:szCs w:val="24"/>
                <w:lang w:val="en-US" w:eastAsia="zh-CN"/>
              </w:rPr>
              <w:t>/a，日用水量为3.2</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3</w:t>
            </w:r>
            <w:r>
              <w:rPr>
                <w:rFonts w:hint="eastAsia" w:ascii="Times New Roman" w:hAnsi="Times New Roman" w:eastAsia="仿宋_GB2312" w:cs="Times New Roman"/>
                <w:color w:val="auto"/>
                <w:sz w:val="24"/>
                <w:szCs w:val="24"/>
                <w:lang w:val="en-US" w:eastAsia="zh-CN"/>
              </w:rPr>
              <w:t>/d，用水为新鲜水。</w:t>
            </w:r>
          </w:p>
          <w:p w14:paraId="11BFD532">
            <w:pPr>
              <w:pStyle w:val="65"/>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②</w:t>
            </w:r>
            <w:r>
              <w:rPr>
                <w:rFonts w:hint="eastAsia" w:ascii="Times New Roman" w:hAnsi="Times New Roman" w:eastAsia="仿宋_GB2312" w:cs="Times New Roman"/>
                <w:color w:val="auto"/>
                <w:lang w:eastAsia="zh-CN"/>
              </w:rPr>
              <w:t>职工生活用水</w:t>
            </w:r>
          </w:p>
          <w:p w14:paraId="2F9CB10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本项目</w:t>
            </w:r>
            <w:r>
              <w:rPr>
                <w:rFonts w:hint="eastAsia" w:ascii="Times New Roman" w:hAnsi="Times New Roman" w:eastAsia="仿宋_GB2312" w:cs="Times New Roman"/>
                <w:color w:val="auto"/>
                <w:sz w:val="24"/>
                <w:szCs w:val="24"/>
                <w:lang w:val="en-US" w:eastAsia="zh-CN"/>
              </w:rPr>
              <w:t>不新增人员，仅有值班人员1</w:t>
            </w:r>
            <w:r>
              <w:rPr>
                <w:rFonts w:hint="default" w:ascii="Times New Roman" w:hAnsi="Times New Roman" w:eastAsia="仿宋_GB2312" w:cs="Times New Roman"/>
                <w:color w:val="auto"/>
                <w:sz w:val="24"/>
                <w:szCs w:val="24"/>
              </w:rPr>
              <w:t>人，</w:t>
            </w:r>
            <w:r>
              <w:rPr>
                <w:rFonts w:hint="eastAsia" w:ascii="Times New Roman" w:hAnsi="Times New Roman" w:eastAsia="仿宋_GB2312" w:cs="Times New Roman"/>
                <w:color w:val="auto"/>
                <w:sz w:val="24"/>
                <w:szCs w:val="24"/>
                <w:lang w:val="en-US" w:eastAsia="zh-CN"/>
              </w:rPr>
              <w:t>不在厂区居住，不产生生活用水</w:t>
            </w:r>
            <w:r>
              <w:rPr>
                <w:rFonts w:hint="eastAsia" w:ascii="Times New Roman" w:hAnsi="Times New Roman" w:eastAsia="仿宋_GB2312" w:cs="Times New Roman"/>
                <w:color w:val="auto"/>
                <w:sz w:val="24"/>
                <w:szCs w:val="24"/>
                <w:lang w:eastAsia="zh-CN"/>
              </w:rPr>
              <w:t>。</w:t>
            </w:r>
          </w:p>
          <w:p w14:paraId="136B4F1C">
            <w:pPr>
              <w:pStyle w:val="65"/>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仿宋_GB2312" w:cs="Times New Roman"/>
                <w:color w:val="auto"/>
                <w:lang w:eastAsia="zh-CN"/>
              </w:rPr>
            </w:pPr>
            <w:r>
              <w:rPr>
                <w:rFonts w:hint="eastAsia" w:ascii="Times New Roman" w:hAnsi="Times New Roman" w:eastAsia="仿宋_GB2312" w:cs="Times New Roman"/>
                <w:color w:val="auto"/>
                <w:lang w:eastAsia="zh-CN"/>
              </w:rPr>
              <w:t>③绿化用水</w:t>
            </w:r>
          </w:p>
          <w:p w14:paraId="5970BF9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仿宋_GB2312" w:cs="Times New Roman"/>
                <w:color w:val="auto"/>
                <w:lang w:eastAsia="zh-CN"/>
              </w:rPr>
            </w:pPr>
            <w:r>
              <w:rPr>
                <w:rFonts w:hint="eastAsia"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rPr>
              <w:t>厂区绿化面积为</w:t>
            </w:r>
            <w:r>
              <w:rPr>
                <w:rFonts w:hint="eastAsia" w:ascii="Times New Roman" w:hAnsi="Times New Roman" w:eastAsia="仿宋_GB2312" w:cs="Times New Roman"/>
                <w:color w:val="auto"/>
                <w:sz w:val="24"/>
                <w:szCs w:val="24"/>
                <w:lang w:val="en-US" w:eastAsia="zh-CN"/>
              </w:rPr>
              <w:t>5059.41</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用水量按</w:t>
            </w:r>
            <w:r>
              <w:rPr>
                <w:rFonts w:hint="default" w:ascii="Times New Roman" w:hAnsi="Times New Roman" w:eastAsia="仿宋_GB2312" w:cs="Times New Roman"/>
                <w:color w:val="auto"/>
                <w:sz w:val="24"/>
                <w:szCs w:val="24"/>
              </w:rPr>
              <w:t>0.5m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·a计，则绿化用水约为</w:t>
            </w:r>
            <w:r>
              <w:rPr>
                <w:rFonts w:hint="eastAsia" w:ascii="Times New Roman" w:hAnsi="Times New Roman" w:eastAsia="仿宋_GB2312" w:cs="Times New Roman"/>
                <w:color w:val="auto"/>
                <w:sz w:val="24"/>
                <w:szCs w:val="24"/>
                <w:lang w:val="en-US" w:eastAsia="zh-CN"/>
              </w:rPr>
              <w:t>2529.71</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/a，项目绿化用水采用污水处理厂处理后的尾水供给。</w:t>
            </w:r>
          </w:p>
          <w:p w14:paraId="7659E3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3</w:t>
            </w:r>
            <w:r>
              <w:rPr>
                <w:rFonts w:hint="eastAsia" w:ascii="Times New Roman" w:hAnsi="Times New Roman" w:eastAsia="仿宋_GB2312" w:cs="Times New Roman"/>
                <w:color w:val="auto"/>
                <w:sz w:val="24"/>
                <w:szCs w:val="24"/>
                <w:lang w:eastAsia="zh-CN"/>
              </w:rPr>
              <w:t>）纳污水</w:t>
            </w:r>
          </w:p>
          <w:p w14:paraId="6C4D78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olor w:val="auto"/>
                <w:kern w:val="0"/>
                <w:sz w:val="24"/>
                <w:szCs w:val="24"/>
                <w:lang w:val="en-US" w:eastAsia="zh-CN"/>
              </w:rPr>
            </w:pPr>
            <w:r>
              <w:rPr>
                <w:rFonts w:ascii="Times New Roman" w:hAnsi="Times New Roman" w:eastAsia="仿宋_GB2312"/>
                <w:color w:val="auto"/>
                <w:kern w:val="0"/>
                <w:sz w:val="24"/>
                <w:szCs w:val="24"/>
              </w:rPr>
              <w:t>根据规划及镇区调研情况，兴仁镇镇区人口在2020年为1.5万人，2030年为2.0万人。镇区用水量采用综合生活用水量预测，根据《自治区人民政府办公厅关于印发宁夏回族自治区有关行业用水定额</w:t>
            </w:r>
            <w:r>
              <w:rPr>
                <w:rFonts w:hint="eastAsia" w:ascii="Times New Roman" w:hAnsi="Times New Roman" w:eastAsia="仿宋_GB2312"/>
                <w:color w:val="auto"/>
                <w:kern w:val="0"/>
                <w:sz w:val="24"/>
                <w:szCs w:val="24"/>
                <w:lang w:eastAsia="zh-CN"/>
              </w:rPr>
              <w:t>（修订）</w:t>
            </w:r>
            <w:r>
              <w:rPr>
                <w:rFonts w:ascii="Times New Roman" w:hAnsi="Times New Roman" w:eastAsia="仿宋_GB2312"/>
                <w:color w:val="auto"/>
                <w:kern w:val="0"/>
                <w:sz w:val="24"/>
                <w:szCs w:val="24"/>
              </w:rPr>
              <w:t>的通知》（宁政办</w:t>
            </w:r>
            <w:r>
              <w:rPr>
                <w:rFonts w:hint="eastAsia" w:ascii="Times New Roman" w:hAnsi="Times New Roman" w:eastAsia="仿宋_GB2312"/>
                <w:color w:val="auto"/>
                <w:kern w:val="0"/>
                <w:sz w:val="24"/>
                <w:szCs w:val="24"/>
                <w:lang w:eastAsia="zh-CN"/>
              </w:rPr>
              <w:t>规</w:t>
            </w:r>
            <w:r>
              <w:rPr>
                <w:rFonts w:ascii="Times New Roman" w:hAnsi="Times New Roman" w:eastAsia="仿宋_GB2312"/>
                <w:color w:val="auto"/>
                <w:kern w:val="0"/>
                <w:sz w:val="24"/>
                <w:szCs w:val="24"/>
              </w:rPr>
              <w:t>发【20</w:t>
            </w:r>
            <w:r>
              <w:rPr>
                <w:rFonts w:hint="eastAsia" w:ascii="Times New Roman" w:hAnsi="Times New Roman" w:eastAsia="仿宋_GB2312"/>
                <w:color w:val="auto"/>
                <w:kern w:val="0"/>
                <w:sz w:val="24"/>
                <w:szCs w:val="24"/>
                <w:lang w:val="en-US" w:eastAsia="zh-CN"/>
              </w:rPr>
              <w:t>20</w:t>
            </w:r>
            <w:r>
              <w:rPr>
                <w:rFonts w:ascii="Times New Roman" w:hAnsi="Times New Roman" w:eastAsia="仿宋_GB2312"/>
                <w:color w:val="auto"/>
                <w:kern w:val="0"/>
                <w:sz w:val="24"/>
                <w:szCs w:val="24"/>
              </w:rPr>
              <w:t>】</w:t>
            </w:r>
            <w:r>
              <w:rPr>
                <w:rFonts w:hint="eastAsia" w:ascii="Times New Roman" w:hAnsi="Times New Roman" w:eastAsia="仿宋_GB2312"/>
                <w:color w:val="auto"/>
                <w:kern w:val="0"/>
                <w:sz w:val="24"/>
                <w:szCs w:val="24"/>
                <w:lang w:val="en-US" w:eastAsia="zh-CN"/>
              </w:rPr>
              <w:t>20</w:t>
            </w:r>
            <w:r>
              <w:rPr>
                <w:rFonts w:ascii="Times New Roman" w:hAnsi="Times New Roman" w:eastAsia="仿宋_GB2312"/>
                <w:color w:val="auto"/>
                <w:kern w:val="0"/>
                <w:sz w:val="24"/>
                <w:szCs w:val="24"/>
              </w:rPr>
              <w:t>号）及《镇（乡）给水工程规划规范》（GJJ/T246-2016），本次工程所在地兴仁镇的城镇综合用水定额取值为</w:t>
            </w:r>
            <w:r>
              <w:rPr>
                <w:rFonts w:hint="eastAsia" w:ascii="Times New Roman" w:hAnsi="Times New Roman" w:eastAsia="仿宋_GB2312"/>
                <w:color w:val="auto"/>
                <w:kern w:val="0"/>
                <w:sz w:val="24"/>
                <w:szCs w:val="24"/>
                <w:lang w:val="en-US" w:eastAsia="zh-CN"/>
              </w:rPr>
              <w:t>100</w:t>
            </w:r>
            <w:r>
              <w:rPr>
                <w:rFonts w:ascii="Times New Roman" w:hAnsi="Times New Roman" w:eastAsia="仿宋_GB2312"/>
                <w:color w:val="auto"/>
                <w:kern w:val="0"/>
                <w:sz w:val="24"/>
                <w:szCs w:val="24"/>
              </w:rPr>
              <w:t>L/人.天（含管网漏损及未预见水量）。根据《镇（乡）给水工程技术规程》（GJJ</w:t>
            </w:r>
            <w:r>
              <w:rPr>
                <w:rFonts w:hint="eastAsia" w:ascii="Times New Roman" w:hAnsi="Times New Roman" w:eastAsia="仿宋_GB2312"/>
                <w:color w:val="auto"/>
                <w:kern w:val="0"/>
                <w:sz w:val="24"/>
                <w:szCs w:val="24"/>
                <w:lang w:val="en-US" w:eastAsia="zh-CN"/>
              </w:rPr>
              <w:t xml:space="preserve"> 123</w:t>
            </w:r>
            <w:r>
              <w:rPr>
                <w:rFonts w:ascii="Times New Roman" w:hAnsi="Times New Roman" w:eastAsia="仿宋_GB2312"/>
                <w:color w:val="auto"/>
                <w:kern w:val="0"/>
                <w:sz w:val="24"/>
                <w:szCs w:val="24"/>
              </w:rPr>
              <w:t>-20</w:t>
            </w:r>
            <w:r>
              <w:rPr>
                <w:rFonts w:hint="eastAsia" w:ascii="Times New Roman" w:hAnsi="Times New Roman" w:eastAsia="仿宋_GB2312"/>
                <w:color w:val="auto"/>
                <w:kern w:val="0"/>
                <w:sz w:val="24"/>
                <w:szCs w:val="24"/>
                <w:lang w:val="en-US" w:eastAsia="zh-CN"/>
              </w:rPr>
              <w:t>08</w:t>
            </w:r>
            <w:r>
              <w:rPr>
                <w:rFonts w:ascii="Times New Roman" w:hAnsi="Times New Roman" w:eastAsia="仿宋_GB2312"/>
                <w:color w:val="auto"/>
                <w:kern w:val="0"/>
                <w:sz w:val="24"/>
                <w:szCs w:val="24"/>
              </w:rPr>
              <w:t>），兴仁镇近期用水高日系数取值为1.5，则</w:t>
            </w:r>
            <w:r>
              <w:rPr>
                <w:rFonts w:hint="eastAsia" w:ascii="Times New Roman" w:hAnsi="Times New Roman" w:eastAsia="仿宋_GB2312"/>
                <w:color w:val="auto"/>
                <w:kern w:val="0"/>
                <w:sz w:val="24"/>
                <w:szCs w:val="24"/>
                <w:lang w:eastAsia="zh-CN"/>
              </w:rPr>
              <w:t>确定兴仁镇镇区居民用水量为</w:t>
            </w:r>
            <w:r>
              <w:rPr>
                <w:rFonts w:hint="eastAsia" w:ascii="Times New Roman" w:hAnsi="Times New Roman" w:eastAsia="仿宋_GB2312"/>
                <w:color w:val="auto"/>
                <w:kern w:val="0"/>
                <w:sz w:val="24"/>
                <w:szCs w:val="24"/>
                <w:lang w:val="en-US" w:eastAsia="zh-CN"/>
              </w:rPr>
              <w:t>1000m</w:t>
            </w:r>
            <w:r>
              <w:rPr>
                <w:rFonts w:hint="eastAsia" w:ascii="Times New Roman" w:hAnsi="Times New Roman" w:eastAsia="仿宋_GB2312"/>
                <w:color w:val="auto"/>
                <w:kern w:val="0"/>
                <w:sz w:val="24"/>
                <w:szCs w:val="24"/>
                <w:vertAlign w:val="superscript"/>
                <w:lang w:val="en-US" w:eastAsia="zh-CN"/>
              </w:rPr>
              <w:t>3</w:t>
            </w:r>
            <w:r>
              <w:rPr>
                <w:rFonts w:hint="eastAsia" w:ascii="Times New Roman" w:hAnsi="Times New Roman" w:eastAsia="仿宋_GB2312"/>
                <w:color w:val="auto"/>
                <w:kern w:val="0"/>
                <w:sz w:val="24"/>
                <w:szCs w:val="24"/>
                <w:lang w:val="en-US" w:eastAsia="zh-CN"/>
              </w:rPr>
              <w:t>/d，污水的排放系数按0.8计，则</w:t>
            </w:r>
            <w:r>
              <w:rPr>
                <w:rFonts w:hint="eastAsia" w:ascii="Times New Roman" w:hAnsi="Times New Roman" w:eastAsia="仿宋_GB2312"/>
                <w:color w:val="auto"/>
                <w:kern w:val="0"/>
                <w:sz w:val="24"/>
                <w:szCs w:val="24"/>
                <w:lang w:eastAsia="zh-CN"/>
              </w:rPr>
              <w:t>近期生活污水量为</w:t>
            </w:r>
            <w:r>
              <w:rPr>
                <w:rFonts w:hint="eastAsia" w:ascii="Times New Roman" w:hAnsi="Times New Roman" w:eastAsia="仿宋_GB2312"/>
                <w:color w:val="auto"/>
                <w:kern w:val="0"/>
                <w:sz w:val="24"/>
                <w:szCs w:val="24"/>
                <w:lang w:val="en-US" w:eastAsia="zh-CN"/>
              </w:rPr>
              <w:t>800</w:t>
            </w:r>
            <w:r>
              <w:rPr>
                <w:rFonts w:ascii="Times New Roman" w:hAnsi="Times New Roman" w:eastAsia="仿宋_GB2312"/>
                <w:color w:val="auto"/>
                <w:kern w:val="0"/>
                <w:sz w:val="24"/>
                <w:szCs w:val="24"/>
              </w:rPr>
              <w:t>m</w:t>
            </w:r>
            <w:r>
              <w:rPr>
                <w:rFonts w:ascii="Times New Roman" w:hAnsi="Times New Roman" w:eastAsia="仿宋_GB2312"/>
                <w:color w:val="auto"/>
                <w:kern w:val="0"/>
                <w:sz w:val="24"/>
                <w:szCs w:val="24"/>
                <w:vertAlign w:val="superscript"/>
              </w:rPr>
              <w:t>3</w:t>
            </w:r>
            <w:r>
              <w:rPr>
                <w:rFonts w:ascii="Times New Roman" w:hAnsi="Times New Roman" w:eastAsia="仿宋_GB2312"/>
                <w:color w:val="auto"/>
                <w:kern w:val="0"/>
                <w:sz w:val="24"/>
                <w:szCs w:val="24"/>
              </w:rPr>
              <w:t>/d</w:t>
            </w:r>
            <w:r>
              <w:rPr>
                <w:rFonts w:hint="eastAsia" w:ascii="Times New Roman" w:hAnsi="Times New Roman" w:eastAsia="仿宋_GB2312"/>
                <w:color w:val="auto"/>
                <w:kern w:val="0"/>
                <w:sz w:val="24"/>
                <w:szCs w:val="24"/>
                <w:lang w:eastAsia="zh-CN"/>
              </w:rPr>
              <w:t>。</w:t>
            </w:r>
          </w:p>
          <w:p w14:paraId="5E34915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b/>
                <w:color w:val="auto"/>
                <w:sz w:val="24"/>
                <w:szCs w:val="24"/>
                <w:highlight w:val="none"/>
                <w:lang w:val="en-US" w:eastAsia="zh-CN"/>
              </w:rPr>
              <w:t>6.2</w:t>
            </w:r>
            <w:r>
              <w:rPr>
                <w:rFonts w:hint="eastAsia" w:ascii="Times New Roman" w:hAnsi="Times New Roman" w:eastAsia="仿宋_GB2312" w:cs="Times New Roman"/>
                <w:b/>
                <w:color w:val="auto"/>
                <w:sz w:val="24"/>
                <w:szCs w:val="24"/>
                <w:highlight w:val="none"/>
                <w:lang w:eastAsia="zh-CN"/>
              </w:rPr>
              <w:t>排水</w:t>
            </w:r>
          </w:p>
          <w:p w14:paraId="3C9EB9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1</w:t>
            </w:r>
            <w:r>
              <w:rPr>
                <w:rFonts w:hint="eastAsia" w:ascii="Times New Roman" w:hAnsi="Times New Roman" w:eastAsia="仿宋_GB2312" w:cs="Times New Roman"/>
                <w:color w:val="auto"/>
                <w:sz w:val="24"/>
                <w:szCs w:val="24"/>
                <w:lang w:eastAsia="zh-CN"/>
              </w:rPr>
              <w:t>）运营期排水</w:t>
            </w:r>
          </w:p>
          <w:p w14:paraId="1856E6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bCs/>
                <w:snapToGrid w:val="0"/>
                <w:color w:val="auto"/>
                <w:kern w:val="0"/>
                <w:sz w:val="24"/>
                <w:lang w:eastAsia="zh-CN"/>
              </w:rPr>
            </w:pPr>
            <w:r>
              <w:rPr>
                <w:rFonts w:hint="eastAsia" w:ascii="Times New Roman" w:hAnsi="Times New Roman" w:eastAsia="仿宋_GB2312" w:cs="Times New Roman"/>
                <w:bCs/>
                <w:snapToGrid w:val="0"/>
                <w:color w:val="auto"/>
                <w:kern w:val="0"/>
                <w:sz w:val="24"/>
                <w:lang w:eastAsia="zh-CN"/>
              </w:rPr>
              <w:t>①职工生活污水</w:t>
            </w:r>
          </w:p>
          <w:p w14:paraId="2EA9E5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cs="Times New Roman"/>
                <w:snapToGrid w:val="0"/>
                <w:color w:val="auto"/>
                <w:kern w:val="0"/>
                <w:sz w:val="24"/>
              </w:rPr>
            </w:pPr>
            <w:r>
              <w:rPr>
                <w:rFonts w:hint="eastAsia" w:ascii="Times New Roman" w:hAnsi="Times New Roman" w:eastAsia="仿宋_GB2312" w:cs="Times New Roman"/>
                <w:bCs/>
                <w:snapToGrid w:val="0"/>
                <w:color w:val="auto"/>
                <w:kern w:val="0"/>
                <w:sz w:val="24"/>
              </w:rPr>
              <w:t>本项目不新增人员，仅有值班人员1人，不在厂区居住</w:t>
            </w:r>
            <w:r>
              <w:rPr>
                <w:rFonts w:hint="eastAsia" w:ascii="Times New Roman" w:hAnsi="Times New Roman" w:eastAsia="仿宋_GB2312" w:cs="Times New Roman"/>
                <w:bCs/>
                <w:snapToGrid w:val="0"/>
                <w:color w:val="auto"/>
                <w:kern w:val="0"/>
                <w:sz w:val="24"/>
                <w:lang w:eastAsia="zh-CN"/>
              </w:rPr>
              <w:t>，</w:t>
            </w:r>
            <w:r>
              <w:rPr>
                <w:rFonts w:hint="eastAsia" w:ascii="Times New Roman" w:hAnsi="Times New Roman" w:eastAsia="仿宋_GB2312" w:cs="Times New Roman"/>
                <w:bCs/>
                <w:snapToGrid w:val="0"/>
                <w:color w:val="auto"/>
                <w:kern w:val="0"/>
                <w:sz w:val="24"/>
                <w:lang w:val="en-US" w:eastAsia="zh-CN"/>
              </w:rPr>
              <w:t>无生活废水产生。</w:t>
            </w:r>
          </w:p>
          <w:p w14:paraId="36509060">
            <w:pPr>
              <w:pStyle w:val="65"/>
              <w:keepNext w:val="0"/>
              <w:keepLines w:val="0"/>
              <w:pageBreakBefore w:val="0"/>
              <w:widowControl w:val="0"/>
              <w:kinsoku/>
              <w:wordWrap/>
              <w:overflowPunct/>
              <w:topLinePunct w:val="0"/>
              <w:autoSpaceDE/>
              <w:autoSpaceDN/>
              <w:bidi w:val="0"/>
              <w:adjustRightInd w:val="0"/>
              <w:snapToGrid w:val="0"/>
              <w:textAlignment w:val="auto"/>
              <w:rPr>
                <w:rFonts w:hint="default"/>
                <w:color w:val="auto"/>
              </w:rPr>
            </w:pPr>
            <w:r>
              <w:rPr>
                <w:rFonts w:hint="eastAsia" w:ascii="Times New Roman" w:hAnsi="Times New Roman" w:eastAsia="仿宋_GB2312" w:cs="Times New Roman"/>
                <w:bCs/>
                <w:color w:val="auto"/>
                <w:sz w:val="24"/>
                <w:szCs w:val="24"/>
                <w:highlight w:val="none"/>
                <w:lang w:eastAsia="zh-CN"/>
              </w:rPr>
              <w:t>②纳污排水</w:t>
            </w:r>
          </w:p>
          <w:p w14:paraId="2827EAE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Times New Roman" w:hAnsi="Times New Roman" w:eastAsia="仿宋_GB2312" w:cs="Times New Roman"/>
                <w:bCs/>
                <w:color w:val="auto"/>
                <w:sz w:val="24"/>
                <w:szCs w:val="24"/>
                <w:highlight w:val="none"/>
                <w:lang w:eastAsia="zh-CN"/>
              </w:rPr>
            </w:pPr>
            <w:r>
              <w:rPr>
                <w:rFonts w:hint="default" w:ascii="Times New Roman" w:hAnsi="Times New Roman" w:eastAsia="仿宋_GB2312" w:cs="Times New Roman"/>
                <w:bCs/>
                <w:color w:val="auto"/>
                <w:sz w:val="24"/>
                <w:szCs w:val="24"/>
                <w:highlight w:val="none"/>
              </w:rPr>
              <w:t>本项目污水处理厂进水主要为兴仁镇镇区生活污水。项目设计污水处理能力为800m</w:t>
            </w:r>
            <w:r>
              <w:rPr>
                <w:rFonts w:hint="default" w:ascii="Times New Roman" w:hAnsi="Times New Roman" w:eastAsia="仿宋_GB2312" w:cs="Times New Roman"/>
                <w:bCs/>
                <w:color w:val="auto"/>
                <w:sz w:val="24"/>
                <w:szCs w:val="24"/>
                <w:highlight w:val="none"/>
                <w:vertAlign w:val="superscript"/>
              </w:rPr>
              <w:t>3</w:t>
            </w:r>
            <w:r>
              <w:rPr>
                <w:rFonts w:hint="default" w:ascii="Times New Roman" w:hAnsi="Times New Roman" w:eastAsia="仿宋_GB2312" w:cs="Times New Roman"/>
                <w:bCs/>
                <w:color w:val="auto"/>
                <w:sz w:val="24"/>
                <w:szCs w:val="24"/>
                <w:highlight w:val="none"/>
              </w:rPr>
              <w:t>/d，污水经污水处理厂处理后达到《城镇污水处理厂污染物排放标准（修改单）》(GB18918-2002)一级A标准，</w:t>
            </w:r>
            <w:r>
              <w:rPr>
                <w:rFonts w:hint="eastAsia" w:ascii="Times New Roman" w:hAnsi="Times New Roman" w:eastAsia="仿宋_GB2312" w:cs="Times New Roman"/>
                <w:bCs/>
                <w:color w:val="auto"/>
                <w:sz w:val="24"/>
                <w:szCs w:val="24"/>
                <w:highlight w:val="none"/>
                <w:lang w:eastAsia="zh-CN"/>
              </w:rPr>
              <w:t>排入污水处理厂东北侧洪水河。</w:t>
            </w:r>
          </w:p>
          <w:p w14:paraId="5CA0B3E4">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本项目供排水情况见表</w:t>
            </w:r>
            <w:r>
              <w:rPr>
                <w:rFonts w:hint="eastAsia" w:ascii="Times New Roman" w:hAnsi="Times New Roman" w:eastAsia="仿宋_GB2312" w:cs="Times New Roman"/>
                <w:color w:val="auto"/>
                <w:sz w:val="24"/>
                <w:szCs w:val="24"/>
                <w:lang w:val="en-US" w:eastAsia="zh-CN"/>
              </w:rPr>
              <w:t>2-6。</w:t>
            </w:r>
          </w:p>
          <w:p w14:paraId="743815B1">
            <w:pPr>
              <w:ind w:firstLine="420" w:firstLineChars="20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color w:val="auto"/>
                <w:szCs w:val="21"/>
              </w:rPr>
              <w:t>表</w:t>
            </w:r>
            <w:r>
              <w:rPr>
                <w:rFonts w:hint="eastAsia" w:ascii="Times New Roman" w:hAnsi="Times New Roman" w:eastAsia="仿宋_GB2312" w:cs="Times New Roman"/>
                <w:color w:val="auto"/>
                <w:szCs w:val="21"/>
                <w:lang w:val="en-US" w:eastAsia="zh-CN"/>
              </w:rPr>
              <w:t xml:space="preserve">2-6    </w:t>
            </w:r>
            <w:r>
              <w:rPr>
                <w:rFonts w:hint="default" w:ascii="Times New Roman" w:hAnsi="Times New Roman" w:eastAsia="宋体" w:cs="Times New Roman"/>
                <w:b/>
                <w:bCs/>
                <w:color w:val="auto"/>
                <w:sz w:val="24"/>
                <w:szCs w:val="24"/>
              </w:rPr>
              <w:t>项目供排水情况一览表</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b/>
                <w:bCs/>
                <w:color w:val="auto"/>
                <w:sz w:val="24"/>
                <w:szCs w:val="24"/>
              </w:rPr>
              <w:t>单位：m³/d</w:t>
            </w:r>
          </w:p>
          <w:tbl>
            <w:tblPr>
              <w:tblStyle w:val="26"/>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24"/>
              <w:gridCol w:w="845"/>
              <w:gridCol w:w="1096"/>
              <w:gridCol w:w="921"/>
              <w:gridCol w:w="1364"/>
              <w:gridCol w:w="1694"/>
            </w:tblGrid>
            <w:tr w14:paraId="3B264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2" w:type="dxa"/>
                  <w:vMerge w:val="restart"/>
                  <w:vAlign w:val="center"/>
                </w:tcPr>
                <w:p w14:paraId="23EBD76A">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用水部门</w:t>
                  </w:r>
                </w:p>
              </w:tc>
              <w:tc>
                <w:tcPr>
                  <w:tcW w:w="1014" w:type="dxa"/>
                  <w:vMerge w:val="restart"/>
                  <w:vAlign w:val="center"/>
                </w:tcPr>
                <w:p w14:paraId="35639EE2">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用水规模</w:t>
                  </w:r>
                </w:p>
              </w:tc>
              <w:tc>
                <w:tcPr>
                  <w:tcW w:w="1922" w:type="dxa"/>
                  <w:gridSpan w:val="2"/>
                  <w:vAlign w:val="center"/>
                </w:tcPr>
                <w:p w14:paraId="29742364">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年用水量</w:t>
                  </w:r>
                  <w:r>
                    <w:rPr>
                      <w:rFonts w:hint="default" w:ascii="Times New Roman" w:hAnsi="Times New Roman" w:eastAsia="宋体" w:cs="Times New Roman"/>
                      <w:b/>
                      <w:color w:val="auto"/>
                      <w:sz w:val="21"/>
                      <w:szCs w:val="21"/>
                    </w:rPr>
                    <w:t>（m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/a）</w:t>
                  </w:r>
                </w:p>
              </w:tc>
              <w:tc>
                <w:tcPr>
                  <w:tcW w:w="912" w:type="dxa"/>
                  <w:vMerge w:val="restart"/>
                  <w:vAlign w:val="center"/>
                </w:tcPr>
                <w:p w14:paraId="7431C618">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损耗</w:t>
                  </w:r>
                </w:p>
                <w:p w14:paraId="7F0DD573">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color w:val="auto"/>
                      <w:sz w:val="21"/>
                      <w:szCs w:val="21"/>
                    </w:rPr>
                    <w:t>（m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/a）</w:t>
                  </w:r>
                </w:p>
              </w:tc>
              <w:tc>
                <w:tcPr>
                  <w:tcW w:w="1350" w:type="dxa"/>
                  <w:vMerge w:val="restart"/>
                  <w:vAlign w:val="center"/>
                </w:tcPr>
                <w:p w14:paraId="61BF3CD2">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污水处理站</w:t>
                  </w:r>
                </w:p>
                <w:p w14:paraId="28CBCD6F">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进水量</w:t>
                  </w:r>
                </w:p>
                <w:p w14:paraId="2343DA4C">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/a）</w:t>
                  </w:r>
                </w:p>
              </w:tc>
              <w:tc>
                <w:tcPr>
                  <w:tcW w:w="1677" w:type="dxa"/>
                  <w:vAlign w:val="center"/>
                </w:tcPr>
                <w:p w14:paraId="100915DC">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年</w:t>
                  </w:r>
                  <w:r>
                    <w:rPr>
                      <w:rFonts w:hint="eastAsia" w:ascii="Times New Roman" w:hAnsi="Times New Roman" w:eastAsia="宋体" w:cs="Times New Roman"/>
                      <w:b/>
                      <w:bCs/>
                      <w:color w:val="auto"/>
                      <w:sz w:val="21"/>
                      <w:szCs w:val="21"/>
                      <w:lang w:eastAsia="zh-CN"/>
                    </w:rPr>
                    <w:t>排</w:t>
                  </w:r>
                  <w:r>
                    <w:rPr>
                      <w:rFonts w:hint="default" w:ascii="Times New Roman" w:hAnsi="Times New Roman" w:eastAsia="宋体" w:cs="Times New Roman"/>
                      <w:b/>
                      <w:bCs/>
                      <w:color w:val="auto"/>
                      <w:sz w:val="21"/>
                      <w:szCs w:val="21"/>
                    </w:rPr>
                    <w:t>水量</w:t>
                  </w:r>
                  <w:r>
                    <w:rPr>
                      <w:rFonts w:hint="default" w:ascii="Times New Roman" w:hAnsi="Times New Roman" w:eastAsia="宋体" w:cs="Times New Roman"/>
                      <w:b/>
                      <w:color w:val="auto"/>
                      <w:sz w:val="21"/>
                      <w:szCs w:val="21"/>
                    </w:rPr>
                    <w:t>（m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/a）</w:t>
                  </w:r>
                </w:p>
              </w:tc>
            </w:tr>
            <w:tr w14:paraId="5DF471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2" w:type="dxa"/>
                  <w:vMerge w:val="continue"/>
                  <w:vAlign w:val="center"/>
                </w:tcPr>
                <w:p w14:paraId="0BF164F8">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bCs/>
                      <w:color w:val="auto"/>
                      <w:sz w:val="21"/>
                      <w:szCs w:val="21"/>
                    </w:rPr>
                  </w:pPr>
                </w:p>
              </w:tc>
              <w:tc>
                <w:tcPr>
                  <w:tcW w:w="1014" w:type="dxa"/>
                  <w:vMerge w:val="continue"/>
                  <w:vAlign w:val="center"/>
                </w:tcPr>
                <w:p w14:paraId="34C4AF59">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bCs/>
                      <w:color w:val="auto"/>
                      <w:sz w:val="21"/>
                      <w:szCs w:val="21"/>
                    </w:rPr>
                  </w:pPr>
                </w:p>
              </w:tc>
              <w:tc>
                <w:tcPr>
                  <w:tcW w:w="837" w:type="dxa"/>
                  <w:vAlign w:val="center"/>
                </w:tcPr>
                <w:p w14:paraId="02C787C5">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新鲜水</w:t>
                  </w:r>
                </w:p>
              </w:tc>
              <w:tc>
                <w:tcPr>
                  <w:tcW w:w="1085" w:type="dxa"/>
                  <w:vAlign w:val="center"/>
                </w:tcPr>
                <w:p w14:paraId="385CC8C6">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污水处理厂尾水</w:t>
                  </w:r>
                </w:p>
              </w:tc>
              <w:tc>
                <w:tcPr>
                  <w:tcW w:w="912" w:type="dxa"/>
                  <w:vMerge w:val="continue"/>
                  <w:vAlign w:val="center"/>
                </w:tcPr>
                <w:p w14:paraId="265E4372">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eastAsia="zh-CN"/>
                    </w:rPr>
                  </w:pPr>
                </w:p>
              </w:tc>
              <w:tc>
                <w:tcPr>
                  <w:tcW w:w="1350" w:type="dxa"/>
                  <w:vMerge w:val="continue"/>
                  <w:vAlign w:val="center"/>
                </w:tcPr>
                <w:p w14:paraId="23599847">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bCs/>
                      <w:color w:val="auto"/>
                      <w:sz w:val="21"/>
                      <w:szCs w:val="21"/>
                    </w:rPr>
                  </w:pPr>
                </w:p>
              </w:tc>
              <w:tc>
                <w:tcPr>
                  <w:tcW w:w="1677" w:type="dxa"/>
                  <w:vAlign w:val="center"/>
                </w:tcPr>
                <w:p w14:paraId="0A34A5B5">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排入</w:t>
                  </w:r>
                </w:p>
                <w:p w14:paraId="38B45913">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洪水河</w:t>
                  </w:r>
                </w:p>
              </w:tc>
            </w:tr>
            <w:tr w14:paraId="0D2B1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2" w:type="dxa"/>
                  <w:vAlign w:val="center"/>
                </w:tcPr>
                <w:p w14:paraId="4C6F2F95">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配调药剂</w:t>
                  </w:r>
                </w:p>
              </w:tc>
              <w:tc>
                <w:tcPr>
                  <w:tcW w:w="1014" w:type="dxa"/>
                  <w:vAlign w:val="center"/>
                </w:tcPr>
                <w:p w14:paraId="65EE395B">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837" w:type="dxa"/>
                  <w:vAlign w:val="center"/>
                </w:tcPr>
                <w:p w14:paraId="67F69F6E">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p>
              </w:tc>
              <w:tc>
                <w:tcPr>
                  <w:tcW w:w="1085" w:type="dxa"/>
                  <w:vAlign w:val="center"/>
                </w:tcPr>
                <w:p w14:paraId="27B370B4">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1168</w:t>
                  </w:r>
                </w:p>
              </w:tc>
              <w:tc>
                <w:tcPr>
                  <w:tcW w:w="912" w:type="dxa"/>
                  <w:vAlign w:val="center"/>
                </w:tcPr>
                <w:p w14:paraId="288D3C00">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p>
              </w:tc>
              <w:tc>
                <w:tcPr>
                  <w:tcW w:w="1350" w:type="dxa"/>
                  <w:vAlign w:val="center"/>
                </w:tcPr>
                <w:p w14:paraId="5D3F5760">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1168</w:t>
                  </w:r>
                </w:p>
              </w:tc>
              <w:tc>
                <w:tcPr>
                  <w:tcW w:w="1677" w:type="dxa"/>
                  <w:vMerge w:val="restart"/>
                  <w:vAlign w:val="center"/>
                </w:tcPr>
                <w:p w14:paraId="7A17089D">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w:t>
                  </w:r>
                </w:p>
              </w:tc>
            </w:tr>
            <w:tr w14:paraId="05AEB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842" w:type="dxa"/>
                  <w:vAlign w:val="center"/>
                </w:tcPr>
                <w:p w14:paraId="016E203F">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绿化用水</w:t>
                  </w:r>
                </w:p>
              </w:tc>
              <w:tc>
                <w:tcPr>
                  <w:tcW w:w="1014" w:type="dxa"/>
                  <w:vAlign w:val="center"/>
                </w:tcPr>
                <w:p w14:paraId="66A6C81A">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5</w:t>
                  </w:r>
                  <w:r>
                    <w:rPr>
                      <w:rFonts w:hint="eastAsia" w:ascii="Times New Roman" w:hAnsi="Times New Roman" w:eastAsia="宋体" w:cs="Times New Roman"/>
                      <w:b w:val="0"/>
                      <w:bCs w:val="0"/>
                      <w:color w:val="auto"/>
                      <w:sz w:val="21"/>
                      <w:szCs w:val="21"/>
                      <w:lang w:val="en-US" w:eastAsia="zh-CN"/>
                    </w:rPr>
                    <w:t>059.42</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p>
              </w:tc>
              <w:tc>
                <w:tcPr>
                  <w:tcW w:w="837" w:type="dxa"/>
                  <w:vAlign w:val="center"/>
                </w:tcPr>
                <w:p w14:paraId="5C7E3573">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p>
              </w:tc>
              <w:tc>
                <w:tcPr>
                  <w:tcW w:w="1085" w:type="dxa"/>
                  <w:vAlign w:val="center"/>
                </w:tcPr>
                <w:p w14:paraId="4C968CFD">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2529.71</w:t>
                  </w:r>
                </w:p>
              </w:tc>
              <w:tc>
                <w:tcPr>
                  <w:tcW w:w="912" w:type="dxa"/>
                  <w:vAlign w:val="center"/>
                </w:tcPr>
                <w:p w14:paraId="0D6E4C87">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2529.71</w:t>
                  </w:r>
                </w:p>
              </w:tc>
              <w:tc>
                <w:tcPr>
                  <w:tcW w:w="1350" w:type="dxa"/>
                  <w:vAlign w:val="center"/>
                </w:tcPr>
                <w:p w14:paraId="2FEBB534">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1677" w:type="dxa"/>
                  <w:vMerge w:val="continue"/>
                  <w:vAlign w:val="center"/>
                </w:tcPr>
                <w:p w14:paraId="70866571">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bCs/>
                      <w:color w:val="auto"/>
                      <w:sz w:val="21"/>
                      <w:szCs w:val="21"/>
                      <w:lang w:val="en-US" w:eastAsia="zh-CN"/>
                    </w:rPr>
                  </w:pPr>
                </w:p>
              </w:tc>
            </w:tr>
            <w:tr w14:paraId="5B7402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2" w:type="dxa"/>
                  <w:vAlign w:val="center"/>
                </w:tcPr>
                <w:p w14:paraId="7D3CB7C4">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纳污水</w:t>
                  </w:r>
                </w:p>
              </w:tc>
              <w:tc>
                <w:tcPr>
                  <w:tcW w:w="1014" w:type="dxa"/>
                  <w:vAlign w:val="center"/>
                </w:tcPr>
                <w:p w14:paraId="07543304">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837" w:type="dxa"/>
                  <w:vAlign w:val="center"/>
                </w:tcPr>
                <w:p w14:paraId="5AD64A44">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085" w:type="dxa"/>
                  <w:vAlign w:val="center"/>
                </w:tcPr>
                <w:p w14:paraId="5EF4E371">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912" w:type="dxa"/>
                  <w:vAlign w:val="center"/>
                </w:tcPr>
                <w:p w14:paraId="54102E57">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p>
              </w:tc>
              <w:tc>
                <w:tcPr>
                  <w:tcW w:w="1350" w:type="dxa"/>
                  <w:vAlign w:val="center"/>
                </w:tcPr>
                <w:p w14:paraId="5802FA24">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292000</w:t>
                  </w:r>
                </w:p>
              </w:tc>
              <w:tc>
                <w:tcPr>
                  <w:tcW w:w="1677" w:type="dxa"/>
                  <w:vMerge w:val="continue"/>
                  <w:vAlign w:val="center"/>
                </w:tcPr>
                <w:p w14:paraId="215B893E">
                  <w:pPr>
                    <w:keepNext w:val="0"/>
                    <w:keepLines w:val="0"/>
                    <w:pageBreakBefore w:val="0"/>
                    <w:widowControl w:val="0"/>
                    <w:kinsoku/>
                    <w:wordWrap/>
                    <w:overflowPunct/>
                    <w:topLinePunct w:val="0"/>
                    <w:autoSpaceDE/>
                    <w:autoSpaceDN/>
                    <w:bidi w:val="0"/>
                    <w:adjustRightInd/>
                    <w:snapToGrid w:val="0"/>
                    <w:ind w:right="0"/>
                    <w:jc w:val="center"/>
                    <w:textAlignment w:val="auto"/>
                    <w:rPr>
                      <w:rFonts w:hint="eastAsia" w:ascii="Times New Roman" w:hAnsi="Times New Roman" w:eastAsia="宋体" w:cs="Times New Roman"/>
                      <w:color w:val="auto"/>
                      <w:sz w:val="21"/>
                      <w:szCs w:val="21"/>
                      <w:lang w:val="en-US" w:eastAsia="zh-CN"/>
                    </w:rPr>
                  </w:pPr>
                </w:p>
              </w:tc>
            </w:tr>
            <w:tr w14:paraId="7C1F6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856" w:type="dxa"/>
                  <w:gridSpan w:val="2"/>
                  <w:vAlign w:val="center"/>
                </w:tcPr>
                <w:p w14:paraId="580C4CC5">
                  <w:pPr>
                    <w:keepNext w:val="0"/>
                    <w:keepLines w:val="0"/>
                    <w:pageBreakBefore w:val="0"/>
                    <w:widowControl w:val="0"/>
                    <w:kinsoku/>
                    <w:wordWrap/>
                    <w:overflowPunct/>
                    <w:topLinePunct w:val="0"/>
                    <w:autoSpaceDE/>
                    <w:autoSpaceDN/>
                    <w:bidi w:val="0"/>
                    <w:adjustRightInd/>
                    <w:snapToGrid w:val="0"/>
                    <w:ind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总计</w:t>
                  </w:r>
                </w:p>
              </w:tc>
              <w:tc>
                <w:tcPr>
                  <w:tcW w:w="837" w:type="dxa"/>
                  <w:vAlign w:val="center"/>
                </w:tcPr>
                <w:p w14:paraId="085AA0C5">
                  <w:pPr>
                    <w:keepNext w:val="0"/>
                    <w:keepLines w:val="0"/>
                    <w:pageBreakBefore w:val="0"/>
                    <w:widowControl w:val="0"/>
                    <w:kinsoku/>
                    <w:wordWrap/>
                    <w:overflowPunct/>
                    <w:topLinePunct w:val="0"/>
                    <w:autoSpaceDE/>
                    <w:autoSpaceDN/>
                    <w:bidi w:val="0"/>
                    <w:adjustRightInd/>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p>
              </w:tc>
              <w:tc>
                <w:tcPr>
                  <w:tcW w:w="1085" w:type="dxa"/>
                  <w:vAlign w:val="center"/>
                </w:tcPr>
                <w:p w14:paraId="685F4A55">
                  <w:pPr>
                    <w:keepNext w:val="0"/>
                    <w:keepLines w:val="0"/>
                    <w:pageBreakBefore w:val="0"/>
                    <w:widowControl w:val="0"/>
                    <w:kinsoku/>
                    <w:wordWrap/>
                    <w:overflowPunct/>
                    <w:topLinePunct w:val="0"/>
                    <w:autoSpaceDE/>
                    <w:autoSpaceDN/>
                    <w:bidi w:val="0"/>
                    <w:adjustRightInd/>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3697.71</w:t>
                  </w:r>
                </w:p>
              </w:tc>
              <w:tc>
                <w:tcPr>
                  <w:tcW w:w="912" w:type="dxa"/>
                  <w:vAlign w:val="center"/>
                </w:tcPr>
                <w:p w14:paraId="1DA4B39D">
                  <w:pPr>
                    <w:keepNext w:val="0"/>
                    <w:keepLines w:val="0"/>
                    <w:pageBreakBefore w:val="0"/>
                    <w:widowControl w:val="0"/>
                    <w:kinsoku/>
                    <w:wordWrap/>
                    <w:overflowPunct/>
                    <w:topLinePunct w:val="0"/>
                    <w:autoSpaceDE/>
                    <w:autoSpaceDN/>
                    <w:bidi w:val="0"/>
                    <w:adjustRightInd/>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2529.71</w:t>
                  </w:r>
                </w:p>
              </w:tc>
              <w:tc>
                <w:tcPr>
                  <w:tcW w:w="1350" w:type="dxa"/>
                  <w:vAlign w:val="center"/>
                </w:tcPr>
                <w:p w14:paraId="3149BCC5">
                  <w:pPr>
                    <w:keepNext w:val="0"/>
                    <w:keepLines w:val="0"/>
                    <w:pageBreakBefore w:val="0"/>
                    <w:widowControl w:val="0"/>
                    <w:kinsoku/>
                    <w:wordWrap/>
                    <w:overflowPunct/>
                    <w:topLinePunct w:val="0"/>
                    <w:autoSpaceDE/>
                    <w:autoSpaceDN/>
                    <w:bidi w:val="0"/>
                    <w:adjustRightInd/>
                    <w:ind w:right="0"/>
                    <w:jc w:val="center"/>
                    <w:textAlignment w:val="auto"/>
                    <w:rPr>
                      <w:rFonts w:hint="default" w:ascii="Times New Roman" w:hAnsi="Times New Roman" w:eastAsia="宋体" w:cs="Times New Roman"/>
                      <w:b w:val="0"/>
                      <w:bCs w:val="0"/>
                      <w:color w:val="auto"/>
                      <w:sz w:val="21"/>
                      <w:szCs w:val="21"/>
                      <w:lang w:val="en-US"/>
                    </w:rPr>
                  </w:pPr>
                  <w:r>
                    <w:rPr>
                      <w:rFonts w:hint="eastAsia" w:ascii="Times New Roman" w:hAnsi="Times New Roman" w:eastAsia="宋体" w:cs="Times New Roman"/>
                      <w:b w:val="0"/>
                      <w:bCs w:val="0"/>
                      <w:color w:val="auto"/>
                      <w:sz w:val="21"/>
                      <w:szCs w:val="21"/>
                      <w:lang w:val="en-US" w:eastAsia="zh-CN"/>
                    </w:rPr>
                    <w:t>293168</w:t>
                  </w:r>
                </w:p>
              </w:tc>
              <w:tc>
                <w:tcPr>
                  <w:tcW w:w="1677" w:type="dxa"/>
                  <w:vAlign w:val="center"/>
                </w:tcPr>
                <w:p w14:paraId="4570C264">
                  <w:pPr>
                    <w:keepNext w:val="0"/>
                    <w:keepLines w:val="0"/>
                    <w:pageBreakBefore w:val="0"/>
                    <w:widowControl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289470.29</w:t>
                  </w:r>
                </w:p>
              </w:tc>
            </w:tr>
          </w:tbl>
          <w:p w14:paraId="0A0F12C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object>
                <v:shape id="_x0000_i1025" o:spt="75" type="#_x0000_t75" style="height:204.15pt;width:336.3pt;" o:ole="t" filled="f" o:preferrelative="t" stroked="f" coordsize="21600,21600">
                  <v:path/>
                  <v:fill on="f" focussize="0,0"/>
                  <v:stroke on="f"/>
                  <v:imagedata r:id="rId20" o:title=""/>
                  <o:lock v:ext="edit" aspectratio="f"/>
                  <w10:wrap type="none"/>
                  <w10:anchorlock/>
                </v:shape>
                <o:OLEObject Type="Embed" ProgID="Visio.Drawing.11" ShapeID="_x0000_i1025" DrawAspect="Content" ObjectID="_1468075725" r:id="rId19">
                  <o:LockedField>false</o:LockedField>
                </o:OLEObject>
              </w:object>
            </w:r>
          </w:p>
          <w:p w14:paraId="795773D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w:t>
            </w:r>
            <w:r>
              <w:rPr>
                <w:rFonts w:hint="eastAsia" w:ascii="Times New Roman" w:hAnsi="Times New Roman" w:eastAsia="宋体" w:cs="Times New Roman"/>
                <w:b/>
                <w:bCs/>
                <w:color w:val="auto"/>
                <w:sz w:val="24"/>
                <w:szCs w:val="24"/>
                <w:lang w:val="en-US" w:eastAsia="zh-CN"/>
              </w:rPr>
              <w:t>2-2</w:t>
            </w:r>
            <w:r>
              <w:rPr>
                <w:rFonts w:hint="default" w:ascii="Times New Roman" w:hAnsi="Times New Roman" w:eastAsia="宋体" w:cs="Times New Roman"/>
                <w:b/>
                <w:bCs/>
                <w:color w:val="auto"/>
                <w:sz w:val="24"/>
                <w:szCs w:val="24"/>
                <w:lang w:val="en-US" w:eastAsia="zh-CN"/>
              </w:rPr>
              <w:t xml:space="preserve"> 本项目给排水平衡图    单位：t/a</w:t>
            </w:r>
          </w:p>
          <w:p w14:paraId="753FC43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7、设计规模、水质及处理标准</w:t>
            </w:r>
          </w:p>
          <w:p w14:paraId="008CDCC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7.1设计规模</w:t>
            </w:r>
          </w:p>
          <w:p w14:paraId="5E2310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本工程设计处理规模为800m</w:t>
            </w:r>
            <w:r>
              <w:rPr>
                <w:rFonts w:hint="default" w:ascii="Times New Roman" w:hAnsi="Times New Roman" w:eastAsia="仿宋_GB2312" w:cs="Times New Roman"/>
                <w:color w:val="auto"/>
                <w:kern w:val="0"/>
                <w:sz w:val="24"/>
                <w:szCs w:val="24"/>
                <w:vertAlign w:val="superscript"/>
              </w:rPr>
              <w:t>3</w:t>
            </w:r>
            <w:r>
              <w:rPr>
                <w:rFonts w:hint="default" w:ascii="Times New Roman" w:hAnsi="Times New Roman" w:eastAsia="仿宋_GB2312" w:cs="Times New Roman"/>
                <w:color w:val="auto"/>
                <w:kern w:val="0"/>
                <w:sz w:val="24"/>
                <w:szCs w:val="24"/>
              </w:rPr>
              <w:t>/d</w:t>
            </w:r>
            <w:r>
              <w:rPr>
                <w:rFonts w:hint="eastAsia" w:ascii="Times New Roman" w:hAnsi="Times New Roman" w:eastAsia="仿宋_GB2312" w:cs="Times New Roman"/>
                <w:color w:val="auto"/>
                <w:kern w:val="0"/>
                <w:sz w:val="24"/>
                <w:szCs w:val="24"/>
                <w:lang w:eastAsia="zh-CN"/>
              </w:rPr>
              <w:t>，</w:t>
            </w:r>
            <w:r>
              <w:rPr>
                <w:rFonts w:hint="eastAsia" w:ascii="Times New Roman" w:hAnsi="Times New Roman" w:eastAsia="仿宋_GB2312" w:cs="Times New Roman"/>
                <w:color w:val="auto"/>
                <w:kern w:val="0"/>
                <w:sz w:val="24"/>
                <w:szCs w:val="24"/>
                <w:lang w:val="en-US" w:eastAsia="zh-CN"/>
              </w:rPr>
              <w:t>排水体制采用雨污水分流制</w:t>
            </w:r>
            <w:r>
              <w:rPr>
                <w:rFonts w:hint="default" w:ascii="Times New Roman" w:hAnsi="Times New Roman" w:eastAsia="仿宋_GB2312" w:cs="Times New Roman"/>
                <w:color w:val="auto"/>
                <w:kern w:val="0"/>
                <w:sz w:val="24"/>
                <w:szCs w:val="24"/>
              </w:rPr>
              <w:t>。</w:t>
            </w:r>
          </w:p>
          <w:p w14:paraId="18A3625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7.2污水量测算</w:t>
            </w:r>
          </w:p>
          <w:p w14:paraId="3CFCEA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fldChar w:fldCharType="begin"/>
            </w:r>
            <w:r>
              <w:rPr>
                <w:rFonts w:hint="default" w:ascii="Times New Roman" w:hAnsi="Times New Roman" w:eastAsia="仿宋_GB2312" w:cs="Times New Roman"/>
                <w:color w:val="auto"/>
                <w:kern w:val="0"/>
                <w:sz w:val="24"/>
                <w:szCs w:val="24"/>
              </w:rPr>
              <w:instrText xml:space="preserve"> = 1 \* GB2 </w:instrText>
            </w:r>
            <w:r>
              <w:rPr>
                <w:rFonts w:hint="default" w:ascii="Times New Roman" w:hAnsi="Times New Roman" w:eastAsia="仿宋_GB2312" w:cs="Times New Roman"/>
                <w:color w:val="auto"/>
                <w:kern w:val="0"/>
                <w:sz w:val="24"/>
                <w:szCs w:val="24"/>
              </w:rPr>
              <w:fldChar w:fldCharType="separate"/>
            </w:r>
            <w:r>
              <w:rPr>
                <w:rFonts w:hint="default" w:ascii="Times New Roman" w:hAnsi="Times New Roman" w:eastAsia="仿宋_GB2312" w:cs="Times New Roman"/>
                <w:color w:val="auto"/>
                <w:kern w:val="0"/>
                <w:sz w:val="24"/>
                <w:szCs w:val="24"/>
              </w:rPr>
              <w:t>⑴</w:t>
            </w:r>
            <w:r>
              <w:rPr>
                <w:rFonts w:hint="default" w:ascii="Times New Roman" w:hAnsi="Times New Roman" w:eastAsia="仿宋_GB2312" w:cs="Times New Roman"/>
                <w:color w:val="auto"/>
                <w:kern w:val="0"/>
                <w:sz w:val="24"/>
                <w:szCs w:val="24"/>
              </w:rPr>
              <w:fldChar w:fldCharType="end"/>
            </w:r>
            <w:r>
              <w:rPr>
                <w:rFonts w:hint="default" w:ascii="Times New Roman" w:hAnsi="Times New Roman" w:eastAsia="仿宋_GB2312" w:cs="Times New Roman"/>
                <w:color w:val="auto"/>
                <w:kern w:val="0"/>
                <w:sz w:val="24"/>
                <w:szCs w:val="24"/>
              </w:rPr>
              <w:t>废水来源</w:t>
            </w:r>
          </w:p>
          <w:p w14:paraId="5AC4D1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本项目主要处理兴仁镇镇区生活污水，主要污染因子为COD、BOD</w:t>
            </w:r>
            <w:r>
              <w:rPr>
                <w:rFonts w:hint="default" w:ascii="Times New Roman" w:hAnsi="Times New Roman" w:eastAsia="仿宋_GB2312" w:cs="Times New Roman"/>
                <w:color w:val="auto"/>
                <w:kern w:val="0"/>
                <w:sz w:val="24"/>
                <w:szCs w:val="24"/>
                <w:vertAlign w:val="subscript"/>
              </w:rPr>
              <w:t>5</w:t>
            </w:r>
            <w:r>
              <w:rPr>
                <w:rFonts w:hint="default" w:ascii="Times New Roman" w:hAnsi="Times New Roman" w:eastAsia="仿宋_GB2312" w:cs="Times New Roman"/>
                <w:color w:val="auto"/>
                <w:kern w:val="0"/>
                <w:sz w:val="24"/>
                <w:szCs w:val="24"/>
              </w:rPr>
              <w:t>、SS、NH</w:t>
            </w:r>
            <w:r>
              <w:rPr>
                <w:rFonts w:hint="default" w:ascii="Times New Roman" w:hAnsi="Times New Roman" w:eastAsia="仿宋_GB2312" w:cs="Times New Roman"/>
                <w:color w:val="auto"/>
                <w:kern w:val="0"/>
                <w:sz w:val="24"/>
                <w:szCs w:val="24"/>
                <w:vertAlign w:val="subscript"/>
              </w:rPr>
              <w:t>3</w:t>
            </w:r>
            <w:r>
              <w:rPr>
                <w:rFonts w:hint="default" w:ascii="Times New Roman" w:hAnsi="Times New Roman" w:eastAsia="仿宋_GB2312" w:cs="Times New Roman"/>
                <w:color w:val="auto"/>
                <w:kern w:val="0"/>
                <w:sz w:val="24"/>
                <w:szCs w:val="24"/>
              </w:rPr>
              <w:t>-N。</w:t>
            </w:r>
          </w:p>
          <w:p w14:paraId="611029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fldChar w:fldCharType="begin"/>
            </w:r>
            <w:r>
              <w:rPr>
                <w:rFonts w:hint="default" w:ascii="Times New Roman" w:hAnsi="Times New Roman" w:eastAsia="仿宋_GB2312" w:cs="Times New Roman"/>
                <w:color w:val="auto"/>
                <w:kern w:val="0"/>
                <w:sz w:val="24"/>
                <w:szCs w:val="24"/>
              </w:rPr>
              <w:instrText xml:space="preserve"> = 2 \* GB2 </w:instrText>
            </w:r>
            <w:r>
              <w:rPr>
                <w:rFonts w:hint="default" w:ascii="Times New Roman" w:hAnsi="Times New Roman" w:eastAsia="仿宋_GB2312" w:cs="Times New Roman"/>
                <w:color w:val="auto"/>
                <w:kern w:val="0"/>
                <w:sz w:val="24"/>
                <w:szCs w:val="24"/>
              </w:rPr>
              <w:fldChar w:fldCharType="separate"/>
            </w:r>
            <w:r>
              <w:rPr>
                <w:rFonts w:hint="default" w:ascii="Times New Roman" w:hAnsi="Times New Roman" w:eastAsia="仿宋_GB2312" w:cs="Times New Roman"/>
                <w:color w:val="auto"/>
                <w:kern w:val="0"/>
                <w:sz w:val="24"/>
                <w:szCs w:val="24"/>
              </w:rPr>
              <w:t>⑵</w:t>
            </w:r>
            <w:r>
              <w:rPr>
                <w:rFonts w:hint="default" w:ascii="Times New Roman" w:hAnsi="Times New Roman" w:eastAsia="仿宋_GB2312" w:cs="Times New Roman"/>
                <w:color w:val="auto"/>
                <w:kern w:val="0"/>
                <w:sz w:val="24"/>
                <w:szCs w:val="24"/>
              </w:rPr>
              <w:fldChar w:fldCharType="end"/>
            </w:r>
            <w:r>
              <w:rPr>
                <w:rFonts w:hint="default" w:ascii="Times New Roman" w:hAnsi="Times New Roman" w:eastAsia="仿宋_GB2312" w:cs="Times New Roman"/>
                <w:color w:val="auto"/>
                <w:kern w:val="0"/>
                <w:sz w:val="24"/>
                <w:szCs w:val="24"/>
              </w:rPr>
              <w:t>污水量</w:t>
            </w:r>
          </w:p>
          <w:p w14:paraId="3A3A4B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根据规划及镇区调研情况，兴仁镇镇区人口为1.5万人。镇区用水量采用综合生活用水量预测，根据《自治区人民政府办公厅关于印发宁夏回族自治区有关行业用水定额（修订）的通知》（宁政办规发【2020】20号）及《镇（乡）给水工程规划规范》（GJJ/T246-2016），本次工程所在地兴仁镇的城镇综合用水定额取值为100L/人▪天（含管网漏损及未预见水量）。根据《镇（乡）给水工程技术规程》（GJJ 123-2008），兴仁镇近期用水高日系数取值为1.5，则确定兴仁镇镇区居民用水量为1000m</w:t>
            </w:r>
            <w:r>
              <w:rPr>
                <w:rFonts w:hint="default" w:ascii="Times New Roman" w:hAnsi="Times New Roman" w:eastAsia="仿宋_GB2312" w:cs="Times New Roman"/>
                <w:color w:val="auto"/>
                <w:kern w:val="0"/>
                <w:sz w:val="24"/>
                <w:szCs w:val="24"/>
                <w:vertAlign w:val="superscript"/>
              </w:rPr>
              <w:t>3</w:t>
            </w:r>
            <w:r>
              <w:rPr>
                <w:rFonts w:hint="default" w:ascii="Times New Roman" w:hAnsi="Times New Roman" w:eastAsia="仿宋_GB2312" w:cs="Times New Roman"/>
                <w:color w:val="auto"/>
                <w:kern w:val="0"/>
                <w:sz w:val="24"/>
                <w:szCs w:val="24"/>
              </w:rPr>
              <w:t>/d，污水的排放系数按0.8计，则近期生活污水量为800m</w:t>
            </w:r>
            <w:r>
              <w:rPr>
                <w:rFonts w:hint="default" w:ascii="Times New Roman" w:hAnsi="Times New Roman" w:eastAsia="仿宋_GB2312" w:cs="Times New Roman"/>
                <w:color w:val="auto"/>
                <w:kern w:val="0"/>
                <w:sz w:val="24"/>
                <w:szCs w:val="24"/>
                <w:vertAlign w:val="superscript"/>
              </w:rPr>
              <w:t>3</w:t>
            </w:r>
            <w:r>
              <w:rPr>
                <w:rFonts w:hint="default" w:ascii="Times New Roman" w:hAnsi="Times New Roman" w:eastAsia="仿宋_GB2312" w:cs="Times New Roman"/>
                <w:color w:val="auto"/>
                <w:kern w:val="0"/>
                <w:sz w:val="24"/>
                <w:szCs w:val="24"/>
              </w:rPr>
              <w:t>/d。</w:t>
            </w:r>
          </w:p>
          <w:p w14:paraId="22CD60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初期雨水：</w:t>
            </w:r>
          </w:p>
          <w:p w14:paraId="2B017C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本项目初期雨水的计算公式如下：</w:t>
            </w:r>
          </w:p>
          <w:p w14:paraId="239D9B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Q=qFψT</w:t>
            </w:r>
          </w:p>
          <w:p w14:paraId="6B08DC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式中：</w:t>
            </w:r>
          </w:p>
          <w:p w14:paraId="70B16F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Q—初期雨水(m</w:t>
            </w:r>
            <w:r>
              <w:rPr>
                <w:rFonts w:hint="default" w:ascii="Times New Roman" w:hAnsi="Times New Roman" w:eastAsia="仿宋_GB2312" w:cs="Times New Roman"/>
                <w:color w:val="auto"/>
                <w:kern w:val="0"/>
                <w:sz w:val="24"/>
                <w:szCs w:val="24"/>
                <w:vertAlign w:val="superscript"/>
              </w:rPr>
              <w:t>3</w:t>
            </w:r>
            <w:r>
              <w:rPr>
                <w:rFonts w:hint="default" w:ascii="Times New Roman" w:hAnsi="Times New Roman" w:eastAsia="仿宋_GB2312" w:cs="Times New Roman"/>
                <w:color w:val="auto"/>
                <w:kern w:val="0"/>
                <w:sz w:val="24"/>
                <w:szCs w:val="24"/>
              </w:rPr>
              <w:t>/次)；</w:t>
            </w:r>
          </w:p>
          <w:p w14:paraId="54AF5E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q—暴雨强度(L/s•hm)；</w:t>
            </w:r>
          </w:p>
          <w:p w14:paraId="1C0CB4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F—汇水面积(hm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kern w:val="0"/>
                <w:sz w:val="24"/>
                <w:szCs w:val="24"/>
              </w:rPr>
              <w:t>)；汇水面积为1813m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kern w:val="0"/>
                <w:sz w:val="24"/>
                <w:szCs w:val="24"/>
              </w:rPr>
              <w:t>，</w:t>
            </w:r>
          </w:p>
          <w:p w14:paraId="63DBBC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Ψ—为径流系数（0.4-0.9，取0.9）；</w:t>
            </w:r>
          </w:p>
          <w:p w14:paraId="2DD415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T—为收水时间，一般取15min；</w:t>
            </w:r>
          </w:p>
          <w:p w14:paraId="0B9A14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本项目所在区暴雨强度参照邻近城市银川市计算公式，具体如下：</w:t>
            </w:r>
          </w:p>
          <w:p w14:paraId="2C59FD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position w:val="-24"/>
                <w:sz w:val="24"/>
                <w:szCs w:val="24"/>
              </w:rPr>
              <w:object>
                <v:shape id="_x0000_i1026" o:spt="75" type="#_x0000_t75" style="height:31pt;width:107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p>
          <w:p w14:paraId="71911E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式中：</w:t>
            </w:r>
          </w:p>
          <w:p w14:paraId="6D0A66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P—重现期，取2年；</w:t>
            </w:r>
          </w:p>
          <w:p w14:paraId="20ACED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t—降雨历时，取15min；</w:t>
            </w:r>
          </w:p>
          <w:p w14:paraId="4F7FBD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因此可知，中卫市的暴雨强度计算结果q=83.12L/s•hm；前15min初期雨水的产生量为12.2m</w:t>
            </w:r>
            <w:r>
              <w:rPr>
                <w:rFonts w:hint="default" w:ascii="Times New Roman" w:hAnsi="Times New Roman" w:eastAsia="仿宋_GB2312" w:cs="Times New Roman"/>
                <w:color w:val="auto"/>
                <w:kern w:val="0"/>
                <w:sz w:val="24"/>
                <w:szCs w:val="24"/>
                <w:vertAlign w:val="superscript"/>
              </w:rPr>
              <w:t>3</w:t>
            </w:r>
            <w:r>
              <w:rPr>
                <w:rFonts w:hint="default" w:ascii="Times New Roman" w:hAnsi="Times New Roman" w:eastAsia="仿宋_GB2312" w:cs="Times New Roman"/>
                <w:color w:val="auto"/>
                <w:kern w:val="0"/>
                <w:sz w:val="24"/>
                <w:szCs w:val="24"/>
              </w:rPr>
              <w:t>/次。</w:t>
            </w:r>
          </w:p>
          <w:p w14:paraId="797BF11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7.3进出水水质确定</w:t>
            </w:r>
          </w:p>
          <w:p w14:paraId="5E4204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snapToGrid w:val="0"/>
                <w:color w:val="auto"/>
                <w:kern w:val="0"/>
                <w:sz w:val="24"/>
                <w:szCs w:val="24"/>
              </w:rPr>
            </w:pPr>
            <w:r>
              <w:rPr>
                <w:rFonts w:hint="default" w:ascii="Times New Roman" w:hAnsi="Times New Roman" w:eastAsia="仿宋_GB2312" w:cs="Times New Roman"/>
                <w:color w:val="auto"/>
                <w:sz w:val="24"/>
                <w:szCs w:val="24"/>
              </w:rPr>
              <w:t>本项目污水处理厂进水主要为兴仁镇镇区生活污水。项目设计污水处理能力为800m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/d，</w:t>
            </w:r>
            <w:r>
              <w:rPr>
                <w:rFonts w:hint="default" w:ascii="Times New Roman" w:hAnsi="Times New Roman" w:eastAsia="仿宋_GB2312" w:cs="Times New Roman"/>
                <w:color w:val="auto"/>
                <w:sz w:val="24"/>
                <w:szCs w:val="24"/>
                <w:lang w:eastAsia="zh-CN"/>
              </w:rPr>
              <w:t>本项目废水执行《</w:t>
            </w:r>
            <w:r>
              <w:rPr>
                <w:rFonts w:hint="default" w:ascii="Times New Roman" w:hAnsi="Times New Roman" w:eastAsia="仿宋_GB2312" w:cs="Times New Roman"/>
                <w:color w:val="auto"/>
                <w:sz w:val="24"/>
                <w:szCs w:val="24"/>
                <w:lang w:val="en-US" w:eastAsia="zh-CN"/>
              </w:rPr>
              <w:t>城镇污水处理厂污染物排放标准</w:t>
            </w:r>
            <w:r>
              <w:rPr>
                <w:rFonts w:hint="default" w:ascii="Times New Roman" w:hAnsi="Times New Roman" w:eastAsia="仿宋_GB2312" w:cs="Times New Roman"/>
                <w:color w:val="auto"/>
                <w:sz w:val="24"/>
                <w:szCs w:val="24"/>
                <w:lang w:eastAsia="zh-CN"/>
              </w:rPr>
              <w:t>》(GB18918-2002)中一级A标准</w:t>
            </w:r>
            <w:r>
              <w:rPr>
                <w:rFonts w:hint="default" w:ascii="Times New Roman" w:hAnsi="Times New Roman" w:eastAsia="仿宋_GB2312" w:cs="Times New Roman"/>
                <w:color w:val="auto"/>
                <w:sz w:val="24"/>
                <w:szCs w:val="24"/>
              </w:rPr>
              <w:t>。</w:t>
            </w:r>
          </w:p>
          <w:p w14:paraId="3B5E6D31">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本项目污水处理</w:t>
            </w:r>
            <w:r>
              <w:rPr>
                <w:rFonts w:hint="eastAsia" w:ascii="Times New Roman" w:hAnsi="Times New Roman" w:eastAsia="仿宋_GB2312" w:cs="Times New Roman"/>
                <w:color w:val="auto"/>
                <w:sz w:val="24"/>
                <w:szCs w:val="24"/>
                <w:lang w:eastAsia="zh-CN"/>
              </w:rPr>
              <w:t>厂</w:t>
            </w:r>
            <w:r>
              <w:rPr>
                <w:rFonts w:hint="default" w:ascii="Times New Roman" w:hAnsi="Times New Roman" w:eastAsia="仿宋_GB2312" w:cs="Times New Roman"/>
                <w:color w:val="auto"/>
                <w:sz w:val="24"/>
                <w:szCs w:val="24"/>
              </w:rPr>
              <w:t>进出水水质见表</w:t>
            </w:r>
            <w:r>
              <w:rPr>
                <w:rFonts w:hint="eastAsia" w:ascii="Times New Roman" w:hAnsi="Times New Roman" w:eastAsia="仿宋_GB2312" w:cs="Times New Roman"/>
                <w:color w:val="auto"/>
                <w:sz w:val="24"/>
                <w:szCs w:val="24"/>
                <w:lang w:val="en-US" w:eastAsia="zh-CN"/>
              </w:rPr>
              <w:t>2-7</w:t>
            </w:r>
            <w:r>
              <w:rPr>
                <w:rFonts w:hint="default" w:ascii="Times New Roman" w:hAnsi="Times New Roman" w:eastAsia="仿宋_GB2312" w:cs="Times New Roman"/>
                <w:color w:val="auto"/>
                <w:sz w:val="24"/>
                <w:szCs w:val="24"/>
              </w:rPr>
              <w:t>。</w:t>
            </w:r>
          </w:p>
          <w:p w14:paraId="40A83EAD">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表</w:t>
            </w:r>
            <w:r>
              <w:rPr>
                <w:rFonts w:hint="eastAsia" w:ascii="Times New Roman" w:hAnsi="Times New Roman" w:eastAsia="宋体" w:cs="Times New Roman"/>
                <w:bCs/>
                <w:color w:val="auto"/>
                <w:szCs w:val="21"/>
                <w:lang w:val="en-US" w:eastAsia="zh-CN"/>
              </w:rPr>
              <w:t xml:space="preserve">2-7    </w:t>
            </w:r>
            <w:r>
              <w:rPr>
                <w:rFonts w:hint="default" w:ascii="Times New Roman" w:hAnsi="Times New Roman" w:eastAsia="宋体" w:cs="Times New Roman"/>
                <w:b/>
                <w:bCs/>
                <w:color w:val="auto"/>
                <w:sz w:val="24"/>
                <w:szCs w:val="24"/>
              </w:rPr>
              <w:t>本项目</w:t>
            </w:r>
            <w:r>
              <w:rPr>
                <w:rFonts w:hint="default" w:ascii="Times New Roman" w:hAnsi="Times New Roman" w:eastAsia="宋体" w:cs="Times New Roman"/>
                <w:b/>
                <w:color w:val="auto"/>
                <w:sz w:val="24"/>
                <w:szCs w:val="24"/>
              </w:rPr>
              <w:t>污水进出水质一览表</w:t>
            </w:r>
          </w:p>
          <w:tbl>
            <w:tblPr>
              <w:tblStyle w:val="26"/>
              <w:tblW w:w="495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11"/>
              <w:gridCol w:w="1133"/>
              <w:gridCol w:w="1252"/>
              <w:gridCol w:w="1569"/>
              <w:gridCol w:w="1512"/>
              <w:gridCol w:w="1618"/>
            </w:tblGrid>
            <w:tr w14:paraId="3F63F8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730" w:type="dxa"/>
                  <w:vAlign w:val="center"/>
                </w:tcPr>
                <w:p w14:paraId="44A7AB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snapToGrid w:val="0"/>
                      <w:color w:val="auto"/>
                      <w:sz w:val="21"/>
                      <w:szCs w:val="21"/>
                      <w:lang w:bidi="ar"/>
                    </w:rPr>
                    <w:t>序号</w:t>
                  </w:r>
                </w:p>
              </w:tc>
              <w:tc>
                <w:tcPr>
                  <w:tcW w:w="1169" w:type="dxa"/>
                  <w:vAlign w:val="center"/>
                </w:tcPr>
                <w:p w14:paraId="0EEE5E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snapToGrid w:val="0"/>
                      <w:color w:val="auto"/>
                      <w:sz w:val="21"/>
                      <w:szCs w:val="21"/>
                      <w:lang w:bidi="ar"/>
                    </w:rPr>
                    <w:t>废水名称</w:t>
                  </w:r>
                </w:p>
              </w:tc>
              <w:tc>
                <w:tcPr>
                  <w:tcW w:w="1293" w:type="dxa"/>
                  <w:vAlign w:val="center"/>
                </w:tcPr>
                <w:p w14:paraId="0F00F9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snapToGrid w:val="0"/>
                      <w:color w:val="auto"/>
                      <w:sz w:val="21"/>
                      <w:szCs w:val="21"/>
                      <w:lang w:bidi="ar"/>
                    </w:rPr>
                    <w:t>水（m</w:t>
                  </w:r>
                  <w:r>
                    <w:rPr>
                      <w:rFonts w:hint="default" w:ascii="Times New Roman" w:hAnsi="Times New Roman" w:eastAsia="宋体" w:cs="Times New Roman"/>
                      <w:b/>
                      <w:snapToGrid w:val="0"/>
                      <w:color w:val="auto"/>
                      <w:sz w:val="21"/>
                      <w:szCs w:val="21"/>
                      <w:vertAlign w:val="superscript"/>
                      <w:lang w:bidi="ar"/>
                    </w:rPr>
                    <w:t>3</w:t>
                  </w:r>
                  <w:r>
                    <w:rPr>
                      <w:rFonts w:hint="default" w:ascii="Times New Roman" w:hAnsi="Times New Roman" w:eastAsia="宋体" w:cs="Times New Roman"/>
                      <w:b/>
                      <w:snapToGrid w:val="0"/>
                      <w:color w:val="auto"/>
                      <w:sz w:val="21"/>
                      <w:szCs w:val="21"/>
                      <w:lang w:bidi="ar"/>
                    </w:rPr>
                    <w:t>/d）</w:t>
                  </w:r>
                </w:p>
              </w:tc>
              <w:tc>
                <w:tcPr>
                  <w:tcW w:w="1622" w:type="dxa"/>
                  <w:vAlign w:val="center"/>
                </w:tcPr>
                <w:p w14:paraId="0E1BC1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snapToGrid w:val="0"/>
                      <w:color w:val="auto"/>
                      <w:sz w:val="21"/>
                      <w:szCs w:val="21"/>
                      <w:lang w:bidi="ar"/>
                    </w:rPr>
                    <w:t>污染因子</w:t>
                  </w:r>
                </w:p>
              </w:tc>
              <w:tc>
                <w:tcPr>
                  <w:tcW w:w="1563" w:type="dxa"/>
                  <w:vAlign w:val="center"/>
                </w:tcPr>
                <w:p w14:paraId="7F02CE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snapToGrid w:val="0"/>
                      <w:color w:val="auto"/>
                      <w:sz w:val="21"/>
                      <w:szCs w:val="21"/>
                      <w:lang w:bidi="ar"/>
                    </w:rPr>
                    <w:t>进水浓度（mg/L）</w:t>
                  </w:r>
                </w:p>
              </w:tc>
              <w:tc>
                <w:tcPr>
                  <w:tcW w:w="1673" w:type="dxa"/>
                  <w:vAlign w:val="center"/>
                </w:tcPr>
                <w:p w14:paraId="6677049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snapToGrid w:val="0"/>
                      <w:color w:val="auto"/>
                      <w:sz w:val="21"/>
                      <w:szCs w:val="21"/>
                      <w:lang w:bidi="ar"/>
                    </w:rPr>
                  </w:pPr>
                  <w:r>
                    <w:rPr>
                      <w:rFonts w:hint="default" w:ascii="Times New Roman" w:hAnsi="Times New Roman" w:eastAsia="宋体" w:cs="Times New Roman"/>
                      <w:b/>
                      <w:snapToGrid w:val="0"/>
                      <w:color w:val="auto"/>
                      <w:sz w:val="21"/>
                      <w:szCs w:val="21"/>
                      <w:lang w:bidi="ar"/>
                    </w:rPr>
                    <w:t>出水浓度（mg/L）</w:t>
                  </w:r>
                </w:p>
              </w:tc>
            </w:tr>
            <w:tr w14:paraId="3C1A65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730" w:type="dxa"/>
                  <w:vAlign w:val="center"/>
                </w:tcPr>
                <w:p w14:paraId="45416E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bidi="ar"/>
                    </w:rPr>
                    <w:t>1</w:t>
                  </w:r>
                </w:p>
              </w:tc>
              <w:tc>
                <w:tcPr>
                  <w:tcW w:w="1169" w:type="dxa"/>
                  <w:vMerge w:val="restart"/>
                  <w:vAlign w:val="center"/>
                </w:tcPr>
                <w:p w14:paraId="53F42D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bidi="ar"/>
                    </w:rPr>
                    <w:t>生活污水</w:t>
                  </w:r>
                </w:p>
              </w:tc>
              <w:tc>
                <w:tcPr>
                  <w:tcW w:w="1293" w:type="dxa"/>
                  <w:vMerge w:val="restart"/>
                  <w:vAlign w:val="center"/>
                </w:tcPr>
                <w:p w14:paraId="57EF46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bidi="ar"/>
                    </w:rPr>
                    <w:t>800</w:t>
                  </w:r>
                </w:p>
              </w:tc>
              <w:tc>
                <w:tcPr>
                  <w:tcW w:w="1622" w:type="dxa"/>
                  <w:vAlign w:val="center"/>
                </w:tcPr>
                <w:p w14:paraId="55A4C9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bidi="ar"/>
                    </w:rPr>
                    <w:t>COD</w:t>
                  </w:r>
                </w:p>
              </w:tc>
              <w:tc>
                <w:tcPr>
                  <w:tcW w:w="1563" w:type="dxa"/>
                  <w:vAlign w:val="center"/>
                </w:tcPr>
                <w:p w14:paraId="5CCDF41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673" w:type="dxa"/>
                  <w:vAlign w:val="center"/>
                </w:tcPr>
                <w:p w14:paraId="471789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14:paraId="0FD56F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730" w:type="dxa"/>
                  <w:vAlign w:val="center"/>
                </w:tcPr>
                <w:p w14:paraId="078398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bidi="ar"/>
                    </w:rPr>
                    <w:t>2</w:t>
                  </w:r>
                </w:p>
              </w:tc>
              <w:tc>
                <w:tcPr>
                  <w:tcW w:w="1169" w:type="dxa"/>
                  <w:vMerge w:val="continue"/>
                  <w:vAlign w:val="center"/>
                </w:tcPr>
                <w:p w14:paraId="35E3D6BB">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1293" w:type="dxa"/>
                  <w:vMerge w:val="continue"/>
                  <w:vAlign w:val="center"/>
                </w:tcPr>
                <w:p w14:paraId="316B5585">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1622" w:type="dxa"/>
                  <w:vAlign w:val="center"/>
                </w:tcPr>
                <w:p w14:paraId="65AA4B2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bidi="ar"/>
                    </w:rPr>
                    <w:t>BOD</w:t>
                  </w:r>
                  <w:r>
                    <w:rPr>
                      <w:rFonts w:hint="default" w:ascii="Times New Roman" w:hAnsi="Times New Roman" w:eastAsia="宋体" w:cs="Times New Roman"/>
                      <w:snapToGrid w:val="0"/>
                      <w:color w:val="auto"/>
                      <w:sz w:val="21"/>
                      <w:szCs w:val="21"/>
                      <w:vertAlign w:val="subscript"/>
                      <w:lang w:bidi="ar"/>
                    </w:rPr>
                    <w:t>5</w:t>
                  </w:r>
                </w:p>
              </w:tc>
              <w:tc>
                <w:tcPr>
                  <w:tcW w:w="1563" w:type="dxa"/>
                  <w:vAlign w:val="center"/>
                </w:tcPr>
                <w:p w14:paraId="0B80FC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1673" w:type="dxa"/>
                  <w:vAlign w:val="center"/>
                </w:tcPr>
                <w:p w14:paraId="279DCC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3A9AEF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730" w:type="dxa"/>
                  <w:vAlign w:val="center"/>
                </w:tcPr>
                <w:p w14:paraId="216695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bidi="ar"/>
                    </w:rPr>
                    <w:t>3</w:t>
                  </w:r>
                </w:p>
              </w:tc>
              <w:tc>
                <w:tcPr>
                  <w:tcW w:w="1169" w:type="dxa"/>
                  <w:vMerge w:val="continue"/>
                  <w:vAlign w:val="center"/>
                </w:tcPr>
                <w:p w14:paraId="1AFFC27F">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1293" w:type="dxa"/>
                  <w:vMerge w:val="continue"/>
                  <w:vAlign w:val="center"/>
                </w:tcPr>
                <w:p w14:paraId="3C6CB920">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1622" w:type="dxa"/>
                  <w:vAlign w:val="center"/>
                </w:tcPr>
                <w:p w14:paraId="1345D7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bidi="ar"/>
                    </w:rPr>
                    <w:t>SS</w:t>
                  </w:r>
                </w:p>
              </w:tc>
              <w:tc>
                <w:tcPr>
                  <w:tcW w:w="1563" w:type="dxa"/>
                  <w:vAlign w:val="center"/>
                </w:tcPr>
                <w:p w14:paraId="389F29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1673" w:type="dxa"/>
                  <w:vAlign w:val="center"/>
                </w:tcPr>
                <w:p w14:paraId="5D18EB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723250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730" w:type="dxa"/>
                  <w:vAlign w:val="center"/>
                </w:tcPr>
                <w:p w14:paraId="70D9C4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bidi="ar"/>
                    </w:rPr>
                    <w:t>4</w:t>
                  </w:r>
                </w:p>
              </w:tc>
              <w:tc>
                <w:tcPr>
                  <w:tcW w:w="1169" w:type="dxa"/>
                  <w:vMerge w:val="continue"/>
                  <w:vAlign w:val="center"/>
                </w:tcPr>
                <w:p w14:paraId="3A7A1F2D">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1293" w:type="dxa"/>
                  <w:vMerge w:val="continue"/>
                  <w:vAlign w:val="center"/>
                </w:tcPr>
                <w:p w14:paraId="2E879225">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1622" w:type="dxa"/>
                  <w:vAlign w:val="center"/>
                </w:tcPr>
                <w:p w14:paraId="536C3D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bidi="ar"/>
                    </w:rPr>
                    <w:t>NH</w:t>
                  </w:r>
                  <w:r>
                    <w:rPr>
                      <w:rFonts w:hint="default" w:ascii="Times New Roman" w:hAnsi="Times New Roman" w:eastAsia="宋体" w:cs="Times New Roman"/>
                      <w:snapToGrid w:val="0"/>
                      <w:color w:val="auto"/>
                      <w:sz w:val="21"/>
                      <w:szCs w:val="21"/>
                      <w:vertAlign w:val="subscript"/>
                      <w:lang w:bidi="ar"/>
                    </w:rPr>
                    <w:t>3</w:t>
                  </w:r>
                  <w:r>
                    <w:rPr>
                      <w:rFonts w:hint="default" w:ascii="Times New Roman" w:hAnsi="Times New Roman" w:eastAsia="宋体" w:cs="Times New Roman"/>
                      <w:snapToGrid w:val="0"/>
                      <w:color w:val="auto"/>
                      <w:sz w:val="21"/>
                      <w:szCs w:val="21"/>
                      <w:lang w:bidi="ar"/>
                    </w:rPr>
                    <w:t>-N</w:t>
                  </w:r>
                </w:p>
              </w:tc>
              <w:tc>
                <w:tcPr>
                  <w:tcW w:w="1563" w:type="dxa"/>
                  <w:vAlign w:val="center"/>
                </w:tcPr>
                <w:p w14:paraId="4C3FCE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673" w:type="dxa"/>
                  <w:vAlign w:val="center"/>
                </w:tcPr>
                <w:p w14:paraId="27C413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w:t>
                  </w:r>
                </w:p>
              </w:tc>
            </w:tr>
            <w:tr w14:paraId="4D6E37B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730" w:type="dxa"/>
                  <w:vAlign w:val="center"/>
                </w:tcPr>
                <w:p w14:paraId="3FA40C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lang w:bidi="ar"/>
                    </w:rPr>
                  </w:pPr>
                  <w:r>
                    <w:rPr>
                      <w:rFonts w:hint="default" w:ascii="Times New Roman" w:hAnsi="Times New Roman" w:eastAsia="宋体" w:cs="Times New Roman"/>
                      <w:snapToGrid w:val="0"/>
                      <w:color w:val="auto"/>
                      <w:sz w:val="21"/>
                      <w:szCs w:val="21"/>
                      <w:lang w:bidi="ar"/>
                    </w:rPr>
                    <w:t>5</w:t>
                  </w:r>
                </w:p>
              </w:tc>
              <w:tc>
                <w:tcPr>
                  <w:tcW w:w="1169" w:type="dxa"/>
                  <w:vMerge w:val="continue"/>
                  <w:vAlign w:val="center"/>
                </w:tcPr>
                <w:p w14:paraId="6830702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1293" w:type="dxa"/>
                  <w:vMerge w:val="continue"/>
                  <w:vAlign w:val="center"/>
                </w:tcPr>
                <w:p w14:paraId="263D640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1622" w:type="dxa"/>
                  <w:vAlign w:val="center"/>
                </w:tcPr>
                <w:p w14:paraId="3DFBA8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lang w:bidi="ar"/>
                    </w:rPr>
                  </w:pPr>
                  <w:r>
                    <w:rPr>
                      <w:rFonts w:hint="default" w:ascii="Times New Roman" w:hAnsi="Times New Roman" w:eastAsia="宋体" w:cs="Times New Roman"/>
                      <w:snapToGrid w:val="0"/>
                      <w:color w:val="auto"/>
                      <w:sz w:val="21"/>
                      <w:szCs w:val="21"/>
                      <w:lang w:bidi="ar"/>
                    </w:rPr>
                    <w:t>TN</w:t>
                  </w:r>
                </w:p>
              </w:tc>
              <w:tc>
                <w:tcPr>
                  <w:tcW w:w="1563" w:type="dxa"/>
                  <w:vAlign w:val="center"/>
                </w:tcPr>
                <w:p w14:paraId="1E0F85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673" w:type="dxa"/>
                  <w:vAlign w:val="center"/>
                </w:tcPr>
                <w:p w14:paraId="15C1EC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14:paraId="7E902E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730" w:type="dxa"/>
                  <w:vAlign w:val="center"/>
                </w:tcPr>
                <w:p w14:paraId="0C5FC6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lang w:bidi="ar"/>
                    </w:rPr>
                  </w:pPr>
                  <w:r>
                    <w:rPr>
                      <w:rFonts w:hint="default" w:ascii="Times New Roman" w:hAnsi="Times New Roman" w:eastAsia="宋体" w:cs="Times New Roman"/>
                      <w:snapToGrid w:val="0"/>
                      <w:color w:val="auto"/>
                      <w:sz w:val="21"/>
                      <w:szCs w:val="21"/>
                      <w:lang w:bidi="ar"/>
                    </w:rPr>
                    <w:t>6</w:t>
                  </w:r>
                </w:p>
              </w:tc>
              <w:tc>
                <w:tcPr>
                  <w:tcW w:w="1169" w:type="dxa"/>
                  <w:vMerge w:val="continue"/>
                  <w:vAlign w:val="center"/>
                </w:tcPr>
                <w:p w14:paraId="49618B82">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1293" w:type="dxa"/>
                  <w:vMerge w:val="continue"/>
                  <w:vAlign w:val="center"/>
                </w:tcPr>
                <w:p w14:paraId="3558A132">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1622" w:type="dxa"/>
                  <w:vAlign w:val="center"/>
                </w:tcPr>
                <w:p w14:paraId="094A6E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lang w:bidi="ar"/>
                    </w:rPr>
                  </w:pPr>
                  <w:r>
                    <w:rPr>
                      <w:rFonts w:hint="default" w:ascii="Times New Roman" w:hAnsi="Times New Roman" w:eastAsia="宋体" w:cs="Times New Roman"/>
                      <w:snapToGrid w:val="0"/>
                      <w:color w:val="auto"/>
                      <w:sz w:val="21"/>
                      <w:szCs w:val="21"/>
                      <w:lang w:bidi="ar"/>
                    </w:rPr>
                    <w:t>TP</w:t>
                  </w:r>
                </w:p>
              </w:tc>
              <w:tc>
                <w:tcPr>
                  <w:tcW w:w="1563" w:type="dxa"/>
                  <w:vAlign w:val="center"/>
                </w:tcPr>
                <w:p w14:paraId="399BF8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1673" w:type="dxa"/>
                  <w:vAlign w:val="center"/>
                </w:tcPr>
                <w:p w14:paraId="3CA990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bl>
          <w:p w14:paraId="49466DE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b/>
                <w:bCs/>
                <w:color w:val="auto"/>
                <w:sz w:val="24"/>
                <w:szCs w:val="24"/>
              </w:rPr>
            </w:pPr>
            <w:r>
              <w:rPr>
                <w:rFonts w:hint="eastAsia" w:ascii="Times New Roman" w:hAnsi="Times New Roman" w:eastAsia="仿宋_GB2312" w:cs="Times New Roman"/>
                <w:b/>
                <w:bCs/>
                <w:color w:val="auto"/>
                <w:sz w:val="24"/>
                <w:szCs w:val="24"/>
                <w:lang w:val="en-US" w:eastAsia="zh-CN"/>
              </w:rPr>
              <w:t>8</w:t>
            </w:r>
            <w:r>
              <w:rPr>
                <w:rFonts w:hint="default" w:ascii="Times New Roman" w:hAnsi="Times New Roman" w:eastAsia="仿宋_GB2312" w:cs="Times New Roman"/>
                <w:b/>
                <w:bCs/>
                <w:color w:val="auto"/>
                <w:sz w:val="24"/>
                <w:szCs w:val="24"/>
              </w:rPr>
              <w:t>、劳动定员及生产天数</w:t>
            </w:r>
          </w:p>
          <w:p w14:paraId="7C0F6228">
            <w:pPr>
              <w:keepNext w:val="0"/>
              <w:keepLines w:val="0"/>
              <w:pageBreakBefore w:val="0"/>
              <w:widowControl w:val="0"/>
              <w:kinsoku/>
              <w:wordWrap/>
              <w:overflowPunct/>
              <w:topLinePunct w:val="0"/>
              <w:autoSpaceDE/>
              <w:autoSpaceDN/>
              <w:bidi w:val="0"/>
              <w:adjustRightInd w:val="0"/>
              <w:snapToGrid w:val="0"/>
              <w:spacing w:line="360" w:lineRule="auto"/>
              <w:ind w:firstLine="200"/>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本项目劳动定员6人，年工作天数365d，年工作时数为8760h。</w:t>
            </w:r>
          </w:p>
          <w:p w14:paraId="58BC114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b/>
                <w:bCs/>
                <w:color w:val="auto"/>
                <w:sz w:val="24"/>
                <w:szCs w:val="24"/>
              </w:rPr>
            </w:pPr>
            <w:r>
              <w:rPr>
                <w:rFonts w:hint="eastAsia" w:ascii="Times New Roman" w:hAnsi="Times New Roman" w:eastAsia="仿宋_GB2312" w:cs="Times New Roman"/>
                <w:b/>
                <w:bCs/>
                <w:color w:val="auto"/>
                <w:sz w:val="24"/>
                <w:szCs w:val="24"/>
                <w:lang w:val="en-US" w:eastAsia="zh-CN"/>
              </w:rPr>
              <w:t>9</w:t>
            </w:r>
            <w:r>
              <w:rPr>
                <w:rFonts w:hint="default" w:ascii="Times New Roman" w:hAnsi="Times New Roman" w:eastAsia="仿宋_GB2312" w:cs="Times New Roman"/>
                <w:b/>
                <w:bCs/>
                <w:color w:val="auto"/>
                <w:sz w:val="24"/>
                <w:szCs w:val="24"/>
              </w:rPr>
              <w:t>、厂区平面布局</w:t>
            </w:r>
          </w:p>
          <w:p w14:paraId="67573C12">
            <w:pPr>
              <w:keepNext w:val="0"/>
              <w:keepLines w:val="0"/>
              <w:pageBreakBefore w:val="0"/>
              <w:widowControl w:val="0"/>
              <w:shd w:val="clear" w:color="auto" w:fill="FFFFFF" w:themeFill="background1"/>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本项目建筑设计采用现代设计风格。立面造型力求简洁明快。</w:t>
            </w:r>
          </w:p>
          <w:p w14:paraId="1799864F">
            <w:pPr>
              <w:keepNext w:val="0"/>
              <w:keepLines w:val="0"/>
              <w:pageBreakBefore w:val="0"/>
              <w:widowControl w:val="0"/>
              <w:shd w:val="clear" w:color="auto" w:fill="FFFFFF" w:themeFill="background1"/>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⑴建筑组成</w:t>
            </w:r>
          </w:p>
          <w:p w14:paraId="0C5A2E9D">
            <w:pPr>
              <w:keepNext w:val="0"/>
              <w:keepLines w:val="0"/>
              <w:pageBreakBefore w:val="0"/>
              <w:widowControl w:val="0"/>
              <w:shd w:val="clear" w:color="auto" w:fill="FFFFFF" w:themeFill="background1"/>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本工程主要建筑为污水处理工艺中的</w:t>
            </w:r>
            <w:r>
              <w:rPr>
                <w:rFonts w:hint="default" w:ascii="Times New Roman" w:hAnsi="Times New Roman" w:eastAsia="仿宋_GB2312" w:cs="Times New Roman"/>
                <w:color w:val="auto"/>
                <w:sz w:val="24"/>
                <w:szCs w:val="24"/>
                <w:lang w:eastAsia="zh-CN"/>
              </w:rPr>
              <w:t>预处理间及调节池、一体化</w:t>
            </w:r>
            <w:r>
              <w:rPr>
                <w:rFonts w:hint="default" w:ascii="Times New Roman" w:hAnsi="Times New Roman" w:eastAsia="仿宋_GB2312" w:cs="Times New Roman"/>
                <w:color w:val="auto"/>
                <w:sz w:val="24"/>
                <w:szCs w:val="24"/>
                <w:lang w:val="en-US" w:eastAsia="zh-CN"/>
              </w:rPr>
              <w:t>AAO生物反应池、中间提升泵池、深度处理车间、接触池及巴氏计量槽、贮泥池及污泥泵池、综合车间、进水监测用房、进、出水在线站房、管理用房及再生水池</w:t>
            </w:r>
            <w:r>
              <w:rPr>
                <w:rFonts w:hint="default" w:ascii="Times New Roman" w:hAnsi="Times New Roman" w:eastAsia="仿宋_GB2312" w:cs="Times New Roman"/>
                <w:color w:val="auto"/>
                <w:sz w:val="24"/>
                <w:szCs w:val="24"/>
              </w:rPr>
              <w:t>等辅助建筑物。</w:t>
            </w:r>
          </w:p>
          <w:p w14:paraId="5898410E">
            <w:pPr>
              <w:keepNext w:val="0"/>
              <w:keepLines w:val="0"/>
              <w:pageBreakBefore w:val="0"/>
              <w:widowControl w:val="0"/>
              <w:shd w:val="clear" w:color="auto" w:fill="FFFFFF" w:themeFill="background1"/>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⑵总图规划</w:t>
            </w:r>
          </w:p>
          <w:p w14:paraId="29AF4CEC">
            <w:pPr>
              <w:keepNext w:val="0"/>
              <w:keepLines w:val="0"/>
              <w:pageBreakBefore w:val="0"/>
              <w:widowControl w:val="0"/>
              <w:shd w:val="clear" w:color="auto" w:fill="FFFFFF" w:themeFill="background1"/>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厂区总平面布置基本上按功能划分，功能区主要分为综合办公区、污水处理区、远期预留区，各区之间不设围墙，采用绿化带相隔、道路相联系。办公生活区布置于整个厂区的东南；污水处理区根据进水方向由南向北依次布预处理间</w:t>
            </w:r>
            <w:r>
              <w:rPr>
                <w:rFonts w:hint="default" w:ascii="Times New Roman" w:hAnsi="Times New Roman" w:eastAsia="仿宋_GB2312" w:cs="Times New Roman"/>
                <w:color w:val="auto"/>
                <w:sz w:val="24"/>
                <w:szCs w:val="24"/>
                <w:lang w:eastAsia="zh-CN"/>
              </w:rPr>
              <w:t>及</w:t>
            </w:r>
            <w:r>
              <w:rPr>
                <w:rFonts w:hint="default" w:ascii="Times New Roman" w:hAnsi="Times New Roman" w:eastAsia="仿宋_GB2312" w:cs="Times New Roman"/>
                <w:color w:val="auto"/>
                <w:sz w:val="24"/>
                <w:szCs w:val="24"/>
              </w:rPr>
              <w:t>调节池、生物反应池、二沉池、</w:t>
            </w:r>
            <w:r>
              <w:rPr>
                <w:rFonts w:hint="default" w:ascii="Times New Roman" w:hAnsi="Times New Roman" w:eastAsia="仿宋_GB2312" w:cs="Times New Roman"/>
                <w:color w:val="auto"/>
                <w:sz w:val="24"/>
                <w:szCs w:val="24"/>
                <w:lang w:eastAsia="zh-CN"/>
              </w:rPr>
              <w:t>综合车间</w:t>
            </w:r>
            <w:r>
              <w:rPr>
                <w:rFonts w:hint="default" w:ascii="Times New Roman" w:hAnsi="Times New Roman" w:eastAsia="仿宋_GB2312" w:cs="Times New Roman"/>
                <w:color w:val="auto"/>
                <w:sz w:val="24"/>
                <w:szCs w:val="24"/>
              </w:rPr>
              <w:t>、深度处理车间、接触消毒池；厂区西东部主要为远期预留部分。项目根据工艺的先后顺序，将功能相近的建构筑物在工艺允许的前提下，成组成团布置，通过道路系统的合理划分，绿化、硬地的恰当点缀，形成既符合工艺需要，又在建筑布局上井然有序、层次变化分明的有机整体。各个构筑物之间均设置了绿化带，进、出水分别设置监测房，安装在线监测仪器；加氯间、风机房、变电所及污泥储池等辅助设施构筑物分别就近布置在相应的工序旁边，缩短了物料输送管线，提高了各污水处理单元的工作效率。</w:t>
            </w:r>
          </w:p>
          <w:p w14:paraId="75E05214">
            <w:pPr>
              <w:shd w:val="clear" w:color="auto" w:fill="FFFFFF" w:themeFill="background1"/>
              <w:adjustRightInd w:val="0"/>
              <w:snapToGrid w:val="0"/>
              <w:spacing w:before="50" w:after="50"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污水处理厂各区之间以道路划分，道路通往厂区各主要构筑物，在厂区之间设置主干道。出入口设置在滨河路以北侧，方便进出。对厂区周围及厂内空地进行充分绿化，对污水厂散发的恶臭起到了有效的隔离，同时美化了环境。厂前区及各水处理构筑物之间带状地形保留中心绿地，其它空余地方均要种植草坪，污泥区周围种植带状灌木隔离，道路两侧栽植树木，同时在围墙与厂外规划路之间保留绿化用地，项目绿化率达到</w:t>
            </w:r>
            <w:r>
              <w:rPr>
                <w:rFonts w:hint="eastAsia" w:ascii="Times New Roman" w:hAnsi="Times New Roman" w:eastAsia="仿宋_GB2312" w:cs="Times New Roman"/>
                <w:color w:val="auto"/>
                <w:sz w:val="24"/>
                <w:szCs w:val="24"/>
                <w:lang w:val="en-US" w:eastAsia="zh-CN"/>
              </w:rPr>
              <w:t>40.12</w:t>
            </w:r>
            <w:r>
              <w:rPr>
                <w:rFonts w:hint="default" w:ascii="Times New Roman" w:hAnsi="Times New Roman" w:eastAsia="仿宋_GB2312" w:cs="Times New Roman"/>
                <w:color w:val="auto"/>
                <w:sz w:val="24"/>
                <w:szCs w:val="24"/>
              </w:rPr>
              <w:t>%。</w:t>
            </w:r>
          </w:p>
          <w:p w14:paraId="1742CE2F">
            <w:pPr>
              <w:shd w:val="clear" w:color="auto" w:fill="FFFFFF" w:themeFill="background1"/>
              <w:adjustRightInd w:val="0"/>
              <w:snapToGrid w:val="0"/>
              <w:spacing w:before="50" w:after="50"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综上所述，本项目最大限度地利用了建设地点的自然及经济优势，统一规划、合理分区，从总体来看，项目平面布置基本合理。污水处理厂平面布置图见</w:t>
            </w:r>
            <w:r>
              <w:rPr>
                <w:rFonts w:hint="eastAsia" w:ascii="Times New Roman" w:hAnsi="Times New Roman" w:eastAsia="仿宋_GB2312" w:cs="Times New Roman"/>
                <w:color w:val="auto"/>
                <w:sz w:val="24"/>
                <w:szCs w:val="24"/>
                <w:lang w:eastAsia="zh-CN"/>
              </w:rPr>
              <w:t>附图</w:t>
            </w:r>
            <w:r>
              <w:rPr>
                <w:rFonts w:hint="eastAsia" w:ascii="Times New Roman" w:hAnsi="Times New Roman" w:eastAsia="仿宋_GB2312" w:cs="Times New Roman"/>
                <w:color w:val="auto"/>
                <w:sz w:val="24"/>
                <w:szCs w:val="24"/>
                <w:lang w:val="en-US" w:eastAsia="zh-CN"/>
              </w:rPr>
              <w:t>9</w:t>
            </w:r>
            <w:r>
              <w:rPr>
                <w:rFonts w:hint="default" w:ascii="Times New Roman" w:hAnsi="Times New Roman" w:eastAsia="仿宋_GB2312" w:cs="Times New Roman"/>
                <w:color w:val="auto"/>
                <w:sz w:val="24"/>
                <w:szCs w:val="24"/>
              </w:rPr>
              <w:t>。</w:t>
            </w:r>
          </w:p>
          <w:p w14:paraId="79309F2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b/>
                <w:bCs/>
                <w:color w:val="auto"/>
                <w:sz w:val="24"/>
                <w:szCs w:val="24"/>
                <w:lang w:eastAsia="zh-CN"/>
              </w:rPr>
            </w:pPr>
            <w:r>
              <w:rPr>
                <w:rFonts w:hint="eastAsia" w:ascii="Times New Roman" w:hAnsi="Times New Roman" w:eastAsia="仿宋" w:cs="Times New Roman"/>
                <w:b/>
                <w:bCs/>
                <w:color w:val="auto"/>
                <w:sz w:val="24"/>
                <w:szCs w:val="24"/>
                <w:lang w:val="en-US" w:eastAsia="zh-CN"/>
              </w:rPr>
              <w:t>10</w:t>
            </w:r>
            <w:r>
              <w:rPr>
                <w:rFonts w:ascii="Times New Roman" w:hAnsi="Times New Roman" w:eastAsia="仿宋" w:cs="Times New Roman"/>
                <w:b/>
                <w:bCs/>
                <w:color w:val="auto"/>
                <w:sz w:val="24"/>
                <w:szCs w:val="24"/>
              </w:rPr>
              <w:t>、</w:t>
            </w:r>
            <w:r>
              <w:rPr>
                <w:rFonts w:hint="eastAsia" w:ascii="Times New Roman" w:hAnsi="Times New Roman" w:eastAsia="仿宋" w:cs="Times New Roman"/>
                <w:b/>
                <w:bCs/>
                <w:color w:val="auto"/>
                <w:sz w:val="24"/>
                <w:szCs w:val="24"/>
                <w:lang w:eastAsia="zh-CN"/>
              </w:rPr>
              <w:t>投资与环保投资</w:t>
            </w:r>
          </w:p>
          <w:p w14:paraId="5A59D838">
            <w:pPr>
              <w:adjustRightInd w:val="0"/>
              <w:snapToGrid w:val="0"/>
              <w:spacing w:line="360" w:lineRule="auto"/>
              <w:ind w:firstLine="480" w:firstLineChars="200"/>
              <w:rPr>
                <w:rFonts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本项目</w:t>
            </w:r>
            <w:r>
              <w:rPr>
                <w:rFonts w:hint="eastAsia" w:ascii="Times New Roman" w:hAnsi="Times New Roman" w:eastAsia="仿宋_GB2312" w:cs="Times New Roman"/>
                <w:color w:val="auto"/>
                <w:sz w:val="24"/>
                <w:szCs w:val="24"/>
                <w:lang w:eastAsia="zh-CN"/>
              </w:rPr>
              <w:t>为</w:t>
            </w:r>
            <w:r>
              <w:rPr>
                <w:rFonts w:hint="default" w:ascii="Times New Roman" w:hAnsi="Times New Roman" w:eastAsia="仿宋_GB2312" w:cs="Times New Roman"/>
                <w:color w:val="auto"/>
                <w:sz w:val="24"/>
                <w:szCs w:val="24"/>
              </w:rPr>
              <w:t>环保工程。项目总投资</w:t>
            </w:r>
            <w:r>
              <w:rPr>
                <w:rFonts w:hint="eastAsia" w:ascii="Times New Roman" w:hAnsi="Times New Roman" w:eastAsia="仿宋_GB2312" w:cs="Times New Roman"/>
                <w:color w:val="auto"/>
                <w:sz w:val="24"/>
                <w:szCs w:val="24"/>
                <w:lang w:val="en-US" w:eastAsia="zh-CN"/>
              </w:rPr>
              <w:t>5091.04</w:t>
            </w:r>
            <w:r>
              <w:rPr>
                <w:rFonts w:hint="default" w:ascii="Times New Roman" w:hAnsi="Times New Roman" w:eastAsia="仿宋_GB2312" w:cs="Times New Roman"/>
                <w:color w:val="auto"/>
                <w:sz w:val="24"/>
                <w:szCs w:val="24"/>
              </w:rPr>
              <w:t>万元，</w:t>
            </w:r>
            <w:r>
              <w:rPr>
                <w:rFonts w:hint="default" w:ascii="Times New Roman" w:hAnsi="Times New Roman" w:eastAsia="仿宋_GB2312" w:cs="Times New Roman"/>
                <w:color w:val="auto"/>
                <w:sz w:val="24"/>
                <w:szCs w:val="24"/>
                <w:lang w:eastAsia="zh-CN"/>
              </w:rPr>
              <w:t>均为环保投资</w:t>
            </w:r>
            <w:r>
              <w:rPr>
                <w:rFonts w:hint="default" w:ascii="Times New Roman" w:hAnsi="Times New Roman" w:eastAsia="仿宋_GB2312" w:cs="Times New Roman"/>
                <w:color w:val="auto"/>
                <w:sz w:val="24"/>
                <w:szCs w:val="24"/>
              </w:rPr>
              <w:t>。</w:t>
            </w:r>
          </w:p>
        </w:tc>
      </w:tr>
      <w:tr w14:paraId="48BDB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12" w:hRule="atLeast"/>
          <w:jc w:val="center"/>
        </w:trPr>
        <w:tc>
          <w:tcPr>
            <w:tcW w:w="1034" w:type="dxa"/>
            <w:vAlign w:val="center"/>
          </w:tcPr>
          <w:p w14:paraId="4A11D974">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工艺流程和产排污环节</w:t>
            </w:r>
          </w:p>
        </w:tc>
        <w:tc>
          <w:tcPr>
            <w:tcW w:w="8120" w:type="dxa"/>
            <w:vAlign w:val="center"/>
          </w:tcPr>
          <w:p w14:paraId="5E475AC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b/>
                <w:bCs w:val="0"/>
                <w:color w:val="auto"/>
                <w:sz w:val="24"/>
                <w:szCs w:val="24"/>
                <w:lang w:eastAsia="zh-CN"/>
              </w:rPr>
            </w:pPr>
            <w:r>
              <w:rPr>
                <w:rFonts w:hint="eastAsia" w:ascii="Times New Roman" w:hAnsi="Times New Roman" w:eastAsia="仿宋" w:cs="Times New Roman"/>
                <w:b/>
                <w:bCs w:val="0"/>
                <w:color w:val="auto"/>
                <w:sz w:val="24"/>
                <w:szCs w:val="24"/>
                <w:lang w:eastAsia="zh-CN"/>
              </w:rPr>
              <w:t>一、施工期工艺流程及产污环节</w:t>
            </w:r>
          </w:p>
          <w:p w14:paraId="506376E5">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lang w:val="en-US" w:eastAsia="zh-CN"/>
              </w:rPr>
            </w:pPr>
            <w:r>
              <w:rPr>
                <w:rFonts w:hint="default" w:ascii="Times New Roman" w:hAnsi="Times New Roman" w:eastAsia="仿宋_GB2312" w:cs="Times New Roman"/>
                <w:color w:val="auto"/>
                <w:sz w:val="24"/>
                <w:szCs w:val="24"/>
                <w:lang w:val="en-US" w:eastAsia="zh-CN"/>
              </w:rPr>
              <w:t>本项目已</w:t>
            </w:r>
            <w:r>
              <w:rPr>
                <w:rFonts w:hint="eastAsia" w:ascii="Times New Roman" w:hAnsi="Times New Roman" w:eastAsia="仿宋_GB2312" w:cs="Times New Roman"/>
                <w:color w:val="auto"/>
                <w:sz w:val="24"/>
                <w:szCs w:val="24"/>
                <w:lang w:val="en-US" w:eastAsia="zh-CN"/>
              </w:rPr>
              <w:t>于</w:t>
            </w:r>
            <w:r>
              <w:rPr>
                <w:rFonts w:hint="eastAsia" w:eastAsia="仿宋_GB2312" w:cs="Times New Roman"/>
                <w:color w:val="auto"/>
                <w:sz w:val="24"/>
                <w:szCs w:val="24"/>
                <w:lang w:val="en-US" w:eastAsia="zh-CN"/>
              </w:rPr>
              <w:t>2024</w:t>
            </w:r>
            <w:r>
              <w:rPr>
                <w:rFonts w:hint="eastAsia" w:ascii="Times New Roman" w:hAnsi="Times New Roman" w:eastAsia="仿宋_GB2312" w:cs="Times New Roman"/>
                <w:color w:val="auto"/>
                <w:sz w:val="24"/>
                <w:szCs w:val="24"/>
                <w:lang w:val="en-US" w:eastAsia="zh-CN"/>
              </w:rPr>
              <w:t>年建成，根据现场勘察，已无施工期环境问题。</w:t>
            </w:r>
          </w:p>
          <w:p w14:paraId="6D130E5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 w:cs="Times New Roman"/>
                <w:b/>
                <w:bCs w:val="0"/>
                <w:color w:val="auto"/>
                <w:sz w:val="24"/>
                <w:szCs w:val="24"/>
                <w:lang w:eastAsia="zh-CN"/>
              </w:rPr>
            </w:pPr>
            <w:r>
              <w:rPr>
                <w:rFonts w:hint="eastAsia" w:ascii="Times New Roman" w:hAnsi="Times New Roman" w:eastAsia="仿宋" w:cs="Times New Roman"/>
                <w:b/>
                <w:bCs w:val="0"/>
                <w:color w:val="auto"/>
                <w:sz w:val="24"/>
                <w:szCs w:val="24"/>
                <w:lang w:eastAsia="zh-CN"/>
              </w:rPr>
              <w:t>二、运营期工艺流程及产污环节</w:t>
            </w:r>
          </w:p>
          <w:p w14:paraId="73054FA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rPr>
            </w:pPr>
            <w:bookmarkStart w:id="0" w:name="OLE_LINK24"/>
            <w:r>
              <w:rPr>
                <w:rFonts w:hint="default" w:ascii="Times New Roman" w:hAnsi="Times New Roman" w:eastAsia="仿宋_GB2312" w:cs="Times New Roman"/>
                <w:b/>
                <w:bCs/>
                <w:color w:val="auto"/>
                <w:sz w:val="24"/>
                <w:szCs w:val="24"/>
              </w:rPr>
              <w:t>1、营运期污水处理</w:t>
            </w:r>
            <w:r>
              <w:rPr>
                <w:rFonts w:hint="eastAsia" w:ascii="Times New Roman" w:hAnsi="Times New Roman" w:eastAsia="仿宋_GB2312" w:cs="Times New Roman"/>
                <w:b/>
                <w:bCs/>
                <w:color w:val="auto"/>
                <w:sz w:val="24"/>
                <w:szCs w:val="24"/>
                <w:lang w:eastAsia="zh-CN"/>
              </w:rPr>
              <w:t>厂废水处理</w:t>
            </w:r>
            <w:r>
              <w:rPr>
                <w:rFonts w:hint="default" w:ascii="Times New Roman" w:hAnsi="Times New Roman" w:eastAsia="仿宋_GB2312" w:cs="Times New Roman"/>
                <w:b/>
                <w:bCs/>
                <w:color w:val="auto"/>
                <w:sz w:val="24"/>
                <w:szCs w:val="24"/>
              </w:rPr>
              <w:t>工艺</w:t>
            </w:r>
          </w:p>
          <w:p w14:paraId="601C28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本项目污水处理厂设计近期污水处理规模</w:t>
            </w:r>
            <w:r>
              <w:rPr>
                <w:rFonts w:hint="default" w:ascii="Times New Roman" w:hAnsi="Times New Roman" w:eastAsia="仿宋_GB2312" w:cs="Times New Roman"/>
                <w:color w:val="auto"/>
                <w:sz w:val="24"/>
                <w:szCs w:val="24"/>
                <w:lang w:val="en-US" w:eastAsia="zh-CN"/>
              </w:rPr>
              <w:t>800</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/d，采用“</w:t>
            </w:r>
            <w:r>
              <w:rPr>
                <w:rFonts w:hint="default" w:ascii="Times New Roman" w:hAnsi="Times New Roman" w:eastAsia="仿宋_GB2312" w:cs="Times New Roman"/>
                <w:color w:val="auto"/>
                <w:sz w:val="24"/>
                <w:szCs w:val="24"/>
                <w:lang w:val="en-US" w:eastAsia="zh-CN"/>
              </w:rPr>
              <w:t>预处理间（粗细格栅+平流沉砂池）＋调节池＋A</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szCs w:val="24"/>
                <w:lang w:val="en-US" w:eastAsia="zh-CN"/>
              </w:rPr>
              <w:t>/O 生物反应池＋平流沉淀池＋高效沉淀池+竖片滤池＋次氯酸钠消毒</w:t>
            </w:r>
            <w:r>
              <w:rPr>
                <w:rFonts w:hint="default" w:ascii="Times New Roman" w:hAnsi="Times New Roman" w:eastAsia="仿宋_GB2312" w:cs="Times New Roman"/>
                <w:color w:val="auto"/>
                <w:sz w:val="24"/>
                <w:szCs w:val="24"/>
              </w:rPr>
              <w:t>”污水处理工艺</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污泥处理工艺流程为：“叠螺浓缩+板框压滤”</w:t>
            </w:r>
            <w:r>
              <w:rPr>
                <w:rFonts w:hint="default" w:ascii="Times New Roman" w:hAnsi="Times New Roman" w:eastAsia="仿宋_GB2312" w:cs="Times New Roman"/>
                <w:color w:val="auto"/>
                <w:sz w:val="24"/>
                <w:szCs w:val="24"/>
              </w:rPr>
              <w:t>。工艺流程图</w:t>
            </w:r>
            <w:bookmarkEnd w:id="0"/>
            <w:r>
              <w:rPr>
                <w:rFonts w:hint="default" w:ascii="Times New Roman" w:hAnsi="Times New Roman" w:eastAsia="仿宋_GB2312" w:cs="Times New Roman"/>
                <w:color w:val="auto"/>
                <w:sz w:val="24"/>
                <w:szCs w:val="24"/>
              </w:rPr>
              <w:t>如下：</w:t>
            </w:r>
          </w:p>
          <w:p w14:paraId="4E3D7F82">
            <w:pPr>
              <w:pStyle w:val="40"/>
              <w:keepNext w:val="0"/>
              <w:keepLines w:val="0"/>
              <w:pageBreakBefore w:val="0"/>
              <w:widowControl w:val="0"/>
              <w:numPr>
                <w:ilvl w:val="0"/>
                <w:numId w:val="0"/>
              </w:numPr>
              <w:kinsoku/>
              <w:wordWrap/>
              <w:overflowPunct/>
              <w:topLinePunct w:val="0"/>
              <w:autoSpaceDE w:val="0"/>
              <w:autoSpaceDN w:val="0"/>
              <w:bidi w:val="0"/>
              <w:adjustRightInd w:val="0"/>
              <w:snapToGrid w:val="0"/>
              <w:ind w:leftChars="0"/>
              <w:jc w:val="center"/>
              <w:textAlignment w:val="auto"/>
              <w:rPr>
                <w:rFonts w:hint="eastAsia" w:eastAsia="宋体"/>
                <w:color w:val="auto"/>
                <w:sz w:val="21"/>
                <w:lang w:eastAsia="zh-CN"/>
              </w:rPr>
            </w:pPr>
            <w:r>
              <w:rPr>
                <w:rFonts w:hint="eastAsia" w:eastAsia="宋体"/>
                <w:color w:val="auto"/>
                <w:sz w:val="21"/>
                <w:lang w:eastAsia="zh-CN"/>
              </w:rPr>
              <w:drawing>
                <wp:inline distT="0" distB="0" distL="114300" distR="114300">
                  <wp:extent cx="5018405" cy="5824855"/>
                  <wp:effectExtent l="19050" t="19050" r="29845" b="23495"/>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23"/>
                          <a:stretch>
                            <a:fillRect/>
                          </a:stretch>
                        </pic:blipFill>
                        <pic:spPr>
                          <a:xfrm>
                            <a:off x="0" y="0"/>
                            <a:ext cx="5018405" cy="5824855"/>
                          </a:xfrm>
                          <a:prstGeom prst="rect">
                            <a:avLst/>
                          </a:prstGeom>
                          <a:ln w="19050">
                            <a:solidFill>
                              <a:schemeClr val="tx1"/>
                            </a:solidFill>
                          </a:ln>
                        </pic:spPr>
                      </pic:pic>
                    </a:graphicData>
                  </a:graphic>
                </wp:inline>
              </w:drawing>
            </w:r>
          </w:p>
          <w:p w14:paraId="1297AEB0">
            <w:pPr>
              <w:adjustRightInd w:val="0"/>
              <w:snapToGrid w:val="0"/>
              <w:spacing w:line="360" w:lineRule="auto"/>
              <w:jc w:val="center"/>
              <w:rPr>
                <w:rFonts w:hint="default" w:ascii="Times New Roman" w:hAnsi="Times New Roman" w:eastAsia="宋体" w:cs="Times New Roman"/>
                <w:b/>
                <w:bCs/>
                <w:color w:val="auto"/>
                <w:sz w:val="28"/>
                <w:szCs w:val="22"/>
              </w:rPr>
            </w:pPr>
            <w:r>
              <w:rPr>
                <w:rFonts w:hint="default" w:ascii="Times New Roman" w:hAnsi="Times New Roman" w:eastAsia="宋体" w:cs="Times New Roman"/>
                <w:b/>
                <w:bCs/>
                <w:color w:val="auto"/>
                <w:szCs w:val="21"/>
              </w:rPr>
              <w:t>图</w:t>
            </w:r>
            <w:r>
              <w:rPr>
                <w:rFonts w:hint="eastAsia" w:ascii="Times New Roman" w:hAnsi="Times New Roman" w:eastAsia="宋体" w:cs="Times New Roman"/>
                <w:b/>
                <w:bCs/>
                <w:color w:val="auto"/>
                <w:szCs w:val="21"/>
                <w:lang w:val="en-US" w:eastAsia="zh-CN"/>
              </w:rPr>
              <w:t>2-3</w:t>
            </w:r>
            <w:r>
              <w:rPr>
                <w:rFonts w:hint="default" w:ascii="Times New Roman" w:hAnsi="Times New Roman" w:eastAsia="宋体" w:cs="Times New Roman"/>
                <w:b/>
                <w:bCs/>
                <w:color w:val="auto"/>
                <w:sz w:val="24"/>
                <w:szCs w:val="24"/>
              </w:rPr>
              <w:t xml:space="preserve">    </w:t>
            </w:r>
            <w:bookmarkStart w:id="1" w:name="OLE_LINK26"/>
            <w:r>
              <w:rPr>
                <w:rFonts w:hint="default" w:ascii="Times New Roman" w:hAnsi="Times New Roman" w:eastAsia="宋体" w:cs="Times New Roman"/>
                <w:b/>
                <w:bCs/>
                <w:color w:val="auto"/>
                <w:sz w:val="24"/>
                <w:szCs w:val="24"/>
              </w:rPr>
              <w:t>本项目污水处理工艺流程</w:t>
            </w:r>
            <w:bookmarkEnd w:id="1"/>
          </w:p>
          <w:p w14:paraId="24C24B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cs="Times New Roman"/>
                <w:color w:val="auto"/>
                <w:sz w:val="24"/>
                <w:szCs w:val="24"/>
              </w:rPr>
              <w:t>⑴</w:t>
            </w:r>
            <w:r>
              <w:rPr>
                <w:rFonts w:hint="default" w:ascii="Times New Roman" w:hAnsi="Times New Roman" w:eastAsia="仿宋_GB2312" w:cs="Times New Roman"/>
                <w:color w:val="auto"/>
                <w:sz w:val="24"/>
                <w:szCs w:val="24"/>
              </w:rPr>
              <w:t>工艺流程说明：</w:t>
            </w:r>
          </w:p>
          <w:p w14:paraId="2970A7D8">
            <w:pPr>
              <w:pStyle w:val="47"/>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rPr>
            </w:pPr>
            <w:bookmarkStart w:id="2" w:name="_Toc411583843"/>
            <w:bookmarkStart w:id="3" w:name="OLE_LINK27"/>
            <w:r>
              <w:rPr>
                <w:rFonts w:hint="default" w:ascii="Times New Roman" w:hAnsi="Times New Roman" w:eastAsia="宋体" w:cs="Times New Roman"/>
                <w:color w:val="auto"/>
                <w:sz w:val="24"/>
                <w:szCs w:val="24"/>
              </w:rPr>
              <w:t>①</w:t>
            </w:r>
            <w:r>
              <w:rPr>
                <w:rFonts w:hint="default" w:ascii="Times New Roman" w:hAnsi="Times New Roman" w:cs="Times New Roman"/>
                <w:color w:val="auto"/>
                <w:sz w:val="24"/>
                <w:szCs w:val="24"/>
              </w:rPr>
              <w:t>污水经外部收水管网送至厂区，污水中含有少量的固体废物，设置格栅井拦截固体废物，保护后续的处理设备，拦截的栅渣需定期进行清理。</w:t>
            </w:r>
          </w:p>
          <w:p w14:paraId="3628E5C8">
            <w:pPr>
              <w:pStyle w:val="47"/>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w:instrText>
            </w:r>
            <w:r>
              <w:rPr>
                <w:rFonts w:hint="default" w:ascii="Times New Roman" w:hAnsi="Times New Roman"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经格栅处理后的污水进入</w:t>
            </w:r>
            <w:r>
              <w:rPr>
                <w:rFonts w:hint="default" w:ascii="Times New Roman" w:hAnsi="Times New Roman" w:cs="Times New Roman"/>
                <w:color w:val="auto"/>
                <w:sz w:val="24"/>
                <w:szCs w:val="24"/>
                <w:lang w:eastAsia="zh-CN"/>
              </w:rPr>
              <w:t>平流</w:t>
            </w:r>
            <w:r>
              <w:rPr>
                <w:rFonts w:hint="default" w:ascii="Times New Roman" w:hAnsi="Times New Roman" w:cs="Times New Roman"/>
                <w:color w:val="auto"/>
                <w:sz w:val="24"/>
                <w:szCs w:val="24"/>
              </w:rPr>
              <w:t>沉砂池，进一步去除砂石。</w:t>
            </w:r>
          </w:p>
          <w:p w14:paraId="41F77974">
            <w:pPr>
              <w:pStyle w:val="47"/>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GB3 </w:instrText>
            </w:r>
            <w:r>
              <w:rPr>
                <w:rFonts w:hint="default" w:ascii="Times New Roman" w:hAnsi="Times New Roman" w:cs="Times New Roman"/>
                <w:color w:val="auto"/>
                <w:sz w:val="24"/>
                <w:szCs w:val="24"/>
              </w:rPr>
              <w:fldChar w:fldCharType="separate"/>
            </w:r>
            <w:r>
              <w:rPr>
                <w:rFonts w:hint="default" w:ascii="Times New Roman" w:hAnsi="Times New Roman" w:eastAsia="宋体" w:cs="Times New Roman"/>
                <w:color w:val="auto"/>
                <w:sz w:val="24"/>
                <w:szCs w:val="24"/>
              </w:rPr>
              <w:t>③</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调节池设置于生物</w:t>
            </w:r>
            <w:r>
              <w:rPr>
                <w:rFonts w:hint="default" w:ascii="Times New Roman" w:hAnsi="Times New Roman" w:cs="Times New Roman"/>
                <w:color w:val="auto"/>
                <w:sz w:val="24"/>
                <w:szCs w:val="24"/>
                <w:lang w:eastAsia="zh-CN"/>
              </w:rPr>
              <w:t>反应</w:t>
            </w:r>
            <w:r>
              <w:rPr>
                <w:rFonts w:hint="default" w:ascii="Times New Roman" w:hAnsi="Times New Roman" w:cs="Times New Roman"/>
                <w:color w:val="auto"/>
                <w:sz w:val="24"/>
                <w:szCs w:val="24"/>
              </w:rPr>
              <w:t>池的前端，将污水的水量和水质进行调节。池内配置搅拌提升泵，进行提升和搅拌，使污水处于紊流状态，有效的防止污水中的悬浮物在此发生沉淀。池内设置液位自动控制装置，水泵将根据液位自动开启。</w:t>
            </w:r>
          </w:p>
          <w:p w14:paraId="6FE25C69">
            <w:pPr>
              <w:pStyle w:val="47"/>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GB3 </w:instrText>
            </w:r>
            <w:r>
              <w:rPr>
                <w:rFonts w:hint="default" w:ascii="Times New Roman" w:hAnsi="Times New Roman" w:cs="Times New Roman"/>
                <w:color w:val="auto"/>
                <w:sz w:val="24"/>
                <w:szCs w:val="24"/>
              </w:rPr>
              <w:fldChar w:fldCharType="separate"/>
            </w:r>
            <w:r>
              <w:rPr>
                <w:rFonts w:hint="default" w:ascii="Times New Roman" w:hAnsi="Times New Roman" w:eastAsia="宋体" w:cs="Times New Roman"/>
                <w:color w:val="auto"/>
                <w:sz w:val="24"/>
                <w:szCs w:val="24"/>
              </w:rPr>
              <w:t>④</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污水经预处理后后，进入</w:t>
            </w:r>
            <w:r>
              <w:rPr>
                <w:rFonts w:hint="default" w:ascii="Times New Roman" w:hAnsi="Times New Roman" w:cs="Times New Roman"/>
                <w:color w:val="auto"/>
                <w:sz w:val="24"/>
                <w:szCs w:val="24"/>
                <w:lang w:val="en-US" w:eastAsia="zh-CN"/>
              </w:rPr>
              <w:t>AAO</w:t>
            </w:r>
            <w:r>
              <w:rPr>
                <w:rFonts w:hint="default" w:ascii="Times New Roman" w:hAnsi="Times New Roman" w:cs="Times New Roman"/>
                <w:color w:val="auto"/>
                <w:sz w:val="24"/>
                <w:szCs w:val="24"/>
              </w:rPr>
              <w:t>生物反应池，经过预缺氧/厌氧/缺氧/好氧/缺氧/好氧环境，在释磷、吸磷、硝化和反硝化的过程中，实现污染物的降解，使污水中的有机物、氨氮、磷等得以去除。</w:t>
            </w:r>
          </w:p>
          <w:p w14:paraId="5ED85871">
            <w:pPr>
              <w:pStyle w:val="47"/>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5 \* GB3 </w:instrText>
            </w:r>
            <w:r>
              <w:rPr>
                <w:rFonts w:hint="default" w:ascii="Times New Roman" w:hAnsi="Times New Roman" w:cs="Times New Roman"/>
                <w:color w:val="auto"/>
                <w:sz w:val="24"/>
                <w:szCs w:val="24"/>
              </w:rPr>
              <w:fldChar w:fldCharType="separate"/>
            </w:r>
            <w:r>
              <w:rPr>
                <w:rFonts w:hint="default" w:ascii="Times New Roman" w:hAnsi="Times New Roman" w:eastAsia="宋体" w:cs="Times New Roman"/>
                <w:color w:val="auto"/>
                <w:sz w:val="24"/>
                <w:szCs w:val="24"/>
              </w:rPr>
              <w:t>⑤</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污水经生物反应池处理后进入中进周出二沉池，其主要作用是进行混合液的固液分离。</w:t>
            </w:r>
          </w:p>
          <w:bookmarkEnd w:id="2"/>
          <w:bookmarkEnd w:id="3"/>
          <w:p w14:paraId="4153C58A">
            <w:pPr>
              <w:pStyle w:val="47"/>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⑥污水自二沉池流出进入</w:t>
            </w:r>
            <w:r>
              <w:rPr>
                <w:rFonts w:hint="default" w:ascii="Times New Roman" w:hAnsi="Times New Roman" w:cs="Times New Roman"/>
                <w:color w:val="auto"/>
                <w:sz w:val="24"/>
                <w:szCs w:val="24"/>
                <w:lang w:eastAsia="zh-CN"/>
              </w:rPr>
              <w:t>沉淀池进行沉淀</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后进入</w:t>
            </w:r>
            <w:r>
              <w:rPr>
                <w:rFonts w:hint="default" w:ascii="Times New Roman" w:hAnsi="Times New Roman" w:cs="Times New Roman"/>
                <w:color w:val="auto"/>
                <w:sz w:val="24"/>
                <w:szCs w:val="24"/>
                <w:lang w:val="en-US" w:eastAsia="zh-CN"/>
              </w:rPr>
              <w:t>滤池</w:t>
            </w:r>
            <w:r>
              <w:rPr>
                <w:rFonts w:hint="default" w:ascii="Times New Roman" w:hAnsi="Times New Roman" w:cs="Times New Roman"/>
                <w:color w:val="auto"/>
                <w:sz w:val="24"/>
                <w:szCs w:val="24"/>
              </w:rPr>
              <w:t>进一步去除水中的</w:t>
            </w:r>
            <w:r>
              <w:rPr>
                <w:rFonts w:hint="default" w:ascii="Times New Roman" w:hAnsi="Times New Roman" w:eastAsia="Times New Roman" w:cs="Times New Roman"/>
                <w:color w:val="auto"/>
                <w:sz w:val="24"/>
                <w:szCs w:val="24"/>
              </w:rPr>
              <w:t>SS</w:t>
            </w:r>
            <w:r>
              <w:rPr>
                <w:rFonts w:hint="default" w:ascii="Times New Roman" w:hAnsi="Times New Roman" w:cs="Times New Roman"/>
                <w:color w:val="auto"/>
                <w:sz w:val="24"/>
                <w:szCs w:val="24"/>
              </w:rPr>
              <w:t>、保证出水</w:t>
            </w:r>
            <w:r>
              <w:rPr>
                <w:rFonts w:hint="default" w:ascii="Times New Roman" w:hAnsi="Times New Roman" w:eastAsia="Times New Roman" w:cs="Times New Roman"/>
                <w:color w:val="auto"/>
                <w:sz w:val="24"/>
                <w:szCs w:val="24"/>
              </w:rPr>
              <w:t>SS</w:t>
            </w:r>
            <w:r>
              <w:rPr>
                <w:rFonts w:hint="default" w:ascii="Times New Roman" w:hAnsi="Times New Roman" w:cs="Times New Roman"/>
                <w:color w:val="auto"/>
                <w:sz w:val="24"/>
                <w:szCs w:val="24"/>
              </w:rPr>
              <w:t>达标。</w:t>
            </w:r>
          </w:p>
          <w:p w14:paraId="0A521C6A">
            <w:pPr>
              <w:pStyle w:val="47"/>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⑦最终进入接触消毒池，对出厂污水进行次氯酸钠消毒，进行充分的混合和接触，保证灭菌效果。</w:t>
            </w:r>
          </w:p>
          <w:p w14:paraId="2400FAF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2、营运期主要污染工序</w:t>
            </w:r>
          </w:p>
          <w:p w14:paraId="5578CD9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lang w:val="en-US" w:eastAsia="zh-CN"/>
              </w:rPr>
              <w:t>(1)</w:t>
            </w:r>
            <w:r>
              <w:rPr>
                <w:rFonts w:hint="default" w:ascii="Times New Roman" w:hAnsi="Times New Roman" w:eastAsia="仿宋_GB2312" w:cs="Times New Roman"/>
                <w:bCs/>
                <w:color w:val="auto"/>
                <w:sz w:val="24"/>
                <w:szCs w:val="24"/>
              </w:rPr>
              <w:t>废气</w:t>
            </w:r>
          </w:p>
          <w:p w14:paraId="21E496B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恶臭气体是污水处理厂产生的环境问题之一，废气主要产生环节在格栅、生物池、污泥脱水间等污水、污泥处理设施，排放方式为无组织排放的面源污染，主要成分为硫化氢、氨气、甲硫醇、甲基硫、甲基化二硫、三甲胺、苯乙烯乙醛等，以硫化氢、氨气为主。</w:t>
            </w:r>
          </w:p>
          <w:p w14:paraId="2597C621">
            <w:pPr>
              <w:pStyle w:val="40"/>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(2)废水</w:t>
            </w:r>
          </w:p>
          <w:p w14:paraId="60D359B0">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仿宋_GB2312" w:cs="Times New Roman"/>
                <w:color w:val="auto"/>
                <w:kern w:val="44"/>
                <w:sz w:val="24"/>
                <w:szCs w:val="24"/>
                <w:lang w:val="en-US" w:eastAsia="zh-CN" w:bidi="ar"/>
              </w:rPr>
            </w:pPr>
            <w:r>
              <w:rPr>
                <w:rFonts w:hint="default" w:ascii="Times New Roman" w:hAnsi="Times New Roman" w:eastAsia="仿宋_GB2312" w:cs="Times New Roman"/>
                <w:color w:val="auto"/>
                <w:kern w:val="44"/>
                <w:sz w:val="24"/>
                <w:szCs w:val="24"/>
                <w:lang w:val="en-US" w:eastAsia="zh-CN" w:bidi="ar"/>
              </w:rPr>
              <w:t>项目在运行过程中废水主要为员工生活污水。</w:t>
            </w:r>
          </w:p>
          <w:p w14:paraId="21453982">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44"/>
                <w:sz w:val="24"/>
                <w:szCs w:val="24"/>
                <w:lang w:val="en-US" w:eastAsia="zh-CN" w:bidi="ar"/>
              </w:rPr>
              <w:t>(3)</w:t>
            </w:r>
            <w:r>
              <w:rPr>
                <w:rFonts w:hint="default" w:ascii="Times New Roman" w:hAnsi="Times New Roman" w:eastAsia="仿宋_GB2312" w:cs="Times New Roman"/>
                <w:color w:val="auto"/>
                <w:kern w:val="44"/>
                <w:sz w:val="24"/>
                <w:szCs w:val="24"/>
                <w:lang w:bidi="ar"/>
              </w:rPr>
              <w:t>固体废物</w:t>
            </w:r>
          </w:p>
          <w:p w14:paraId="126AEFA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44"/>
                <w:sz w:val="24"/>
                <w:szCs w:val="24"/>
                <w:lang w:bidi="ar"/>
              </w:rPr>
            </w:pPr>
            <w:r>
              <w:rPr>
                <w:rFonts w:hint="default" w:ascii="Times New Roman" w:hAnsi="Times New Roman" w:eastAsia="仿宋_GB2312" w:cs="Times New Roman"/>
                <w:color w:val="auto"/>
                <w:kern w:val="44"/>
                <w:sz w:val="24"/>
                <w:szCs w:val="24"/>
                <w:lang w:bidi="ar"/>
              </w:rPr>
              <w:t>项目固体废物分为一般性工业固体废物和生活垃圾。</w:t>
            </w:r>
          </w:p>
          <w:p w14:paraId="4418192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eastAsia="仿宋" w:cs="Times New Roman"/>
                <w:color w:val="auto"/>
                <w:sz w:val="24"/>
                <w:szCs w:val="24"/>
              </w:rPr>
            </w:pPr>
            <w:r>
              <w:rPr>
                <w:rFonts w:hint="default" w:ascii="Times New Roman" w:hAnsi="Times New Roman" w:eastAsia="仿宋_GB2312" w:cs="Times New Roman"/>
                <w:color w:val="auto"/>
                <w:kern w:val="44"/>
                <w:sz w:val="24"/>
                <w:szCs w:val="24"/>
                <w:lang w:bidi="ar"/>
              </w:rPr>
              <w:t>一般性固体废物包括栅渣、沉渣、剩余污泥等，生活垃圾来源于员工日常生活和办公。</w:t>
            </w:r>
          </w:p>
        </w:tc>
      </w:tr>
      <w:tr w14:paraId="50DB0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65" w:hRule="atLeast"/>
          <w:jc w:val="center"/>
        </w:trPr>
        <w:tc>
          <w:tcPr>
            <w:tcW w:w="1034" w:type="dxa"/>
            <w:vAlign w:val="center"/>
          </w:tcPr>
          <w:p w14:paraId="241C354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与项目有关的原有环境污染问题</w:t>
            </w:r>
          </w:p>
        </w:tc>
        <w:tc>
          <w:tcPr>
            <w:tcW w:w="8120" w:type="dxa"/>
            <w:vAlign w:val="center"/>
          </w:tcPr>
          <w:p w14:paraId="1E3E209E">
            <w:pPr>
              <w:adjustRightInd w:val="0"/>
              <w:snapToGrid w:val="0"/>
              <w:spacing w:line="360" w:lineRule="auto"/>
              <w:jc w:val="center"/>
              <w:rPr>
                <w:rFonts w:hint="default" w:ascii="Times New Roman" w:hAnsi="Times New Roman" w:eastAsia="宋体" w:cs="Times New Roman"/>
                <w:b/>
                <w:bCs/>
                <w:color w:val="auto"/>
                <w:sz w:val="28"/>
                <w:szCs w:val="22"/>
              </w:rPr>
            </w:pPr>
            <w:r>
              <w:rPr>
                <w:rFonts w:hint="eastAsia" w:ascii="Times New Roman" w:hAnsi="Times New Roman" w:eastAsia="仿宋_GB2312" w:cs="Times New Roman"/>
                <w:color w:val="auto"/>
                <w:sz w:val="24"/>
                <w:szCs w:val="24"/>
                <w:lang w:val="en-US" w:eastAsia="zh-CN"/>
              </w:rPr>
              <w:t>本项目已按照原环评建设完成，未超出原环评内容，经现场实际勘察，不存在环境污染问题。</w:t>
            </w:r>
          </w:p>
          <w:p w14:paraId="453E917E">
            <w:pPr>
              <w:pStyle w:val="65"/>
              <w:rPr>
                <w:rFonts w:hint="eastAsia"/>
                <w:color w:val="auto"/>
                <w:lang w:eastAsia="zh-CN"/>
              </w:rPr>
            </w:pPr>
          </w:p>
        </w:tc>
      </w:tr>
    </w:tbl>
    <w:p w14:paraId="1E935E05">
      <w:pPr>
        <w:jc w:val="center"/>
        <w:rPr>
          <w:rFonts w:ascii="Times New Roman" w:hAnsi="Times New Roman" w:eastAsia="黑体" w:cs="Times New Roman"/>
          <w:color w:val="auto"/>
          <w:sz w:val="30"/>
          <w:szCs w:val="30"/>
        </w:rPr>
        <w:sectPr>
          <w:pgSz w:w="11906" w:h="16838"/>
          <w:pgMar w:top="1588" w:right="1361" w:bottom="1588" w:left="136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3D779F9">
      <w:pPr>
        <w:jc w:val="center"/>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三、区域环境质量现状、环境保护目标及评价标准</w:t>
      </w:r>
    </w:p>
    <w:tbl>
      <w:tblPr>
        <w:tblStyle w:val="27"/>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8156"/>
      </w:tblGrid>
      <w:tr w14:paraId="0B839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42" w:hRule="atLeast"/>
          <w:jc w:val="center"/>
        </w:trPr>
        <w:tc>
          <w:tcPr>
            <w:tcW w:w="916" w:type="dxa"/>
            <w:vAlign w:val="center"/>
          </w:tcPr>
          <w:p w14:paraId="5C4155C7">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区域环境质量现状</w:t>
            </w:r>
          </w:p>
        </w:tc>
        <w:tc>
          <w:tcPr>
            <w:tcW w:w="8156" w:type="dxa"/>
            <w:vAlign w:val="center"/>
          </w:tcPr>
          <w:p w14:paraId="7CB74FC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1、环境空气质量现状</w:t>
            </w:r>
          </w:p>
          <w:p w14:paraId="4725425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color w:val="auto"/>
                <w:sz w:val="24"/>
                <w:szCs w:val="24"/>
              </w:rPr>
            </w:pPr>
            <w:r>
              <w:rPr>
                <w:rFonts w:ascii="Times New Roman" w:hAnsi="Times New Roman" w:eastAsia="仿宋" w:cs="Times New Roman"/>
                <w:color w:val="auto"/>
                <w:sz w:val="24"/>
                <w:szCs w:val="24"/>
              </w:rPr>
              <w:t>（</w:t>
            </w:r>
            <w:r>
              <w:rPr>
                <w:rFonts w:hint="default" w:ascii="Times New Roman" w:hAnsi="Times New Roman" w:eastAsia="仿宋_GB2312" w:cs="Times New Roman"/>
                <w:color w:val="auto"/>
                <w:sz w:val="24"/>
                <w:szCs w:val="24"/>
              </w:rPr>
              <w:t>1）区域环境空气质量现状</w:t>
            </w:r>
          </w:p>
          <w:p w14:paraId="56B18A89">
            <w:pPr>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本项目位于中卫市沙坡头区</w:t>
            </w:r>
            <w:r>
              <w:rPr>
                <w:rFonts w:hint="eastAsia" w:ascii="Times New Roman" w:hAnsi="Times New Roman" w:eastAsia="仿宋_GB2312" w:cs="Times New Roman"/>
                <w:color w:val="auto"/>
                <w:kern w:val="0"/>
                <w:sz w:val="24"/>
                <w:szCs w:val="24"/>
                <w:lang w:eastAsia="zh-CN"/>
              </w:rPr>
              <w:t>兴仁镇</w:t>
            </w:r>
            <w:r>
              <w:rPr>
                <w:rFonts w:hint="default" w:ascii="Times New Roman" w:hAnsi="Times New Roman" w:eastAsia="仿宋_GB2312" w:cs="Times New Roman"/>
                <w:color w:val="auto"/>
                <w:kern w:val="0"/>
                <w:sz w:val="24"/>
                <w:szCs w:val="24"/>
              </w:rPr>
              <w:t>，</w:t>
            </w:r>
            <w:r>
              <w:rPr>
                <w:rFonts w:hint="default" w:ascii="Times New Roman" w:hAnsi="Times New Roman" w:eastAsia="仿宋_GB2312" w:cs="Times New Roman"/>
                <w:color w:val="auto"/>
                <w:sz w:val="24"/>
              </w:rPr>
              <w:t>所在行政区划范围为</w:t>
            </w:r>
            <w:r>
              <w:rPr>
                <w:rFonts w:hint="default" w:ascii="Times New Roman" w:hAnsi="Times New Roman" w:eastAsia="仿宋_GB2312" w:cs="Times New Roman"/>
                <w:color w:val="auto"/>
                <w:sz w:val="24"/>
                <w:lang w:eastAsia="zh-CN"/>
              </w:rPr>
              <w:t>中卫市</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kern w:val="0"/>
                <w:sz w:val="24"/>
                <w:szCs w:val="24"/>
              </w:rPr>
              <w:t>为说明区域环境质量达标情况</w:t>
            </w:r>
            <w:r>
              <w:rPr>
                <w:rFonts w:hint="default" w:ascii="Times New Roman" w:hAnsi="Times New Roman" w:eastAsia="仿宋_GB2312" w:cs="Times New Roman"/>
                <w:color w:val="auto"/>
                <w:sz w:val="24"/>
                <w:szCs w:val="24"/>
              </w:rPr>
              <w:t>，按照《环境影响评价技术导则 大气环境》</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HJ2.2-2018</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中环境空气现状调查数据来源要求，项目优先采用宁夏回族自治区生态环境厅公开发布的《</w:t>
            </w:r>
            <w:r>
              <w:rPr>
                <w:rFonts w:hint="eastAsia" w:ascii="Times New Roman" w:hAnsi="Times New Roman" w:eastAsia="仿宋_GB2312" w:cs="Times New Roman"/>
                <w:color w:val="auto"/>
                <w:sz w:val="24"/>
                <w:szCs w:val="24"/>
                <w:lang w:val="en-US" w:eastAsia="zh-CN"/>
              </w:rPr>
              <w:t>2023年宁夏生态环境质量状况</w:t>
            </w:r>
            <w:r>
              <w:rPr>
                <w:rFonts w:hint="default" w:ascii="Times New Roman" w:hAnsi="Times New Roman" w:eastAsia="仿宋_GB2312" w:cs="Times New Roman"/>
                <w:color w:val="auto"/>
                <w:sz w:val="24"/>
                <w:szCs w:val="24"/>
              </w:rPr>
              <w:t>》中</w:t>
            </w:r>
            <w:r>
              <w:rPr>
                <w:rFonts w:hint="eastAsia" w:ascii="Times New Roman" w:hAnsi="Times New Roman" w:eastAsia="仿宋_GB2312" w:cs="Times New Roman"/>
                <w:color w:val="auto"/>
                <w:sz w:val="24"/>
                <w:szCs w:val="24"/>
                <w:lang w:eastAsia="zh-CN"/>
              </w:rPr>
              <w:t>中卫</w:t>
            </w:r>
            <w:r>
              <w:rPr>
                <w:rFonts w:hint="default" w:ascii="Times New Roman" w:hAnsi="Times New Roman" w:eastAsia="仿宋_GB2312" w:cs="Times New Roman"/>
                <w:color w:val="auto"/>
                <w:sz w:val="24"/>
                <w:szCs w:val="24"/>
              </w:rPr>
              <w:t>市</w:t>
            </w:r>
            <w:r>
              <w:rPr>
                <w:rFonts w:hint="eastAsia" w:ascii="Times New Roman" w:hAnsi="Times New Roman" w:eastAsia="仿宋_GB2312" w:cs="Times New Roman"/>
                <w:color w:val="auto"/>
                <w:sz w:val="24"/>
                <w:szCs w:val="24"/>
                <w:lang w:val="en-US" w:eastAsia="zh-CN"/>
              </w:rPr>
              <w:t>2023</w:t>
            </w:r>
            <w:r>
              <w:rPr>
                <w:rFonts w:hint="default" w:ascii="Times New Roman" w:hAnsi="Times New Roman" w:eastAsia="仿宋_GB2312" w:cs="Times New Roman"/>
                <w:color w:val="auto"/>
                <w:sz w:val="24"/>
                <w:szCs w:val="24"/>
              </w:rPr>
              <w:t>年环境空气监测数据和结论</w:t>
            </w:r>
            <w:r>
              <w:rPr>
                <w:rFonts w:hint="default" w:ascii="Times New Roman" w:hAnsi="Times New Roman" w:eastAsia="仿宋_GB2312" w:cs="Times New Roman"/>
                <w:color w:val="auto"/>
                <w:sz w:val="24"/>
                <w:szCs w:val="24"/>
                <w:lang w:eastAsia="zh-CN"/>
              </w:rPr>
              <w:t>(剔除沙尘天气)</w:t>
            </w:r>
            <w:r>
              <w:rPr>
                <w:rFonts w:hint="default" w:ascii="Times New Roman" w:hAnsi="Times New Roman" w:eastAsia="仿宋_GB2312" w:cs="Times New Roman"/>
                <w:color w:val="auto"/>
                <w:sz w:val="24"/>
                <w:szCs w:val="24"/>
              </w:rPr>
              <w:t>作为本次评价依据，评价基准年为20</w:t>
            </w:r>
            <w:r>
              <w:rPr>
                <w:rFonts w:hint="eastAsia" w:ascii="Times New Roman" w:hAnsi="Times New Roman" w:eastAsia="仿宋_GB2312" w:cs="Times New Roman"/>
                <w:color w:val="auto"/>
                <w:sz w:val="24"/>
                <w:szCs w:val="24"/>
                <w:lang w:val="en-US" w:eastAsia="zh-CN"/>
              </w:rPr>
              <w:t>23</w:t>
            </w:r>
            <w:r>
              <w:rPr>
                <w:rFonts w:hint="default" w:ascii="Times New Roman" w:hAnsi="Times New Roman" w:eastAsia="仿宋_GB2312" w:cs="Times New Roman"/>
                <w:color w:val="auto"/>
                <w:sz w:val="24"/>
                <w:szCs w:val="24"/>
              </w:rPr>
              <w:t>年。具体监测结果统计见表</w:t>
            </w:r>
            <w:r>
              <w:rPr>
                <w:rFonts w:hint="eastAsia" w:ascii="Times New Roman" w:hAnsi="Times New Roman" w:eastAsia="仿宋_GB2312" w:cs="Times New Roman"/>
                <w:color w:val="auto"/>
                <w:sz w:val="24"/>
                <w:szCs w:val="24"/>
                <w:lang w:val="en-US" w:eastAsia="zh-CN"/>
              </w:rPr>
              <w:t>3-1</w:t>
            </w:r>
            <w:r>
              <w:rPr>
                <w:rFonts w:hint="default" w:ascii="Times New Roman" w:hAnsi="Times New Roman" w:eastAsia="仿宋_GB2312" w:cs="Times New Roman"/>
                <w:color w:val="auto"/>
                <w:sz w:val="24"/>
                <w:szCs w:val="24"/>
              </w:rPr>
              <w:t>。</w:t>
            </w:r>
          </w:p>
          <w:p w14:paraId="68E1D8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Cs/>
                <w:color w:val="auto"/>
                <w:szCs w:val="21"/>
              </w:rPr>
              <w:t>表</w:t>
            </w:r>
            <w:r>
              <w:rPr>
                <w:rFonts w:hint="default" w:ascii="Times New Roman" w:hAnsi="Times New Roman" w:eastAsia="宋体" w:cs="Times New Roman"/>
                <w:bCs/>
                <w:color w:val="auto"/>
                <w:szCs w:val="21"/>
                <w:lang w:val="en-US" w:eastAsia="zh-CN"/>
              </w:rPr>
              <w:t>3-1</w:t>
            </w:r>
            <w:r>
              <w:rPr>
                <w:rFonts w:hint="default" w:ascii="Times New Roman" w:hAnsi="Times New Roman" w:eastAsia="宋体" w:cs="Times New Roman"/>
                <w:bCs/>
                <w:color w:val="auto"/>
                <w:sz w:val="24"/>
              </w:rPr>
              <w:t xml:space="preserve">      </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val="en-US" w:eastAsia="zh-CN"/>
              </w:rPr>
              <w:t>项目所在区域环境现状监测数据统计表</w:t>
            </w:r>
          </w:p>
          <w:tbl>
            <w:tblPr>
              <w:tblStyle w:val="26"/>
              <w:tblW w:w="49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7"/>
              <w:gridCol w:w="2068"/>
              <w:gridCol w:w="1069"/>
              <w:gridCol w:w="1423"/>
              <w:gridCol w:w="1073"/>
              <w:gridCol w:w="992"/>
            </w:tblGrid>
            <w:tr w14:paraId="56CFA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7" w:type="dxa"/>
                  <w:tcBorders>
                    <w:top w:val="single" w:color="auto" w:sz="12" w:space="0"/>
                    <w:left w:val="single" w:color="auto" w:sz="12" w:space="0"/>
                    <w:bottom w:val="single" w:color="auto" w:sz="6" w:space="0"/>
                    <w:right w:val="single" w:color="auto" w:sz="6" w:space="0"/>
                  </w:tcBorders>
                  <w:noWrap w:val="0"/>
                  <w:vAlign w:val="center"/>
                </w:tcPr>
                <w:p w14:paraId="4B9AD8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污染物</w:t>
                  </w:r>
                </w:p>
              </w:tc>
              <w:tc>
                <w:tcPr>
                  <w:tcW w:w="2068" w:type="dxa"/>
                  <w:tcBorders>
                    <w:top w:val="single" w:color="auto" w:sz="12" w:space="0"/>
                    <w:left w:val="single" w:color="auto" w:sz="6" w:space="0"/>
                    <w:bottom w:val="single" w:color="auto" w:sz="6" w:space="0"/>
                    <w:right w:val="single" w:color="auto" w:sz="6" w:space="0"/>
                  </w:tcBorders>
                  <w:noWrap w:val="0"/>
                  <w:vAlign w:val="center"/>
                </w:tcPr>
                <w:p w14:paraId="095EE1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年评价指标</w:t>
                  </w:r>
                </w:p>
              </w:tc>
              <w:tc>
                <w:tcPr>
                  <w:tcW w:w="1069" w:type="dxa"/>
                  <w:tcBorders>
                    <w:top w:val="single" w:color="auto" w:sz="12" w:space="0"/>
                    <w:left w:val="single" w:color="auto" w:sz="6" w:space="0"/>
                    <w:bottom w:val="single" w:color="auto" w:sz="6" w:space="0"/>
                    <w:right w:val="single" w:color="auto" w:sz="6" w:space="0"/>
                  </w:tcBorders>
                  <w:noWrap w:val="0"/>
                  <w:vAlign w:val="center"/>
                </w:tcPr>
                <w:p w14:paraId="7D7E1B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napToGrid w:val="0"/>
                      <w:color w:val="auto"/>
                      <w:kern w:val="0"/>
                      <w:szCs w:val="21"/>
                      <w:lang w:eastAsia="zh-CN"/>
                    </w:rPr>
                  </w:pPr>
                  <w:r>
                    <w:rPr>
                      <w:rFonts w:hint="default" w:ascii="Times New Roman" w:hAnsi="Times New Roman" w:eastAsia="宋体" w:cs="Times New Roman"/>
                      <w:b/>
                      <w:bCs/>
                      <w:snapToGrid w:val="0"/>
                      <w:color w:val="auto"/>
                      <w:kern w:val="0"/>
                      <w:szCs w:val="21"/>
                    </w:rPr>
                    <w:t>现状浓度</w:t>
                  </w:r>
                  <w:r>
                    <w:rPr>
                      <w:rFonts w:hint="default" w:ascii="Times New Roman" w:hAnsi="Times New Roman" w:eastAsia="宋体" w:cs="Times New Roman"/>
                      <w:b/>
                      <w:bCs/>
                      <w:snapToGrid w:val="0"/>
                      <w:color w:val="auto"/>
                      <w:kern w:val="0"/>
                      <w:szCs w:val="21"/>
                      <w:lang w:eastAsia="zh-CN"/>
                    </w:rPr>
                    <w:t>(</w:t>
                  </w:r>
                  <w:r>
                    <w:rPr>
                      <w:rFonts w:hint="default" w:ascii="Times New Roman" w:hAnsi="Times New Roman" w:eastAsia="宋体" w:cs="Times New Roman"/>
                      <w:b/>
                      <w:bCs/>
                      <w:snapToGrid w:val="0"/>
                      <w:color w:val="auto"/>
                      <w:kern w:val="0"/>
                      <w:szCs w:val="21"/>
                    </w:rPr>
                    <w:t>μg/m</w:t>
                  </w:r>
                  <w:r>
                    <w:rPr>
                      <w:rFonts w:hint="default" w:ascii="Times New Roman" w:hAnsi="Times New Roman" w:eastAsia="宋体" w:cs="Times New Roman"/>
                      <w:b/>
                      <w:bCs/>
                      <w:snapToGrid w:val="0"/>
                      <w:color w:val="auto"/>
                      <w:kern w:val="0"/>
                      <w:szCs w:val="21"/>
                      <w:vertAlign w:val="superscript"/>
                    </w:rPr>
                    <w:t>3</w:t>
                  </w:r>
                  <w:r>
                    <w:rPr>
                      <w:rFonts w:hint="default" w:ascii="Times New Roman" w:hAnsi="Times New Roman" w:eastAsia="宋体" w:cs="Times New Roman"/>
                      <w:b/>
                      <w:bCs/>
                      <w:snapToGrid w:val="0"/>
                      <w:color w:val="auto"/>
                      <w:kern w:val="0"/>
                      <w:szCs w:val="21"/>
                      <w:lang w:eastAsia="zh-CN"/>
                    </w:rPr>
                    <w:t>)</w:t>
                  </w:r>
                </w:p>
              </w:tc>
              <w:tc>
                <w:tcPr>
                  <w:tcW w:w="1423" w:type="dxa"/>
                  <w:tcBorders>
                    <w:top w:val="single" w:color="auto" w:sz="12" w:space="0"/>
                    <w:left w:val="single" w:color="auto" w:sz="6" w:space="0"/>
                    <w:bottom w:val="single" w:color="auto" w:sz="6" w:space="0"/>
                    <w:right w:val="single" w:color="auto" w:sz="6" w:space="0"/>
                  </w:tcBorders>
                  <w:noWrap w:val="0"/>
                  <w:vAlign w:val="center"/>
                </w:tcPr>
                <w:p w14:paraId="63408A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napToGrid w:val="0"/>
                      <w:color w:val="auto"/>
                      <w:kern w:val="0"/>
                      <w:szCs w:val="21"/>
                      <w:lang w:eastAsia="zh-CN"/>
                    </w:rPr>
                  </w:pPr>
                  <w:r>
                    <w:rPr>
                      <w:rFonts w:hint="default" w:ascii="Times New Roman" w:hAnsi="Times New Roman" w:eastAsia="宋体" w:cs="Times New Roman"/>
                      <w:b/>
                      <w:bCs/>
                      <w:snapToGrid w:val="0"/>
                      <w:color w:val="auto"/>
                      <w:kern w:val="0"/>
                      <w:szCs w:val="21"/>
                    </w:rPr>
                    <w:t>标准值</w:t>
                  </w:r>
                  <w:r>
                    <w:rPr>
                      <w:rFonts w:hint="default" w:ascii="Times New Roman" w:hAnsi="Times New Roman" w:eastAsia="宋体" w:cs="Times New Roman"/>
                      <w:b/>
                      <w:bCs/>
                      <w:snapToGrid w:val="0"/>
                      <w:color w:val="auto"/>
                      <w:kern w:val="0"/>
                      <w:szCs w:val="21"/>
                      <w:lang w:eastAsia="zh-CN"/>
                    </w:rPr>
                    <w:t>(</w:t>
                  </w:r>
                  <w:r>
                    <w:rPr>
                      <w:rFonts w:hint="default" w:ascii="Times New Roman" w:hAnsi="Times New Roman" w:eastAsia="宋体" w:cs="Times New Roman"/>
                      <w:b/>
                      <w:bCs/>
                      <w:snapToGrid w:val="0"/>
                      <w:color w:val="auto"/>
                      <w:kern w:val="0"/>
                      <w:szCs w:val="21"/>
                    </w:rPr>
                    <w:t>μg/m</w:t>
                  </w:r>
                  <w:r>
                    <w:rPr>
                      <w:rFonts w:hint="default" w:ascii="Times New Roman" w:hAnsi="Times New Roman" w:eastAsia="宋体" w:cs="Times New Roman"/>
                      <w:b/>
                      <w:bCs/>
                      <w:snapToGrid w:val="0"/>
                      <w:color w:val="auto"/>
                      <w:kern w:val="0"/>
                      <w:szCs w:val="21"/>
                      <w:vertAlign w:val="superscript"/>
                    </w:rPr>
                    <w:t>3</w:t>
                  </w:r>
                  <w:r>
                    <w:rPr>
                      <w:rFonts w:hint="default" w:ascii="Times New Roman" w:hAnsi="Times New Roman" w:eastAsia="宋体" w:cs="Times New Roman"/>
                      <w:b/>
                      <w:bCs/>
                      <w:snapToGrid w:val="0"/>
                      <w:color w:val="auto"/>
                      <w:kern w:val="0"/>
                      <w:szCs w:val="21"/>
                      <w:lang w:eastAsia="zh-CN"/>
                    </w:rPr>
                    <w:t>)</w:t>
                  </w:r>
                </w:p>
              </w:tc>
              <w:tc>
                <w:tcPr>
                  <w:tcW w:w="1073" w:type="dxa"/>
                  <w:tcBorders>
                    <w:top w:val="single" w:color="auto" w:sz="12" w:space="0"/>
                    <w:left w:val="single" w:color="auto" w:sz="6" w:space="0"/>
                    <w:bottom w:val="single" w:color="auto" w:sz="6" w:space="0"/>
                    <w:right w:val="single" w:color="auto" w:sz="6" w:space="0"/>
                  </w:tcBorders>
                  <w:noWrap w:val="0"/>
                  <w:vAlign w:val="center"/>
                </w:tcPr>
                <w:p w14:paraId="224CA2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占标率/%</w:t>
                  </w:r>
                </w:p>
              </w:tc>
              <w:tc>
                <w:tcPr>
                  <w:tcW w:w="992" w:type="dxa"/>
                  <w:tcBorders>
                    <w:top w:val="single" w:color="auto" w:sz="12" w:space="0"/>
                    <w:left w:val="single" w:color="auto" w:sz="6" w:space="0"/>
                    <w:bottom w:val="single" w:color="auto" w:sz="6" w:space="0"/>
                    <w:right w:val="single" w:color="auto" w:sz="12" w:space="0"/>
                  </w:tcBorders>
                  <w:noWrap w:val="0"/>
                  <w:vAlign w:val="center"/>
                </w:tcPr>
                <w:p w14:paraId="4F7B2C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达标情况</w:t>
                  </w:r>
                </w:p>
              </w:tc>
            </w:tr>
            <w:tr w14:paraId="625D6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7" w:type="dxa"/>
                  <w:tcBorders>
                    <w:top w:val="single" w:color="auto" w:sz="6" w:space="0"/>
                    <w:left w:val="single" w:color="auto" w:sz="12" w:space="0"/>
                    <w:bottom w:val="single" w:color="auto" w:sz="6" w:space="0"/>
                    <w:right w:val="single" w:color="auto" w:sz="6" w:space="0"/>
                  </w:tcBorders>
                  <w:noWrap w:val="0"/>
                  <w:vAlign w:val="center"/>
                </w:tcPr>
                <w:p w14:paraId="734512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color w:val="auto"/>
                      <w:szCs w:val="21"/>
                    </w:rPr>
                    <w:t>PM</w:t>
                  </w:r>
                  <w:r>
                    <w:rPr>
                      <w:rFonts w:hint="default" w:ascii="Times New Roman" w:hAnsi="Times New Roman" w:eastAsia="宋体" w:cs="Times New Roman"/>
                      <w:b/>
                      <w:color w:val="auto"/>
                      <w:szCs w:val="21"/>
                      <w:vertAlign w:val="subscript"/>
                    </w:rPr>
                    <w:t>10</w:t>
                  </w:r>
                </w:p>
              </w:tc>
              <w:tc>
                <w:tcPr>
                  <w:tcW w:w="2068" w:type="dxa"/>
                  <w:tcBorders>
                    <w:top w:val="single" w:color="auto" w:sz="6" w:space="0"/>
                    <w:left w:val="single" w:color="auto" w:sz="6" w:space="0"/>
                    <w:bottom w:val="single" w:color="auto" w:sz="6" w:space="0"/>
                    <w:right w:val="single" w:color="auto" w:sz="6" w:space="0"/>
                  </w:tcBorders>
                  <w:noWrap w:val="0"/>
                  <w:vAlign w:val="center"/>
                </w:tcPr>
                <w:p w14:paraId="4F4ADC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Cs w:val="21"/>
                    </w:rPr>
                    <w:t>年平均浓度</w:t>
                  </w:r>
                </w:p>
              </w:tc>
              <w:tc>
                <w:tcPr>
                  <w:tcW w:w="1069" w:type="dxa"/>
                  <w:tcBorders>
                    <w:top w:val="single" w:color="auto" w:sz="6" w:space="0"/>
                    <w:left w:val="single" w:color="auto" w:sz="6" w:space="0"/>
                    <w:bottom w:val="single" w:color="auto" w:sz="6" w:space="0"/>
                    <w:right w:val="single" w:color="auto" w:sz="6" w:space="0"/>
                  </w:tcBorders>
                  <w:noWrap w:val="0"/>
                  <w:vAlign w:val="center"/>
                </w:tcPr>
                <w:p w14:paraId="4AB332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6</w:t>
                  </w:r>
                  <w:r>
                    <w:rPr>
                      <w:rFonts w:hint="eastAsia" w:ascii="Times New Roman" w:hAnsi="Times New Roman" w:eastAsia="宋体" w:cs="Times New Roman"/>
                      <w:snapToGrid w:val="0"/>
                      <w:color w:val="auto"/>
                      <w:kern w:val="0"/>
                      <w:szCs w:val="21"/>
                      <w:lang w:val="en-US" w:eastAsia="zh-CN"/>
                    </w:rPr>
                    <w:t>6</w:t>
                  </w:r>
                </w:p>
              </w:tc>
              <w:tc>
                <w:tcPr>
                  <w:tcW w:w="1423" w:type="dxa"/>
                  <w:tcBorders>
                    <w:top w:val="single" w:color="auto" w:sz="6" w:space="0"/>
                    <w:left w:val="single" w:color="auto" w:sz="6" w:space="0"/>
                    <w:bottom w:val="single" w:color="auto" w:sz="6" w:space="0"/>
                    <w:right w:val="single" w:color="auto" w:sz="6" w:space="0"/>
                  </w:tcBorders>
                  <w:noWrap w:val="0"/>
                  <w:vAlign w:val="center"/>
                </w:tcPr>
                <w:p w14:paraId="62C173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Cs w:val="21"/>
                    </w:rPr>
                    <w:t>70</w:t>
                  </w:r>
                </w:p>
              </w:tc>
              <w:tc>
                <w:tcPr>
                  <w:tcW w:w="1073" w:type="dxa"/>
                  <w:tcBorders>
                    <w:top w:val="single" w:color="auto" w:sz="6" w:space="0"/>
                    <w:left w:val="single" w:color="auto" w:sz="6" w:space="0"/>
                    <w:bottom w:val="single" w:color="auto" w:sz="6" w:space="0"/>
                    <w:right w:val="single" w:color="auto" w:sz="6" w:space="0"/>
                  </w:tcBorders>
                  <w:noWrap w:val="0"/>
                  <w:vAlign w:val="center"/>
                </w:tcPr>
                <w:p w14:paraId="0CF85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94.3</w:t>
                  </w:r>
                </w:p>
              </w:tc>
              <w:tc>
                <w:tcPr>
                  <w:tcW w:w="992" w:type="dxa"/>
                  <w:tcBorders>
                    <w:top w:val="single" w:color="auto" w:sz="6" w:space="0"/>
                    <w:left w:val="single" w:color="auto" w:sz="6" w:space="0"/>
                    <w:bottom w:val="single" w:color="auto" w:sz="6" w:space="0"/>
                    <w:right w:val="single" w:color="auto" w:sz="12" w:space="0"/>
                  </w:tcBorders>
                  <w:noWrap w:val="0"/>
                  <w:vAlign w:val="center"/>
                </w:tcPr>
                <w:p w14:paraId="6B94B0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Cs w:val="21"/>
                    </w:rPr>
                    <w:t>达标</w:t>
                  </w:r>
                </w:p>
              </w:tc>
            </w:tr>
            <w:tr w14:paraId="7D1DE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7" w:type="dxa"/>
                  <w:tcBorders>
                    <w:top w:val="single" w:color="auto" w:sz="6" w:space="0"/>
                    <w:left w:val="single" w:color="auto" w:sz="12" w:space="0"/>
                    <w:bottom w:val="single" w:color="auto" w:sz="6" w:space="0"/>
                    <w:right w:val="single" w:color="auto" w:sz="6" w:space="0"/>
                  </w:tcBorders>
                  <w:noWrap w:val="0"/>
                  <w:vAlign w:val="center"/>
                </w:tcPr>
                <w:p w14:paraId="4311E1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color w:val="auto"/>
                      <w:szCs w:val="21"/>
                    </w:rPr>
                    <w:t>PM</w:t>
                  </w:r>
                  <w:r>
                    <w:rPr>
                      <w:rFonts w:hint="default" w:ascii="Times New Roman" w:hAnsi="Times New Roman" w:eastAsia="宋体" w:cs="Times New Roman"/>
                      <w:b/>
                      <w:color w:val="auto"/>
                      <w:szCs w:val="21"/>
                      <w:vertAlign w:val="subscript"/>
                    </w:rPr>
                    <w:t>2.5</w:t>
                  </w:r>
                </w:p>
              </w:tc>
              <w:tc>
                <w:tcPr>
                  <w:tcW w:w="2068" w:type="dxa"/>
                  <w:tcBorders>
                    <w:top w:val="single" w:color="auto" w:sz="6" w:space="0"/>
                    <w:left w:val="single" w:color="auto" w:sz="6" w:space="0"/>
                    <w:bottom w:val="single" w:color="auto" w:sz="6" w:space="0"/>
                    <w:right w:val="single" w:color="auto" w:sz="6" w:space="0"/>
                  </w:tcBorders>
                  <w:noWrap w:val="0"/>
                  <w:vAlign w:val="center"/>
                </w:tcPr>
                <w:p w14:paraId="784282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Cs w:val="21"/>
                    </w:rPr>
                    <w:t>年平均浓度</w:t>
                  </w:r>
                </w:p>
              </w:tc>
              <w:tc>
                <w:tcPr>
                  <w:tcW w:w="1069" w:type="dxa"/>
                  <w:tcBorders>
                    <w:top w:val="single" w:color="auto" w:sz="6" w:space="0"/>
                    <w:left w:val="single" w:color="auto" w:sz="6" w:space="0"/>
                    <w:bottom w:val="single" w:color="auto" w:sz="6" w:space="0"/>
                    <w:right w:val="single" w:color="auto" w:sz="6" w:space="0"/>
                  </w:tcBorders>
                  <w:noWrap w:val="0"/>
                  <w:vAlign w:val="center"/>
                </w:tcPr>
                <w:p w14:paraId="653BEA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2</w:t>
                  </w:r>
                  <w:r>
                    <w:rPr>
                      <w:rFonts w:hint="eastAsia" w:ascii="Times New Roman" w:hAnsi="Times New Roman" w:eastAsia="宋体" w:cs="Times New Roman"/>
                      <w:snapToGrid w:val="0"/>
                      <w:color w:val="auto"/>
                      <w:kern w:val="0"/>
                      <w:szCs w:val="21"/>
                      <w:lang w:val="en-US" w:eastAsia="zh-CN"/>
                    </w:rPr>
                    <w:t>8</w:t>
                  </w:r>
                </w:p>
              </w:tc>
              <w:tc>
                <w:tcPr>
                  <w:tcW w:w="1423" w:type="dxa"/>
                  <w:tcBorders>
                    <w:top w:val="single" w:color="auto" w:sz="6" w:space="0"/>
                    <w:left w:val="single" w:color="auto" w:sz="6" w:space="0"/>
                    <w:bottom w:val="single" w:color="auto" w:sz="6" w:space="0"/>
                    <w:right w:val="single" w:color="auto" w:sz="6" w:space="0"/>
                  </w:tcBorders>
                  <w:noWrap w:val="0"/>
                  <w:vAlign w:val="center"/>
                </w:tcPr>
                <w:p w14:paraId="26426C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Cs w:val="21"/>
                    </w:rPr>
                    <w:t>35</w:t>
                  </w:r>
                </w:p>
              </w:tc>
              <w:tc>
                <w:tcPr>
                  <w:tcW w:w="1073" w:type="dxa"/>
                  <w:tcBorders>
                    <w:top w:val="single" w:color="auto" w:sz="6" w:space="0"/>
                    <w:left w:val="single" w:color="auto" w:sz="6" w:space="0"/>
                    <w:bottom w:val="single" w:color="auto" w:sz="6" w:space="0"/>
                    <w:right w:val="single" w:color="auto" w:sz="6" w:space="0"/>
                  </w:tcBorders>
                  <w:noWrap w:val="0"/>
                  <w:vAlign w:val="center"/>
                </w:tcPr>
                <w:p w14:paraId="0F24E3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80.0</w:t>
                  </w:r>
                </w:p>
              </w:tc>
              <w:tc>
                <w:tcPr>
                  <w:tcW w:w="992" w:type="dxa"/>
                  <w:tcBorders>
                    <w:top w:val="single" w:color="auto" w:sz="6" w:space="0"/>
                    <w:left w:val="single" w:color="auto" w:sz="6" w:space="0"/>
                    <w:bottom w:val="single" w:color="auto" w:sz="6" w:space="0"/>
                    <w:right w:val="single" w:color="auto" w:sz="12" w:space="0"/>
                  </w:tcBorders>
                  <w:noWrap w:val="0"/>
                  <w:vAlign w:val="center"/>
                </w:tcPr>
                <w:p w14:paraId="23B4D1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Cs w:val="21"/>
                    </w:rPr>
                    <w:t>达标</w:t>
                  </w:r>
                </w:p>
              </w:tc>
            </w:tr>
            <w:tr w14:paraId="0396D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7" w:type="dxa"/>
                  <w:tcBorders>
                    <w:top w:val="single" w:color="auto" w:sz="6" w:space="0"/>
                    <w:left w:val="single" w:color="auto" w:sz="12" w:space="0"/>
                    <w:bottom w:val="single" w:color="auto" w:sz="6" w:space="0"/>
                    <w:right w:val="single" w:color="auto" w:sz="6" w:space="0"/>
                  </w:tcBorders>
                  <w:noWrap w:val="0"/>
                  <w:vAlign w:val="center"/>
                </w:tcPr>
                <w:p w14:paraId="48FA4E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b/>
                      <w:color w:val="auto"/>
                      <w:szCs w:val="21"/>
                    </w:rPr>
                    <w:t>SO</w:t>
                  </w:r>
                  <w:r>
                    <w:rPr>
                      <w:rFonts w:hint="default" w:ascii="Times New Roman" w:hAnsi="Times New Roman" w:eastAsia="宋体" w:cs="Times New Roman"/>
                      <w:b/>
                      <w:color w:val="auto"/>
                      <w:szCs w:val="21"/>
                      <w:vertAlign w:val="subscript"/>
                    </w:rPr>
                    <w:t>2</w:t>
                  </w:r>
                </w:p>
              </w:tc>
              <w:tc>
                <w:tcPr>
                  <w:tcW w:w="2068" w:type="dxa"/>
                  <w:tcBorders>
                    <w:top w:val="single" w:color="auto" w:sz="6" w:space="0"/>
                    <w:left w:val="single" w:color="auto" w:sz="6" w:space="0"/>
                    <w:bottom w:val="single" w:color="auto" w:sz="6" w:space="0"/>
                    <w:right w:val="single" w:color="auto" w:sz="6" w:space="0"/>
                  </w:tcBorders>
                  <w:noWrap w:val="0"/>
                  <w:vAlign w:val="center"/>
                </w:tcPr>
                <w:p w14:paraId="461DA0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1"/>
                    </w:rPr>
                    <w:t>年平均浓度</w:t>
                  </w:r>
                </w:p>
              </w:tc>
              <w:tc>
                <w:tcPr>
                  <w:tcW w:w="1069" w:type="dxa"/>
                  <w:tcBorders>
                    <w:top w:val="single" w:color="auto" w:sz="6" w:space="0"/>
                    <w:left w:val="single" w:color="auto" w:sz="6" w:space="0"/>
                    <w:bottom w:val="single" w:color="auto" w:sz="6" w:space="0"/>
                    <w:right w:val="single" w:color="auto" w:sz="6" w:space="0"/>
                  </w:tcBorders>
                  <w:noWrap w:val="0"/>
                  <w:vAlign w:val="center"/>
                </w:tcPr>
                <w:p w14:paraId="710382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10</w:t>
                  </w:r>
                </w:p>
              </w:tc>
              <w:tc>
                <w:tcPr>
                  <w:tcW w:w="1423" w:type="dxa"/>
                  <w:tcBorders>
                    <w:top w:val="single" w:color="auto" w:sz="6" w:space="0"/>
                    <w:left w:val="single" w:color="auto" w:sz="6" w:space="0"/>
                    <w:bottom w:val="single" w:color="auto" w:sz="6" w:space="0"/>
                    <w:right w:val="single" w:color="auto" w:sz="6" w:space="0"/>
                  </w:tcBorders>
                  <w:noWrap w:val="0"/>
                  <w:vAlign w:val="center"/>
                </w:tcPr>
                <w:p w14:paraId="266E73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1"/>
                    </w:rPr>
                    <w:t>60</w:t>
                  </w:r>
                </w:p>
              </w:tc>
              <w:tc>
                <w:tcPr>
                  <w:tcW w:w="1073" w:type="dxa"/>
                  <w:tcBorders>
                    <w:top w:val="single" w:color="auto" w:sz="6" w:space="0"/>
                    <w:left w:val="single" w:color="auto" w:sz="6" w:space="0"/>
                    <w:bottom w:val="single" w:color="auto" w:sz="6" w:space="0"/>
                    <w:right w:val="single" w:color="auto" w:sz="6" w:space="0"/>
                  </w:tcBorders>
                  <w:noWrap w:val="0"/>
                  <w:vAlign w:val="center"/>
                </w:tcPr>
                <w:p w14:paraId="15725D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16.67</w:t>
                  </w:r>
                </w:p>
              </w:tc>
              <w:tc>
                <w:tcPr>
                  <w:tcW w:w="992" w:type="dxa"/>
                  <w:tcBorders>
                    <w:top w:val="single" w:color="auto" w:sz="6" w:space="0"/>
                    <w:left w:val="single" w:color="auto" w:sz="6" w:space="0"/>
                    <w:bottom w:val="single" w:color="auto" w:sz="6" w:space="0"/>
                    <w:right w:val="single" w:color="auto" w:sz="12" w:space="0"/>
                  </w:tcBorders>
                  <w:noWrap w:val="0"/>
                  <w:vAlign w:val="center"/>
                </w:tcPr>
                <w:p w14:paraId="4E6488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1"/>
                    </w:rPr>
                    <w:t>达标</w:t>
                  </w:r>
                </w:p>
              </w:tc>
            </w:tr>
            <w:tr w14:paraId="4130F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7" w:type="dxa"/>
                  <w:tcBorders>
                    <w:top w:val="single" w:color="auto" w:sz="6" w:space="0"/>
                    <w:left w:val="single" w:color="auto" w:sz="12" w:space="0"/>
                    <w:bottom w:val="single" w:color="auto" w:sz="6" w:space="0"/>
                    <w:right w:val="single" w:color="auto" w:sz="6" w:space="0"/>
                  </w:tcBorders>
                  <w:noWrap w:val="0"/>
                  <w:vAlign w:val="center"/>
                </w:tcPr>
                <w:p w14:paraId="4D62D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b/>
                      <w:color w:val="auto"/>
                      <w:szCs w:val="21"/>
                    </w:rPr>
                    <w:t>NO</w:t>
                  </w:r>
                  <w:r>
                    <w:rPr>
                      <w:rFonts w:hint="default" w:ascii="Times New Roman" w:hAnsi="Times New Roman" w:eastAsia="宋体" w:cs="Times New Roman"/>
                      <w:b/>
                      <w:color w:val="auto"/>
                      <w:szCs w:val="21"/>
                      <w:vertAlign w:val="subscript"/>
                    </w:rPr>
                    <w:t>2</w:t>
                  </w:r>
                </w:p>
              </w:tc>
              <w:tc>
                <w:tcPr>
                  <w:tcW w:w="2068" w:type="dxa"/>
                  <w:tcBorders>
                    <w:top w:val="single" w:color="auto" w:sz="6" w:space="0"/>
                    <w:left w:val="single" w:color="auto" w:sz="6" w:space="0"/>
                    <w:bottom w:val="single" w:color="auto" w:sz="6" w:space="0"/>
                    <w:right w:val="single" w:color="auto" w:sz="6" w:space="0"/>
                  </w:tcBorders>
                  <w:noWrap w:val="0"/>
                  <w:vAlign w:val="center"/>
                </w:tcPr>
                <w:p w14:paraId="431069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1"/>
                    </w:rPr>
                    <w:t>年平均浓度</w:t>
                  </w:r>
                </w:p>
              </w:tc>
              <w:tc>
                <w:tcPr>
                  <w:tcW w:w="1069" w:type="dxa"/>
                  <w:tcBorders>
                    <w:top w:val="single" w:color="auto" w:sz="6" w:space="0"/>
                    <w:left w:val="single" w:color="auto" w:sz="6" w:space="0"/>
                    <w:bottom w:val="single" w:color="auto" w:sz="6" w:space="0"/>
                    <w:right w:val="single" w:color="auto" w:sz="6" w:space="0"/>
                  </w:tcBorders>
                  <w:noWrap w:val="0"/>
                  <w:vAlign w:val="center"/>
                </w:tcPr>
                <w:p w14:paraId="06523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23</w:t>
                  </w:r>
                </w:p>
              </w:tc>
              <w:tc>
                <w:tcPr>
                  <w:tcW w:w="1423" w:type="dxa"/>
                  <w:tcBorders>
                    <w:top w:val="single" w:color="auto" w:sz="6" w:space="0"/>
                    <w:left w:val="single" w:color="auto" w:sz="6" w:space="0"/>
                    <w:bottom w:val="single" w:color="auto" w:sz="6" w:space="0"/>
                    <w:right w:val="single" w:color="auto" w:sz="6" w:space="0"/>
                  </w:tcBorders>
                  <w:noWrap w:val="0"/>
                  <w:vAlign w:val="center"/>
                </w:tcPr>
                <w:p w14:paraId="11EF56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1"/>
                    </w:rPr>
                    <w:t>40</w:t>
                  </w:r>
                </w:p>
              </w:tc>
              <w:tc>
                <w:tcPr>
                  <w:tcW w:w="1073" w:type="dxa"/>
                  <w:tcBorders>
                    <w:top w:val="single" w:color="auto" w:sz="6" w:space="0"/>
                    <w:left w:val="single" w:color="auto" w:sz="6" w:space="0"/>
                    <w:bottom w:val="single" w:color="auto" w:sz="6" w:space="0"/>
                    <w:right w:val="single" w:color="auto" w:sz="6" w:space="0"/>
                  </w:tcBorders>
                  <w:noWrap w:val="0"/>
                  <w:vAlign w:val="center"/>
                </w:tcPr>
                <w:p w14:paraId="14E23F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57.5</w:t>
                  </w:r>
                </w:p>
              </w:tc>
              <w:tc>
                <w:tcPr>
                  <w:tcW w:w="992" w:type="dxa"/>
                  <w:tcBorders>
                    <w:top w:val="single" w:color="auto" w:sz="6" w:space="0"/>
                    <w:left w:val="single" w:color="auto" w:sz="6" w:space="0"/>
                    <w:bottom w:val="single" w:color="auto" w:sz="6" w:space="0"/>
                    <w:right w:val="single" w:color="auto" w:sz="12" w:space="0"/>
                  </w:tcBorders>
                  <w:noWrap w:val="0"/>
                  <w:vAlign w:val="center"/>
                </w:tcPr>
                <w:p w14:paraId="36809B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1"/>
                    </w:rPr>
                    <w:t>达标</w:t>
                  </w:r>
                </w:p>
              </w:tc>
            </w:tr>
            <w:tr w14:paraId="7ADBF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7" w:type="dxa"/>
                  <w:tcBorders>
                    <w:top w:val="single" w:color="auto" w:sz="6" w:space="0"/>
                    <w:left w:val="single" w:color="auto" w:sz="12" w:space="0"/>
                    <w:bottom w:val="single" w:color="auto" w:sz="6" w:space="0"/>
                    <w:right w:val="single" w:color="auto" w:sz="6" w:space="0"/>
                  </w:tcBorders>
                  <w:noWrap w:val="0"/>
                  <w:vAlign w:val="center"/>
                </w:tcPr>
                <w:p w14:paraId="53381F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b/>
                      <w:color w:val="auto"/>
                      <w:szCs w:val="21"/>
                    </w:rPr>
                    <w:t>CO</w:t>
                  </w:r>
                </w:p>
              </w:tc>
              <w:tc>
                <w:tcPr>
                  <w:tcW w:w="2068" w:type="dxa"/>
                  <w:tcBorders>
                    <w:top w:val="single" w:color="auto" w:sz="6" w:space="0"/>
                    <w:left w:val="single" w:color="auto" w:sz="6" w:space="0"/>
                    <w:bottom w:val="single" w:color="auto" w:sz="6" w:space="0"/>
                    <w:right w:val="single" w:color="auto" w:sz="6" w:space="0"/>
                  </w:tcBorders>
                  <w:noWrap w:val="0"/>
                  <w:vAlign w:val="center"/>
                </w:tcPr>
                <w:p w14:paraId="5B048E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lang w:eastAsia="zh-CN"/>
                    </w:rPr>
                  </w:pPr>
                  <w:r>
                    <w:rPr>
                      <w:rFonts w:hint="default" w:ascii="Times New Roman" w:hAnsi="Times New Roman" w:eastAsia="宋体" w:cs="Times New Roman"/>
                      <w:color w:val="auto"/>
                    </w:rPr>
                    <w:t>24小时平均第95百分位数</w:t>
                  </w:r>
                  <w:r>
                    <w:rPr>
                      <w:rFonts w:hint="default" w:ascii="Times New Roman" w:hAnsi="Times New Roman" w:eastAsia="宋体" w:cs="Times New Roman"/>
                      <w:color w:val="auto"/>
                      <w:spacing w:val="-20"/>
                      <w:szCs w:val="21"/>
                      <w:lang w:eastAsia="zh-CN"/>
                    </w:rPr>
                    <w:t>(</w:t>
                  </w:r>
                  <w:r>
                    <w:rPr>
                      <w:rFonts w:hint="default" w:ascii="Times New Roman" w:hAnsi="Times New Roman" w:eastAsia="宋体" w:cs="Times New Roman"/>
                      <w:color w:val="auto"/>
                      <w:spacing w:val="-20"/>
                      <w:szCs w:val="21"/>
                    </w:rPr>
                    <w:t>mg /m</w:t>
                  </w:r>
                  <w:r>
                    <w:rPr>
                      <w:rFonts w:hint="default" w:ascii="Times New Roman" w:hAnsi="Times New Roman" w:eastAsia="宋体" w:cs="Times New Roman"/>
                      <w:color w:val="auto"/>
                      <w:spacing w:val="-20"/>
                      <w:szCs w:val="21"/>
                      <w:vertAlign w:val="superscript"/>
                    </w:rPr>
                    <w:t>3</w:t>
                  </w:r>
                  <w:r>
                    <w:rPr>
                      <w:rFonts w:hint="default" w:ascii="Times New Roman" w:hAnsi="Times New Roman" w:eastAsia="宋体" w:cs="Times New Roman"/>
                      <w:color w:val="auto"/>
                      <w:spacing w:val="-20"/>
                      <w:szCs w:val="21"/>
                      <w:lang w:eastAsia="zh-CN"/>
                    </w:rPr>
                    <w:t>)</w:t>
                  </w:r>
                </w:p>
              </w:tc>
              <w:tc>
                <w:tcPr>
                  <w:tcW w:w="1069" w:type="dxa"/>
                  <w:tcBorders>
                    <w:top w:val="single" w:color="auto" w:sz="6" w:space="0"/>
                    <w:left w:val="single" w:color="auto" w:sz="6" w:space="0"/>
                    <w:bottom w:val="single" w:color="auto" w:sz="6" w:space="0"/>
                    <w:right w:val="single" w:color="auto" w:sz="6" w:space="0"/>
                  </w:tcBorders>
                  <w:noWrap w:val="0"/>
                  <w:vAlign w:val="center"/>
                </w:tcPr>
                <w:p w14:paraId="3B3635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0.7</w:t>
                  </w:r>
                </w:p>
              </w:tc>
              <w:tc>
                <w:tcPr>
                  <w:tcW w:w="1423" w:type="dxa"/>
                  <w:tcBorders>
                    <w:top w:val="single" w:color="auto" w:sz="6" w:space="0"/>
                    <w:left w:val="single" w:color="auto" w:sz="6" w:space="0"/>
                    <w:bottom w:val="single" w:color="auto" w:sz="6" w:space="0"/>
                    <w:right w:val="single" w:color="auto" w:sz="6" w:space="0"/>
                  </w:tcBorders>
                  <w:noWrap w:val="0"/>
                  <w:vAlign w:val="center"/>
                </w:tcPr>
                <w:p w14:paraId="6B660F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1"/>
                    </w:rPr>
                    <w:t>4.0</w:t>
                  </w:r>
                </w:p>
              </w:tc>
              <w:tc>
                <w:tcPr>
                  <w:tcW w:w="1073" w:type="dxa"/>
                  <w:tcBorders>
                    <w:top w:val="single" w:color="auto" w:sz="6" w:space="0"/>
                    <w:left w:val="single" w:color="auto" w:sz="6" w:space="0"/>
                    <w:bottom w:val="single" w:color="auto" w:sz="6" w:space="0"/>
                    <w:right w:val="single" w:color="auto" w:sz="6" w:space="0"/>
                  </w:tcBorders>
                  <w:noWrap w:val="0"/>
                  <w:vAlign w:val="center"/>
                </w:tcPr>
                <w:p w14:paraId="44127D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1.75</w:t>
                  </w:r>
                </w:p>
              </w:tc>
              <w:tc>
                <w:tcPr>
                  <w:tcW w:w="992" w:type="dxa"/>
                  <w:tcBorders>
                    <w:top w:val="single" w:color="auto" w:sz="6" w:space="0"/>
                    <w:left w:val="single" w:color="auto" w:sz="6" w:space="0"/>
                    <w:bottom w:val="single" w:color="auto" w:sz="6" w:space="0"/>
                    <w:right w:val="single" w:color="auto" w:sz="12" w:space="0"/>
                  </w:tcBorders>
                  <w:noWrap w:val="0"/>
                  <w:vAlign w:val="center"/>
                </w:tcPr>
                <w:p w14:paraId="05F6F4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1"/>
                    </w:rPr>
                    <w:t>达标</w:t>
                  </w:r>
                </w:p>
              </w:tc>
            </w:tr>
            <w:tr w14:paraId="4D6E12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127" w:type="dxa"/>
                  <w:tcBorders>
                    <w:top w:val="single" w:color="auto" w:sz="6" w:space="0"/>
                    <w:left w:val="single" w:color="auto" w:sz="12" w:space="0"/>
                    <w:bottom w:val="single" w:color="auto" w:sz="12" w:space="0"/>
                    <w:right w:val="single" w:color="auto" w:sz="6" w:space="0"/>
                  </w:tcBorders>
                  <w:noWrap w:val="0"/>
                  <w:vAlign w:val="center"/>
                </w:tcPr>
                <w:p w14:paraId="081284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b/>
                      <w:color w:val="auto"/>
                      <w:szCs w:val="21"/>
                    </w:rPr>
                    <w:t>O</w:t>
                  </w:r>
                  <w:r>
                    <w:rPr>
                      <w:rFonts w:hint="default" w:ascii="Times New Roman" w:hAnsi="Times New Roman" w:eastAsia="宋体" w:cs="Times New Roman"/>
                      <w:b/>
                      <w:color w:val="auto"/>
                      <w:szCs w:val="21"/>
                      <w:vertAlign w:val="subscript"/>
                    </w:rPr>
                    <w:t>3</w:t>
                  </w:r>
                </w:p>
              </w:tc>
              <w:tc>
                <w:tcPr>
                  <w:tcW w:w="2068" w:type="dxa"/>
                  <w:tcBorders>
                    <w:top w:val="single" w:color="auto" w:sz="6" w:space="0"/>
                    <w:left w:val="single" w:color="auto" w:sz="6" w:space="0"/>
                    <w:bottom w:val="single" w:color="auto" w:sz="12" w:space="0"/>
                    <w:right w:val="single" w:color="auto" w:sz="6" w:space="0"/>
                  </w:tcBorders>
                  <w:noWrap w:val="0"/>
                  <w:vAlign w:val="center"/>
                </w:tcPr>
                <w:p w14:paraId="5DE75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rPr>
                    <w:t>日最大8小时滑动平均值的第90百分位数</w:t>
                  </w:r>
                </w:p>
              </w:tc>
              <w:tc>
                <w:tcPr>
                  <w:tcW w:w="1069" w:type="dxa"/>
                  <w:tcBorders>
                    <w:top w:val="single" w:color="auto" w:sz="6" w:space="0"/>
                    <w:left w:val="single" w:color="auto" w:sz="6" w:space="0"/>
                    <w:bottom w:val="single" w:color="auto" w:sz="12" w:space="0"/>
                    <w:right w:val="single" w:color="auto" w:sz="6" w:space="0"/>
                  </w:tcBorders>
                  <w:noWrap w:val="0"/>
                  <w:vAlign w:val="center"/>
                </w:tcPr>
                <w:p w14:paraId="386D4B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140</w:t>
                  </w:r>
                </w:p>
              </w:tc>
              <w:tc>
                <w:tcPr>
                  <w:tcW w:w="1423" w:type="dxa"/>
                  <w:tcBorders>
                    <w:top w:val="single" w:color="auto" w:sz="6" w:space="0"/>
                    <w:left w:val="single" w:color="auto" w:sz="6" w:space="0"/>
                    <w:bottom w:val="single" w:color="auto" w:sz="12" w:space="0"/>
                    <w:right w:val="single" w:color="auto" w:sz="6" w:space="0"/>
                  </w:tcBorders>
                  <w:noWrap w:val="0"/>
                  <w:vAlign w:val="center"/>
                </w:tcPr>
                <w:p w14:paraId="612B59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1"/>
                    </w:rPr>
                    <w:t>160</w:t>
                  </w:r>
                </w:p>
              </w:tc>
              <w:tc>
                <w:tcPr>
                  <w:tcW w:w="1073" w:type="dxa"/>
                  <w:tcBorders>
                    <w:top w:val="single" w:color="auto" w:sz="6" w:space="0"/>
                    <w:left w:val="single" w:color="auto" w:sz="6" w:space="0"/>
                    <w:bottom w:val="single" w:color="auto" w:sz="12" w:space="0"/>
                    <w:right w:val="single" w:color="auto" w:sz="6" w:space="0"/>
                  </w:tcBorders>
                  <w:noWrap w:val="0"/>
                  <w:vAlign w:val="center"/>
                </w:tcPr>
                <w:p w14:paraId="233397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87.5</w:t>
                  </w:r>
                </w:p>
              </w:tc>
              <w:tc>
                <w:tcPr>
                  <w:tcW w:w="992" w:type="dxa"/>
                  <w:tcBorders>
                    <w:top w:val="single" w:color="auto" w:sz="6" w:space="0"/>
                    <w:left w:val="single" w:color="auto" w:sz="6" w:space="0"/>
                    <w:bottom w:val="single" w:color="auto" w:sz="12" w:space="0"/>
                    <w:right w:val="single" w:color="auto" w:sz="12" w:space="0"/>
                  </w:tcBorders>
                  <w:noWrap w:val="0"/>
                  <w:vAlign w:val="center"/>
                </w:tcPr>
                <w:p w14:paraId="545F2E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1"/>
                    </w:rPr>
                    <w:t>达标</w:t>
                  </w:r>
                </w:p>
              </w:tc>
            </w:tr>
          </w:tbl>
          <w:p w14:paraId="747B9ADF">
            <w:pPr>
              <w:adjustRightInd w:val="0"/>
              <w:snapToGrid w:val="0"/>
              <w:spacing w:line="360" w:lineRule="auto"/>
              <w:ind w:firstLine="480" w:firstLineChars="200"/>
              <w:rPr>
                <w:rFonts w:hint="eastAsia"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snapToGrid w:val="0"/>
                <w:color w:val="auto"/>
                <w:sz w:val="24"/>
                <w:szCs w:val="24"/>
              </w:rPr>
              <w:t>根据评价结论，中卫市PM</w:t>
            </w:r>
            <w:r>
              <w:rPr>
                <w:rFonts w:hint="default" w:ascii="Times New Roman" w:hAnsi="Times New Roman" w:eastAsia="仿宋_GB2312" w:cs="Times New Roman"/>
                <w:snapToGrid w:val="0"/>
                <w:color w:val="auto"/>
                <w:sz w:val="24"/>
                <w:szCs w:val="24"/>
                <w:vertAlign w:val="subscript"/>
              </w:rPr>
              <w:t>10</w:t>
            </w:r>
            <w:r>
              <w:rPr>
                <w:rFonts w:hint="default" w:ascii="Times New Roman" w:hAnsi="Times New Roman" w:eastAsia="仿宋_GB2312" w:cs="Times New Roman"/>
                <w:snapToGrid w:val="0"/>
                <w:color w:val="auto"/>
                <w:sz w:val="24"/>
                <w:szCs w:val="24"/>
              </w:rPr>
              <w:t>、PM</w:t>
            </w:r>
            <w:r>
              <w:rPr>
                <w:rFonts w:hint="default" w:ascii="Times New Roman" w:hAnsi="Times New Roman" w:eastAsia="仿宋_GB2312" w:cs="Times New Roman"/>
                <w:snapToGrid w:val="0"/>
                <w:color w:val="auto"/>
                <w:sz w:val="24"/>
                <w:szCs w:val="24"/>
                <w:vertAlign w:val="subscript"/>
              </w:rPr>
              <w:t>2.5</w:t>
            </w:r>
            <w:r>
              <w:rPr>
                <w:rFonts w:hint="default" w:ascii="Times New Roman" w:hAnsi="Times New Roman" w:eastAsia="仿宋_GB2312" w:cs="Times New Roman"/>
                <w:snapToGrid w:val="0"/>
                <w:color w:val="auto"/>
                <w:sz w:val="24"/>
                <w:szCs w:val="24"/>
              </w:rPr>
              <w:t>、SO</w:t>
            </w:r>
            <w:r>
              <w:rPr>
                <w:rFonts w:hint="default" w:ascii="Times New Roman" w:hAnsi="Times New Roman" w:eastAsia="仿宋_GB2312" w:cs="Times New Roman"/>
                <w:snapToGrid w:val="0"/>
                <w:color w:val="auto"/>
                <w:sz w:val="24"/>
                <w:szCs w:val="24"/>
                <w:vertAlign w:val="subscript"/>
              </w:rPr>
              <w:t>2</w:t>
            </w:r>
            <w:r>
              <w:rPr>
                <w:rFonts w:hint="default" w:ascii="Times New Roman" w:hAnsi="Times New Roman" w:eastAsia="仿宋_GB2312" w:cs="Times New Roman"/>
                <w:snapToGrid w:val="0"/>
                <w:color w:val="auto"/>
                <w:sz w:val="24"/>
                <w:szCs w:val="24"/>
              </w:rPr>
              <w:t>、NO</w:t>
            </w:r>
            <w:r>
              <w:rPr>
                <w:rFonts w:hint="default" w:ascii="Times New Roman" w:hAnsi="Times New Roman" w:eastAsia="仿宋_GB2312" w:cs="Times New Roman"/>
                <w:snapToGrid w:val="0"/>
                <w:color w:val="auto"/>
                <w:sz w:val="24"/>
                <w:szCs w:val="24"/>
                <w:vertAlign w:val="subscript"/>
              </w:rPr>
              <w:t>2</w:t>
            </w:r>
            <w:r>
              <w:rPr>
                <w:rFonts w:hint="default" w:ascii="Times New Roman" w:hAnsi="Times New Roman" w:eastAsia="仿宋_GB2312" w:cs="Times New Roman"/>
                <w:snapToGrid w:val="0"/>
                <w:color w:val="auto"/>
                <w:sz w:val="24"/>
                <w:szCs w:val="24"/>
              </w:rPr>
              <w:t>年平均浓度、CO特定百分位数浓度及O</w:t>
            </w:r>
            <w:r>
              <w:rPr>
                <w:rFonts w:hint="default" w:ascii="Times New Roman" w:hAnsi="Times New Roman" w:eastAsia="仿宋_GB2312" w:cs="Times New Roman"/>
                <w:snapToGrid w:val="0"/>
                <w:color w:val="auto"/>
                <w:sz w:val="24"/>
                <w:szCs w:val="24"/>
                <w:vertAlign w:val="subscript"/>
              </w:rPr>
              <w:t>3</w:t>
            </w:r>
            <w:r>
              <w:rPr>
                <w:rFonts w:hint="default" w:ascii="Times New Roman" w:hAnsi="Times New Roman" w:eastAsia="仿宋_GB2312" w:cs="Times New Roman"/>
                <w:snapToGrid w:val="0"/>
                <w:color w:val="auto"/>
                <w:sz w:val="24"/>
                <w:szCs w:val="24"/>
              </w:rPr>
              <w:t>特定百分位数浓度均满足标准要求，根据HJ 663-2013判定，按照《环境空气质量评价技术规范》（HJ663-2013）对项目所在区达标判断结果可知，项目所在区为达标区。</w:t>
            </w:r>
          </w:p>
          <w:p w14:paraId="23C980EB">
            <w:pPr>
              <w:numPr>
                <w:ilvl w:val="0"/>
                <w:numId w:val="3"/>
              </w:numPr>
              <w:tabs>
                <w:tab w:val="left" w:pos="0"/>
              </w:tabs>
              <w:overflowPunct w:val="0"/>
              <w:adjustRightInd w:val="0"/>
              <w:snapToGrid w:val="0"/>
              <w:spacing w:line="360" w:lineRule="auto"/>
              <w:ind w:left="0" w:leftChars="0" w:firstLine="0" w:firstLineChars="0"/>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地表水环境质量现状</w:t>
            </w:r>
          </w:p>
          <w:p w14:paraId="066CE1F0">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b w:val="0"/>
                <w:bCs w:val="0"/>
                <w:color w:val="auto"/>
                <w:kern w:val="2"/>
                <w:sz w:val="24"/>
                <w:szCs w:val="24"/>
                <w:lang w:val="en-US" w:eastAsia="zh-CN" w:bidi="ar-SA"/>
              </w:rPr>
              <w:t>评价区域内地表水体为洪河，现状评价采用《2023年宁夏生态环境质量状况》中2023年宁夏境内黄河支流各断面水质监测结论：洪河常沟省界断面为Ⅱ类水质，与上年同期相比，断面水质无明显变化。由结论分析可知，其余各项监测因子均可满足《地表水环境质量标准》（GB3838-2002）中Ⅱ类水质标准要求。</w:t>
            </w:r>
          </w:p>
          <w:p w14:paraId="3238496A">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仿宋" w:cs="Times New Roman"/>
                <w:b/>
                <w:bCs/>
                <w:color w:val="auto"/>
                <w:sz w:val="22"/>
                <w:szCs w:val="22"/>
                <w:lang w:val="en-US" w:eastAsia="zh-CN"/>
              </w:rPr>
            </w:pPr>
            <w:r>
              <w:rPr>
                <w:rFonts w:hint="eastAsia" w:ascii="Times New Roman" w:hAnsi="Times New Roman" w:eastAsia="仿宋_GB2312" w:cs="Times New Roman"/>
                <w:color w:val="auto"/>
                <w:sz w:val="24"/>
                <w:szCs w:val="24"/>
                <w:lang w:val="en-US" w:eastAsia="zh-CN"/>
              </w:rPr>
              <w:t>评价期间对洪水河进行现场踏勘，调查发现洪水河全段无水，不具备地表水现状监测条件，因此，本次评价未进行地表水环境质量现状监测。</w:t>
            </w:r>
          </w:p>
          <w:p w14:paraId="1F2BCECE">
            <w:pPr>
              <w:shd w:val="clear"/>
              <w:tabs>
                <w:tab w:val="left" w:pos="0"/>
              </w:tabs>
              <w:overflowPunct w:val="0"/>
              <w:adjustRightInd w:val="0"/>
              <w:snapToGrid w:val="0"/>
              <w:spacing w:line="360" w:lineRule="auto"/>
              <w:rPr>
                <w:rFonts w:hint="default" w:ascii="Times New Roman" w:hAnsi="Times New Roman" w:eastAsia="仿宋_GB2312" w:cs="Times New Roman"/>
                <w:b/>
                <w:bCs/>
                <w:color w:val="auto"/>
                <w:sz w:val="24"/>
                <w:szCs w:val="24"/>
                <w:highlight w:val="none"/>
              </w:rPr>
            </w:pPr>
            <w:r>
              <w:rPr>
                <w:rFonts w:hint="default" w:ascii="Times New Roman" w:hAnsi="Times New Roman" w:eastAsia="仿宋" w:cs="Times New Roman"/>
                <w:b/>
                <w:bCs/>
                <w:color w:val="auto"/>
                <w:sz w:val="24"/>
                <w:szCs w:val="24"/>
                <w:highlight w:val="none"/>
                <w:lang w:val="en-US" w:eastAsia="zh-CN"/>
              </w:rPr>
              <w:t>3</w:t>
            </w:r>
            <w:r>
              <w:rPr>
                <w:rFonts w:hint="default" w:ascii="Times New Roman" w:hAnsi="Times New Roman" w:eastAsia="仿宋" w:cs="Times New Roman"/>
                <w:b/>
                <w:bCs/>
                <w:color w:val="auto"/>
                <w:sz w:val="24"/>
                <w:szCs w:val="24"/>
                <w:highlight w:val="none"/>
              </w:rPr>
              <w:t>、</w:t>
            </w:r>
            <w:bookmarkStart w:id="4" w:name="_Toc5835"/>
            <w:r>
              <w:rPr>
                <w:rFonts w:hint="eastAsia" w:ascii="Times New Roman" w:hAnsi="Times New Roman" w:eastAsia="仿宋_GB2312" w:cs="Times New Roman"/>
                <w:b/>
                <w:bCs/>
                <w:color w:val="auto"/>
                <w:sz w:val="24"/>
                <w:szCs w:val="24"/>
                <w:highlight w:val="none"/>
                <w:lang w:val="en-US" w:eastAsia="zh-CN"/>
              </w:rPr>
              <w:t>声</w:t>
            </w:r>
            <w:r>
              <w:rPr>
                <w:rFonts w:hint="default" w:ascii="Times New Roman" w:hAnsi="Times New Roman" w:eastAsia="仿宋_GB2312" w:cs="Times New Roman"/>
                <w:b/>
                <w:bCs/>
                <w:color w:val="auto"/>
                <w:sz w:val="24"/>
                <w:szCs w:val="24"/>
                <w:highlight w:val="none"/>
                <w:lang w:eastAsia="zh-CN"/>
              </w:rPr>
              <w:t>环境</w:t>
            </w:r>
            <w:r>
              <w:rPr>
                <w:rFonts w:hint="default" w:ascii="Times New Roman" w:hAnsi="Times New Roman" w:eastAsia="仿宋_GB2312" w:cs="Times New Roman"/>
                <w:b/>
                <w:bCs/>
                <w:color w:val="auto"/>
                <w:sz w:val="24"/>
                <w:szCs w:val="24"/>
                <w:highlight w:val="none"/>
              </w:rPr>
              <w:t>质量现状</w:t>
            </w:r>
          </w:p>
          <w:p w14:paraId="6FF84AAF">
            <w:pPr>
              <w:shd w:val="clear"/>
              <w:adjustRightInd w:val="0"/>
              <w:snapToGrid w:val="0"/>
              <w:spacing w:line="360" w:lineRule="auto"/>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本项目位于</w:t>
            </w:r>
            <w:r>
              <w:rPr>
                <w:rFonts w:hint="default" w:ascii="Times New Roman" w:hAnsi="Times New Roman" w:eastAsia="仿宋_GB2312" w:cs="Times New Roman"/>
                <w:color w:val="auto"/>
                <w:kern w:val="0"/>
                <w:sz w:val="24"/>
                <w:szCs w:val="24"/>
                <w:lang w:val="en-US" w:eastAsia="zh-CN"/>
              </w:rPr>
              <w:t>中卫市沙坡头区兴仁镇北环路以北</w:t>
            </w:r>
            <w:r>
              <w:rPr>
                <w:rFonts w:hint="default" w:ascii="Times New Roman" w:hAnsi="Times New Roman" w:eastAsia="仿宋_GB2312" w:cs="Times New Roman"/>
                <w:color w:val="auto"/>
                <w:kern w:val="0"/>
                <w:sz w:val="24"/>
                <w:szCs w:val="24"/>
              </w:rPr>
              <w:t>，厂界周边50m范围内无声环境保护目标，因此本项目不再开展声环境质量现状调查。</w:t>
            </w:r>
          </w:p>
          <w:bookmarkEnd w:id="4"/>
          <w:p w14:paraId="51434261">
            <w:pPr>
              <w:shd w:val="clear"/>
              <w:adjustRightInd w:val="0"/>
              <w:snapToGrid w:val="0"/>
              <w:spacing w:line="360" w:lineRule="auto"/>
              <w:jc w:val="left"/>
              <w:rPr>
                <w:rFonts w:hint="default" w:ascii="Times New Roman" w:hAnsi="Times New Roman" w:eastAsia="仿宋_GB2312" w:cs="Times New Roman"/>
                <w:b/>
                <w:bCs/>
                <w:color w:val="auto"/>
                <w:sz w:val="24"/>
                <w:szCs w:val="24"/>
                <w:highlight w:val="none"/>
              </w:rPr>
            </w:pPr>
            <w:r>
              <w:rPr>
                <w:rFonts w:hint="default" w:ascii="Times New Roman" w:hAnsi="Times New Roman" w:eastAsia="仿宋" w:cs="Times New Roman"/>
                <w:b/>
                <w:color w:val="auto"/>
                <w:sz w:val="24"/>
                <w:szCs w:val="24"/>
                <w:highlight w:val="none"/>
                <w:lang w:val="en-US" w:eastAsia="zh-CN"/>
              </w:rPr>
              <w:t>4</w:t>
            </w:r>
            <w:r>
              <w:rPr>
                <w:rFonts w:hint="default" w:ascii="Times New Roman" w:hAnsi="Times New Roman" w:eastAsia="仿宋" w:cs="Times New Roman"/>
                <w:b/>
                <w:color w:val="auto"/>
                <w:sz w:val="24"/>
                <w:szCs w:val="24"/>
                <w:highlight w:val="none"/>
              </w:rPr>
              <w:t>、</w:t>
            </w:r>
            <w:r>
              <w:rPr>
                <w:rFonts w:hint="eastAsia" w:ascii="Times New Roman" w:hAnsi="Times New Roman" w:eastAsia="仿宋" w:cs="Times New Roman"/>
                <w:b/>
                <w:color w:val="auto"/>
                <w:sz w:val="24"/>
                <w:szCs w:val="24"/>
                <w:highlight w:val="none"/>
                <w:lang w:val="en-US" w:eastAsia="zh-CN"/>
              </w:rPr>
              <w:t>地下水、土壤</w:t>
            </w:r>
            <w:r>
              <w:rPr>
                <w:rFonts w:hint="default" w:ascii="Times New Roman" w:hAnsi="Times New Roman" w:eastAsia="仿宋_GB2312" w:cs="Times New Roman"/>
                <w:b/>
                <w:bCs/>
                <w:color w:val="auto"/>
                <w:sz w:val="24"/>
                <w:szCs w:val="24"/>
                <w:highlight w:val="none"/>
              </w:rPr>
              <w:t>环境</w:t>
            </w:r>
            <w:r>
              <w:rPr>
                <w:rFonts w:hint="default" w:ascii="Times New Roman" w:hAnsi="Times New Roman" w:eastAsia="仿宋_GB2312" w:cs="Times New Roman"/>
                <w:b/>
                <w:color w:val="auto"/>
                <w:sz w:val="24"/>
                <w:szCs w:val="24"/>
                <w:highlight w:val="none"/>
              </w:rPr>
              <w:t>现状</w:t>
            </w:r>
          </w:p>
          <w:p w14:paraId="4C320265">
            <w:pPr>
              <w:shd w:val="clear"/>
              <w:adjustRightInd w:val="0"/>
              <w:snapToGrid w:val="0"/>
              <w:spacing w:line="360" w:lineRule="auto"/>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依据《建设项目环境影响报告表编制技术指南（污染影响类）》（试行），本项目厂界周边500m范围内无地下水集中饮用水水源和热水、矿泉水、温泉等特殊地下水资源</w:t>
            </w:r>
            <w:r>
              <w:rPr>
                <w:rFonts w:hint="eastAsia"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color w:val="auto"/>
                <w:kern w:val="0"/>
                <w:sz w:val="24"/>
                <w:szCs w:val="24"/>
              </w:rPr>
              <w:t>且本项目个池体采取重点防渗处理，重点污染防治区的防渗性能应不低于1.5mm厚、渗透系数为1.0×10</w:t>
            </w:r>
            <w:r>
              <w:rPr>
                <w:rFonts w:hint="default" w:ascii="Times New Roman" w:hAnsi="Times New Roman" w:eastAsia="仿宋_GB2312" w:cs="Times New Roman"/>
                <w:color w:val="auto"/>
                <w:kern w:val="0"/>
                <w:sz w:val="24"/>
                <w:szCs w:val="24"/>
                <w:vertAlign w:val="superscript"/>
              </w:rPr>
              <w:t>-10</w:t>
            </w:r>
            <w:r>
              <w:rPr>
                <w:rFonts w:hint="default" w:ascii="Times New Roman" w:hAnsi="Times New Roman" w:eastAsia="仿宋_GB2312" w:cs="Times New Roman"/>
                <w:color w:val="auto"/>
                <w:kern w:val="0"/>
                <w:sz w:val="24"/>
                <w:szCs w:val="24"/>
              </w:rPr>
              <w:t>cm/s的复合衬层；办公区域进行一般防渗，一般污染防治区的防渗性能应不低于1.5mm厚、渗透系数为1.0×10</w:t>
            </w:r>
            <w:r>
              <w:rPr>
                <w:rFonts w:hint="default" w:ascii="Times New Roman" w:hAnsi="Times New Roman" w:eastAsia="仿宋_GB2312" w:cs="Times New Roman"/>
                <w:color w:val="auto"/>
                <w:kern w:val="0"/>
                <w:sz w:val="24"/>
                <w:szCs w:val="24"/>
                <w:vertAlign w:val="superscript"/>
              </w:rPr>
              <w:t>-7</w:t>
            </w:r>
            <w:r>
              <w:rPr>
                <w:rFonts w:hint="default" w:ascii="Times New Roman" w:hAnsi="Times New Roman" w:eastAsia="仿宋_GB2312" w:cs="Times New Roman"/>
                <w:color w:val="auto"/>
                <w:kern w:val="0"/>
                <w:sz w:val="24"/>
                <w:szCs w:val="24"/>
              </w:rPr>
              <w:t>cm/s。因此，不进行土壤、地下水环境质量现状监测。</w:t>
            </w:r>
          </w:p>
          <w:p w14:paraId="504F3DD3">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b/>
                <w:bCs/>
                <w:color w:val="auto"/>
                <w:kern w:val="0"/>
                <w:sz w:val="24"/>
                <w:szCs w:val="24"/>
                <w:highlight w:val="none"/>
                <w:lang w:val="en-US"/>
              </w:rPr>
            </w:pPr>
            <w:r>
              <w:rPr>
                <w:rFonts w:hint="default" w:ascii="Times New Roman" w:hAnsi="Times New Roman" w:eastAsia="仿宋_GB2312" w:cs="Times New Roman"/>
                <w:b/>
                <w:bCs/>
                <w:color w:val="auto"/>
                <w:kern w:val="0"/>
                <w:sz w:val="24"/>
                <w:szCs w:val="24"/>
                <w:highlight w:val="none"/>
                <w:lang w:val="en-US" w:eastAsia="zh-CN"/>
              </w:rPr>
              <w:t>5、</w:t>
            </w:r>
            <w:r>
              <w:rPr>
                <w:rFonts w:hint="eastAsia" w:ascii="Times New Roman" w:hAnsi="Times New Roman" w:eastAsia="仿宋_GB2312" w:cs="Times New Roman"/>
                <w:b/>
                <w:bCs/>
                <w:color w:val="auto"/>
                <w:kern w:val="0"/>
                <w:sz w:val="24"/>
                <w:szCs w:val="24"/>
                <w:highlight w:val="none"/>
                <w:lang w:val="en-US" w:eastAsia="zh-CN"/>
              </w:rPr>
              <w:t>生态环境现状</w:t>
            </w:r>
          </w:p>
          <w:p w14:paraId="4D17EB97">
            <w:pPr>
              <w:adjustRightInd w:val="0"/>
              <w:snapToGrid w:val="0"/>
              <w:spacing w:line="360" w:lineRule="auto"/>
              <w:ind w:firstLine="480" w:firstLineChars="200"/>
              <w:rPr>
                <w:rFonts w:ascii="Times New Roman" w:hAnsi="Times New Roman" w:eastAsia="仿宋" w:cs="Times New Roman"/>
                <w:color w:val="auto"/>
                <w:sz w:val="24"/>
                <w:szCs w:val="24"/>
              </w:rPr>
            </w:pPr>
            <w:r>
              <w:rPr>
                <w:rFonts w:hint="default" w:ascii="Times New Roman" w:hAnsi="Times New Roman" w:eastAsia="仿宋_GB2312" w:cs="Times New Roman"/>
                <w:color w:val="auto"/>
                <w:sz w:val="24"/>
              </w:rPr>
              <w:t>依据《建设项目环境影响报告表编制技术指南（污染影响类）》（试行）中要求，本项目地处</w:t>
            </w:r>
            <w:r>
              <w:rPr>
                <w:rFonts w:hint="eastAsia" w:ascii="Times New Roman" w:hAnsi="Times New Roman" w:eastAsia="仿宋_GB2312" w:cs="Times New Roman"/>
                <w:color w:val="auto"/>
                <w:sz w:val="24"/>
                <w:szCs w:val="24"/>
                <w:u w:val="none"/>
                <w:lang w:eastAsia="zh-CN"/>
              </w:rPr>
              <w:t>兴仁镇</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eastAsia="zh-CN"/>
              </w:rPr>
              <w:t>属</w:t>
            </w:r>
            <w:r>
              <w:rPr>
                <w:rFonts w:hint="eastAsia" w:ascii="Times New Roman" w:hAnsi="Times New Roman" w:eastAsia="仿宋_GB2312" w:cs="Times New Roman"/>
                <w:color w:val="auto"/>
                <w:sz w:val="24"/>
                <w:lang w:eastAsia="zh-CN"/>
              </w:rPr>
              <w:t>规划</w:t>
            </w:r>
            <w:r>
              <w:rPr>
                <w:rFonts w:hint="default" w:ascii="Times New Roman" w:hAnsi="Times New Roman" w:eastAsia="仿宋_GB2312" w:cs="Times New Roman"/>
                <w:color w:val="auto"/>
                <w:sz w:val="24"/>
                <w:lang w:eastAsia="zh-CN"/>
              </w:rPr>
              <w:t>建设项目，用地范围内无生态环境保护目标</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因此本项目不对</w:t>
            </w:r>
            <w:r>
              <w:rPr>
                <w:rFonts w:hint="default" w:ascii="Times New Roman" w:hAnsi="Times New Roman" w:eastAsia="仿宋_GB2312" w:cs="Times New Roman"/>
                <w:color w:val="auto"/>
                <w:sz w:val="24"/>
                <w:lang w:eastAsia="zh-CN"/>
              </w:rPr>
              <w:t>生态</w:t>
            </w:r>
            <w:r>
              <w:rPr>
                <w:rFonts w:hint="default" w:ascii="Times New Roman" w:hAnsi="Times New Roman" w:eastAsia="仿宋_GB2312" w:cs="Times New Roman"/>
                <w:color w:val="auto"/>
                <w:sz w:val="24"/>
              </w:rPr>
              <w:t>环境质量现状进行评价</w:t>
            </w:r>
            <w:r>
              <w:rPr>
                <w:rFonts w:eastAsia="仿宋"/>
                <w:color w:val="auto"/>
                <w:sz w:val="24"/>
              </w:rPr>
              <w:t>。</w:t>
            </w:r>
          </w:p>
        </w:tc>
      </w:tr>
      <w:tr w14:paraId="5F429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17" w:hRule="atLeast"/>
          <w:jc w:val="center"/>
        </w:trPr>
        <w:tc>
          <w:tcPr>
            <w:tcW w:w="916" w:type="dxa"/>
            <w:vAlign w:val="center"/>
          </w:tcPr>
          <w:p w14:paraId="54A42DC2">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环境保护目标</w:t>
            </w:r>
          </w:p>
        </w:tc>
        <w:tc>
          <w:tcPr>
            <w:tcW w:w="8156" w:type="dxa"/>
            <w:vAlign w:val="center"/>
          </w:tcPr>
          <w:p w14:paraId="54190044">
            <w:pPr>
              <w:widowControl/>
              <w:adjustRightInd w:val="0"/>
              <w:snapToGrid w:val="0"/>
              <w:spacing w:before="50" w:after="50" w:line="360" w:lineRule="auto"/>
              <w:ind w:firstLine="480" w:firstLineChars="200"/>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本项目</w:t>
            </w:r>
            <w:r>
              <w:rPr>
                <w:rFonts w:hint="default" w:ascii="Times New Roman" w:hAnsi="Times New Roman" w:eastAsia="仿宋_GB2312" w:cs="Times New Roman"/>
                <w:bCs/>
                <w:color w:val="auto"/>
                <w:sz w:val="24"/>
                <w:szCs w:val="24"/>
                <w:lang w:eastAsia="zh-CN"/>
              </w:rPr>
              <w:t>不在</w:t>
            </w:r>
            <w:r>
              <w:rPr>
                <w:rFonts w:hint="default" w:ascii="Times New Roman" w:hAnsi="Times New Roman" w:eastAsia="仿宋_GB2312" w:cs="Times New Roman"/>
                <w:bCs/>
                <w:color w:val="auto"/>
                <w:sz w:val="24"/>
                <w:szCs w:val="24"/>
              </w:rPr>
              <w:t>生态保护红线区域</w:t>
            </w:r>
            <w:r>
              <w:rPr>
                <w:rFonts w:hint="default" w:ascii="Times New Roman" w:hAnsi="Times New Roman" w:eastAsia="仿宋_GB2312" w:cs="Times New Roman"/>
                <w:bCs/>
                <w:color w:val="auto"/>
                <w:sz w:val="24"/>
                <w:szCs w:val="24"/>
                <w:lang w:eastAsia="zh-CN"/>
              </w:rPr>
              <w:t>内</w:t>
            </w:r>
            <w:r>
              <w:rPr>
                <w:rFonts w:hint="default" w:ascii="Times New Roman" w:hAnsi="Times New Roman" w:eastAsia="仿宋_GB2312" w:cs="Times New Roman"/>
                <w:bCs/>
                <w:color w:val="auto"/>
                <w:sz w:val="24"/>
                <w:szCs w:val="24"/>
              </w:rPr>
              <w:t>，评价区域内无其他濒危动植物、水源地、名胜古迹、自然保护区、温泉、疗养地等国家明令规定的保护对象，项目主要保护目标为</w:t>
            </w:r>
            <w:r>
              <w:rPr>
                <w:rFonts w:hint="eastAsia" w:ascii="Times New Roman" w:hAnsi="Times New Roman" w:eastAsia="仿宋_GB2312" w:cs="Times New Roman"/>
                <w:bCs/>
                <w:color w:val="auto"/>
                <w:sz w:val="24"/>
                <w:szCs w:val="24"/>
                <w:lang w:eastAsia="zh-CN"/>
              </w:rPr>
              <w:t>兴仁镇及葛寨柯</w:t>
            </w:r>
            <w:r>
              <w:rPr>
                <w:rFonts w:hint="default" w:ascii="Times New Roman" w:hAnsi="Times New Roman" w:eastAsia="仿宋_GB2312" w:cs="Times New Roman"/>
                <w:bCs/>
                <w:color w:val="auto"/>
                <w:sz w:val="24"/>
                <w:szCs w:val="24"/>
              </w:rPr>
              <w:t>，其中</w:t>
            </w:r>
            <w:r>
              <w:rPr>
                <w:rFonts w:hint="eastAsia" w:ascii="Times New Roman" w:hAnsi="Times New Roman" w:eastAsia="仿宋_GB2312" w:cs="Times New Roman"/>
                <w:bCs/>
                <w:color w:val="auto"/>
                <w:sz w:val="24"/>
                <w:szCs w:val="24"/>
                <w:lang w:eastAsia="zh-CN"/>
              </w:rPr>
              <w:t>兴仁镇</w:t>
            </w:r>
            <w:r>
              <w:rPr>
                <w:rFonts w:hint="default" w:ascii="Times New Roman" w:hAnsi="Times New Roman" w:eastAsia="仿宋_GB2312" w:cs="Times New Roman"/>
                <w:bCs/>
                <w:color w:val="auto"/>
                <w:sz w:val="24"/>
                <w:szCs w:val="24"/>
              </w:rPr>
              <w:t>位于项目厂区</w:t>
            </w:r>
            <w:r>
              <w:rPr>
                <w:rFonts w:hint="eastAsia" w:ascii="Times New Roman" w:hAnsi="Times New Roman" w:eastAsia="仿宋_GB2312" w:cs="Times New Roman"/>
                <w:bCs/>
                <w:color w:val="auto"/>
                <w:sz w:val="24"/>
                <w:szCs w:val="24"/>
                <w:lang w:eastAsia="zh-CN"/>
              </w:rPr>
              <w:t>南</w:t>
            </w:r>
            <w:r>
              <w:rPr>
                <w:rFonts w:hint="default" w:ascii="Times New Roman" w:hAnsi="Times New Roman" w:eastAsia="仿宋_GB2312" w:cs="Times New Roman"/>
                <w:bCs/>
                <w:color w:val="auto"/>
                <w:sz w:val="24"/>
                <w:szCs w:val="24"/>
              </w:rPr>
              <w:t>侧相距</w:t>
            </w:r>
            <w:r>
              <w:rPr>
                <w:rFonts w:hint="eastAsia" w:ascii="Times New Roman" w:hAnsi="Times New Roman" w:eastAsia="仿宋_GB2312" w:cs="Times New Roman"/>
                <w:bCs/>
                <w:color w:val="auto"/>
                <w:sz w:val="24"/>
                <w:szCs w:val="24"/>
                <w:lang w:val="en-US" w:eastAsia="zh-CN"/>
              </w:rPr>
              <w:t>170</w:t>
            </w:r>
            <w:r>
              <w:rPr>
                <w:rFonts w:hint="default" w:ascii="Times New Roman" w:hAnsi="Times New Roman" w:eastAsia="仿宋_GB2312" w:cs="Times New Roman"/>
                <w:bCs/>
                <w:color w:val="auto"/>
                <w:sz w:val="24"/>
                <w:szCs w:val="24"/>
              </w:rPr>
              <w:t>m，葛寨柯坐落于项目厂区东侧</w:t>
            </w:r>
            <w:r>
              <w:rPr>
                <w:rFonts w:hint="eastAsia" w:ascii="Times New Roman" w:hAnsi="Times New Roman" w:eastAsia="仿宋_GB2312" w:cs="Times New Roman"/>
                <w:bCs/>
                <w:color w:val="auto"/>
                <w:sz w:val="24"/>
                <w:szCs w:val="24"/>
                <w:lang w:val="en-US" w:eastAsia="zh-CN"/>
              </w:rPr>
              <w:t>400</w:t>
            </w:r>
            <w:r>
              <w:rPr>
                <w:rFonts w:hint="default" w:ascii="Times New Roman" w:hAnsi="Times New Roman" w:eastAsia="仿宋_GB2312" w:cs="Times New Roman"/>
                <w:bCs/>
                <w:color w:val="auto"/>
                <w:sz w:val="24"/>
                <w:szCs w:val="24"/>
              </w:rPr>
              <w:t>m处。具体的环境保护要求为环境空气质量符合《环境空气质量标准》（GB3095-2012）二级标准，项目主要环境保护目标见表</w:t>
            </w:r>
            <w:r>
              <w:rPr>
                <w:rFonts w:hint="eastAsia" w:ascii="Times New Roman" w:hAnsi="Times New Roman" w:eastAsia="仿宋_GB2312" w:cs="Times New Roman"/>
                <w:bCs/>
                <w:color w:val="auto"/>
                <w:sz w:val="24"/>
                <w:szCs w:val="24"/>
                <w:lang w:val="en-US" w:eastAsia="zh-CN"/>
              </w:rPr>
              <w:t>3-2</w:t>
            </w:r>
            <w:r>
              <w:rPr>
                <w:rFonts w:hint="default" w:ascii="Times New Roman" w:hAnsi="Times New Roman" w:eastAsia="仿宋_GB2312" w:cs="Times New Roman"/>
                <w:bCs/>
                <w:color w:val="auto"/>
                <w:sz w:val="24"/>
                <w:szCs w:val="24"/>
              </w:rPr>
              <w:t>，与主要环境保护目标关系见</w:t>
            </w:r>
            <w:r>
              <w:rPr>
                <w:rFonts w:hint="eastAsia" w:ascii="Times New Roman" w:hAnsi="Times New Roman" w:eastAsia="仿宋_GB2312" w:cs="Times New Roman"/>
                <w:bCs/>
                <w:color w:val="auto"/>
                <w:sz w:val="24"/>
                <w:szCs w:val="24"/>
                <w:lang w:eastAsia="zh-CN"/>
              </w:rPr>
              <w:t>附图</w:t>
            </w:r>
            <w:r>
              <w:rPr>
                <w:rFonts w:hint="eastAsia" w:ascii="Times New Roman" w:hAnsi="Times New Roman" w:eastAsia="仿宋_GB2312" w:cs="Times New Roman"/>
                <w:bCs/>
                <w:color w:val="auto"/>
                <w:sz w:val="24"/>
                <w:szCs w:val="24"/>
                <w:lang w:val="en-US" w:eastAsia="zh-CN"/>
              </w:rPr>
              <w:t>10</w:t>
            </w:r>
            <w:r>
              <w:rPr>
                <w:rFonts w:hint="default" w:ascii="Times New Roman" w:hAnsi="Times New Roman" w:eastAsia="仿宋_GB2312" w:cs="Times New Roman"/>
                <w:bCs/>
                <w:color w:val="auto"/>
                <w:sz w:val="24"/>
                <w:szCs w:val="24"/>
              </w:rPr>
              <w:t>。</w:t>
            </w:r>
          </w:p>
          <w:p w14:paraId="2995AAF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bCs/>
                <w:color w:val="auto"/>
                <w:kern w:val="0"/>
                <w:sz w:val="24"/>
              </w:rPr>
            </w:pPr>
            <w:r>
              <w:rPr>
                <w:rFonts w:hint="default" w:ascii="Times New Roman" w:hAnsi="Times New Roman" w:eastAsia="宋体" w:cs="Times New Roman"/>
                <w:b w:val="0"/>
                <w:bCs w:val="0"/>
                <w:color w:val="auto"/>
                <w:kern w:val="0"/>
                <w:sz w:val="21"/>
                <w:szCs w:val="21"/>
              </w:rPr>
              <w:t>表</w:t>
            </w:r>
            <w:r>
              <w:rPr>
                <w:rFonts w:hint="eastAsia" w:ascii="Times New Roman" w:hAnsi="Times New Roman" w:eastAsia="宋体" w:cs="Times New Roman"/>
                <w:b w:val="0"/>
                <w:bCs w:val="0"/>
                <w:color w:val="auto"/>
                <w:kern w:val="0"/>
                <w:sz w:val="21"/>
                <w:szCs w:val="21"/>
                <w:lang w:val="en-US" w:eastAsia="zh-CN"/>
              </w:rPr>
              <w:t xml:space="preserve">3-2    </w:t>
            </w:r>
            <w:r>
              <w:rPr>
                <w:rFonts w:hint="default" w:ascii="Times New Roman" w:hAnsi="Times New Roman" w:eastAsia="宋体" w:cs="Times New Roman"/>
                <w:b/>
                <w:bCs/>
                <w:color w:val="auto"/>
                <w:kern w:val="0"/>
                <w:sz w:val="24"/>
              </w:rPr>
              <w:t>环境保护目标一览表</w:t>
            </w:r>
          </w:p>
          <w:tbl>
            <w:tblPr>
              <w:tblStyle w:val="26"/>
              <w:tblW w:w="8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90"/>
              <w:gridCol w:w="1752"/>
              <w:gridCol w:w="645"/>
              <w:gridCol w:w="1136"/>
              <w:gridCol w:w="1260"/>
              <w:gridCol w:w="1736"/>
            </w:tblGrid>
            <w:tr w14:paraId="75694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vAlign w:val="center"/>
                </w:tcPr>
                <w:p w14:paraId="14BA0D1B">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环境要素</w:t>
                  </w:r>
                </w:p>
              </w:tc>
              <w:tc>
                <w:tcPr>
                  <w:tcW w:w="890" w:type="dxa"/>
                  <w:vAlign w:val="center"/>
                </w:tcPr>
                <w:p w14:paraId="78D8E091">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w:t>
                  </w:r>
                </w:p>
                <w:p w14:paraId="40AE0ED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目标</w:t>
                  </w:r>
                </w:p>
              </w:tc>
              <w:tc>
                <w:tcPr>
                  <w:tcW w:w="1752" w:type="dxa"/>
                  <w:vAlign w:val="center"/>
                </w:tcPr>
                <w:p w14:paraId="359F1E3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坐标</w:t>
                  </w:r>
                </w:p>
              </w:tc>
              <w:tc>
                <w:tcPr>
                  <w:tcW w:w="645" w:type="dxa"/>
                  <w:vAlign w:val="center"/>
                </w:tcPr>
                <w:p w14:paraId="3C84BE6A">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功能</w:t>
                  </w:r>
                </w:p>
              </w:tc>
              <w:tc>
                <w:tcPr>
                  <w:tcW w:w="1136" w:type="dxa"/>
                  <w:vAlign w:val="center"/>
                </w:tcPr>
                <w:p w14:paraId="1C53FC5B">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规模</w:t>
                  </w:r>
                </w:p>
              </w:tc>
              <w:tc>
                <w:tcPr>
                  <w:tcW w:w="1260" w:type="dxa"/>
                  <w:vAlign w:val="center"/>
                </w:tcPr>
                <w:p w14:paraId="7B58BC17">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方位及距离</w:t>
                  </w:r>
                </w:p>
              </w:tc>
              <w:tc>
                <w:tcPr>
                  <w:tcW w:w="1736" w:type="dxa"/>
                  <w:vAlign w:val="center"/>
                </w:tcPr>
                <w:p w14:paraId="479E3A8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环境保护要求</w:t>
                  </w:r>
                </w:p>
              </w:tc>
            </w:tr>
            <w:tr w14:paraId="24AB9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vMerge w:val="restart"/>
                  <w:vAlign w:val="center"/>
                </w:tcPr>
                <w:p w14:paraId="4A5C008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5683" w:type="dxa"/>
                  <w:gridSpan w:val="5"/>
                  <w:vAlign w:val="center"/>
                </w:tcPr>
                <w:p w14:paraId="295CEBD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污水处理厂</w:t>
                  </w:r>
                </w:p>
              </w:tc>
              <w:tc>
                <w:tcPr>
                  <w:tcW w:w="1736" w:type="dxa"/>
                  <w:vMerge w:val="restart"/>
                  <w:vAlign w:val="center"/>
                </w:tcPr>
                <w:p w14:paraId="1DCDEDD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《环境空气质量标准》（GB3095-2012及2018年修改单）中的二级标准；</w:t>
                  </w:r>
                </w:p>
                <w:p w14:paraId="6B26EBF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《声环境质量标准》（GB3096-2008）2类标准。</w:t>
                  </w:r>
                </w:p>
              </w:tc>
            </w:tr>
            <w:tr w14:paraId="617F4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vMerge w:val="continue"/>
                  <w:vAlign w:val="center"/>
                </w:tcPr>
                <w:p w14:paraId="5F70BED1">
                  <w:pPr>
                    <w:adjustRightInd w:val="0"/>
                    <w:snapToGrid w:val="0"/>
                    <w:jc w:val="center"/>
                    <w:rPr>
                      <w:rFonts w:hint="default" w:ascii="Times New Roman" w:hAnsi="Times New Roman" w:eastAsia="宋体" w:cs="Times New Roman"/>
                      <w:color w:val="auto"/>
                      <w:sz w:val="21"/>
                      <w:szCs w:val="21"/>
                    </w:rPr>
                  </w:pPr>
                </w:p>
              </w:tc>
              <w:tc>
                <w:tcPr>
                  <w:tcW w:w="890" w:type="dxa"/>
                  <w:vAlign w:val="center"/>
                </w:tcPr>
                <w:p w14:paraId="225ABE8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兴仁镇</w:t>
                  </w:r>
                </w:p>
              </w:tc>
              <w:tc>
                <w:tcPr>
                  <w:tcW w:w="1752" w:type="dxa"/>
                  <w:vAlign w:val="center"/>
                </w:tcPr>
                <w:p w14:paraId="3AE95EE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东经105°15'12.83"北纬36°56'34.63"</w:t>
                  </w:r>
                </w:p>
              </w:tc>
              <w:tc>
                <w:tcPr>
                  <w:tcW w:w="645" w:type="dxa"/>
                  <w:vAlign w:val="center"/>
                </w:tcPr>
                <w:p w14:paraId="7371F30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1136" w:type="dxa"/>
                  <w:vAlign w:val="center"/>
                </w:tcPr>
                <w:p w14:paraId="703EC52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约5000户（1.5万人）</w:t>
                  </w:r>
                </w:p>
              </w:tc>
              <w:tc>
                <w:tcPr>
                  <w:tcW w:w="1260" w:type="dxa"/>
                  <w:vAlign w:val="center"/>
                </w:tcPr>
                <w:p w14:paraId="3AAFB1E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S，0.17km</w:t>
                  </w:r>
                </w:p>
              </w:tc>
              <w:tc>
                <w:tcPr>
                  <w:tcW w:w="1736" w:type="dxa"/>
                  <w:vMerge w:val="continue"/>
                  <w:vAlign w:val="center"/>
                </w:tcPr>
                <w:p w14:paraId="6F4D98E9">
                  <w:pPr>
                    <w:adjustRightInd w:val="0"/>
                    <w:snapToGrid w:val="0"/>
                    <w:jc w:val="center"/>
                    <w:rPr>
                      <w:rFonts w:hint="default" w:ascii="Times New Roman" w:hAnsi="Times New Roman" w:eastAsia="宋体" w:cs="Times New Roman"/>
                      <w:color w:val="auto"/>
                      <w:sz w:val="21"/>
                      <w:szCs w:val="21"/>
                    </w:rPr>
                  </w:pPr>
                </w:p>
              </w:tc>
            </w:tr>
            <w:tr w14:paraId="7F694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vMerge w:val="continue"/>
                  <w:vAlign w:val="center"/>
                </w:tcPr>
                <w:p w14:paraId="02F28E02">
                  <w:pPr>
                    <w:adjustRightInd w:val="0"/>
                    <w:snapToGrid w:val="0"/>
                    <w:jc w:val="center"/>
                    <w:rPr>
                      <w:rFonts w:hint="default" w:ascii="Times New Roman" w:hAnsi="Times New Roman" w:eastAsia="宋体" w:cs="Times New Roman"/>
                      <w:color w:val="auto"/>
                      <w:sz w:val="21"/>
                      <w:szCs w:val="21"/>
                    </w:rPr>
                  </w:pPr>
                </w:p>
              </w:tc>
              <w:tc>
                <w:tcPr>
                  <w:tcW w:w="890" w:type="dxa"/>
                  <w:vAlign w:val="center"/>
                </w:tcPr>
                <w:p w14:paraId="207CE1D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葛寨柯</w:t>
                  </w:r>
                </w:p>
              </w:tc>
              <w:tc>
                <w:tcPr>
                  <w:tcW w:w="1752" w:type="dxa"/>
                  <w:vAlign w:val="center"/>
                </w:tcPr>
                <w:p w14:paraId="0701937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东经105°14'27.81"北纬36°56'52.19"</w:t>
                  </w:r>
                </w:p>
              </w:tc>
              <w:tc>
                <w:tcPr>
                  <w:tcW w:w="645" w:type="dxa"/>
                  <w:vAlign w:val="center"/>
                </w:tcPr>
                <w:p w14:paraId="670E1A4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1136" w:type="dxa"/>
                  <w:vAlign w:val="center"/>
                </w:tcPr>
                <w:p w14:paraId="54350CF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约25户（75人）</w:t>
                  </w:r>
                </w:p>
              </w:tc>
              <w:tc>
                <w:tcPr>
                  <w:tcW w:w="1260" w:type="dxa"/>
                  <w:vAlign w:val="center"/>
                </w:tcPr>
                <w:p w14:paraId="64552BB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NW，0.40km</w:t>
                  </w:r>
                </w:p>
              </w:tc>
              <w:tc>
                <w:tcPr>
                  <w:tcW w:w="1736" w:type="dxa"/>
                  <w:vMerge w:val="continue"/>
                  <w:vAlign w:val="center"/>
                </w:tcPr>
                <w:p w14:paraId="75A5C9A6">
                  <w:pPr>
                    <w:adjustRightInd w:val="0"/>
                    <w:snapToGrid w:val="0"/>
                    <w:jc w:val="center"/>
                    <w:rPr>
                      <w:rFonts w:hint="default" w:ascii="Times New Roman" w:hAnsi="Times New Roman" w:eastAsia="宋体" w:cs="Times New Roman"/>
                      <w:color w:val="auto"/>
                      <w:sz w:val="21"/>
                      <w:szCs w:val="21"/>
                    </w:rPr>
                  </w:pPr>
                </w:p>
              </w:tc>
            </w:tr>
            <w:tr w14:paraId="5F469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vMerge w:val="continue"/>
                  <w:vAlign w:val="center"/>
                </w:tcPr>
                <w:p w14:paraId="582A6948">
                  <w:pPr>
                    <w:adjustRightInd w:val="0"/>
                    <w:snapToGrid w:val="0"/>
                    <w:jc w:val="center"/>
                    <w:rPr>
                      <w:rFonts w:hint="default" w:ascii="Times New Roman" w:hAnsi="Times New Roman" w:eastAsia="宋体" w:cs="Times New Roman"/>
                      <w:color w:val="auto"/>
                      <w:sz w:val="21"/>
                      <w:szCs w:val="21"/>
                    </w:rPr>
                  </w:pPr>
                </w:p>
              </w:tc>
              <w:tc>
                <w:tcPr>
                  <w:tcW w:w="5683" w:type="dxa"/>
                  <w:gridSpan w:val="5"/>
                  <w:vAlign w:val="center"/>
                </w:tcPr>
                <w:p w14:paraId="26716B6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管网</w:t>
                  </w:r>
                </w:p>
              </w:tc>
              <w:tc>
                <w:tcPr>
                  <w:tcW w:w="1736" w:type="dxa"/>
                  <w:vMerge w:val="continue"/>
                  <w:vAlign w:val="center"/>
                </w:tcPr>
                <w:p w14:paraId="4833BBFB">
                  <w:pPr>
                    <w:adjustRightInd w:val="0"/>
                    <w:snapToGrid w:val="0"/>
                    <w:jc w:val="center"/>
                    <w:rPr>
                      <w:rFonts w:hint="default" w:ascii="Times New Roman" w:hAnsi="Times New Roman" w:eastAsia="宋体" w:cs="Times New Roman"/>
                      <w:color w:val="auto"/>
                      <w:sz w:val="21"/>
                      <w:szCs w:val="21"/>
                    </w:rPr>
                  </w:pPr>
                </w:p>
              </w:tc>
            </w:tr>
            <w:tr w14:paraId="2DA23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vMerge w:val="continue"/>
                  <w:vAlign w:val="center"/>
                </w:tcPr>
                <w:p w14:paraId="34500577">
                  <w:pPr>
                    <w:adjustRightInd w:val="0"/>
                    <w:snapToGrid w:val="0"/>
                    <w:jc w:val="center"/>
                    <w:rPr>
                      <w:rFonts w:hint="default" w:ascii="Times New Roman" w:hAnsi="Times New Roman" w:eastAsia="宋体" w:cs="Times New Roman"/>
                      <w:color w:val="auto"/>
                      <w:sz w:val="21"/>
                      <w:szCs w:val="21"/>
                    </w:rPr>
                  </w:pPr>
                </w:p>
              </w:tc>
              <w:tc>
                <w:tcPr>
                  <w:tcW w:w="890" w:type="dxa"/>
                  <w:vAlign w:val="center"/>
                </w:tcPr>
                <w:p w14:paraId="4A67E15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兴仁镇</w:t>
                  </w:r>
                </w:p>
              </w:tc>
              <w:tc>
                <w:tcPr>
                  <w:tcW w:w="1752" w:type="dxa"/>
                  <w:vAlign w:val="center"/>
                </w:tcPr>
                <w:p w14:paraId="3B8D382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东经105°15'12.83"北纬36°56'34.63"</w:t>
                  </w:r>
                </w:p>
              </w:tc>
              <w:tc>
                <w:tcPr>
                  <w:tcW w:w="645" w:type="dxa"/>
                  <w:vAlign w:val="center"/>
                </w:tcPr>
                <w:p w14:paraId="0DB6C00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w:t>
                  </w:r>
                </w:p>
              </w:tc>
              <w:tc>
                <w:tcPr>
                  <w:tcW w:w="1136" w:type="dxa"/>
                  <w:vAlign w:val="center"/>
                </w:tcPr>
                <w:p w14:paraId="4FA9B0E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约5000户（1.5万人）</w:t>
                  </w:r>
                </w:p>
              </w:tc>
              <w:tc>
                <w:tcPr>
                  <w:tcW w:w="1260" w:type="dxa"/>
                  <w:vAlign w:val="center"/>
                </w:tcPr>
                <w:p w14:paraId="5E10936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临近</w:t>
                  </w:r>
                </w:p>
              </w:tc>
              <w:tc>
                <w:tcPr>
                  <w:tcW w:w="1736" w:type="dxa"/>
                  <w:vMerge w:val="continue"/>
                  <w:vAlign w:val="center"/>
                </w:tcPr>
                <w:p w14:paraId="641089F7">
                  <w:pPr>
                    <w:adjustRightInd w:val="0"/>
                    <w:snapToGrid w:val="0"/>
                    <w:jc w:val="center"/>
                    <w:rPr>
                      <w:rFonts w:hint="default" w:ascii="Times New Roman" w:hAnsi="Times New Roman" w:eastAsia="宋体" w:cs="Times New Roman"/>
                      <w:color w:val="auto"/>
                      <w:sz w:val="21"/>
                      <w:szCs w:val="21"/>
                    </w:rPr>
                  </w:pPr>
                </w:p>
              </w:tc>
            </w:tr>
            <w:tr w14:paraId="1CD65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1" w:type="dxa"/>
                  <w:vAlign w:val="center"/>
                </w:tcPr>
                <w:p w14:paraId="10D6F15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890" w:type="dxa"/>
                  <w:vAlign w:val="center"/>
                </w:tcPr>
                <w:p w14:paraId="7616211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洪水河</w:t>
                  </w:r>
                </w:p>
              </w:tc>
              <w:tc>
                <w:tcPr>
                  <w:tcW w:w="1752" w:type="dxa"/>
                  <w:vAlign w:val="center"/>
                </w:tcPr>
                <w:p w14:paraId="591AADDA">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干沟</w:t>
                  </w:r>
                </w:p>
              </w:tc>
              <w:tc>
                <w:tcPr>
                  <w:tcW w:w="645" w:type="dxa"/>
                  <w:vAlign w:val="center"/>
                </w:tcPr>
                <w:p w14:paraId="268AA572">
                  <w:pPr>
                    <w:adjustRightInd w:val="0"/>
                    <w:snapToGrid w:val="0"/>
                    <w:jc w:val="center"/>
                    <w:rPr>
                      <w:rFonts w:hint="default" w:ascii="Times New Roman" w:hAnsi="Times New Roman" w:eastAsia="宋体" w:cs="Times New Roman"/>
                      <w:color w:val="auto"/>
                      <w:sz w:val="21"/>
                      <w:szCs w:val="21"/>
                      <w:lang w:val="en-US"/>
                    </w:rPr>
                  </w:pPr>
                </w:p>
              </w:tc>
              <w:tc>
                <w:tcPr>
                  <w:tcW w:w="1136" w:type="dxa"/>
                  <w:vAlign w:val="center"/>
                </w:tcPr>
                <w:p w14:paraId="3890966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60" w:type="dxa"/>
                  <w:vAlign w:val="center"/>
                </w:tcPr>
                <w:p w14:paraId="0DB8165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临近</w:t>
                  </w:r>
                </w:p>
              </w:tc>
              <w:tc>
                <w:tcPr>
                  <w:tcW w:w="1736" w:type="dxa"/>
                  <w:vAlign w:val="center"/>
                </w:tcPr>
                <w:p w14:paraId="6904D27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《地表水环境质量标准》(GB3838-2002)中IV类水体标准</w:t>
                  </w:r>
                </w:p>
              </w:tc>
            </w:tr>
            <w:tr w14:paraId="10C16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50" w:type="dxa"/>
                  <w:gridSpan w:val="7"/>
                  <w:vAlign w:val="center"/>
                </w:tcPr>
                <w:p w14:paraId="7D34780D">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备注：方位距离以本项目边界为参照，距离为最近处距离。</w:t>
                  </w:r>
                </w:p>
              </w:tc>
            </w:tr>
          </w:tbl>
          <w:p w14:paraId="28BAD906">
            <w:pPr>
              <w:spacing w:before="50" w:after="50" w:line="360" w:lineRule="auto"/>
              <w:rPr>
                <w:rFonts w:ascii="Times New Roman" w:hAnsi="Times New Roman" w:eastAsia="仿宋" w:cs="Times New Roman"/>
                <w:color w:val="auto"/>
                <w:sz w:val="24"/>
                <w:szCs w:val="24"/>
              </w:rPr>
            </w:pPr>
          </w:p>
        </w:tc>
      </w:tr>
      <w:tr w14:paraId="021E2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57" w:hRule="atLeast"/>
          <w:jc w:val="center"/>
        </w:trPr>
        <w:tc>
          <w:tcPr>
            <w:tcW w:w="916" w:type="dxa"/>
            <w:vAlign w:val="center"/>
          </w:tcPr>
          <w:p w14:paraId="070759BE">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污染物排放控制标准</w:t>
            </w:r>
          </w:p>
        </w:tc>
        <w:tc>
          <w:tcPr>
            <w:tcW w:w="8156" w:type="dxa"/>
            <w:vAlign w:val="center"/>
          </w:tcPr>
          <w:p w14:paraId="306CA4F6">
            <w:pPr>
              <w:snapToGrid w:val="0"/>
              <w:spacing w:line="360" w:lineRule="auto"/>
              <w:contextualSpacing/>
              <w:rPr>
                <w:rFonts w:hint="default" w:ascii="Times New Roman" w:hAnsi="Times New Roman" w:eastAsia="仿宋_GB2312" w:cs="Times New Roman"/>
                <w:b/>
                <w:bCs/>
                <w:color w:val="auto"/>
                <w:sz w:val="24"/>
                <w:szCs w:val="24"/>
                <w:lang w:val="en-US" w:eastAsia="zh-CN"/>
              </w:rPr>
            </w:pPr>
            <w:r>
              <w:rPr>
                <w:rFonts w:hint="eastAsia" w:ascii="Times New Roman" w:hAnsi="Times New Roman" w:eastAsia="仿宋_GB2312" w:cs="Times New Roman"/>
                <w:b/>
                <w:bCs/>
                <w:color w:val="auto"/>
                <w:sz w:val="24"/>
                <w:szCs w:val="24"/>
                <w:lang w:val="en-US" w:eastAsia="zh-CN"/>
              </w:rPr>
              <w:t>1</w:t>
            </w:r>
            <w:r>
              <w:rPr>
                <w:rFonts w:hint="default" w:ascii="Times New Roman" w:hAnsi="Times New Roman" w:eastAsia="仿宋_GB2312" w:cs="Times New Roman"/>
                <w:b/>
                <w:bCs/>
                <w:color w:val="auto"/>
                <w:sz w:val="24"/>
                <w:szCs w:val="24"/>
                <w:lang w:val="en-US" w:eastAsia="zh-CN"/>
              </w:rPr>
              <w:t>、项目运营期间废气排放标准</w:t>
            </w:r>
          </w:p>
          <w:p w14:paraId="6586C142">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本项目废气主要为</w:t>
            </w:r>
            <w:r>
              <w:rPr>
                <w:rFonts w:hint="eastAsia" w:eastAsia="仿宋_GB2312" w:cs="Times New Roman"/>
                <w:color w:val="auto"/>
                <w:sz w:val="24"/>
                <w:szCs w:val="24"/>
                <w:lang w:eastAsia="zh-CN"/>
              </w:rPr>
              <w:t>污水处理厂运行过程中产生的恶臭气体</w:t>
            </w:r>
            <w:r>
              <w:rPr>
                <w:rFonts w:hint="default" w:ascii="Times New Roman" w:hAnsi="Times New Roman" w:eastAsia="仿宋_GB2312" w:cs="Times New Roman"/>
                <w:color w:val="auto"/>
                <w:sz w:val="24"/>
                <w:szCs w:val="24"/>
                <w:lang w:eastAsia="zh-CN"/>
              </w:rPr>
              <w:t>，污染因子为</w:t>
            </w:r>
            <w:r>
              <w:rPr>
                <w:rFonts w:eastAsia="仿宋_GB2312"/>
                <w:color w:val="auto"/>
                <w:sz w:val="24"/>
                <w:szCs w:val="24"/>
              </w:rPr>
              <w:t>H</w:t>
            </w:r>
            <w:r>
              <w:rPr>
                <w:rFonts w:eastAsia="仿宋_GB2312"/>
                <w:color w:val="auto"/>
                <w:sz w:val="24"/>
                <w:szCs w:val="24"/>
                <w:vertAlign w:val="subscript"/>
              </w:rPr>
              <w:t>2</w:t>
            </w:r>
            <w:r>
              <w:rPr>
                <w:rFonts w:eastAsia="仿宋_GB2312"/>
                <w:color w:val="auto"/>
                <w:sz w:val="24"/>
                <w:szCs w:val="24"/>
              </w:rPr>
              <w:t>S、NH</w:t>
            </w:r>
            <w:r>
              <w:rPr>
                <w:rFonts w:eastAsia="仿宋_GB2312"/>
                <w:color w:val="auto"/>
                <w:sz w:val="24"/>
                <w:szCs w:val="24"/>
                <w:vertAlign w:val="subscript"/>
              </w:rPr>
              <w:t>3</w:t>
            </w:r>
            <w:r>
              <w:rPr>
                <w:rFonts w:hint="default" w:ascii="Times New Roman" w:hAnsi="Times New Roman" w:eastAsia="仿宋_GB2312" w:cs="Times New Roman"/>
                <w:color w:val="auto"/>
                <w:sz w:val="24"/>
                <w:szCs w:val="24"/>
                <w:lang w:eastAsia="zh-CN"/>
              </w:rPr>
              <w:t>。</w:t>
            </w:r>
            <w:r>
              <w:rPr>
                <w:rFonts w:hint="eastAsia" w:eastAsia="仿宋_GB2312" w:cs="Times New Roman"/>
                <w:color w:val="auto"/>
                <w:sz w:val="24"/>
                <w:szCs w:val="24"/>
                <w:lang w:val="en-US" w:eastAsia="zh-CN"/>
              </w:rPr>
              <w:t>有组织</w:t>
            </w:r>
            <w:r>
              <w:rPr>
                <w:rFonts w:eastAsia="仿宋_GB2312"/>
                <w:color w:val="auto"/>
                <w:sz w:val="24"/>
                <w:szCs w:val="24"/>
              </w:rPr>
              <w:t>H</w:t>
            </w:r>
            <w:r>
              <w:rPr>
                <w:rFonts w:eastAsia="仿宋_GB2312"/>
                <w:color w:val="auto"/>
                <w:sz w:val="24"/>
                <w:szCs w:val="24"/>
                <w:vertAlign w:val="subscript"/>
              </w:rPr>
              <w:t>2</w:t>
            </w:r>
            <w:r>
              <w:rPr>
                <w:rFonts w:eastAsia="仿宋_GB2312"/>
                <w:color w:val="auto"/>
                <w:sz w:val="24"/>
                <w:szCs w:val="24"/>
              </w:rPr>
              <w:t>S、NH</w:t>
            </w:r>
            <w:r>
              <w:rPr>
                <w:rFonts w:eastAsia="仿宋_GB2312"/>
                <w:color w:val="auto"/>
                <w:sz w:val="24"/>
                <w:szCs w:val="24"/>
                <w:vertAlign w:val="subscript"/>
              </w:rPr>
              <w:t>3</w:t>
            </w:r>
            <w:r>
              <w:rPr>
                <w:rFonts w:hint="default" w:ascii="Times New Roman" w:hAnsi="Times New Roman" w:eastAsia="仿宋_GB2312" w:cs="Times New Roman"/>
                <w:color w:val="auto"/>
                <w:sz w:val="24"/>
                <w:szCs w:val="24"/>
                <w:lang w:eastAsia="zh-CN"/>
              </w:rPr>
              <w:t>的排放浓度执行执行《恶臭污染物排放标准》（GB14554-93）中表2的标准限值</w:t>
            </w:r>
            <w:r>
              <w:rPr>
                <w:rFonts w:hint="default" w:ascii="Times New Roman" w:hAnsi="Times New Roman" w:eastAsia="仿宋_GB2312" w:cs="Times New Roman"/>
                <w:color w:val="auto"/>
                <w:sz w:val="24"/>
                <w:szCs w:val="24"/>
              </w:rPr>
              <w:t>要求，其标准值见表</w:t>
            </w:r>
            <w:r>
              <w:rPr>
                <w:rFonts w:hint="eastAsia" w:eastAsia="仿宋_GB2312" w:cs="Times New Roman"/>
                <w:color w:val="auto"/>
                <w:sz w:val="24"/>
                <w:szCs w:val="24"/>
                <w:lang w:val="en-US" w:eastAsia="zh-CN"/>
              </w:rPr>
              <w:t>3-3</w:t>
            </w:r>
            <w:r>
              <w:rPr>
                <w:rFonts w:hint="default" w:ascii="Times New Roman" w:hAnsi="Times New Roman" w:eastAsia="仿宋_GB2312" w:cs="Times New Roman"/>
                <w:color w:val="auto"/>
                <w:sz w:val="24"/>
                <w:szCs w:val="24"/>
              </w:rPr>
              <w:t>。</w:t>
            </w:r>
          </w:p>
          <w:p w14:paraId="1970C8E9">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1"/>
                <w:szCs w:val="21"/>
              </w:rPr>
              <w:t>表</w:t>
            </w:r>
            <w:r>
              <w:rPr>
                <w:rFonts w:hint="eastAsia" w:cs="Times New Roman"/>
                <w:b w:val="0"/>
                <w:bCs w:val="0"/>
                <w:color w:val="auto"/>
                <w:sz w:val="21"/>
                <w:szCs w:val="21"/>
                <w:lang w:val="en-US" w:eastAsia="zh-CN"/>
              </w:rPr>
              <w:t xml:space="preserve">3-3    </w:t>
            </w:r>
            <w:r>
              <w:rPr>
                <w:rFonts w:hint="eastAsia" w:cs="Times New Roman"/>
                <w:b/>
                <w:color w:val="auto"/>
                <w:sz w:val="21"/>
                <w:szCs w:val="21"/>
                <w:lang w:val="en-US" w:eastAsia="zh-CN"/>
              </w:rPr>
              <w:t>《恶臭污染物排放标准》（GB14554-93）</w:t>
            </w:r>
          </w:p>
          <w:tbl>
            <w:tblPr>
              <w:tblStyle w:val="26"/>
              <w:tblW w:w="49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23"/>
              <w:gridCol w:w="1652"/>
              <w:gridCol w:w="1650"/>
              <w:gridCol w:w="2127"/>
            </w:tblGrid>
            <w:tr w14:paraId="13EF4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2" w:type="dxa"/>
                  <w:vAlign w:val="center"/>
                </w:tcPr>
                <w:p w14:paraId="1B317BC2">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控制项目</w:t>
                  </w:r>
                </w:p>
              </w:tc>
              <w:tc>
                <w:tcPr>
                  <w:tcW w:w="1815" w:type="dxa"/>
                  <w:vAlign w:val="center"/>
                </w:tcPr>
                <w:p w14:paraId="0E07B335">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szCs w:val="21"/>
                    </w:rPr>
                    <w:t>氨</w:t>
                  </w:r>
                </w:p>
              </w:tc>
              <w:tc>
                <w:tcPr>
                  <w:tcW w:w="1813" w:type="dxa"/>
                  <w:vAlign w:val="center"/>
                </w:tcPr>
                <w:p w14:paraId="1B03CBA1">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szCs w:val="21"/>
                    </w:rPr>
                    <w:t>硫化氢</w:t>
                  </w:r>
                </w:p>
              </w:tc>
              <w:tc>
                <w:tcPr>
                  <w:tcW w:w="2343" w:type="dxa"/>
                  <w:vAlign w:val="center"/>
                </w:tcPr>
                <w:p w14:paraId="4C8851ED">
                  <w:pPr>
                    <w:adjustRightInd w:val="0"/>
                    <w:snapToGrid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臭气浓度（无量纲）</w:t>
                  </w:r>
                </w:p>
              </w:tc>
            </w:tr>
            <w:tr w14:paraId="25DBC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2" w:type="dxa"/>
                  <w:vAlign w:val="center"/>
                </w:tcPr>
                <w:p w14:paraId="0DAE525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排气筒高度</w:t>
                  </w:r>
                </w:p>
              </w:tc>
              <w:tc>
                <w:tcPr>
                  <w:tcW w:w="1815" w:type="dxa"/>
                  <w:vAlign w:val="center"/>
                </w:tcPr>
                <w:p w14:paraId="1F779A42">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w:t>
                  </w:r>
                </w:p>
              </w:tc>
              <w:tc>
                <w:tcPr>
                  <w:tcW w:w="1813" w:type="dxa"/>
                  <w:vAlign w:val="center"/>
                </w:tcPr>
                <w:p w14:paraId="2E87005D">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w:t>
                  </w:r>
                </w:p>
              </w:tc>
              <w:tc>
                <w:tcPr>
                  <w:tcW w:w="2343" w:type="dxa"/>
                  <w:vAlign w:val="center"/>
                </w:tcPr>
                <w:p w14:paraId="0EB308A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w:t>
                  </w:r>
                </w:p>
              </w:tc>
            </w:tr>
            <w:tr w14:paraId="55ED9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2" w:type="dxa"/>
                  <w:vAlign w:val="center"/>
                </w:tcPr>
                <w:p w14:paraId="058EDC03">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最高允许排放速率(kg/h)</w:t>
                  </w:r>
                </w:p>
              </w:tc>
              <w:tc>
                <w:tcPr>
                  <w:tcW w:w="1815" w:type="dxa"/>
                  <w:vAlign w:val="center"/>
                </w:tcPr>
                <w:p w14:paraId="5FF579A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4.9</w:t>
                  </w:r>
                </w:p>
              </w:tc>
              <w:tc>
                <w:tcPr>
                  <w:tcW w:w="1813" w:type="dxa"/>
                  <w:vAlign w:val="center"/>
                </w:tcPr>
                <w:p w14:paraId="7313D4E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0.33</w:t>
                  </w:r>
                </w:p>
              </w:tc>
              <w:tc>
                <w:tcPr>
                  <w:tcW w:w="2343" w:type="dxa"/>
                  <w:vAlign w:val="center"/>
                </w:tcPr>
                <w:p w14:paraId="059B3334">
                  <w:pPr>
                    <w:adjustRightInd w:val="0"/>
                    <w:snapToGrid w:val="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rPr>
                    <w:t>200</w:t>
                  </w:r>
                  <w:r>
                    <w:rPr>
                      <w:rFonts w:hint="eastAsia" w:ascii="Times New Roman" w:hAnsi="Times New Roman" w:eastAsia="宋体" w:cs="Times New Roman"/>
                      <w:bCs/>
                      <w:color w:val="auto"/>
                      <w:szCs w:val="21"/>
                      <w:lang w:val="en-US" w:eastAsia="zh-CN"/>
                    </w:rPr>
                    <w:t>0</w:t>
                  </w:r>
                </w:p>
              </w:tc>
            </w:tr>
          </w:tbl>
          <w:p w14:paraId="59C9A6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44"/>
                <w:sz w:val="24"/>
                <w:szCs w:val="24"/>
                <w:lang w:bidi="ar"/>
              </w:rPr>
            </w:pPr>
            <w:r>
              <w:rPr>
                <w:rFonts w:hint="default" w:ascii="Times New Roman" w:hAnsi="Times New Roman" w:eastAsia="仿宋_GB2312" w:cs="Times New Roman"/>
                <w:color w:val="auto"/>
                <w:sz w:val="24"/>
                <w:szCs w:val="24"/>
              </w:rPr>
              <w:t>无组织恶臭污染物排放执行</w:t>
            </w:r>
            <w:r>
              <w:rPr>
                <w:rFonts w:hint="default" w:ascii="Times New Roman" w:hAnsi="Times New Roman" w:eastAsia="仿宋_GB2312" w:cs="Times New Roman"/>
                <w:color w:val="auto"/>
                <w:kern w:val="44"/>
                <w:sz w:val="24"/>
                <w:szCs w:val="24"/>
                <w:lang w:bidi="ar"/>
              </w:rPr>
              <w:t>《城镇污水处理厂污染物排放标准（修改单）》(GB18918-2002)中表4厂界(防护带边缘)废气排放最高允许浓度；</w:t>
            </w:r>
          </w:p>
          <w:p w14:paraId="78E34D2C">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color w:val="auto"/>
              </w:rPr>
            </w:pPr>
            <w:r>
              <w:rPr>
                <w:rFonts w:hint="default" w:ascii="Times New Roman" w:hAnsi="Times New Roman" w:cs="Times New Roman"/>
                <w:color w:val="auto"/>
                <w:sz w:val="21"/>
                <w:szCs w:val="21"/>
              </w:rPr>
              <w:t>表</w:t>
            </w:r>
            <w:r>
              <w:rPr>
                <w:rFonts w:hint="eastAsia" w:cs="Times New Roman"/>
                <w:b w:val="0"/>
                <w:bCs w:val="0"/>
                <w:color w:val="auto"/>
                <w:sz w:val="21"/>
                <w:szCs w:val="21"/>
                <w:lang w:val="en-US" w:eastAsia="zh-CN"/>
              </w:rPr>
              <w:t xml:space="preserve">3-4    </w:t>
            </w:r>
            <w:r>
              <w:rPr>
                <w:rFonts w:hint="eastAsia" w:cs="Times New Roman"/>
                <w:b/>
                <w:color w:val="auto"/>
                <w:sz w:val="21"/>
                <w:szCs w:val="21"/>
                <w:lang w:val="en-US" w:eastAsia="zh-CN"/>
              </w:rPr>
              <w:t>《城镇污水处理厂污染物排放标准（修改单）》(GB18918-2002)</w:t>
            </w:r>
          </w:p>
          <w:tbl>
            <w:tblPr>
              <w:tblStyle w:val="26"/>
              <w:tblW w:w="49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4"/>
              <w:gridCol w:w="3218"/>
            </w:tblGrid>
            <w:tr w14:paraId="5C996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5" w:type="dxa"/>
                  <w:vAlign w:val="center"/>
                </w:tcPr>
                <w:p w14:paraId="6844EEE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控制项目</w:t>
                  </w:r>
                </w:p>
              </w:tc>
              <w:tc>
                <w:tcPr>
                  <w:tcW w:w="3538" w:type="dxa"/>
                  <w:vAlign w:val="center"/>
                </w:tcPr>
                <w:p w14:paraId="15339856">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二级标准（mg/m</w:t>
                  </w:r>
                  <w:r>
                    <w:rPr>
                      <w:rFonts w:hint="default" w:ascii="Times New Roman" w:hAnsi="Times New Roman" w:eastAsia="宋体" w:cs="Times New Roman"/>
                      <w:b/>
                      <w:color w:val="auto"/>
                      <w:szCs w:val="21"/>
                      <w:vertAlign w:val="superscript"/>
                    </w:rPr>
                    <w:t>3</w:t>
                  </w:r>
                  <w:r>
                    <w:rPr>
                      <w:rFonts w:hint="default" w:ascii="Times New Roman" w:hAnsi="Times New Roman" w:eastAsia="宋体" w:cs="Times New Roman"/>
                      <w:b/>
                      <w:color w:val="auto"/>
                      <w:szCs w:val="21"/>
                    </w:rPr>
                    <w:t>）</w:t>
                  </w:r>
                </w:p>
              </w:tc>
            </w:tr>
            <w:tr w14:paraId="0C146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5" w:type="dxa"/>
                  <w:vAlign w:val="center"/>
                </w:tcPr>
                <w:p w14:paraId="40F30359">
                  <w:pPr>
                    <w:adjustRightInd w:val="0"/>
                    <w:snapToGrid w:val="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氨</w:t>
                  </w:r>
                </w:p>
              </w:tc>
              <w:tc>
                <w:tcPr>
                  <w:tcW w:w="3538" w:type="dxa"/>
                  <w:vAlign w:val="center"/>
                </w:tcPr>
                <w:p w14:paraId="0BE0AFEC">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w:t>
                  </w:r>
                </w:p>
              </w:tc>
            </w:tr>
            <w:tr w14:paraId="1ACB5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5" w:type="dxa"/>
                  <w:vAlign w:val="center"/>
                </w:tcPr>
                <w:p w14:paraId="03C3DE0C">
                  <w:pPr>
                    <w:adjustRightInd w:val="0"/>
                    <w:snapToGrid w:val="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硫化氢</w:t>
                  </w:r>
                </w:p>
              </w:tc>
              <w:tc>
                <w:tcPr>
                  <w:tcW w:w="3538" w:type="dxa"/>
                  <w:vAlign w:val="center"/>
                </w:tcPr>
                <w:p w14:paraId="13FAD403">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0.06</w:t>
                  </w:r>
                </w:p>
              </w:tc>
            </w:tr>
            <w:tr w14:paraId="283D9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5" w:type="dxa"/>
                  <w:vAlign w:val="center"/>
                </w:tcPr>
                <w:p w14:paraId="7F62DD40">
                  <w:pPr>
                    <w:adjustRightInd w:val="0"/>
                    <w:snapToGrid w:val="0"/>
                    <w:jc w:val="center"/>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eastAsia="zh-CN"/>
                    </w:rPr>
                    <w:t>臭气浓度（无量纲）</w:t>
                  </w:r>
                </w:p>
              </w:tc>
              <w:tc>
                <w:tcPr>
                  <w:tcW w:w="3538" w:type="dxa"/>
                  <w:vAlign w:val="center"/>
                </w:tcPr>
                <w:p w14:paraId="1C1791B8">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w:t>
                  </w:r>
                </w:p>
              </w:tc>
            </w:tr>
            <w:tr w14:paraId="37761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5" w:type="dxa"/>
                  <w:vAlign w:val="center"/>
                </w:tcPr>
                <w:p w14:paraId="0793D095">
                  <w:pPr>
                    <w:adjustRightInd w:val="0"/>
                    <w:snapToGrid w:val="0"/>
                    <w:jc w:val="center"/>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eastAsia="zh-CN"/>
                    </w:rPr>
                    <w:t>甲烷（厂区最高体积浓度</w:t>
                  </w:r>
                  <w:r>
                    <w:rPr>
                      <w:rFonts w:hint="eastAsia" w:ascii="Times New Roman" w:hAnsi="Times New Roman" w:eastAsia="宋体" w:cs="Times New Roman"/>
                      <w:b w:val="0"/>
                      <w:bCs w:val="0"/>
                      <w:color w:val="auto"/>
                      <w:szCs w:val="21"/>
                      <w:lang w:val="en-US" w:eastAsia="zh-CN"/>
                    </w:rPr>
                    <w:t>%</w:t>
                  </w:r>
                  <w:r>
                    <w:rPr>
                      <w:rFonts w:hint="eastAsia" w:ascii="Times New Roman" w:hAnsi="Times New Roman" w:eastAsia="宋体" w:cs="Times New Roman"/>
                      <w:b w:val="0"/>
                      <w:bCs w:val="0"/>
                      <w:color w:val="auto"/>
                      <w:szCs w:val="21"/>
                      <w:lang w:eastAsia="zh-CN"/>
                    </w:rPr>
                    <w:t>）</w:t>
                  </w:r>
                </w:p>
              </w:tc>
              <w:tc>
                <w:tcPr>
                  <w:tcW w:w="3538" w:type="dxa"/>
                  <w:vAlign w:val="center"/>
                </w:tcPr>
                <w:p w14:paraId="723AE6C0">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r>
          </w:tbl>
          <w:p w14:paraId="2AFE7B84">
            <w:pPr>
              <w:keepNext w:val="0"/>
              <w:keepLines w:val="0"/>
              <w:pageBreakBefore w:val="0"/>
              <w:widowControl w:val="0"/>
              <w:kinsoku/>
              <w:wordWrap/>
              <w:overflowPunct/>
              <w:topLinePunct w:val="0"/>
              <w:autoSpaceDE/>
              <w:autoSpaceDN/>
              <w:bidi w:val="0"/>
              <w:adjustRightInd/>
              <w:snapToGrid w:val="0"/>
              <w:spacing w:line="336" w:lineRule="auto"/>
              <w:contextualSpacing/>
              <w:textAlignment w:val="auto"/>
              <w:rPr>
                <w:rFonts w:hint="default" w:ascii="Times New Roman" w:hAnsi="Times New Roman" w:eastAsia="仿宋_GB2312" w:cs="Times New Roman"/>
                <w:b/>
                <w:bCs/>
                <w:color w:val="auto"/>
                <w:sz w:val="24"/>
                <w:szCs w:val="24"/>
                <w:highlight w:val="none"/>
              </w:rPr>
            </w:pPr>
            <w:r>
              <w:rPr>
                <w:rFonts w:hint="eastAsia" w:ascii="Times New Roman" w:hAnsi="Times New Roman" w:eastAsia="仿宋_GB2312" w:cs="Times New Roman"/>
                <w:b/>
                <w:bCs/>
                <w:color w:val="auto"/>
                <w:sz w:val="24"/>
                <w:szCs w:val="24"/>
                <w:highlight w:val="none"/>
                <w:lang w:val="en-US" w:eastAsia="zh-CN"/>
              </w:rPr>
              <w:t>2</w:t>
            </w:r>
            <w:r>
              <w:rPr>
                <w:rFonts w:hint="default" w:ascii="Times New Roman" w:hAnsi="Times New Roman" w:eastAsia="仿宋_GB2312" w:cs="Times New Roman"/>
                <w:b/>
                <w:bCs/>
                <w:color w:val="auto"/>
                <w:sz w:val="24"/>
                <w:szCs w:val="24"/>
                <w:highlight w:val="none"/>
              </w:rPr>
              <w:t>、运营期</w:t>
            </w:r>
            <w:r>
              <w:rPr>
                <w:rFonts w:hint="eastAsia" w:ascii="Times New Roman" w:hAnsi="Times New Roman" w:eastAsia="仿宋_GB2312" w:cs="Times New Roman"/>
                <w:b/>
                <w:bCs/>
                <w:color w:val="auto"/>
                <w:sz w:val="24"/>
                <w:szCs w:val="24"/>
                <w:highlight w:val="none"/>
                <w:lang w:eastAsia="zh-CN"/>
              </w:rPr>
              <w:t>废水</w:t>
            </w:r>
            <w:r>
              <w:rPr>
                <w:rFonts w:hint="default" w:ascii="Times New Roman" w:hAnsi="Times New Roman" w:eastAsia="仿宋_GB2312" w:cs="Times New Roman"/>
                <w:b/>
                <w:bCs/>
                <w:color w:val="auto"/>
                <w:sz w:val="24"/>
                <w:szCs w:val="24"/>
                <w:highlight w:val="none"/>
              </w:rPr>
              <w:t>排放标准</w:t>
            </w:r>
          </w:p>
          <w:p w14:paraId="215A03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snapToGrid w:val="0"/>
                <w:color w:val="auto"/>
                <w:kern w:val="0"/>
                <w:sz w:val="21"/>
                <w:szCs w:val="21"/>
                <w:lang w:val="sq-AL"/>
              </w:rPr>
            </w:pPr>
            <w:r>
              <w:rPr>
                <w:rFonts w:hint="default" w:ascii="Times New Roman" w:hAnsi="Times New Roman" w:eastAsia="仿宋_GB2312" w:cs="Times New Roman"/>
                <w:color w:val="auto"/>
                <w:sz w:val="24"/>
                <w:szCs w:val="24"/>
                <w:lang w:eastAsia="zh-CN"/>
              </w:rPr>
              <w:t>本项目废水执行《</w:t>
            </w:r>
            <w:r>
              <w:rPr>
                <w:rFonts w:hint="default" w:ascii="Times New Roman" w:hAnsi="Times New Roman" w:eastAsia="仿宋_GB2312" w:cs="Times New Roman"/>
                <w:color w:val="auto"/>
                <w:sz w:val="24"/>
                <w:szCs w:val="24"/>
                <w:lang w:val="en-US" w:eastAsia="zh-CN"/>
              </w:rPr>
              <w:t>城镇污水处理厂污染物排放标准</w:t>
            </w:r>
            <w:r>
              <w:rPr>
                <w:rFonts w:hint="default" w:ascii="Times New Roman" w:hAnsi="Times New Roman" w:eastAsia="仿宋_GB2312" w:cs="Times New Roman"/>
                <w:color w:val="auto"/>
                <w:sz w:val="24"/>
                <w:szCs w:val="24"/>
                <w:lang w:eastAsia="zh-CN"/>
              </w:rPr>
              <w:t>》(GB18918-2002)中一级A标准</w:t>
            </w:r>
          </w:p>
          <w:p w14:paraId="2507B33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val="0"/>
                <w:color w:val="auto"/>
                <w:kern w:val="0"/>
                <w:sz w:val="24"/>
                <w:szCs w:val="24"/>
                <w:lang w:val="sq-AL"/>
              </w:rPr>
            </w:pPr>
            <w:r>
              <w:rPr>
                <w:rFonts w:hint="default" w:ascii="Times New Roman" w:hAnsi="Times New Roman" w:eastAsia="宋体" w:cs="Times New Roman"/>
                <w:b w:val="0"/>
                <w:bCs/>
                <w:snapToGrid w:val="0"/>
                <w:color w:val="auto"/>
                <w:kern w:val="0"/>
                <w:sz w:val="21"/>
                <w:szCs w:val="21"/>
                <w:lang w:val="sq-AL"/>
              </w:rPr>
              <w:t>表</w:t>
            </w:r>
            <w:r>
              <w:rPr>
                <w:rFonts w:hint="eastAsia" w:ascii="Times New Roman" w:hAnsi="Times New Roman" w:eastAsia="宋体" w:cs="Times New Roman"/>
                <w:b w:val="0"/>
                <w:bCs/>
                <w:snapToGrid w:val="0"/>
                <w:color w:val="auto"/>
                <w:kern w:val="0"/>
                <w:sz w:val="21"/>
                <w:szCs w:val="21"/>
                <w:lang w:val="en-US" w:eastAsia="zh-CN"/>
              </w:rPr>
              <w:t xml:space="preserve">3-5    </w:t>
            </w:r>
            <w:r>
              <w:rPr>
                <w:rFonts w:hint="default" w:ascii="Times New Roman" w:hAnsi="Times New Roman" w:eastAsia="宋体" w:cs="Times New Roman"/>
                <w:b/>
                <w:snapToGrid w:val="0"/>
                <w:color w:val="auto"/>
                <w:kern w:val="0"/>
                <w:sz w:val="21"/>
                <w:szCs w:val="21"/>
                <w:lang w:val="sq-AL" w:eastAsia="zh-CN"/>
              </w:rPr>
              <w:t>本项目</w:t>
            </w:r>
            <w:r>
              <w:rPr>
                <w:rFonts w:hint="default" w:ascii="Times New Roman" w:hAnsi="Times New Roman" w:eastAsia="宋体" w:cs="Times New Roman"/>
                <w:b/>
                <w:snapToGrid w:val="0"/>
                <w:color w:val="auto"/>
                <w:kern w:val="0"/>
                <w:sz w:val="21"/>
                <w:szCs w:val="21"/>
                <w:lang w:val="sq-AL"/>
              </w:rPr>
              <w:t>排放标准限值一览表    单位：mg/L</w:t>
            </w:r>
          </w:p>
          <w:tbl>
            <w:tblPr>
              <w:tblStyle w:val="26"/>
              <w:tblW w:w="49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98"/>
              <w:gridCol w:w="2112"/>
              <w:gridCol w:w="1888"/>
              <w:gridCol w:w="3054"/>
            </w:tblGrid>
            <w:tr w14:paraId="3DAC2D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698" w:type="dxa"/>
                  <w:noWrap w:val="0"/>
                  <w:vAlign w:val="center"/>
                </w:tcPr>
                <w:p w14:paraId="6EA4E0F6">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lang w:val="sq-AL"/>
                    </w:rPr>
                  </w:pPr>
                  <w:r>
                    <w:rPr>
                      <w:rFonts w:hint="default" w:ascii="Times New Roman" w:hAnsi="Times New Roman" w:eastAsia="宋体" w:cs="Times New Roman"/>
                      <w:b/>
                      <w:snapToGrid w:val="0"/>
                      <w:color w:val="auto"/>
                      <w:kern w:val="0"/>
                      <w:sz w:val="21"/>
                      <w:szCs w:val="21"/>
                      <w:lang w:val="sq-AL" w:eastAsia="zh-CN"/>
                    </w:rPr>
                    <w:t>序号</w:t>
                  </w:r>
                </w:p>
              </w:tc>
              <w:tc>
                <w:tcPr>
                  <w:tcW w:w="2112" w:type="dxa"/>
                  <w:noWrap w:val="0"/>
                  <w:vAlign w:val="center"/>
                </w:tcPr>
                <w:p w14:paraId="6B3747A7">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lang w:val="sq-AL"/>
                    </w:rPr>
                  </w:pPr>
                  <w:r>
                    <w:rPr>
                      <w:rFonts w:hint="default" w:ascii="Times New Roman" w:hAnsi="Times New Roman" w:eastAsia="宋体" w:cs="Times New Roman"/>
                      <w:b/>
                      <w:snapToGrid w:val="0"/>
                      <w:color w:val="auto"/>
                      <w:kern w:val="0"/>
                      <w:sz w:val="21"/>
                      <w:szCs w:val="21"/>
                      <w:lang w:val="sq-AL"/>
                    </w:rPr>
                    <w:t>污染物</w:t>
                  </w:r>
                </w:p>
              </w:tc>
              <w:tc>
                <w:tcPr>
                  <w:tcW w:w="1888" w:type="dxa"/>
                  <w:noWrap w:val="0"/>
                  <w:vAlign w:val="center"/>
                </w:tcPr>
                <w:p w14:paraId="1EF1A73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lang w:val="sq-AL" w:eastAsia="zh-CN"/>
                    </w:rPr>
                  </w:pPr>
                  <w:r>
                    <w:rPr>
                      <w:rFonts w:hint="default" w:ascii="Times New Roman" w:hAnsi="Times New Roman" w:eastAsia="宋体" w:cs="Times New Roman"/>
                      <w:b/>
                      <w:snapToGrid w:val="0"/>
                      <w:color w:val="auto"/>
                      <w:kern w:val="0"/>
                      <w:sz w:val="21"/>
                      <w:szCs w:val="21"/>
                      <w:lang w:val="sq-AL" w:eastAsia="zh-CN"/>
                    </w:rPr>
                    <w:t>单位</w:t>
                  </w:r>
                </w:p>
              </w:tc>
              <w:tc>
                <w:tcPr>
                  <w:tcW w:w="3054" w:type="dxa"/>
                  <w:noWrap w:val="0"/>
                  <w:vAlign w:val="center"/>
                </w:tcPr>
                <w:p w14:paraId="6C46E0B5">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lang w:val="sq-AL" w:eastAsia="zh-CN"/>
                    </w:rPr>
                  </w:pPr>
                  <w:r>
                    <w:rPr>
                      <w:rFonts w:hint="default" w:ascii="Times New Roman" w:hAnsi="Times New Roman" w:eastAsia="宋体" w:cs="Times New Roman"/>
                      <w:color w:val="auto"/>
                      <w:sz w:val="21"/>
                      <w:szCs w:val="21"/>
                      <w:lang w:eastAsia="zh-CN"/>
                    </w:rPr>
                    <w:t>GB18918-2002</w:t>
                  </w:r>
                </w:p>
              </w:tc>
            </w:tr>
            <w:tr w14:paraId="358961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68C518C0">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default" w:ascii="Times New Roman" w:hAnsi="Times New Roman" w:eastAsia="宋体" w:cs="Times New Roman"/>
                      <w:b w:val="0"/>
                      <w:bCs/>
                      <w:snapToGrid w:val="0"/>
                      <w:color w:val="auto"/>
                      <w:kern w:val="0"/>
                      <w:sz w:val="21"/>
                      <w:szCs w:val="21"/>
                      <w:lang w:val="en-US" w:eastAsia="zh-CN"/>
                    </w:rPr>
                    <w:t>1</w:t>
                  </w:r>
                </w:p>
              </w:tc>
              <w:tc>
                <w:tcPr>
                  <w:tcW w:w="2112" w:type="dxa"/>
                  <w:noWrap w:val="0"/>
                  <w:vAlign w:val="center"/>
                </w:tcPr>
                <w:p w14:paraId="49BDD136">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化学需氧量（COD）</w:t>
                  </w:r>
                </w:p>
              </w:tc>
              <w:tc>
                <w:tcPr>
                  <w:tcW w:w="1888" w:type="dxa"/>
                  <w:noWrap w:val="0"/>
                  <w:vAlign w:val="center"/>
                </w:tcPr>
                <w:p w14:paraId="67E4FAD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163949C1">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50</w:t>
                  </w:r>
                </w:p>
              </w:tc>
            </w:tr>
            <w:tr w14:paraId="34C967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50F798EF">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default" w:ascii="Times New Roman" w:hAnsi="Times New Roman" w:eastAsia="宋体" w:cs="Times New Roman"/>
                      <w:b w:val="0"/>
                      <w:bCs/>
                      <w:snapToGrid w:val="0"/>
                      <w:color w:val="auto"/>
                      <w:kern w:val="0"/>
                      <w:sz w:val="21"/>
                      <w:szCs w:val="21"/>
                      <w:lang w:val="en-US" w:eastAsia="zh-CN"/>
                    </w:rPr>
                    <w:t>2</w:t>
                  </w:r>
                </w:p>
              </w:tc>
              <w:tc>
                <w:tcPr>
                  <w:tcW w:w="2112" w:type="dxa"/>
                  <w:noWrap w:val="0"/>
                  <w:vAlign w:val="center"/>
                </w:tcPr>
                <w:p w14:paraId="03BD284E">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生化需氧量（BOD</w:t>
                  </w:r>
                  <w:r>
                    <w:rPr>
                      <w:rFonts w:hint="default" w:ascii="Times New Roman" w:hAnsi="Times New Roman" w:eastAsia="宋体" w:cs="Times New Roman"/>
                      <w:snapToGrid w:val="0"/>
                      <w:color w:val="auto"/>
                      <w:kern w:val="0"/>
                      <w:sz w:val="21"/>
                      <w:szCs w:val="21"/>
                      <w:vertAlign w:val="subscript"/>
                      <w:lang w:val="en-US" w:eastAsia="zh-CN"/>
                    </w:rPr>
                    <w:t>5</w:t>
                  </w:r>
                  <w:r>
                    <w:rPr>
                      <w:rFonts w:hint="default" w:ascii="Times New Roman" w:hAnsi="Times New Roman" w:eastAsia="宋体" w:cs="Times New Roman"/>
                      <w:snapToGrid w:val="0"/>
                      <w:color w:val="auto"/>
                      <w:kern w:val="0"/>
                      <w:sz w:val="21"/>
                      <w:szCs w:val="21"/>
                      <w:lang w:val="en-US" w:eastAsia="zh-CN"/>
                    </w:rPr>
                    <w:t>）</w:t>
                  </w:r>
                </w:p>
              </w:tc>
              <w:tc>
                <w:tcPr>
                  <w:tcW w:w="1888" w:type="dxa"/>
                  <w:noWrap w:val="0"/>
                  <w:vAlign w:val="center"/>
                </w:tcPr>
                <w:p w14:paraId="044F1FA6">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sq-AL"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2FE89C07">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10</w:t>
                  </w:r>
                </w:p>
              </w:tc>
            </w:tr>
            <w:tr w14:paraId="5AC245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54F4C73D">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sq-AL" w:eastAsia="zh-CN"/>
                    </w:rPr>
                  </w:pPr>
                  <w:r>
                    <w:rPr>
                      <w:rFonts w:hint="default" w:ascii="Times New Roman" w:hAnsi="Times New Roman" w:eastAsia="宋体" w:cs="Times New Roman"/>
                      <w:b w:val="0"/>
                      <w:bCs/>
                      <w:snapToGrid w:val="0"/>
                      <w:color w:val="auto"/>
                      <w:kern w:val="0"/>
                      <w:sz w:val="21"/>
                      <w:szCs w:val="21"/>
                      <w:lang w:val="en-US" w:eastAsia="zh-CN"/>
                    </w:rPr>
                    <w:t>3</w:t>
                  </w:r>
                </w:p>
              </w:tc>
              <w:tc>
                <w:tcPr>
                  <w:tcW w:w="2112" w:type="dxa"/>
                  <w:noWrap w:val="0"/>
                  <w:vAlign w:val="center"/>
                </w:tcPr>
                <w:p w14:paraId="0A96764E">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悬浮物（SS）</w:t>
                  </w:r>
                </w:p>
              </w:tc>
              <w:tc>
                <w:tcPr>
                  <w:tcW w:w="1888" w:type="dxa"/>
                  <w:noWrap w:val="0"/>
                  <w:vAlign w:val="center"/>
                </w:tcPr>
                <w:p w14:paraId="11887D8A">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548DE4FC">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10</w:t>
                  </w:r>
                </w:p>
              </w:tc>
            </w:tr>
            <w:tr w14:paraId="0E5573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2E2B46C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default" w:ascii="Times New Roman" w:hAnsi="Times New Roman" w:eastAsia="宋体" w:cs="Times New Roman"/>
                      <w:b w:val="0"/>
                      <w:bCs/>
                      <w:snapToGrid w:val="0"/>
                      <w:color w:val="auto"/>
                      <w:kern w:val="0"/>
                      <w:sz w:val="21"/>
                      <w:szCs w:val="21"/>
                      <w:lang w:val="en-US" w:eastAsia="zh-CN"/>
                    </w:rPr>
                    <w:t>4</w:t>
                  </w:r>
                </w:p>
              </w:tc>
              <w:tc>
                <w:tcPr>
                  <w:tcW w:w="2112" w:type="dxa"/>
                  <w:noWrap w:val="0"/>
                  <w:vAlign w:val="center"/>
                </w:tcPr>
                <w:p w14:paraId="095007BC">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动植物油</w:t>
                  </w:r>
                </w:p>
              </w:tc>
              <w:tc>
                <w:tcPr>
                  <w:tcW w:w="1888" w:type="dxa"/>
                  <w:noWrap w:val="0"/>
                  <w:vAlign w:val="center"/>
                </w:tcPr>
                <w:p w14:paraId="14050AB6">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3C88BDA9">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w:t>
                  </w:r>
                </w:p>
              </w:tc>
            </w:tr>
            <w:tr w14:paraId="49783C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0697AB69">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default" w:ascii="Times New Roman" w:hAnsi="Times New Roman" w:eastAsia="宋体" w:cs="Times New Roman"/>
                      <w:b w:val="0"/>
                      <w:bCs/>
                      <w:snapToGrid w:val="0"/>
                      <w:color w:val="auto"/>
                      <w:kern w:val="0"/>
                      <w:sz w:val="21"/>
                      <w:szCs w:val="21"/>
                      <w:lang w:val="en-US" w:eastAsia="zh-CN"/>
                    </w:rPr>
                    <w:t>5</w:t>
                  </w:r>
                </w:p>
              </w:tc>
              <w:tc>
                <w:tcPr>
                  <w:tcW w:w="2112" w:type="dxa"/>
                  <w:noWrap w:val="0"/>
                  <w:vAlign w:val="center"/>
                </w:tcPr>
                <w:p w14:paraId="2AF3CC0F">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sq-AL" w:eastAsia="zh-CN"/>
                    </w:rPr>
                  </w:pPr>
                  <w:r>
                    <w:rPr>
                      <w:rFonts w:hint="default" w:ascii="Times New Roman" w:hAnsi="Times New Roman" w:eastAsia="宋体" w:cs="Times New Roman"/>
                      <w:snapToGrid w:val="0"/>
                      <w:color w:val="auto"/>
                      <w:kern w:val="0"/>
                      <w:sz w:val="21"/>
                      <w:szCs w:val="21"/>
                      <w:lang w:val="sq-AL" w:eastAsia="zh-CN"/>
                    </w:rPr>
                    <w:t>石油类</w:t>
                  </w:r>
                </w:p>
              </w:tc>
              <w:tc>
                <w:tcPr>
                  <w:tcW w:w="1888" w:type="dxa"/>
                  <w:noWrap w:val="0"/>
                  <w:vAlign w:val="center"/>
                </w:tcPr>
                <w:p w14:paraId="5C333E38">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4195CF11">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0.5</w:t>
                  </w:r>
                </w:p>
              </w:tc>
            </w:tr>
            <w:tr w14:paraId="1A0A62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49EC124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default" w:ascii="Times New Roman" w:hAnsi="Times New Roman" w:eastAsia="宋体" w:cs="Times New Roman"/>
                      <w:b w:val="0"/>
                      <w:bCs/>
                      <w:snapToGrid w:val="0"/>
                      <w:color w:val="auto"/>
                      <w:kern w:val="0"/>
                      <w:sz w:val="21"/>
                      <w:szCs w:val="21"/>
                      <w:lang w:val="en-US" w:eastAsia="zh-CN"/>
                    </w:rPr>
                    <w:t>6</w:t>
                  </w:r>
                </w:p>
              </w:tc>
              <w:tc>
                <w:tcPr>
                  <w:tcW w:w="2112" w:type="dxa"/>
                  <w:noWrap w:val="0"/>
                  <w:vAlign w:val="center"/>
                </w:tcPr>
                <w:p w14:paraId="6F81D581">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sq-AL" w:eastAsia="zh-CN"/>
                    </w:rPr>
                  </w:pPr>
                  <w:r>
                    <w:rPr>
                      <w:rFonts w:hint="default" w:ascii="Times New Roman" w:hAnsi="Times New Roman" w:eastAsia="宋体" w:cs="Times New Roman"/>
                      <w:snapToGrid w:val="0"/>
                      <w:color w:val="auto"/>
                      <w:kern w:val="0"/>
                      <w:sz w:val="21"/>
                      <w:szCs w:val="21"/>
                      <w:lang w:val="sq-AL" w:eastAsia="zh-CN"/>
                    </w:rPr>
                    <w:t>阴离子表面活性剂</w:t>
                  </w:r>
                </w:p>
              </w:tc>
              <w:tc>
                <w:tcPr>
                  <w:tcW w:w="1888" w:type="dxa"/>
                  <w:noWrap w:val="0"/>
                  <w:vAlign w:val="center"/>
                </w:tcPr>
                <w:p w14:paraId="6038AA3B">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6CB6FD20">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15</w:t>
                  </w:r>
                </w:p>
              </w:tc>
            </w:tr>
            <w:tr w14:paraId="1E0915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12068B83">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lang w:val="en-US" w:eastAsia="zh-CN"/>
                    </w:rPr>
                  </w:pPr>
                  <w:r>
                    <w:rPr>
                      <w:rFonts w:hint="default" w:ascii="Times New Roman" w:hAnsi="Times New Roman" w:eastAsia="宋体" w:cs="Times New Roman"/>
                      <w:b w:val="0"/>
                      <w:bCs/>
                      <w:snapToGrid w:val="0"/>
                      <w:color w:val="auto"/>
                      <w:kern w:val="0"/>
                      <w:sz w:val="21"/>
                      <w:szCs w:val="21"/>
                      <w:lang w:val="en-US" w:eastAsia="zh-CN"/>
                    </w:rPr>
                    <w:t>7</w:t>
                  </w:r>
                </w:p>
              </w:tc>
              <w:tc>
                <w:tcPr>
                  <w:tcW w:w="2112" w:type="dxa"/>
                  <w:noWrap w:val="0"/>
                  <w:vAlign w:val="center"/>
                </w:tcPr>
                <w:p w14:paraId="26778099">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sq-AL" w:eastAsia="zh-CN"/>
                    </w:rPr>
                  </w:pPr>
                  <w:r>
                    <w:rPr>
                      <w:rFonts w:hint="default" w:ascii="Times New Roman" w:hAnsi="Times New Roman" w:eastAsia="宋体" w:cs="Times New Roman"/>
                      <w:snapToGrid w:val="0"/>
                      <w:color w:val="auto"/>
                      <w:kern w:val="0"/>
                      <w:sz w:val="21"/>
                      <w:szCs w:val="21"/>
                      <w:lang w:val="sq-AL" w:eastAsia="zh-CN"/>
                    </w:rPr>
                    <w:t>总氮</w:t>
                  </w:r>
                  <w:r>
                    <w:rPr>
                      <w:rFonts w:hint="default" w:ascii="Times New Roman" w:hAnsi="Times New Roman" w:eastAsia="宋体" w:cs="Times New Roman"/>
                      <w:snapToGrid w:val="0"/>
                      <w:color w:val="auto"/>
                      <w:kern w:val="0"/>
                      <w:sz w:val="21"/>
                      <w:szCs w:val="21"/>
                      <w:lang w:val="en-US" w:eastAsia="zh-CN"/>
                    </w:rPr>
                    <w:t>(以N计）</w:t>
                  </w:r>
                </w:p>
              </w:tc>
              <w:tc>
                <w:tcPr>
                  <w:tcW w:w="1888" w:type="dxa"/>
                  <w:noWrap w:val="0"/>
                  <w:vAlign w:val="center"/>
                </w:tcPr>
                <w:p w14:paraId="2C2D3A39">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43A58246">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15</w:t>
                  </w:r>
                </w:p>
              </w:tc>
            </w:tr>
            <w:tr w14:paraId="66AEE5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26B571E5">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default" w:ascii="Times New Roman" w:hAnsi="Times New Roman" w:eastAsia="宋体" w:cs="Times New Roman"/>
                      <w:b w:val="0"/>
                      <w:bCs/>
                      <w:snapToGrid w:val="0"/>
                      <w:color w:val="auto"/>
                      <w:kern w:val="0"/>
                      <w:sz w:val="21"/>
                      <w:szCs w:val="21"/>
                      <w:lang w:val="en-US" w:eastAsia="zh-CN"/>
                    </w:rPr>
                    <w:t>8</w:t>
                  </w:r>
                </w:p>
              </w:tc>
              <w:tc>
                <w:tcPr>
                  <w:tcW w:w="2112" w:type="dxa"/>
                  <w:noWrap w:val="0"/>
                  <w:vAlign w:val="center"/>
                </w:tcPr>
                <w:p w14:paraId="4E6B1E4C">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sq-AL"/>
                    </w:rPr>
                  </w:pPr>
                  <w:r>
                    <w:rPr>
                      <w:rFonts w:hint="default" w:ascii="Times New Roman" w:hAnsi="Times New Roman" w:eastAsia="宋体" w:cs="Times New Roman"/>
                      <w:snapToGrid w:val="0"/>
                      <w:color w:val="auto"/>
                      <w:kern w:val="0"/>
                      <w:sz w:val="21"/>
                      <w:szCs w:val="21"/>
                      <w:lang w:val="sq-AL"/>
                    </w:rPr>
                    <w:t>氨氮</w:t>
                  </w:r>
                  <w:r>
                    <w:rPr>
                      <w:rFonts w:hint="default" w:ascii="Times New Roman" w:hAnsi="Times New Roman" w:eastAsia="宋体" w:cs="Times New Roman"/>
                      <w:snapToGrid w:val="0"/>
                      <w:color w:val="auto"/>
                      <w:kern w:val="0"/>
                      <w:sz w:val="21"/>
                      <w:szCs w:val="21"/>
                      <w:lang w:val="en-US" w:eastAsia="zh-CN"/>
                    </w:rPr>
                    <w:t>(以N计）</w:t>
                  </w:r>
                  <w:r>
                    <w:rPr>
                      <w:rFonts w:hint="default" w:ascii="Times New Roman" w:hAnsi="Times New Roman" w:eastAsia="宋体" w:cs="Times New Roman"/>
                      <w:snapToGrid w:val="0"/>
                      <w:color w:val="auto"/>
                      <w:kern w:val="0"/>
                      <w:sz w:val="21"/>
                      <w:szCs w:val="21"/>
                      <w:vertAlign w:val="superscript"/>
                      <w:lang w:val="en-US" w:eastAsia="zh-CN"/>
                    </w:rPr>
                    <w:t>①</w:t>
                  </w:r>
                </w:p>
              </w:tc>
              <w:tc>
                <w:tcPr>
                  <w:tcW w:w="1888" w:type="dxa"/>
                  <w:noWrap w:val="0"/>
                  <w:vAlign w:val="center"/>
                </w:tcPr>
                <w:p w14:paraId="441F5ED8">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6D504295">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5</w:t>
                  </w:r>
                  <w:r>
                    <w:rPr>
                      <w:rFonts w:hint="eastAsia" w:ascii="Times New Roman" w:hAnsi="Times New Roman" w:eastAsia="宋体" w:cs="Times New Roman"/>
                      <w:snapToGrid w:val="0"/>
                      <w:color w:val="auto"/>
                      <w:kern w:val="0"/>
                      <w:sz w:val="21"/>
                      <w:szCs w:val="21"/>
                      <w:lang w:val="en-US" w:eastAsia="zh-CN"/>
                    </w:rPr>
                    <w:t>（8）</w:t>
                  </w:r>
                </w:p>
              </w:tc>
            </w:tr>
            <w:tr w14:paraId="7D35C4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7999352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9</w:t>
                  </w:r>
                </w:p>
              </w:tc>
              <w:tc>
                <w:tcPr>
                  <w:tcW w:w="2112" w:type="dxa"/>
                  <w:noWrap w:val="0"/>
                  <w:vAlign w:val="center"/>
                </w:tcPr>
                <w:p w14:paraId="075A036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sq-AL"/>
                    </w:rPr>
                  </w:pPr>
                  <w:r>
                    <w:rPr>
                      <w:rFonts w:hint="default" w:ascii="Times New Roman" w:hAnsi="Times New Roman" w:eastAsia="宋体" w:cs="Times New Roman"/>
                      <w:snapToGrid w:val="0"/>
                      <w:color w:val="auto"/>
                      <w:kern w:val="0"/>
                      <w:sz w:val="21"/>
                      <w:szCs w:val="21"/>
                      <w:lang w:val="sq-AL"/>
                    </w:rPr>
                    <w:t>总磷</w:t>
                  </w:r>
                  <w:r>
                    <w:rPr>
                      <w:rFonts w:hint="default" w:ascii="Times New Roman" w:hAnsi="Times New Roman" w:eastAsia="宋体" w:cs="Times New Roman"/>
                      <w:snapToGrid w:val="0"/>
                      <w:color w:val="auto"/>
                      <w:kern w:val="0"/>
                      <w:sz w:val="21"/>
                      <w:szCs w:val="21"/>
                      <w:lang w:val="en-US" w:eastAsia="zh-CN"/>
                    </w:rPr>
                    <w:t>(以P计）</w:t>
                  </w:r>
                </w:p>
              </w:tc>
              <w:tc>
                <w:tcPr>
                  <w:tcW w:w="1888" w:type="dxa"/>
                  <w:noWrap w:val="0"/>
                  <w:vAlign w:val="center"/>
                </w:tcPr>
                <w:p w14:paraId="7EB1CCCA">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6BB2C6B3">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0.5</w:t>
                  </w:r>
                </w:p>
              </w:tc>
            </w:tr>
            <w:tr w14:paraId="6257B3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1F616FE3">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10</w:t>
                  </w:r>
                </w:p>
              </w:tc>
              <w:tc>
                <w:tcPr>
                  <w:tcW w:w="2112" w:type="dxa"/>
                  <w:noWrap w:val="0"/>
                  <w:vAlign w:val="center"/>
                </w:tcPr>
                <w:p w14:paraId="15954B69">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sq-AL" w:eastAsia="zh-CN"/>
                    </w:rPr>
                  </w:pPr>
                  <w:r>
                    <w:rPr>
                      <w:rFonts w:hint="default" w:ascii="Times New Roman" w:hAnsi="Times New Roman" w:eastAsia="宋体" w:cs="Times New Roman"/>
                      <w:snapToGrid w:val="0"/>
                      <w:color w:val="auto"/>
                      <w:kern w:val="0"/>
                      <w:sz w:val="21"/>
                      <w:szCs w:val="21"/>
                      <w:lang w:val="sq-AL" w:eastAsia="zh-CN"/>
                    </w:rPr>
                    <w:t>色度</w:t>
                  </w:r>
                </w:p>
              </w:tc>
              <w:tc>
                <w:tcPr>
                  <w:tcW w:w="1888" w:type="dxa"/>
                  <w:noWrap w:val="0"/>
                  <w:vAlign w:val="center"/>
                </w:tcPr>
                <w:p w14:paraId="0009C496">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sq-AL" w:eastAsia="zh-CN"/>
                    </w:rPr>
                  </w:pPr>
                  <w:r>
                    <w:rPr>
                      <w:rFonts w:hint="default" w:ascii="Times New Roman" w:hAnsi="Times New Roman" w:eastAsia="宋体" w:cs="Times New Roman"/>
                      <w:snapToGrid w:val="0"/>
                      <w:color w:val="auto"/>
                      <w:kern w:val="0"/>
                      <w:sz w:val="21"/>
                      <w:szCs w:val="21"/>
                      <w:lang w:val="sq-AL" w:eastAsia="zh-CN"/>
                    </w:rPr>
                    <w:t>稀释</w:t>
                  </w:r>
                </w:p>
                <w:p w14:paraId="08A0D74D">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sq-AL" w:eastAsia="zh-CN"/>
                    </w:rPr>
                    <w:t>倍数</w:t>
                  </w:r>
                </w:p>
              </w:tc>
              <w:tc>
                <w:tcPr>
                  <w:tcW w:w="3054" w:type="dxa"/>
                  <w:noWrap w:val="0"/>
                  <w:vAlign w:val="center"/>
                </w:tcPr>
                <w:p w14:paraId="22CB4B0A">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30</w:t>
                  </w:r>
                </w:p>
              </w:tc>
            </w:tr>
            <w:tr w14:paraId="27C04B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7A3707B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11</w:t>
                  </w:r>
                </w:p>
              </w:tc>
              <w:tc>
                <w:tcPr>
                  <w:tcW w:w="2112" w:type="dxa"/>
                  <w:noWrap w:val="0"/>
                  <w:vAlign w:val="center"/>
                </w:tcPr>
                <w:p w14:paraId="004BB56C">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pH</w:t>
                  </w:r>
                </w:p>
              </w:tc>
              <w:tc>
                <w:tcPr>
                  <w:tcW w:w="1888" w:type="dxa"/>
                  <w:noWrap w:val="0"/>
                  <w:vAlign w:val="center"/>
                </w:tcPr>
                <w:p w14:paraId="00B021F8">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2B0B4196">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6~9</w:t>
                  </w:r>
                </w:p>
              </w:tc>
            </w:tr>
            <w:tr w14:paraId="5D3A05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500A62A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12</w:t>
                  </w:r>
                </w:p>
              </w:tc>
              <w:tc>
                <w:tcPr>
                  <w:tcW w:w="2112" w:type="dxa"/>
                  <w:noWrap w:val="0"/>
                  <w:vAlign w:val="center"/>
                </w:tcPr>
                <w:p w14:paraId="3ADC6B38">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粪大肠菌群数</w:t>
                  </w:r>
                </w:p>
              </w:tc>
              <w:tc>
                <w:tcPr>
                  <w:tcW w:w="1888" w:type="dxa"/>
                  <w:noWrap w:val="0"/>
                  <w:vAlign w:val="center"/>
                </w:tcPr>
                <w:p w14:paraId="5D247BCC">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（个/L）</w:t>
                  </w:r>
                </w:p>
              </w:tc>
              <w:tc>
                <w:tcPr>
                  <w:tcW w:w="3054" w:type="dxa"/>
                  <w:noWrap w:val="0"/>
                  <w:vAlign w:val="center"/>
                </w:tcPr>
                <w:p w14:paraId="65842140">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10</w:t>
                  </w:r>
                  <w:r>
                    <w:rPr>
                      <w:rFonts w:hint="default" w:ascii="Times New Roman" w:hAnsi="Times New Roman" w:eastAsia="宋体" w:cs="Times New Roman"/>
                      <w:snapToGrid w:val="0"/>
                      <w:color w:val="auto"/>
                      <w:kern w:val="0"/>
                      <w:sz w:val="21"/>
                      <w:szCs w:val="21"/>
                      <w:vertAlign w:val="superscript"/>
                      <w:lang w:val="en-US" w:eastAsia="zh-CN"/>
                    </w:rPr>
                    <w:t>3</w:t>
                  </w:r>
                </w:p>
              </w:tc>
            </w:tr>
            <w:tr w14:paraId="3C7273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4BE018CA">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13</w:t>
                  </w:r>
                </w:p>
              </w:tc>
              <w:tc>
                <w:tcPr>
                  <w:tcW w:w="2112" w:type="dxa"/>
                  <w:noWrap w:val="0"/>
                  <w:vAlign w:val="center"/>
                </w:tcPr>
                <w:p w14:paraId="209E4BB8">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总汞</w:t>
                  </w:r>
                </w:p>
              </w:tc>
              <w:tc>
                <w:tcPr>
                  <w:tcW w:w="1888" w:type="dxa"/>
                  <w:noWrap w:val="0"/>
                  <w:vAlign w:val="center"/>
                </w:tcPr>
                <w:p w14:paraId="122B1E37">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7384F931">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0.001</w:t>
                  </w:r>
                </w:p>
              </w:tc>
            </w:tr>
            <w:tr w14:paraId="071F67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44275F1F">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14</w:t>
                  </w:r>
                </w:p>
              </w:tc>
              <w:tc>
                <w:tcPr>
                  <w:tcW w:w="2112" w:type="dxa"/>
                  <w:noWrap w:val="0"/>
                  <w:vAlign w:val="center"/>
                </w:tcPr>
                <w:p w14:paraId="31E65E58">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烷基汞</w:t>
                  </w:r>
                </w:p>
              </w:tc>
              <w:tc>
                <w:tcPr>
                  <w:tcW w:w="1888" w:type="dxa"/>
                  <w:noWrap w:val="0"/>
                  <w:vAlign w:val="center"/>
                </w:tcPr>
                <w:p w14:paraId="46631DC0">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7150DF83">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r>
            <w:tr w14:paraId="1E4555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590F0A87">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15</w:t>
                  </w:r>
                </w:p>
              </w:tc>
              <w:tc>
                <w:tcPr>
                  <w:tcW w:w="2112" w:type="dxa"/>
                  <w:noWrap w:val="0"/>
                  <w:vAlign w:val="center"/>
                </w:tcPr>
                <w:p w14:paraId="4D7A31E9">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总镉</w:t>
                  </w:r>
                </w:p>
              </w:tc>
              <w:tc>
                <w:tcPr>
                  <w:tcW w:w="1888" w:type="dxa"/>
                  <w:noWrap w:val="0"/>
                  <w:vAlign w:val="center"/>
                </w:tcPr>
                <w:p w14:paraId="18ED1EC1">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745CDEE9">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0.01</w:t>
                  </w:r>
                </w:p>
              </w:tc>
            </w:tr>
            <w:tr w14:paraId="1DF871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76AA3420">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16</w:t>
                  </w:r>
                </w:p>
              </w:tc>
              <w:tc>
                <w:tcPr>
                  <w:tcW w:w="2112" w:type="dxa"/>
                  <w:noWrap w:val="0"/>
                  <w:vAlign w:val="center"/>
                </w:tcPr>
                <w:p w14:paraId="125DDE17">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总铬</w:t>
                  </w:r>
                </w:p>
              </w:tc>
              <w:tc>
                <w:tcPr>
                  <w:tcW w:w="1888" w:type="dxa"/>
                  <w:noWrap w:val="0"/>
                  <w:vAlign w:val="center"/>
                </w:tcPr>
                <w:p w14:paraId="42DE8EBA">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29F0D085">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0.1</w:t>
                  </w:r>
                </w:p>
              </w:tc>
            </w:tr>
            <w:tr w14:paraId="46F422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4554788A">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17</w:t>
                  </w:r>
                </w:p>
              </w:tc>
              <w:tc>
                <w:tcPr>
                  <w:tcW w:w="2112" w:type="dxa"/>
                  <w:noWrap w:val="0"/>
                  <w:vAlign w:val="center"/>
                </w:tcPr>
                <w:p w14:paraId="03FFF04B">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六价铬</w:t>
                  </w:r>
                </w:p>
              </w:tc>
              <w:tc>
                <w:tcPr>
                  <w:tcW w:w="1888" w:type="dxa"/>
                  <w:noWrap w:val="0"/>
                  <w:vAlign w:val="center"/>
                </w:tcPr>
                <w:p w14:paraId="556DDF2D">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2BCE38B0">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0.05</w:t>
                  </w:r>
                </w:p>
              </w:tc>
            </w:tr>
            <w:tr w14:paraId="738A03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6DD4984F">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18</w:t>
                  </w:r>
                </w:p>
              </w:tc>
              <w:tc>
                <w:tcPr>
                  <w:tcW w:w="2112" w:type="dxa"/>
                  <w:noWrap w:val="0"/>
                  <w:vAlign w:val="center"/>
                </w:tcPr>
                <w:p w14:paraId="139BF60F">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总砷</w:t>
                  </w:r>
                </w:p>
              </w:tc>
              <w:tc>
                <w:tcPr>
                  <w:tcW w:w="1888" w:type="dxa"/>
                  <w:noWrap w:val="0"/>
                  <w:vAlign w:val="center"/>
                </w:tcPr>
                <w:p w14:paraId="6900ADCB">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1AA309EF">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0.1</w:t>
                  </w:r>
                </w:p>
              </w:tc>
            </w:tr>
            <w:tr w14:paraId="1D47EA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dxa"/>
                  <w:noWrap w:val="0"/>
                  <w:vAlign w:val="center"/>
                </w:tcPr>
                <w:p w14:paraId="3A38A2DF">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eastAsia" w:ascii="Times New Roman" w:hAnsi="Times New Roman" w:eastAsia="宋体" w:cs="Times New Roman"/>
                      <w:b w:val="0"/>
                      <w:bCs/>
                      <w:snapToGrid w:val="0"/>
                      <w:color w:val="auto"/>
                      <w:kern w:val="0"/>
                      <w:sz w:val="21"/>
                      <w:szCs w:val="21"/>
                      <w:lang w:val="en-US" w:eastAsia="zh-CN"/>
                    </w:rPr>
                    <w:t>19</w:t>
                  </w:r>
                </w:p>
              </w:tc>
              <w:tc>
                <w:tcPr>
                  <w:tcW w:w="2112" w:type="dxa"/>
                  <w:noWrap w:val="0"/>
                  <w:vAlign w:val="center"/>
                </w:tcPr>
                <w:p w14:paraId="292AF290">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总铅</w:t>
                  </w:r>
                </w:p>
              </w:tc>
              <w:tc>
                <w:tcPr>
                  <w:tcW w:w="1888" w:type="dxa"/>
                  <w:noWrap w:val="0"/>
                  <w:vAlign w:val="center"/>
                </w:tcPr>
                <w:p w14:paraId="36F93A2B">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snapToGrid w:val="0"/>
                      <w:color w:val="auto"/>
                      <w:kern w:val="0"/>
                      <w:sz w:val="21"/>
                      <w:szCs w:val="21"/>
                      <w:lang w:val="en-US" w:eastAsia="zh-CN"/>
                    </w:rPr>
                    <w:t>mg /L</w:t>
                  </w:r>
                </w:p>
              </w:tc>
              <w:tc>
                <w:tcPr>
                  <w:tcW w:w="3054" w:type="dxa"/>
                  <w:noWrap w:val="0"/>
                  <w:vAlign w:val="center"/>
                </w:tcPr>
                <w:p w14:paraId="6F13158E">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0.1</w:t>
                  </w:r>
                </w:p>
              </w:tc>
            </w:tr>
            <w:tr w14:paraId="536C6F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752" w:type="dxa"/>
                  <w:gridSpan w:val="4"/>
                  <w:noWrap w:val="0"/>
                  <w:vAlign w:val="center"/>
                </w:tcPr>
                <w:p w14:paraId="76E6E6BC">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注：①括号外水质为水温＞12℃时的控制指标，括号内数值为水温≤12℃时的控制指标；②烷基汞不应检出。</w:t>
                  </w:r>
                </w:p>
              </w:tc>
            </w:tr>
          </w:tbl>
          <w:p w14:paraId="1745A963">
            <w:pPr>
              <w:adjustRightInd w:val="0"/>
              <w:snapToGrid w:val="0"/>
              <w:spacing w:before="120" w:beforeLines="50" w:after="120" w:afterLines="50"/>
              <w:rPr>
                <w:rFonts w:hint="eastAsia" w:ascii="Times New Roman" w:hAnsi="Times New Roman" w:eastAsia="仿宋" w:cs="Times New Roman"/>
                <w:b/>
                <w:bCs/>
                <w:color w:val="auto"/>
                <w:sz w:val="24"/>
                <w:szCs w:val="24"/>
                <w:lang w:val="en-US" w:eastAsia="zh-CN"/>
              </w:rPr>
            </w:pPr>
            <w:r>
              <w:rPr>
                <w:rFonts w:hint="eastAsia" w:ascii="Times New Roman" w:hAnsi="Times New Roman" w:eastAsia="仿宋" w:cs="Times New Roman"/>
                <w:b/>
                <w:bCs/>
                <w:color w:val="auto"/>
                <w:sz w:val="24"/>
                <w:szCs w:val="24"/>
                <w:lang w:val="en-US" w:eastAsia="zh-CN"/>
              </w:rPr>
              <w:t>3、运营期噪声排放标准</w:t>
            </w:r>
          </w:p>
          <w:p w14:paraId="51C21E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运营期噪声排放执行《工业企业厂界环境噪声排放标准》(GB12348-2008)2类标准。</w:t>
            </w:r>
          </w:p>
          <w:p w14:paraId="503C8009">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rPr>
            </w:pPr>
            <w:r>
              <w:rPr>
                <w:rFonts w:hint="default" w:ascii="Times New Roman" w:hAnsi="Times New Roman" w:cs="Times New Roman"/>
                <w:color w:val="auto"/>
                <w:sz w:val="21"/>
                <w:szCs w:val="21"/>
              </w:rPr>
              <w:t>表</w:t>
            </w:r>
            <w:r>
              <w:rPr>
                <w:rFonts w:hint="eastAsia" w:cs="Times New Roman"/>
                <w:b w:val="0"/>
                <w:bCs w:val="0"/>
                <w:color w:val="auto"/>
                <w:sz w:val="21"/>
                <w:szCs w:val="21"/>
                <w:lang w:val="en-US" w:eastAsia="zh-CN"/>
              </w:rPr>
              <w:t xml:space="preserve">3-6    </w:t>
            </w:r>
            <w:r>
              <w:rPr>
                <w:rFonts w:hint="eastAsia" w:cs="Times New Roman"/>
                <w:b/>
                <w:color w:val="auto"/>
                <w:sz w:val="21"/>
                <w:szCs w:val="21"/>
                <w:lang w:val="en-US" w:eastAsia="zh-CN"/>
              </w:rPr>
              <w:t>《工业企业厂界环境噪声排放标准》(GB12348-2008)</w:t>
            </w:r>
          </w:p>
          <w:tbl>
            <w:tblPr>
              <w:tblStyle w:val="26"/>
              <w:tblW w:w="80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40"/>
              <w:gridCol w:w="2881"/>
              <w:gridCol w:w="2829"/>
            </w:tblGrid>
            <w:tr w14:paraId="1392A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1" w:type="dxa"/>
                  <w:vAlign w:val="center"/>
                </w:tcPr>
                <w:p w14:paraId="1A17FB28">
                  <w:pPr>
                    <w:adjustRightInd w:val="0"/>
                    <w:snapToGrid w:val="0"/>
                    <w:jc w:val="center"/>
                    <w:rPr>
                      <w:rFonts w:hint="default" w:ascii="Times New Roman" w:hAnsi="Times New Roman" w:eastAsia="宋体" w:cs="Times New Roman"/>
                      <w:b/>
                      <w:color w:val="auto"/>
                      <w:szCs w:val="22"/>
                    </w:rPr>
                  </w:pPr>
                  <w:r>
                    <w:rPr>
                      <w:rFonts w:hint="default" w:ascii="Times New Roman" w:hAnsi="Times New Roman" w:eastAsia="宋体" w:cs="Times New Roman"/>
                      <w:b/>
                      <w:color w:val="auto"/>
                      <w:szCs w:val="22"/>
                    </w:rPr>
                    <w:t>类别</w:t>
                  </w:r>
                </w:p>
              </w:tc>
              <w:tc>
                <w:tcPr>
                  <w:tcW w:w="3044" w:type="dxa"/>
                  <w:vAlign w:val="center"/>
                </w:tcPr>
                <w:p w14:paraId="66ACC4C6">
                  <w:pPr>
                    <w:adjustRightInd w:val="0"/>
                    <w:snapToGrid w:val="0"/>
                    <w:jc w:val="center"/>
                    <w:rPr>
                      <w:rFonts w:hint="default" w:ascii="Times New Roman" w:hAnsi="Times New Roman" w:eastAsia="宋体" w:cs="Times New Roman"/>
                      <w:b/>
                      <w:color w:val="auto"/>
                      <w:szCs w:val="22"/>
                    </w:rPr>
                  </w:pPr>
                  <w:r>
                    <w:rPr>
                      <w:rFonts w:hint="default" w:ascii="Times New Roman" w:hAnsi="Times New Roman" w:eastAsia="宋体" w:cs="Times New Roman"/>
                      <w:b/>
                      <w:color w:val="auto"/>
                      <w:szCs w:val="22"/>
                    </w:rPr>
                    <w:t>昼间</w:t>
                  </w:r>
                  <w:r>
                    <w:rPr>
                      <w:rFonts w:hint="default" w:ascii="Times New Roman" w:hAnsi="Times New Roman" w:eastAsia="宋体" w:cs="Times New Roman"/>
                      <w:bCs/>
                      <w:color w:val="auto"/>
                      <w:szCs w:val="22"/>
                    </w:rPr>
                    <w:t>dB(A)</w:t>
                  </w:r>
                </w:p>
              </w:tc>
              <w:tc>
                <w:tcPr>
                  <w:tcW w:w="2989" w:type="dxa"/>
                  <w:vAlign w:val="center"/>
                </w:tcPr>
                <w:p w14:paraId="789E0C65">
                  <w:pPr>
                    <w:adjustRightInd w:val="0"/>
                    <w:snapToGrid w:val="0"/>
                    <w:jc w:val="center"/>
                    <w:rPr>
                      <w:rFonts w:hint="default" w:ascii="Times New Roman" w:hAnsi="Times New Roman" w:eastAsia="宋体" w:cs="Times New Roman"/>
                      <w:b/>
                      <w:color w:val="auto"/>
                      <w:szCs w:val="22"/>
                    </w:rPr>
                  </w:pPr>
                  <w:r>
                    <w:rPr>
                      <w:rFonts w:hint="default" w:ascii="Times New Roman" w:hAnsi="Times New Roman" w:eastAsia="宋体" w:cs="Times New Roman"/>
                      <w:b/>
                      <w:color w:val="auto"/>
                      <w:szCs w:val="22"/>
                    </w:rPr>
                    <w:t>夜间</w:t>
                  </w:r>
                  <w:r>
                    <w:rPr>
                      <w:rFonts w:hint="default" w:ascii="Times New Roman" w:hAnsi="Times New Roman" w:eastAsia="宋体" w:cs="Times New Roman"/>
                      <w:bCs/>
                      <w:color w:val="auto"/>
                      <w:szCs w:val="22"/>
                    </w:rPr>
                    <w:t>dB(A)</w:t>
                  </w:r>
                </w:p>
              </w:tc>
            </w:tr>
            <w:tr w14:paraId="7B15B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1" w:type="dxa"/>
                  <w:vAlign w:val="center"/>
                </w:tcPr>
                <w:p w14:paraId="4E50B2B3">
                  <w:pPr>
                    <w:adjustRightInd w:val="0"/>
                    <w:snapToGrid w:val="0"/>
                    <w:jc w:val="center"/>
                    <w:rPr>
                      <w:rFonts w:hint="default" w:ascii="Times New Roman" w:hAnsi="Times New Roman" w:eastAsia="宋体" w:cs="Times New Roman"/>
                      <w:bCs/>
                      <w:color w:val="auto"/>
                      <w:szCs w:val="22"/>
                    </w:rPr>
                  </w:pPr>
                  <w:r>
                    <w:rPr>
                      <w:rFonts w:hint="default" w:ascii="Times New Roman" w:hAnsi="Times New Roman" w:eastAsia="宋体" w:cs="Times New Roman"/>
                      <w:bCs/>
                      <w:color w:val="auto"/>
                      <w:szCs w:val="22"/>
                    </w:rPr>
                    <w:t>2</w:t>
                  </w:r>
                </w:p>
              </w:tc>
              <w:tc>
                <w:tcPr>
                  <w:tcW w:w="3044" w:type="dxa"/>
                  <w:vAlign w:val="center"/>
                </w:tcPr>
                <w:p w14:paraId="7971196E">
                  <w:pPr>
                    <w:adjustRightInd w:val="0"/>
                    <w:snapToGrid w:val="0"/>
                    <w:jc w:val="center"/>
                    <w:rPr>
                      <w:rFonts w:hint="default" w:ascii="Times New Roman" w:hAnsi="Times New Roman" w:eastAsia="宋体" w:cs="Times New Roman"/>
                      <w:bCs/>
                      <w:color w:val="auto"/>
                      <w:szCs w:val="22"/>
                    </w:rPr>
                  </w:pPr>
                  <w:r>
                    <w:rPr>
                      <w:rFonts w:hint="default" w:ascii="Times New Roman" w:hAnsi="Times New Roman" w:eastAsia="宋体" w:cs="Times New Roman"/>
                      <w:bCs/>
                      <w:color w:val="auto"/>
                      <w:szCs w:val="22"/>
                    </w:rPr>
                    <w:t>60</w:t>
                  </w:r>
                </w:p>
              </w:tc>
              <w:tc>
                <w:tcPr>
                  <w:tcW w:w="2989" w:type="dxa"/>
                  <w:vAlign w:val="center"/>
                </w:tcPr>
                <w:p w14:paraId="029134D9">
                  <w:pPr>
                    <w:adjustRightInd w:val="0"/>
                    <w:snapToGrid w:val="0"/>
                    <w:jc w:val="center"/>
                    <w:rPr>
                      <w:rFonts w:hint="default" w:ascii="Times New Roman" w:hAnsi="Times New Roman" w:eastAsia="宋体" w:cs="Times New Roman"/>
                      <w:bCs/>
                      <w:color w:val="auto"/>
                      <w:szCs w:val="22"/>
                    </w:rPr>
                  </w:pPr>
                  <w:r>
                    <w:rPr>
                      <w:rFonts w:hint="default" w:ascii="Times New Roman" w:hAnsi="Times New Roman" w:eastAsia="宋体" w:cs="Times New Roman"/>
                      <w:bCs/>
                      <w:color w:val="auto"/>
                      <w:szCs w:val="22"/>
                    </w:rPr>
                    <w:t>50</w:t>
                  </w:r>
                </w:p>
              </w:tc>
            </w:tr>
          </w:tbl>
          <w:p w14:paraId="15E1DF39">
            <w:pPr>
              <w:snapToGrid w:val="0"/>
              <w:spacing w:line="360" w:lineRule="auto"/>
              <w:contextualSpacing/>
              <w:rPr>
                <w:rFonts w:hint="default"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val="en-US" w:eastAsia="zh-CN"/>
              </w:rPr>
              <w:t>、</w:t>
            </w:r>
            <w:r>
              <w:rPr>
                <w:rFonts w:hint="default" w:ascii="Times New Roman" w:hAnsi="Times New Roman" w:eastAsia="仿宋_GB2312" w:cs="Times New Roman"/>
                <w:b/>
                <w:bCs/>
                <w:color w:val="auto"/>
                <w:sz w:val="24"/>
                <w:szCs w:val="24"/>
                <w:lang w:eastAsia="zh-CN"/>
              </w:rPr>
              <w:t>运营期固体废物</w:t>
            </w:r>
          </w:p>
          <w:p w14:paraId="4C211BF4">
            <w:pPr>
              <w:adjustRightInd w:val="0"/>
              <w:snapToGrid w:val="0"/>
              <w:spacing w:line="360" w:lineRule="auto"/>
              <w:ind w:firstLine="480" w:firstLineChars="200"/>
              <w:rPr>
                <w:rFonts w:hint="default" w:ascii="Times New Roman" w:hAnsi="Times New Roman" w:eastAsia="仿宋_GB2312" w:cs="Times New Roman"/>
                <w:color w:val="auto"/>
                <w:sz w:val="24"/>
                <w:szCs w:val="24"/>
                <w:lang w:eastAsia="zh-CN"/>
              </w:rPr>
            </w:pPr>
            <w:r>
              <w:rPr>
                <w:rFonts w:hint="eastAsia" w:ascii="Times New Roman" w:hAnsi="Times New Roman" w:eastAsia="仿宋_GB2312"/>
                <w:color w:val="auto"/>
                <w:sz w:val="24"/>
                <w:highlight w:val="none"/>
                <w:lang w:eastAsia="zh-CN"/>
              </w:rPr>
              <w:t>本项目生产过程中产生的一般工业固体废物的贮存须满足防渗漏、防雨淋、防扬尘等相关的环境保护要求。</w:t>
            </w:r>
          </w:p>
          <w:p w14:paraId="3F3F53D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项目运营期间危险废物执行《危险废物贮存污染控制标准》（GB18597-20</w:t>
            </w:r>
            <w:r>
              <w:rPr>
                <w:rFonts w:hint="eastAsia" w:ascii="Times New Roman" w:hAnsi="Times New Roman" w:eastAsia="仿宋_GB2312" w:cs="Times New Roman"/>
                <w:color w:val="auto"/>
                <w:sz w:val="24"/>
                <w:szCs w:val="24"/>
                <w:lang w:val="en-US" w:eastAsia="zh-CN"/>
              </w:rPr>
              <w:t>23</w:t>
            </w:r>
            <w:r>
              <w:rPr>
                <w:rFonts w:hint="default" w:ascii="Times New Roman" w:hAnsi="Times New Roman" w:eastAsia="仿宋_GB2312" w:cs="Times New Roman"/>
                <w:color w:val="auto"/>
                <w:sz w:val="24"/>
                <w:szCs w:val="24"/>
                <w:lang w:eastAsia="zh-CN"/>
              </w:rPr>
              <w:t>）。</w:t>
            </w:r>
          </w:p>
          <w:p w14:paraId="4189CC26">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_GB2312" w:cs="Times New Roman"/>
                <w:color w:val="auto"/>
                <w:sz w:val="24"/>
                <w:szCs w:val="24"/>
                <w:lang w:val="en-US" w:eastAsia="zh-CN"/>
              </w:rPr>
            </w:pPr>
            <w:r>
              <w:rPr>
                <w:rFonts w:hint="eastAsia" w:eastAsia="仿宋_GB2312" w:cs="Times New Roman"/>
                <w:color w:val="auto"/>
                <w:sz w:val="24"/>
                <w:szCs w:val="24"/>
                <w:lang w:val="en-US" w:eastAsia="zh-CN"/>
              </w:rPr>
              <w:t>污泥执行《城镇污水处理厂污染物排放标准》（GB18918-2002）污泥控制标准。</w:t>
            </w:r>
          </w:p>
          <w:p w14:paraId="325D9051">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rPr>
            </w:pPr>
            <w:r>
              <w:rPr>
                <w:rFonts w:hint="default" w:ascii="Times New Roman" w:hAnsi="Times New Roman" w:cs="Times New Roman"/>
                <w:color w:val="auto"/>
                <w:sz w:val="21"/>
                <w:szCs w:val="21"/>
              </w:rPr>
              <w:t>表</w:t>
            </w:r>
            <w:r>
              <w:rPr>
                <w:rFonts w:hint="eastAsia" w:cs="Times New Roman"/>
                <w:b w:val="0"/>
                <w:bCs w:val="0"/>
                <w:color w:val="auto"/>
                <w:sz w:val="21"/>
                <w:szCs w:val="21"/>
                <w:lang w:val="en-US" w:eastAsia="zh-CN"/>
              </w:rPr>
              <w:t xml:space="preserve">3-7    </w:t>
            </w:r>
            <w:r>
              <w:rPr>
                <w:rFonts w:hint="eastAsia" w:cs="Times New Roman"/>
                <w:b/>
                <w:color w:val="auto"/>
                <w:sz w:val="21"/>
                <w:szCs w:val="21"/>
                <w:lang w:val="en-US" w:eastAsia="zh-CN"/>
              </w:rPr>
              <w:t>《城镇污水处理厂污染物排放标准》(GB18918-2002)</w:t>
            </w:r>
          </w:p>
          <w:tbl>
            <w:tblPr>
              <w:tblStyle w:val="26"/>
              <w:tblW w:w="80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40"/>
              <w:gridCol w:w="2881"/>
              <w:gridCol w:w="2829"/>
            </w:tblGrid>
            <w:tr w14:paraId="1FFC9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0" w:type="dxa"/>
                  <w:vAlign w:val="center"/>
                </w:tcPr>
                <w:p w14:paraId="2C39A8A1">
                  <w:pPr>
                    <w:adjustRightInd w:val="0"/>
                    <w:snapToGrid w:val="0"/>
                    <w:jc w:val="center"/>
                    <w:rPr>
                      <w:rFonts w:hint="default" w:ascii="Times New Roman" w:hAnsi="Times New Roman" w:eastAsia="宋体" w:cs="Times New Roman"/>
                      <w:b/>
                      <w:color w:val="auto"/>
                      <w:szCs w:val="22"/>
                      <w:lang w:val="en-US" w:eastAsia="zh-CN"/>
                    </w:rPr>
                  </w:pPr>
                  <w:r>
                    <w:rPr>
                      <w:rFonts w:hint="eastAsia" w:ascii="Times New Roman" w:hAnsi="Times New Roman" w:eastAsia="宋体" w:cs="Times New Roman"/>
                      <w:b/>
                      <w:color w:val="auto"/>
                      <w:szCs w:val="22"/>
                      <w:lang w:val="en-US" w:eastAsia="zh-CN"/>
                    </w:rPr>
                    <w:t>稳定化方法</w:t>
                  </w:r>
                </w:p>
              </w:tc>
              <w:tc>
                <w:tcPr>
                  <w:tcW w:w="2881" w:type="dxa"/>
                  <w:vAlign w:val="center"/>
                </w:tcPr>
                <w:p w14:paraId="035A1D32">
                  <w:pPr>
                    <w:adjustRightInd w:val="0"/>
                    <w:snapToGrid w:val="0"/>
                    <w:jc w:val="center"/>
                    <w:rPr>
                      <w:rFonts w:hint="eastAsia" w:ascii="Times New Roman" w:hAnsi="Times New Roman" w:eastAsia="宋体" w:cs="Times New Roman"/>
                      <w:b/>
                      <w:color w:val="auto"/>
                      <w:szCs w:val="22"/>
                      <w:lang w:val="en-US" w:eastAsia="zh-CN"/>
                    </w:rPr>
                  </w:pPr>
                  <w:r>
                    <w:rPr>
                      <w:rFonts w:hint="eastAsia" w:ascii="Times New Roman" w:hAnsi="Times New Roman" w:eastAsia="宋体" w:cs="Times New Roman"/>
                      <w:b/>
                      <w:color w:val="auto"/>
                      <w:szCs w:val="22"/>
                      <w:lang w:val="en-US" w:eastAsia="zh-CN"/>
                    </w:rPr>
                    <w:t>控制项目</w:t>
                  </w:r>
                </w:p>
              </w:tc>
              <w:tc>
                <w:tcPr>
                  <w:tcW w:w="2829" w:type="dxa"/>
                  <w:vAlign w:val="center"/>
                </w:tcPr>
                <w:p w14:paraId="168DB538">
                  <w:pPr>
                    <w:adjustRightInd w:val="0"/>
                    <w:snapToGrid w:val="0"/>
                    <w:jc w:val="center"/>
                    <w:rPr>
                      <w:rFonts w:hint="default" w:ascii="Times New Roman" w:hAnsi="Times New Roman" w:eastAsia="宋体" w:cs="Times New Roman"/>
                      <w:b/>
                      <w:color w:val="auto"/>
                      <w:szCs w:val="22"/>
                      <w:lang w:val="en-US" w:eastAsia="zh-CN"/>
                    </w:rPr>
                  </w:pPr>
                  <w:r>
                    <w:rPr>
                      <w:rFonts w:hint="eastAsia" w:ascii="Times New Roman" w:hAnsi="Times New Roman" w:eastAsia="宋体" w:cs="Times New Roman"/>
                      <w:b/>
                      <w:color w:val="auto"/>
                      <w:szCs w:val="22"/>
                      <w:lang w:val="en-US" w:eastAsia="zh-CN"/>
                    </w:rPr>
                    <w:t>控制指标</w:t>
                  </w:r>
                </w:p>
              </w:tc>
            </w:tr>
            <w:tr w14:paraId="0386F8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0" w:type="dxa"/>
                  <w:vAlign w:val="center"/>
                </w:tcPr>
                <w:p w14:paraId="1B405753">
                  <w:pPr>
                    <w:adjustRightInd w:val="0"/>
                    <w:snapToGrid w:val="0"/>
                    <w:jc w:val="center"/>
                    <w:rPr>
                      <w:rFonts w:hint="default" w:ascii="Times New Roman" w:hAnsi="Times New Roman" w:eastAsia="宋体" w:cs="Times New Roman"/>
                      <w:bCs/>
                      <w:color w:val="auto"/>
                      <w:szCs w:val="22"/>
                      <w:lang w:val="en-US" w:eastAsia="zh-CN"/>
                    </w:rPr>
                  </w:pPr>
                  <w:r>
                    <w:rPr>
                      <w:rFonts w:hint="eastAsia" w:ascii="Times New Roman" w:hAnsi="Times New Roman" w:eastAsia="宋体" w:cs="Times New Roman"/>
                      <w:bCs/>
                      <w:color w:val="auto"/>
                      <w:szCs w:val="22"/>
                      <w:lang w:val="en-US" w:eastAsia="zh-CN"/>
                    </w:rPr>
                    <w:t>厌氧消化</w:t>
                  </w:r>
                </w:p>
              </w:tc>
              <w:tc>
                <w:tcPr>
                  <w:tcW w:w="2881" w:type="dxa"/>
                  <w:vAlign w:val="center"/>
                </w:tcPr>
                <w:p w14:paraId="58E46E37">
                  <w:pPr>
                    <w:adjustRightInd w:val="0"/>
                    <w:snapToGrid w:val="0"/>
                    <w:jc w:val="center"/>
                    <w:rPr>
                      <w:rFonts w:hint="eastAsia" w:ascii="Times New Roman" w:hAnsi="Times New Roman" w:eastAsia="宋体" w:cs="Times New Roman"/>
                      <w:bCs/>
                      <w:color w:val="auto"/>
                      <w:szCs w:val="22"/>
                      <w:lang w:val="en-US" w:eastAsia="zh-CN"/>
                    </w:rPr>
                  </w:pPr>
                  <w:r>
                    <w:rPr>
                      <w:rFonts w:hint="eastAsia" w:ascii="Times New Roman" w:hAnsi="Times New Roman" w:eastAsia="宋体" w:cs="Times New Roman"/>
                      <w:bCs/>
                      <w:color w:val="auto"/>
                      <w:szCs w:val="22"/>
                      <w:lang w:val="en-US" w:eastAsia="zh-CN"/>
                    </w:rPr>
                    <w:t>有机物降解率（%）</w:t>
                  </w:r>
                </w:p>
              </w:tc>
              <w:tc>
                <w:tcPr>
                  <w:tcW w:w="2829" w:type="dxa"/>
                  <w:vAlign w:val="center"/>
                </w:tcPr>
                <w:p w14:paraId="5A727B34">
                  <w:pPr>
                    <w:adjustRightInd w:val="0"/>
                    <w:snapToGrid w:val="0"/>
                    <w:jc w:val="center"/>
                    <w:rPr>
                      <w:rFonts w:hint="default" w:ascii="Times New Roman" w:hAnsi="Times New Roman" w:eastAsia="宋体" w:cs="Times New Roman"/>
                      <w:bCs/>
                      <w:color w:val="auto"/>
                      <w:szCs w:val="22"/>
                      <w:lang w:val="en-US" w:eastAsia="zh-CN"/>
                    </w:rPr>
                  </w:pPr>
                  <w:r>
                    <w:rPr>
                      <w:rFonts w:hint="eastAsia" w:ascii="Times New Roman" w:hAnsi="Times New Roman" w:eastAsia="宋体" w:cs="Times New Roman"/>
                      <w:bCs/>
                      <w:color w:val="auto"/>
                      <w:szCs w:val="22"/>
                      <w:lang w:val="en-US" w:eastAsia="zh-CN"/>
                    </w:rPr>
                    <w:t>＞40</w:t>
                  </w:r>
                </w:p>
              </w:tc>
            </w:tr>
            <w:tr w14:paraId="720D9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0" w:type="dxa"/>
                  <w:vAlign w:val="center"/>
                </w:tcPr>
                <w:p w14:paraId="7014808A">
                  <w:pPr>
                    <w:adjustRightInd w:val="0"/>
                    <w:snapToGrid w:val="0"/>
                    <w:jc w:val="center"/>
                    <w:rPr>
                      <w:rFonts w:hint="eastAsia" w:ascii="Times New Roman" w:hAnsi="Times New Roman" w:eastAsia="宋体" w:cs="Times New Roman"/>
                      <w:bCs/>
                      <w:color w:val="auto"/>
                      <w:szCs w:val="22"/>
                      <w:lang w:val="en-US" w:eastAsia="zh-CN"/>
                    </w:rPr>
                  </w:pPr>
                  <w:r>
                    <w:rPr>
                      <w:rFonts w:hint="eastAsia" w:ascii="Times New Roman" w:hAnsi="Times New Roman" w:eastAsia="宋体" w:cs="Times New Roman"/>
                      <w:bCs/>
                      <w:color w:val="auto"/>
                      <w:szCs w:val="22"/>
                      <w:lang w:val="en-US" w:eastAsia="zh-CN"/>
                    </w:rPr>
                    <w:t>好氧消化</w:t>
                  </w:r>
                </w:p>
              </w:tc>
              <w:tc>
                <w:tcPr>
                  <w:tcW w:w="2881" w:type="dxa"/>
                  <w:vAlign w:val="center"/>
                </w:tcPr>
                <w:p w14:paraId="271A68E4">
                  <w:pPr>
                    <w:adjustRightInd w:val="0"/>
                    <w:snapToGrid w:val="0"/>
                    <w:jc w:val="center"/>
                    <w:rPr>
                      <w:rFonts w:hint="default" w:ascii="Times New Roman" w:hAnsi="Times New Roman" w:eastAsia="宋体" w:cs="Times New Roman"/>
                      <w:bCs/>
                      <w:color w:val="auto"/>
                      <w:szCs w:val="22"/>
                    </w:rPr>
                  </w:pPr>
                  <w:r>
                    <w:rPr>
                      <w:rFonts w:hint="eastAsia" w:ascii="Times New Roman" w:hAnsi="Times New Roman" w:eastAsia="宋体" w:cs="Times New Roman"/>
                      <w:bCs/>
                      <w:color w:val="auto"/>
                      <w:szCs w:val="22"/>
                      <w:lang w:val="en-US" w:eastAsia="zh-CN"/>
                    </w:rPr>
                    <w:t>有机物降解率（%）</w:t>
                  </w:r>
                </w:p>
              </w:tc>
              <w:tc>
                <w:tcPr>
                  <w:tcW w:w="2829" w:type="dxa"/>
                  <w:vAlign w:val="center"/>
                </w:tcPr>
                <w:p w14:paraId="08A5694F">
                  <w:pPr>
                    <w:adjustRightInd w:val="0"/>
                    <w:snapToGrid w:val="0"/>
                    <w:jc w:val="center"/>
                    <w:rPr>
                      <w:rFonts w:hint="default" w:ascii="Times New Roman" w:hAnsi="Times New Roman" w:eastAsia="宋体" w:cs="Times New Roman"/>
                      <w:bCs/>
                      <w:color w:val="auto"/>
                      <w:szCs w:val="22"/>
                    </w:rPr>
                  </w:pPr>
                  <w:r>
                    <w:rPr>
                      <w:rFonts w:hint="eastAsia" w:ascii="Times New Roman" w:hAnsi="Times New Roman" w:eastAsia="宋体" w:cs="Times New Roman"/>
                      <w:bCs/>
                      <w:color w:val="auto"/>
                      <w:szCs w:val="22"/>
                      <w:lang w:val="en-US" w:eastAsia="zh-CN"/>
                    </w:rPr>
                    <w:t>＞40</w:t>
                  </w:r>
                </w:p>
              </w:tc>
            </w:tr>
            <w:tr w14:paraId="6A655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0" w:type="dxa"/>
                  <w:vMerge w:val="restart"/>
                  <w:vAlign w:val="center"/>
                </w:tcPr>
                <w:p w14:paraId="06F2A886">
                  <w:pPr>
                    <w:adjustRightInd w:val="0"/>
                    <w:snapToGrid w:val="0"/>
                    <w:jc w:val="center"/>
                    <w:rPr>
                      <w:rFonts w:hint="eastAsia" w:ascii="Times New Roman" w:hAnsi="Times New Roman" w:eastAsia="宋体" w:cs="Times New Roman"/>
                      <w:bCs/>
                      <w:color w:val="auto"/>
                      <w:szCs w:val="22"/>
                      <w:lang w:val="en-US" w:eastAsia="zh-CN"/>
                    </w:rPr>
                  </w:pPr>
                  <w:r>
                    <w:rPr>
                      <w:rFonts w:hint="eastAsia" w:ascii="Times New Roman" w:hAnsi="Times New Roman" w:eastAsia="宋体" w:cs="Times New Roman"/>
                      <w:bCs/>
                      <w:color w:val="auto"/>
                      <w:szCs w:val="22"/>
                      <w:lang w:val="en-US" w:eastAsia="zh-CN"/>
                    </w:rPr>
                    <w:t>好氧堆肥</w:t>
                  </w:r>
                </w:p>
              </w:tc>
              <w:tc>
                <w:tcPr>
                  <w:tcW w:w="2881" w:type="dxa"/>
                  <w:vAlign w:val="center"/>
                </w:tcPr>
                <w:p w14:paraId="5548A5B4">
                  <w:pPr>
                    <w:adjustRightInd w:val="0"/>
                    <w:snapToGrid w:val="0"/>
                    <w:jc w:val="center"/>
                    <w:rPr>
                      <w:rFonts w:hint="eastAsia" w:ascii="Times New Roman" w:hAnsi="Times New Roman" w:eastAsia="宋体" w:cs="Times New Roman"/>
                      <w:bCs/>
                      <w:color w:val="auto"/>
                      <w:szCs w:val="22"/>
                      <w:lang w:val="en-US" w:eastAsia="zh-CN"/>
                    </w:rPr>
                  </w:pPr>
                  <w:r>
                    <w:rPr>
                      <w:rFonts w:hint="eastAsia" w:ascii="Times New Roman" w:hAnsi="Times New Roman" w:eastAsia="宋体" w:cs="Times New Roman"/>
                      <w:bCs/>
                      <w:color w:val="auto"/>
                      <w:szCs w:val="22"/>
                      <w:lang w:val="en-US" w:eastAsia="zh-CN"/>
                    </w:rPr>
                    <w:t>含水率（%）</w:t>
                  </w:r>
                </w:p>
              </w:tc>
              <w:tc>
                <w:tcPr>
                  <w:tcW w:w="2829" w:type="dxa"/>
                  <w:vAlign w:val="center"/>
                </w:tcPr>
                <w:p w14:paraId="50768BD0">
                  <w:pPr>
                    <w:adjustRightInd w:val="0"/>
                    <w:snapToGrid w:val="0"/>
                    <w:jc w:val="center"/>
                    <w:rPr>
                      <w:rFonts w:hint="default" w:ascii="Times New Roman" w:hAnsi="Times New Roman" w:eastAsia="宋体" w:cs="Times New Roman"/>
                      <w:bCs/>
                      <w:color w:val="auto"/>
                      <w:szCs w:val="22"/>
                      <w:lang w:val="en-US" w:eastAsia="zh-CN"/>
                    </w:rPr>
                  </w:pPr>
                  <w:r>
                    <w:rPr>
                      <w:rFonts w:hint="eastAsia" w:ascii="Times New Roman" w:hAnsi="Times New Roman" w:eastAsia="宋体" w:cs="Times New Roman"/>
                      <w:bCs/>
                      <w:color w:val="auto"/>
                      <w:szCs w:val="22"/>
                      <w:lang w:val="en-US" w:eastAsia="zh-CN"/>
                    </w:rPr>
                    <w:t>＜65</w:t>
                  </w:r>
                </w:p>
              </w:tc>
            </w:tr>
            <w:tr w14:paraId="39C8C7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0" w:type="dxa"/>
                  <w:vMerge w:val="continue"/>
                  <w:vAlign w:val="center"/>
                </w:tcPr>
                <w:p w14:paraId="1FEC0EC3">
                  <w:pPr>
                    <w:adjustRightInd w:val="0"/>
                    <w:snapToGrid w:val="0"/>
                    <w:jc w:val="center"/>
                    <w:rPr>
                      <w:rFonts w:hint="default" w:ascii="Times New Roman" w:hAnsi="Times New Roman" w:eastAsia="宋体" w:cs="Times New Roman"/>
                      <w:bCs/>
                      <w:color w:val="auto"/>
                      <w:szCs w:val="22"/>
                    </w:rPr>
                  </w:pPr>
                </w:p>
              </w:tc>
              <w:tc>
                <w:tcPr>
                  <w:tcW w:w="2881" w:type="dxa"/>
                  <w:vAlign w:val="center"/>
                </w:tcPr>
                <w:p w14:paraId="22426E65">
                  <w:pPr>
                    <w:adjustRightInd w:val="0"/>
                    <w:snapToGrid w:val="0"/>
                    <w:jc w:val="center"/>
                    <w:rPr>
                      <w:rFonts w:hint="default" w:ascii="Times New Roman" w:hAnsi="Times New Roman" w:eastAsia="宋体" w:cs="Times New Roman"/>
                      <w:bCs/>
                      <w:color w:val="auto"/>
                      <w:szCs w:val="22"/>
                    </w:rPr>
                  </w:pPr>
                  <w:r>
                    <w:rPr>
                      <w:rFonts w:hint="eastAsia" w:ascii="Times New Roman" w:hAnsi="Times New Roman" w:eastAsia="宋体" w:cs="Times New Roman"/>
                      <w:bCs/>
                      <w:color w:val="auto"/>
                      <w:szCs w:val="22"/>
                      <w:lang w:val="en-US" w:eastAsia="zh-CN"/>
                    </w:rPr>
                    <w:t>有机物降解率（%）</w:t>
                  </w:r>
                </w:p>
              </w:tc>
              <w:tc>
                <w:tcPr>
                  <w:tcW w:w="2829" w:type="dxa"/>
                  <w:vAlign w:val="center"/>
                </w:tcPr>
                <w:p w14:paraId="3A30DF54">
                  <w:pPr>
                    <w:adjustRightInd w:val="0"/>
                    <w:snapToGrid w:val="0"/>
                    <w:jc w:val="center"/>
                    <w:rPr>
                      <w:rFonts w:hint="default" w:ascii="Times New Roman" w:hAnsi="Times New Roman" w:eastAsia="宋体" w:cs="Times New Roman"/>
                      <w:bCs/>
                      <w:color w:val="auto"/>
                      <w:szCs w:val="22"/>
                      <w:lang w:val="en-US"/>
                    </w:rPr>
                  </w:pPr>
                  <w:r>
                    <w:rPr>
                      <w:rFonts w:hint="eastAsia" w:ascii="Times New Roman" w:hAnsi="Times New Roman" w:eastAsia="宋体" w:cs="Times New Roman"/>
                      <w:bCs/>
                      <w:color w:val="auto"/>
                      <w:szCs w:val="22"/>
                      <w:lang w:val="en-US" w:eastAsia="zh-CN"/>
                    </w:rPr>
                    <w:t>＞50</w:t>
                  </w:r>
                </w:p>
              </w:tc>
            </w:tr>
            <w:tr w14:paraId="03432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0" w:type="dxa"/>
                  <w:vMerge w:val="continue"/>
                  <w:vAlign w:val="center"/>
                </w:tcPr>
                <w:p w14:paraId="73EB5C2C">
                  <w:pPr>
                    <w:adjustRightInd w:val="0"/>
                    <w:snapToGrid w:val="0"/>
                    <w:jc w:val="center"/>
                    <w:rPr>
                      <w:rFonts w:hint="default" w:ascii="Times New Roman" w:hAnsi="Times New Roman" w:eastAsia="宋体" w:cs="Times New Roman"/>
                      <w:bCs/>
                      <w:color w:val="auto"/>
                      <w:szCs w:val="22"/>
                    </w:rPr>
                  </w:pPr>
                </w:p>
              </w:tc>
              <w:tc>
                <w:tcPr>
                  <w:tcW w:w="2881" w:type="dxa"/>
                  <w:vAlign w:val="center"/>
                </w:tcPr>
                <w:p w14:paraId="2B70410D">
                  <w:pPr>
                    <w:adjustRightInd w:val="0"/>
                    <w:snapToGrid w:val="0"/>
                    <w:jc w:val="center"/>
                    <w:rPr>
                      <w:rFonts w:hint="default" w:ascii="Times New Roman" w:hAnsi="Times New Roman" w:eastAsia="宋体" w:cs="Times New Roman"/>
                      <w:bCs/>
                      <w:color w:val="auto"/>
                      <w:szCs w:val="22"/>
                      <w:lang w:val="en-US" w:eastAsia="zh-CN"/>
                    </w:rPr>
                  </w:pPr>
                  <w:r>
                    <w:rPr>
                      <w:rFonts w:hint="eastAsia" w:ascii="Times New Roman" w:hAnsi="Times New Roman" w:eastAsia="宋体" w:cs="Times New Roman"/>
                      <w:bCs/>
                      <w:color w:val="auto"/>
                      <w:szCs w:val="22"/>
                      <w:lang w:val="en-US" w:eastAsia="zh-CN"/>
                    </w:rPr>
                    <w:t>蠕虫卵死亡率（%）</w:t>
                  </w:r>
                </w:p>
              </w:tc>
              <w:tc>
                <w:tcPr>
                  <w:tcW w:w="2829" w:type="dxa"/>
                  <w:vAlign w:val="center"/>
                </w:tcPr>
                <w:p w14:paraId="2708B098">
                  <w:pPr>
                    <w:adjustRightInd w:val="0"/>
                    <w:snapToGrid w:val="0"/>
                    <w:jc w:val="center"/>
                    <w:rPr>
                      <w:rFonts w:hint="default" w:ascii="Times New Roman" w:hAnsi="Times New Roman" w:eastAsia="宋体" w:cs="Times New Roman"/>
                      <w:bCs/>
                      <w:color w:val="auto"/>
                      <w:szCs w:val="22"/>
                      <w:lang w:val="en-US"/>
                    </w:rPr>
                  </w:pPr>
                  <w:r>
                    <w:rPr>
                      <w:rFonts w:hint="eastAsia" w:ascii="Times New Roman" w:hAnsi="Times New Roman" w:eastAsia="宋体" w:cs="Times New Roman"/>
                      <w:bCs/>
                      <w:color w:val="auto"/>
                      <w:szCs w:val="22"/>
                      <w:lang w:val="en-US" w:eastAsia="zh-CN"/>
                    </w:rPr>
                    <w:t>＞95</w:t>
                  </w:r>
                </w:p>
              </w:tc>
            </w:tr>
            <w:tr w14:paraId="5E7AF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0" w:type="dxa"/>
                  <w:vMerge w:val="continue"/>
                  <w:vAlign w:val="center"/>
                </w:tcPr>
                <w:p w14:paraId="7B12420D">
                  <w:pPr>
                    <w:adjustRightInd w:val="0"/>
                    <w:snapToGrid w:val="0"/>
                    <w:jc w:val="center"/>
                    <w:rPr>
                      <w:rFonts w:hint="default" w:ascii="Times New Roman" w:hAnsi="Times New Roman" w:eastAsia="宋体" w:cs="Times New Roman"/>
                      <w:bCs/>
                      <w:color w:val="auto"/>
                      <w:szCs w:val="22"/>
                    </w:rPr>
                  </w:pPr>
                </w:p>
              </w:tc>
              <w:tc>
                <w:tcPr>
                  <w:tcW w:w="2881" w:type="dxa"/>
                  <w:vAlign w:val="center"/>
                </w:tcPr>
                <w:p w14:paraId="17A51AE3">
                  <w:pPr>
                    <w:adjustRightInd w:val="0"/>
                    <w:snapToGrid w:val="0"/>
                    <w:jc w:val="center"/>
                    <w:rPr>
                      <w:rFonts w:hint="default" w:ascii="Times New Roman" w:hAnsi="Times New Roman" w:eastAsia="宋体" w:cs="Times New Roman"/>
                      <w:bCs/>
                      <w:color w:val="auto"/>
                      <w:szCs w:val="22"/>
                      <w:lang w:val="en-US" w:eastAsia="zh-CN"/>
                    </w:rPr>
                  </w:pPr>
                  <w:r>
                    <w:rPr>
                      <w:rFonts w:hint="eastAsia" w:ascii="Times New Roman" w:hAnsi="Times New Roman" w:eastAsia="宋体" w:cs="Times New Roman"/>
                      <w:bCs/>
                      <w:color w:val="auto"/>
                      <w:szCs w:val="22"/>
                      <w:lang w:val="en-US" w:eastAsia="zh-CN"/>
                    </w:rPr>
                    <w:t>粪大肠菌群菌值</w:t>
                  </w:r>
                </w:p>
              </w:tc>
              <w:tc>
                <w:tcPr>
                  <w:tcW w:w="2829" w:type="dxa"/>
                  <w:vAlign w:val="center"/>
                </w:tcPr>
                <w:p w14:paraId="00F2B1AA">
                  <w:pPr>
                    <w:adjustRightInd w:val="0"/>
                    <w:snapToGrid w:val="0"/>
                    <w:jc w:val="center"/>
                    <w:rPr>
                      <w:rFonts w:hint="default" w:ascii="Times New Roman" w:hAnsi="Times New Roman" w:eastAsia="宋体" w:cs="Times New Roman"/>
                      <w:bCs/>
                      <w:color w:val="auto"/>
                      <w:szCs w:val="22"/>
                      <w:lang w:val="en-US"/>
                    </w:rPr>
                  </w:pPr>
                  <w:r>
                    <w:rPr>
                      <w:rFonts w:hint="eastAsia" w:ascii="Times New Roman" w:hAnsi="Times New Roman" w:eastAsia="宋体" w:cs="Times New Roman"/>
                      <w:bCs/>
                      <w:color w:val="auto"/>
                      <w:szCs w:val="22"/>
                      <w:lang w:val="en-US" w:eastAsia="zh-CN"/>
                    </w:rPr>
                    <w:t>＞0.01</w:t>
                  </w:r>
                </w:p>
              </w:tc>
            </w:tr>
          </w:tbl>
          <w:p w14:paraId="5C92DBCE">
            <w:pPr>
              <w:rPr>
                <w:rFonts w:hint="default"/>
                <w:color w:val="auto"/>
                <w:lang w:val="en-US"/>
              </w:rPr>
            </w:pPr>
          </w:p>
        </w:tc>
      </w:tr>
      <w:tr w14:paraId="5E045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82" w:hRule="atLeast"/>
          <w:jc w:val="center"/>
        </w:trPr>
        <w:tc>
          <w:tcPr>
            <w:tcW w:w="916" w:type="dxa"/>
            <w:vAlign w:val="center"/>
          </w:tcPr>
          <w:p w14:paraId="5856E41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总量控制指标</w:t>
            </w:r>
          </w:p>
        </w:tc>
        <w:tc>
          <w:tcPr>
            <w:tcW w:w="8156" w:type="dxa"/>
            <w:vAlign w:val="center"/>
          </w:tcPr>
          <w:p w14:paraId="12297390">
            <w:pPr>
              <w:adjustRightInd w:val="0"/>
              <w:snapToGrid w:val="0"/>
              <w:spacing w:line="360" w:lineRule="auto"/>
              <w:ind w:firstLine="480" w:firstLineChars="200"/>
              <w:rPr>
                <w:rFonts w:hint="eastAsia" w:ascii="Times New Roman" w:hAnsi="Times New Roman" w:eastAsia="仿宋" w:cs="Times New Roman"/>
                <w:bCs/>
                <w:color w:val="auto"/>
                <w:kern w:val="0"/>
                <w:sz w:val="24"/>
                <w:szCs w:val="24"/>
                <w:lang w:val="en-US" w:eastAsia="zh-CN"/>
              </w:rPr>
            </w:pPr>
            <w:r>
              <w:rPr>
                <w:rFonts w:hint="eastAsia" w:ascii="Times New Roman" w:hAnsi="Times New Roman" w:eastAsia="仿宋" w:cs="Times New Roman"/>
                <w:bCs/>
                <w:color w:val="auto"/>
                <w:kern w:val="0"/>
                <w:sz w:val="24"/>
                <w:szCs w:val="24"/>
                <w:lang w:val="en-US" w:eastAsia="zh-CN"/>
              </w:rPr>
              <w:t>本项目为污水处理厂建设项目，污水处理处理厂最大处理能力为29.2万m</w:t>
            </w:r>
            <w:r>
              <w:rPr>
                <w:rFonts w:hint="eastAsia" w:ascii="Times New Roman" w:hAnsi="Times New Roman" w:eastAsia="仿宋" w:cs="Times New Roman"/>
                <w:bCs/>
                <w:color w:val="auto"/>
                <w:kern w:val="0"/>
                <w:sz w:val="24"/>
                <w:szCs w:val="24"/>
                <w:vertAlign w:val="superscript"/>
                <w:lang w:val="en-US" w:eastAsia="zh-CN"/>
              </w:rPr>
              <w:t>3</w:t>
            </w:r>
            <w:r>
              <w:rPr>
                <w:rFonts w:hint="eastAsia" w:ascii="Times New Roman" w:hAnsi="Times New Roman" w:eastAsia="仿宋" w:cs="Times New Roman"/>
                <w:bCs/>
                <w:color w:val="auto"/>
                <w:kern w:val="0"/>
                <w:sz w:val="24"/>
                <w:szCs w:val="24"/>
                <w:lang w:val="en-US" w:eastAsia="zh-CN"/>
              </w:rPr>
              <w:t>/a，尾水</w:t>
            </w:r>
            <w:r>
              <w:rPr>
                <w:rFonts w:hint="eastAsia" w:ascii="Times New Roman" w:hAnsi="Times New Roman" w:eastAsia="仿宋" w:cs="Times New Roman"/>
                <w:bCs/>
                <w:color w:val="auto"/>
                <w:kern w:val="0"/>
                <w:sz w:val="24"/>
                <w:szCs w:val="24"/>
                <w:lang w:eastAsia="zh-CN"/>
              </w:rPr>
              <w:t>达到</w:t>
            </w:r>
            <w:r>
              <w:rPr>
                <w:rFonts w:hint="eastAsia" w:ascii="Times New Roman" w:hAnsi="Times New Roman" w:eastAsia="仿宋" w:cs="Times New Roman"/>
                <w:bCs/>
                <w:color w:val="auto"/>
                <w:kern w:val="0"/>
                <w:sz w:val="24"/>
                <w:szCs w:val="24"/>
                <w:lang w:val="en-US" w:eastAsia="zh-CN"/>
              </w:rPr>
              <w:t>《城镇污水处理厂污染物排放标准（修改单）》(GB18918-2002)一级A标准</w:t>
            </w:r>
            <w:r>
              <w:rPr>
                <w:rFonts w:hint="eastAsia" w:ascii="Times New Roman" w:hAnsi="Times New Roman" w:eastAsia="仿宋" w:cs="Times New Roman"/>
                <w:bCs/>
                <w:color w:val="auto"/>
                <w:kern w:val="0"/>
                <w:sz w:val="24"/>
                <w:szCs w:val="24"/>
                <w:lang w:eastAsia="zh-CN"/>
              </w:rPr>
              <w:t>排入污水处理厂东北侧洪水河。根据本次评价进行污染物排放总量核算结果为</w:t>
            </w:r>
            <w:r>
              <w:rPr>
                <w:rFonts w:hint="eastAsia" w:ascii="Times New Roman" w:hAnsi="Times New Roman" w:eastAsia="仿宋" w:cs="Times New Roman"/>
                <w:bCs/>
                <w:color w:val="auto"/>
                <w:kern w:val="0"/>
                <w:sz w:val="24"/>
                <w:szCs w:val="24"/>
                <w:lang w:val="en-US" w:eastAsia="zh-CN"/>
              </w:rPr>
              <w:t>NH</w:t>
            </w:r>
            <w:r>
              <w:rPr>
                <w:rFonts w:hint="eastAsia" w:ascii="Times New Roman" w:hAnsi="Times New Roman" w:eastAsia="仿宋" w:cs="Times New Roman"/>
                <w:bCs/>
                <w:color w:val="auto"/>
                <w:kern w:val="0"/>
                <w:sz w:val="24"/>
                <w:szCs w:val="24"/>
                <w:vertAlign w:val="subscript"/>
                <w:lang w:val="en-US" w:eastAsia="zh-CN"/>
              </w:rPr>
              <w:t>3</w:t>
            </w:r>
            <w:r>
              <w:rPr>
                <w:rFonts w:hint="eastAsia" w:ascii="Times New Roman" w:hAnsi="Times New Roman" w:eastAsia="仿宋" w:cs="Times New Roman"/>
                <w:bCs/>
                <w:color w:val="auto"/>
                <w:kern w:val="0"/>
                <w:sz w:val="24"/>
                <w:szCs w:val="24"/>
                <w:lang w:val="en-US" w:eastAsia="zh-CN"/>
              </w:rPr>
              <w:t>-N:2t/a、COD：9.12t/a</w:t>
            </w:r>
            <w:r>
              <w:rPr>
                <w:rFonts w:hint="eastAsia" w:ascii="Times New Roman" w:hAnsi="Times New Roman" w:eastAsia="仿宋" w:cs="Times New Roman"/>
                <w:bCs/>
                <w:color w:val="auto"/>
                <w:kern w:val="0"/>
                <w:sz w:val="24"/>
                <w:szCs w:val="24"/>
                <w:lang w:eastAsia="zh-CN"/>
              </w:rPr>
              <w:t>。根据</w:t>
            </w:r>
            <w:r>
              <w:rPr>
                <w:rFonts w:hint="eastAsia" w:ascii="Times New Roman" w:hAnsi="Times New Roman" w:eastAsia="仿宋" w:cs="Times New Roman"/>
                <w:bCs/>
                <w:color w:val="auto"/>
                <w:kern w:val="0"/>
                <w:sz w:val="24"/>
                <w:szCs w:val="24"/>
                <w:lang w:val="en-US" w:eastAsia="zh-CN"/>
              </w:rPr>
              <w:t>污染物排污权确权核算方法，以排水执行标准中标准限值进行计算，其中COD浓度为50mg/L，NH</w:t>
            </w:r>
            <w:r>
              <w:rPr>
                <w:rFonts w:hint="eastAsia" w:ascii="Times New Roman" w:hAnsi="Times New Roman" w:eastAsia="仿宋" w:cs="Times New Roman"/>
                <w:bCs/>
                <w:color w:val="auto"/>
                <w:kern w:val="0"/>
                <w:sz w:val="24"/>
                <w:szCs w:val="24"/>
                <w:vertAlign w:val="subscript"/>
                <w:lang w:val="en-US" w:eastAsia="zh-CN"/>
              </w:rPr>
              <w:t>3</w:t>
            </w:r>
            <w:r>
              <w:rPr>
                <w:rFonts w:hint="eastAsia" w:ascii="Times New Roman" w:hAnsi="Times New Roman" w:eastAsia="仿宋" w:cs="Times New Roman"/>
                <w:bCs/>
                <w:color w:val="auto"/>
                <w:kern w:val="0"/>
                <w:sz w:val="24"/>
                <w:szCs w:val="24"/>
                <w:lang w:val="en-US" w:eastAsia="zh-CN"/>
              </w:rPr>
              <w:t>-N浓度为8mg/L。由此计算得，外排总量为：COD14.6t/a，氨氮2.336t/a。</w:t>
            </w:r>
          </w:p>
          <w:p w14:paraId="33E48F9E">
            <w:pPr>
              <w:adjustRightInd w:val="0"/>
              <w:snapToGrid w:val="0"/>
              <w:spacing w:line="360" w:lineRule="auto"/>
              <w:ind w:firstLine="480" w:firstLineChars="200"/>
              <w:rPr>
                <w:rFonts w:hint="eastAsia" w:ascii="Times New Roman" w:hAnsi="Times New Roman" w:eastAsia="仿宋" w:cs="Times New Roman"/>
                <w:bCs/>
                <w:color w:val="auto"/>
                <w:kern w:val="0"/>
                <w:sz w:val="24"/>
                <w:szCs w:val="24"/>
                <w:lang w:val="en-US" w:eastAsia="zh-CN"/>
              </w:rPr>
            </w:pPr>
            <w:r>
              <w:rPr>
                <w:rFonts w:hint="eastAsia" w:ascii="Times New Roman" w:hAnsi="Times New Roman" w:eastAsia="仿宋" w:cs="Times New Roman"/>
                <w:bCs/>
                <w:color w:val="auto"/>
                <w:kern w:val="0"/>
                <w:sz w:val="24"/>
                <w:szCs w:val="24"/>
                <w:lang w:val="en-US" w:eastAsia="zh-CN"/>
              </w:rPr>
              <w:t>由于氨氮实行倍量替代，因此，本项目最终新增污染物排污权核定量为：COD：14.6t/a，NH</w:t>
            </w:r>
            <w:r>
              <w:rPr>
                <w:rFonts w:hint="eastAsia" w:ascii="Times New Roman" w:hAnsi="Times New Roman" w:eastAsia="仿宋" w:cs="Times New Roman"/>
                <w:bCs/>
                <w:color w:val="auto"/>
                <w:kern w:val="0"/>
                <w:sz w:val="24"/>
                <w:szCs w:val="24"/>
                <w:vertAlign w:val="subscript"/>
                <w:lang w:val="en-US" w:eastAsia="zh-CN"/>
              </w:rPr>
              <w:t>3</w:t>
            </w:r>
            <w:r>
              <w:rPr>
                <w:rFonts w:hint="eastAsia" w:ascii="Times New Roman" w:hAnsi="Times New Roman" w:eastAsia="仿宋" w:cs="Times New Roman"/>
                <w:bCs/>
                <w:color w:val="auto"/>
                <w:kern w:val="0"/>
                <w:sz w:val="24"/>
                <w:szCs w:val="24"/>
                <w:lang w:val="en-US" w:eastAsia="zh-CN"/>
              </w:rPr>
              <w:t>-N：4.672t/a。</w:t>
            </w:r>
          </w:p>
          <w:p w14:paraId="071C1CD3">
            <w:pPr>
              <w:adjustRightInd w:val="0"/>
              <w:snapToGrid w:val="0"/>
              <w:spacing w:line="360" w:lineRule="auto"/>
              <w:ind w:firstLine="480" w:firstLineChars="200"/>
              <w:rPr>
                <w:rFonts w:hint="default" w:ascii="Times New Roman" w:hAnsi="Times New Roman" w:eastAsia="仿宋" w:cs="Times New Roman"/>
                <w:bCs/>
                <w:color w:val="auto"/>
                <w:kern w:val="0"/>
                <w:sz w:val="24"/>
                <w:szCs w:val="24"/>
                <w:lang w:val="en-US" w:eastAsia="zh-CN"/>
              </w:rPr>
            </w:pPr>
          </w:p>
        </w:tc>
      </w:tr>
    </w:tbl>
    <w:p w14:paraId="42451265">
      <w:pPr>
        <w:widowControl/>
        <w:jc w:val="center"/>
        <w:rPr>
          <w:rFonts w:ascii="Times New Roman" w:hAnsi="Times New Roman" w:eastAsia="黑体" w:cs="Times New Roman"/>
          <w:color w:val="auto"/>
          <w:sz w:val="30"/>
          <w:szCs w:val="30"/>
        </w:rPr>
        <w:sectPr>
          <w:pgSz w:w="11906" w:h="16838"/>
          <w:pgMar w:top="1588" w:right="1361" w:bottom="1588" w:left="136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987452">
      <w:pPr>
        <w:widowControl/>
        <w:jc w:val="center"/>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四、主要环境影响和保护措施</w:t>
      </w:r>
    </w:p>
    <w:tbl>
      <w:tblPr>
        <w:tblStyle w:val="27"/>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4"/>
        <w:gridCol w:w="8158"/>
      </w:tblGrid>
      <w:tr w14:paraId="7A9C6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14:paraId="6D83C73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施工期环境保护措施</w:t>
            </w:r>
          </w:p>
        </w:tc>
        <w:tc>
          <w:tcPr>
            <w:tcW w:w="8158" w:type="dxa"/>
            <w:vAlign w:val="center"/>
          </w:tcPr>
          <w:p w14:paraId="5D623B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eastAsia" w:ascii="仿宋_GB2312" w:hAnsi="仿宋_GB2312" w:eastAsia="仿宋_GB2312" w:cs="仿宋_GB2312"/>
                <w:color w:val="auto"/>
                <w:sz w:val="24"/>
                <w:szCs w:val="24"/>
                <w:lang w:val="en-US" w:eastAsia="zh-CN"/>
              </w:rPr>
              <w:t>本项目已建设完成，不存在施工期环境问题。</w:t>
            </w:r>
          </w:p>
        </w:tc>
      </w:tr>
      <w:tr w14:paraId="71362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20" w:hRule="atLeast"/>
          <w:jc w:val="center"/>
        </w:trPr>
        <w:tc>
          <w:tcPr>
            <w:tcW w:w="914" w:type="dxa"/>
            <w:vAlign w:val="center"/>
          </w:tcPr>
          <w:p w14:paraId="54BD3028">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运营期环境影响和保护措施</w:t>
            </w:r>
          </w:p>
        </w:tc>
        <w:tc>
          <w:tcPr>
            <w:tcW w:w="8158" w:type="dxa"/>
            <w:vAlign w:val="center"/>
          </w:tcPr>
          <w:p w14:paraId="70B62BC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1废气</w:t>
            </w:r>
          </w:p>
          <w:p w14:paraId="1E2EBD6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rPr>
              <w:t>1</w:t>
            </w:r>
            <w:r>
              <w:rPr>
                <w:rFonts w:hint="default" w:ascii="Times New Roman" w:hAnsi="Times New Roman" w:eastAsia="仿宋_GB2312" w:cs="Times New Roman"/>
                <w:b/>
                <w:color w:val="auto"/>
                <w:sz w:val="24"/>
                <w:szCs w:val="24"/>
                <w:highlight w:val="none"/>
                <w:lang w:val="en-US" w:eastAsia="zh-CN"/>
              </w:rPr>
              <w:t>.1</w:t>
            </w:r>
            <w:r>
              <w:rPr>
                <w:rFonts w:hint="default" w:ascii="Times New Roman" w:hAnsi="Times New Roman" w:eastAsia="仿宋_GB2312" w:cs="Times New Roman"/>
                <w:b/>
                <w:color w:val="auto"/>
                <w:sz w:val="24"/>
                <w:szCs w:val="24"/>
                <w:highlight w:val="none"/>
                <w:lang w:eastAsia="zh-CN"/>
              </w:rPr>
              <w:t>污染源情况</w:t>
            </w:r>
          </w:p>
          <w:p w14:paraId="4BACC0E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lang w:val="en-US" w:eastAsia="zh-CN"/>
              </w:rPr>
            </w:pPr>
            <w:r>
              <w:rPr>
                <w:rFonts w:hint="default" w:ascii="Times New Roman" w:hAnsi="Times New Roman" w:eastAsia="仿宋_GB2312" w:cs="Times New Roman"/>
                <w:b/>
                <w:bCs w:val="0"/>
                <w:color w:val="auto"/>
                <w:sz w:val="24"/>
                <w:szCs w:val="24"/>
                <w:highlight w:val="none"/>
                <w:lang w:eastAsia="zh-CN"/>
              </w:rPr>
              <w:t>⑴</w:t>
            </w:r>
            <w:r>
              <w:rPr>
                <w:rFonts w:hint="default" w:ascii="Times New Roman" w:hAnsi="Times New Roman" w:eastAsia="仿宋_GB2312" w:cs="Times New Roman"/>
                <w:b/>
                <w:bCs w:val="0"/>
                <w:color w:val="auto"/>
                <w:sz w:val="24"/>
                <w:szCs w:val="24"/>
                <w:highlight w:val="none"/>
                <w:lang w:val="en-US" w:eastAsia="zh-CN"/>
              </w:rPr>
              <w:t>产排污环节</w:t>
            </w:r>
          </w:p>
          <w:p w14:paraId="2078FF24">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仿宋_GB2312" w:cs="Times New Roman"/>
                <w:bCs/>
                <w:color w:val="auto"/>
                <w:sz w:val="24"/>
                <w:szCs w:val="24"/>
                <w:highlight w:val="none"/>
                <w:lang w:eastAsia="zh-CN"/>
              </w:rPr>
            </w:pPr>
            <w:r>
              <w:rPr>
                <w:rFonts w:hint="default" w:ascii="Times New Roman" w:hAnsi="Times New Roman" w:eastAsia="仿宋_GB2312" w:cs="Times New Roman"/>
                <w:bCs/>
                <w:color w:val="auto"/>
                <w:sz w:val="24"/>
                <w:szCs w:val="24"/>
                <w:highlight w:val="none"/>
                <w:lang w:eastAsia="zh-CN"/>
              </w:rPr>
              <w:t>①</w:t>
            </w:r>
            <w:r>
              <w:rPr>
                <w:rFonts w:hint="default" w:ascii="Times New Roman" w:hAnsi="Times New Roman" w:eastAsia="仿宋_GB2312" w:cs="Times New Roman"/>
                <w:bCs/>
                <w:color w:val="auto"/>
                <w:sz w:val="24"/>
                <w:szCs w:val="24"/>
                <w:highlight w:val="none"/>
              </w:rPr>
              <w:t>G1</w:t>
            </w:r>
          </w:p>
          <w:p w14:paraId="65B0E164">
            <w:pPr>
              <w:pStyle w:val="4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Cs/>
                <w:color w:val="auto"/>
                <w:sz w:val="24"/>
                <w:szCs w:val="24"/>
                <w:highlight w:val="none"/>
                <w:lang w:eastAsia="zh-CN"/>
              </w:rPr>
            </w:pPr>
            <w:r>
              <w:rPr>
                <w:color w:val="auto"/>
                <w:sz w:val="24"/>
                <w:szCs w:val="24"/>
                <w:lang w:val="en-GB"/>
              </w:rPr>
              <w:t>本项目废气主要为污水处理</w:t>
            </w:r>
            <w:r>
              <w:rPr>
                <w:rFonts w:hint="eastAsia"/>
                <w:color w:val="auto"/>
                <w:sz w:val="24"/>
                <w:szCs w:val="24"/>
                <w:lang w:val="en-GB" w:eastAsia="zh-CN"/>
              </w:rPr>
              <w:t>厂</w:t>
            </w:r>
            <w:r>
              <w:rPr>
                <w:color w:val="auto"/>
                <w:sz w:val="24"/>
                <w:szCs w:val="24"/>
                <w:lang w:val="en-GB"/>
              </w:rPr>
              <w:t>格栅、生物池、污泥脱水间、污泥池等的恶臭，主要成分为硫化氢、氨气、臭气浓度等。</w:t>
            </w:r>
          </w:p>
          <w:p w14:paraId="40FE81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Cs/>
                <w:color w:val="auto"/>
                <w:sz w:val="24"/>
                <w:szCs w:val="24"/>
                <w:highlight w:val="none"/>
                <w:lang w:val="en-US" w:eastAsia="zh-CN"/>
              </w:rPr>
            </w:pPr>
            <w:r>
              <w:rPr>
                <w:rFonts w:hint="eastAsia" w:ascii="Times New Roman" w:hAnsi="Times New Roman" w:eastAsia="仿宋_GB2312" w:cs="Times New Roman"/>
                <w:bCs/>
                <w:color w:val="auto"/>
                <w:sz w:val="24"/>
                <w:szCs w:val="24"/>
                <w:highlight w:val="none"/>
                <w:lang w:val="en-US" w:eastAsia="zh-CN"/>
              </w:rPr>
              <w:t>②</w:t>
            </w:r>
            <w:r>
              <w:rPr>
                <w:rFonts w:hint="default" w:ascii="Times New Roman" w:hAnsi="Times New Roman" w:eastAsia="仿宋_GB2312" w:cs="Times New Roman"/>
                <w:bCs/>
                <w:color w:val="auto"/>
                <w:sz w:val="24"/>
                <w:szCs w:val="24"/>
                <w:highlight w:val="none"/>
                <w:lang w:val="en-US" w:eastAsia="zh-CN"/>
              </w:rPr>
              <w:t>G</w:t>
            </w:r>
            <w:r>
              <w:rPr>
                <w:rFonts w:hint="eastAsia" w:ascii="Times New Roman" w:hAnsi="Times New Roman" w:eastAsia="仿宋_GB2312" w:cs="Times New Roman"/>
                <w:bCs/>
                <w:color w:val="auto"/>
                <w:sz w:val="24"/>
                <w:szCs w:val="24"/>
                <w:highlight w:val="none"/>
                <w:lang w:val="en-US" w:eastAsia="zh-CN"/>
              </w:rPr>
              <w:t>2</w:t>
            </w:r>
            <w:r>
              <w:rPr>
                <w:rFonts w:hint="default" w:ascii="Times New Roman" w:hAnsi="Times New Roman" w:eastAsia="仿宋_GB2312" w:cs="Times New Roman"/>
                <w:bCs/>
                <w:color w:val="auto"/>
                <w:sz w:val="24"/>
                <w:szCs w:val="24"/>
                <w:highlight w:val="none"/>
                <w:lang w:val="en-US" w:eastAsia="zh-CN"/>
              </w:rPr>
              <w:t>（</w:t>
            </w:r>
            <w:r>
              <w:rPr>
                <w:rFonts w:hint="eastAsia" w:ascii="Times New Roman" w:hAnsi="Times New Roman" w:eastAsia="仿宋_GB2312" w:cs="Times New Roman"/>
                <w:bCs/>
                <w:color w:val="auto"/>
                <w:sz w:val="24"/>
                <w:szCs w:val="24"/>
                <w:highlight w:val="none"/>
                <w:lang w:val="en-US" w:eastAsia="zh-CN"/>
              </w:rPr>
              <w:t>污水处理厂</w:t>
            </w:r>
            <w:r>
              <w:rPr>
                <w:rFonts w:hint="default" w:ascii="Times New Roman" w:hAnsi="Times New Roman" w:eastAsia="仿宋_GB2312" w:cs="Times New Roman"/>
                <w:bCs/>
                <w:color w:val="auto"/>
                <w:sz w:val="24"/>
                <w:szCs w:val="24"/>
                <w:highlight w:val="none"/>
                <w:lang w:val="en-US" w:eastAsia="zh-CN"/>
              </w:rPr>
              <w:t>无组织</w:t>
            </w:r>
            <w:r>
              <w:rPr>
                <w:rFonts w:hint="eastAsia" w:ascii="Times New Roman" w:hAnsi="Times New Roman" w:eastAsia="仿宋_GB2312" w:cs="Times New Roman"/>
                <w:bCs/>
                <w:color w:val="auto"/>
                <w:sz w:val="24"/>
                <w:szCs w:val="24"/>
                <w:highlight w:val="none"/>
                <w:lang w:val="en-US" w:eastAsia="zh-CN"/>
              </w:rPr>
              <w:t>废气</w:t>
            </w:r>
            <w:r>
              <w:rPr>
                <w:rFonts w:hint="default" w:ascii="Times New Roman" w:hAnsi="Times New Roman" w:eastAsia="仿宋_GB2312" w:cs="Times New Roman"/>
                <w:bCs/>
                <w:color w:val="auto"/>
                <w:sz w:val="24"/>
                <w:szCs w:val="24"/>
                <w:highlight w:val="none"/>
                <w:lang w:val="en-US" w:eastAsia="zh-CN"/>
              </w:rPr>
              <w:t>）</w:t>
            </w:r>
          </w:p>
          <w:p w14:paraId="671D5E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Cs/>
                <w:color w:val="auto"/>
                <w:sz w:val="24"/>
                <w:szCs w:val="24"/>
                <w:highlight w:val="none"/>
                <w:lang w:val="en-US" w:eastAsia="zh-CN"/>
              </w:rPr>
            </w:pPr>
            <w:r>
              <w:rPr>
                <w:rFonts w:hint="eastAsia" w:ascii="Times New Roman" w:hAnsi="Times New Roman" w:eastAsia="仿宋_GB2312" w:cs="Times New Roman"/>
                <w:bCs/>
                <w:color w:val="auto"/>
                <w:sz w:val="24"/>
                <w:szCs w:val="24"/>
                <w:highlight w:val="none"/>
                <w:vertAlign w:val="baseline"/>
                <w:lang w:val="en-US" w:eastAsia="zh-CN"/>
              </w:rPr>
              <w:t>污水处理厂各产废气环节</w:t>
            </w:r>
            <w:r>
              <w:rPr>
                <w:rFonts w:hint="default" w:ascii="Times New Roman" w:hAnsi="Times New Roman" w:eastAsia="仿宋_GB2312" w:cs="Times New Roman"/>
                <w:bCs/>
                <w:color w:val="auto"/>
                <w:sz w:val="24"/>
                <w:szCs w:val="24"/>
                <w:highlight w:val="none"/>
                <w:vertAlign w:val="baseline"/>
                <w:lang w:val="en-US" w:eastAsia="zh-CN"/>
              </w:rPr>
              <w:t>未完全收集的</w:t>
            </w:r>
            <w:r>
              <w:rPr>
                <w:rFonts w:hint="eastAsia" w:ascii="Times New Roman" w:hAnsi="Times New Roman" w:eastAsia="仿宋_GB2312" w:cs="Times New Roman"/>
                <w:bCs/>
                <w:color w:val="auto"/>
                <w:sz w:val="24"/>
                <w:szCs w:val="24"/>
                <w:highlight w:val="none"/>
                <w:vertAlign w:val="baseline"/>
                <w:lang w:val="en-US" w:eastAsia="zh-CN"/>
              </w:rPr>
              <w:t>废气</w:t>
            </w:r>
            <w:r>
              <w:rPr>
                <w:rFonts w:hint="default" w:ascii="Times New Roman" w:hAnsi="Times New Roman" w:eastAsia="仿宋_GB2312" w:cs="Times New Roman"/>
                <w:bCs/>
                <w:color w:val="auto"/>
                <w:sz w:val="24"/>
                <w:szCs w:val="24"/>
                <w:highlight w:val="none"/>
                <w:vertAlign w:val="baseline"/>
                <w:lang w:val="en-US" w:eastAsia="zh-CN"/>
              </w:rPr>
              <w:t>，以无组织形式排放。</w:t>
            </w:r>
          </w:p>
          <w:p w14:paraId="0FA7735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lang w:eastAsia="zh-CN"/>
              </w:rPr>
            </w:pPr>
            <w:r>
              <w:rPr>
                <w:rFonts w:hint="default" w:ascii="Times New Roman" w:hAnsi="Times New Roman" w:eastAsia="仿宋_GB2312" w:cs="Times New Roman"/>
                <w:b/>
                <w:bCs w:val="0"/>
                <w:color w:val="auto"/>
                <w:sz w:val="24"/>
                <w:szCs w:val="24"/>
                <w:highlight w:val="none"/>
                <w:lang w:eastAsia="zh-CN"/>
              </w:rPr>
              <w:t>⑵污染物种类</w:t>
            </w:r>
          </w:p>
          <w:p w14:paraId="2688FD5F">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lang w:eastAsia="zh-CN"/>
              </w:rPr>
              <w:t>①</w:t>
            </w:r>
            <w:r>
              <w:rPr>
                <w:rFonts w:hint="default" w:ascii="Times New Roman" w:hAnsi="Times New Roman" w:eastAsia="仿宋_GB2312" w:cs="Times New Roman"/>
                <w:bCs/>
                <w:color w:val="auto"/>
                <w:sz w:val="24"/>
                <w:szCs w:val="24"/>
                <w:highlight w:val="none"/>
              </w:rPr>
              <w:t>G1</w:t>
            </w:r>
            <w:r>
              <w:rPr>
                <w:rFonts w:hint="default" w:ascii="Times New Roman" w:hAnsi="Times New Roman" w:eastAsia="仿宋_GB2312" w:cs="Times New Roman"/>
                <w:bCs/>
                <w:color w:val="auto"/>
                <w:sz w:val="24"/>
                <w:szCs w:val="24"/>
                <w:highlight w:val="none"/>
                <w:lang w:eastAsia="zh-CN"/>
              </w:rPr>
              <w:t>、</w:t>
            </w:r>
            <w:r>
              <w:rPr>
                <w:rFonts w:hint="default" w:ascii="Times New Roman" w:hAnsi="Times New Roman" w:eastAsia="仿宋_GB2312" w:cs="Times New Roman"/>
                <w:bCs/>
                <w:color w:val="auto"/>
                <w:sz w:val="24"/>
                <w:szCs w:val="24"/>
                <w:highlight w:val="none"/>
              </w:rPr>
              <w:t>G</w:t>
            </w:r>
            <w:r>
              <w:rPr>
                <w:rFonts w:hint="default" w:ascii="Times New Roman" w:hAnsi="Times New Roman" w:eastAsia="仿宋_GB2312" w:cs="Times New Roman"/>
                <w:bCs/>
                <w:color w:val="auto"/>
                <w:sz w:val="24"/>
                <w:szCs w:val="24"/>
                <w:highlight w:val="none"/>
                <w:lang w:val="en-US" w:eastAsia="zh-CN"/>
              </w:rPr>
              <w:t>2</w:t>
            </w:r>
            <w:r>
              <w:rPr>
                <w:rFonts w:hint="default" w:ascii="Times New Roman" w:hAnsi="Times New Roman" w:eastAsia="仿宋_GB2312" w:cs="Times New Roman"/>
                <w:bCs/>
                <w:color w:val="auto"/>
                <w:sz w:val="24"/>
                <w:szCs w:val="24"/>
                <w:highlight w:val="none"/>
                <w:lang w:eastAsia="zh-CN"/>
              </w:rPr>
              <w:t>：主要污染因子为</w:t>
            </w:r>
            <w:r>
              <w:rPr>
                <w:rFonts w:hint="default" w:ascii="Times New Roman" w:hAnsi="Times New Roman" w:eastAsia="仿宋_GB2312" w:cs="Times New Roman"/>
                <w:bCs/>
                <w:color w:val="auto"/>
                <w:sz w:val="24"/>
                <w:szCs w:val="24"/>
                <w:highlight w:val="none"/>
                <w:lang w:val="en-GB" w:eastAsia="zh-CN"/>
              </w:rPr>
              <w:t>硫化氢、氨气、臭气浓度</w:t>
            </w:r>
            <w:r>
              <w:rPr>
                <w:rFonts w:hint="default" w:ascii="Times New Roman" w:hAnsi="Times New Roman" w:eastAsia="仿宋_GB2312" w:cs="Times New Roman"/>
                <w:bCs/>
                <w:color w:val="auto"/>
                <w:sz w:val="24"/>
                <w:szCs w:val="24"/>
                <w:highlight w:val="none"/>
                <w:lang w:eastAsia="zh-CN"/>
              </w:rPr>
              <w:t>。</w:t>
            </w:r>
          </w:p>
          <w:p w14:paraId="2409836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lang w:eastAsia="zh-CN"/>
              </w:rPr>
            </w:pPr>
            <w:r>
              <w:rPr>
                <w:rFonts w:hint="default" w:ascii="Times New Roman" w:hAnsi="Times New Roman" w:eastAsia="仿宋_GB2312" w:cs="Times New Roman"/>
                <w:b/>
                <w:bCs w:val="0"/>
                <w:color w:val="auto"/>
                <w:sz w:val="24"/>
                <w:szCs w:val="24"/>
                <w:highlight w:val="none"/>
                <w:lang w:eastAsia="zh-CN"/>
              </w:rPr>
              <w:t>⑵污染物产生量和产生浓度</w:t>
            </w:r>
          </w:p>
          <w:p w14:paraId="3FDA6D05">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bCs/>
                <w:color w:val="auto"/>
                <w:sz w:val="24"/>
                <w:szCs w:val="24"/>
                <w:highlight w:val="none"/>
                <w:lang w:eastAsia="zh-CN"/>
              </w:rPr>
            </w:pPr>
            <w:r>
              <w:rPr>
                <w:rFonts w:hint="default" w:ascii="Times New Roman" w:hAnsi="Times New Roman" w:eastAsia="仿宋_GB2312" w:cs="Times New Roman"/>
                <w:bCs/>
                <w:color w:val="auto"/>
                <w:sz w:val="24"/>
                <w:szCs w:val="24"/>
                <w:highlight w:val="none"/>
                <w:lang w:eastAsia="zh-CN"/>
              </w:rPr>
              <w:t>①</w:t>
            </w:r>
            <w:r>
              <w:rPr>
                <w:rFonts w:hint="default" w:ascii="Times New Roman" w:hAnsi="Times New Roman" w:eastAsia="仿宋_GB2312" w:cs="Times New Roman"/>
                <w:bCs/>
                <w:color w:val="auto"/>
                <w:sz w:val="24"/>
                <w:szCs w:val="24"/>
                <w:highlight w:val="none"/>
              </w:rPr>
              <w:t>G1</w:t>
            </w:r>
          </w:p>
          <w:p w14:paraId="71DB69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Cs/>
                <w:color w:val="auto"/>
                <w:sz w:val="24"/>
                <w:szCs w:val="24"/>
              </w:rPr>
              <w:t>在各处理单元的排污系数一般可通过单位时间内单位面积散发量表征</w:t>
            </w:r>
            <w:r>
              <w:rPr>
                <w:rFonts w:hint="eastAsia" w:ascii="Times New Roman" w:hAnsi="Times New Roman" w:eastAsia="仿宋_GB2312" w:cs="Times New Roman"/>
                <w:bCs/>
                <w:color w:val="auto"/>
                <w:sz w:val="24"/>
                <w:szCs w:val="24"/>
                <w:lang w:eastAsia="zh-CN"/>
              </w:rPr>
              <w:t>，</w:t>
            </w:r>
            <w:r>
              <w:rPr>
                <w:rFonts w:hint="default" w:ascii="Times New Roman" w:hAnsi="Times New Roman" w:eastAsia="仿宋_GB2312" w:cs="Times New Roman"/>
                <w:bCs/>
                <w:color w:val="auto"/>
                <w:sz w:val="24"/>
                <w:szCs w:val="24"/>
              </w:rPr>
              <w:t>根据设计的构筑物表面积可分别估算本项目污水处理厂的恶臭产生源强</w:t>
            </w:r>
            <w:r>
              <w:rPr>
                <w:rFonts w:hint="eastAsia" w:ascii="Times New Roman" w:hAnsi="Times New Roman" w:eastAsia="仿宋_GB2312" w:cs="Times New Roman"/>
                <w:bCs/>
                <w:color w:val="auto"/>
                <w:sz w:val="24"/>
                <w:szCs w:val="24"/>
                <w:lang w:eastAsia="zh-CN"/>
              </w:rPr>
              <w:t>；</w:t>
            </w:r>
            <w:r>
              <w:rPr>
                <w:rFonts w:hint="eastAsia" w:ascii="Times New Roman" w:hAnsi="Times New Roman" w:eastAsia="仿宋_GB2312" w:cs="Times New Roman"/>
                <w:bCs/>
                <w:color w:val="auto"/>
                <w:sz w:val="24"/>
                <w:szCs w:val="24"/>
                <w:lang w:val="en-US" w:eastAsia="zh-CN"/>
              </w:rPr>
              <w:t>本次评价污水处理厂恶臭污染物源强参考《城市污水处理厂恶臭排放特征及污染源强研究》中所列系数对本项目恶臭污染物源强进行核算，具体见表4-1</w:t>
            </w:r>
            <w:r>
              <w:rPr>
                <w:rFonts w:hint="default" w:ascii="Times New Roman" w:hAnsi="Times New Roman" w:eastAsia="仿宋_GB2312" w:cs="Times New Roman"/>
                <w:bCs/>
                <w:color w:val="auto"/>
                <w:sz w:val="24"/>
                <w:szCs w:val="24"/>
              </w:rPr>
              <w:t>。</w:t>
            </w:r>
          </w:p>
          <w:p w14:paraId="3B33B15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Cs w:val="24"/>
              </w:rPr>
            </w:pPr>
            <w:r>
              <w:rPr>
                <w:rFonts w:hint="default"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lang w:val="en-US" w:eastAsia="zh-CN"/>
              </w:rPr>
              <w:t xml:space="preserve">4-1    </w:t>
            </w:r>
            <w:r>
              <w:rPr>
                <w:rFonts w:hint="default" w:ascii="Times New Roman" w:hAnsi="Times New Roman" w:eastAsia="宋体" w:cs="Times New Roman"/>
                <w:b/>
                <w:color w:val="auto"/>
                <w:szCs w:val="24"/>
              </w:rPr>
              <w:t>污水处理构筑物单位面积恶臭污染物排放源强</w:t>
            </w:r>
          </w:p>
          <w:tbl>
            <w:tblPr>
              <w:tblStyle w:val="26"/>
              <w:tblW w:w="80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37"/>
              <w:gridCol w:w="2732"/>
              <w:gridCol w:w="2481"/>
            </w:tblGrid>
            <w:tr w14:paraId="30FEC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8" w:type="dxa"/>
                  <w:vAlign w:val="center"/>
                </w:tcPr>
                <w:p w14:paraId="6F13BC91">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构筑物名称</w:t>
                  </w:r>
                </w:p>
              </w:tc>
              <w:tc>
                <w:tcPr>
                  <w:tcW w:w="3060" w:type="dxa"/>
                  <w:vAlign w:val="center"/>
                </w:tcPr>
                <w:p w14:paraId="653A33AF">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NH</w:t>
                  </w:r>
                  <w:r>
                    <w:rPr>
                      <w:rFonts w:hint="default" w:ascii="Times New Roman" w:hAnsi="Times New Roman" w:eastAsia="宋体" w:cs="Times New Roman"/>
                      <w:b/>
                      <w:snapToGrid w:val="0"/>
                      <w:color w:val="auto"/>
                      <w:kern w:val="0"/>
                      <w:sz w:val="21"/>
                      <w:szCs w:val="21"/>
                      <w:vertAlign w:val="subscript"/>
                    </w:rPr>
                    <w:t>3</w:t>
                  </w:r>
                  <w:r>
                    <w:rPr>
                      <w:rFonts w:hint="default" w:ascii="Times New Roman" w:hAnsi="Times New Roman" w:eastAsia="宋体" w:cs="Times New Roman"/>
                      <w:b/>
                      <w:color w:val="auto"/>
                      <w:kern w:val="0"/>
                      <w:sz w:val="21"/>
                      <w:szCs w:val="21"/>
                    </w:rPr>
                    <w:t>（mg/s.m</w:t>
                  </w:r>
                  <w:r>
                    <w:rPr>
                      <w:rFonts w:hint="default" w:ascii="Times New Roman" w:hAnsi="Times New Roman" w:eastAsia="宋体" w:cs="Times New Roman"/>
                      <w:b/>
                      <w:color w:val="auto"/>
                      <w:kern w:val="0"/>
                      <w:sz w:val="21"/>
                      <w:szCs w:val="21"/>
                      <w:vertAlign w:val="superscript"/>
                    </w:rPr>
                    <w:t>2</w:t>
                  </w:r>
                  <w:r>
                    <w:rPr>
                      <w:rFonts w:hint="default" w:ascii="Times New Roman" w:hAnsi="Times New Roman" w:eastAsia="宋体" w:cs="Times New Roman"/>
                      <w:b/>
                      <w:color w:val="auto"/>
                      <w:kern w:val="0"/>
                      <w:sz w:val="21"/>
                      <w:szCs w:val="21"/>
                    </w:rPr>
                    <w:t>）</w:t>
                  </w:r>
                </w:p>
              </w:tc>
              <w:tc>
                <w:tcPr>
                  <w:tcW w:w="2776" w:type="dxa"/>
                  <w:vAlign w:val="center"/>
                </w:tcPr>
                <w:p w14:paraId="1CD6D7BC">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H</w:t>
                  </w:r>
                  <w:r>
                    <w:rPr>
                      <w:rFonts w:hint="default" w:ascii="Times New Roman" w:hAnsi="Times New Roman" w:eastAsia="宋体" w:cs="Times New Roman"/>
                      <w:b/>
                      <w:snapToGrid w:val="0"/>
                      <w:color w:val="auto"/>
                      <w:kern w:val="0"/>
                      <w:sz w:val="21"/>
                      <w:szCs w:val="21"/>
                      <w:vertAlign w:val="subscript"/>
                    </w:rPr>
                    <w:t>2</w:t>
                  </w:r>
                  <w:r>
                    <w:rPr>
                      <w:rFonts w:hint="default" w:ascii="Times New Roman" w:hAnsi="Times New Roman" w:eastAsia="宋体" w:cs="Times New Roman"/>
                      <w:b/>
                      <w:snapToGrid w:val="0"/>
                      <w:color w:val="auto"/>
                      <w:kern w:val="0"/>
                      <w:sz w:val="21"/>
                      <w:szCs w:val="21"/>
                    </w:rPr>
                    <w:t>S</w:t>
                  </w:r>
                  <w:r>
                    <w:rPr>
                      <w:rFonts w:hint="default" w:ascii="Times New Roman" w:hAnsi="Times New Roman" w:eastAsia="宋体" w:cs="Times New Roman"/>
                      <w:b/>
                      <w:color w:val="auto"/>
                      <w:kern w:val="0"/>
                      <w:sz w:val="21"/>
                      <w:szCs w:val="21"/>
                    </w:rPr>
                    <w:t>（mg/s.m</w:t>
                  </w:r>
                  <w:r>
                    <w:rPr>
                      <w:rFonts w:hint="default" w:ascii="Times New Roman" w:hAnsi="Times New Roman" w:eastAsia="宋体" w:cs="Times New Roman"/>
                      <w:b/>
                      <w:color w:val="auto"/>
                      <w:kern w:val="0"/>
                      <w:sz w:val="21"/>
                      <w:szCs w:val="21"/>
                      <w:vertAlign w:val="superscript"/>
                    </w:rPr>
                    <w:t>2</w:t>
                  </w:r>
                  <w:r>
                    <w:rPr>
                      <w:rFonts w:hint="default" w:ascii="Times New Roman" w:hAnsi="Times New Roman" w:eastAsia="宋体" w:cs="Times New Roman"/>
                      <w:b/>
                      <w:color w:val="auto"/>
                      <w:kern w:val="0"/>
                      <w:sz w:val="21"/>
                      <w:szCs w:val="21"/>
                    </w:rPr>
                    <w:t>）</w:t>
                  </w:r>
                </w:p>
              </w:tc>
            </w:tr>
            <w:tr w14:paraId="68540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8" w:type="dxa"/>
                  <w:vAlign w:val="center"/>
                </w:tcPr>
                <w:p w14:paraId="01B26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2"/>
                    </w:rPr>
                    <w:t>格栅</w:t>
                  </w:r>
                </w:p>
              </w:tc>
              <w:tc>
                <w:tcPr>
                  <w:tcW w:w="3060" w:type="dxa"/>
                  <w:vAlign w:val="center"/>
                </w:tcPr>
                <w:p w14:paraId="1B002BE8">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0.30</w:t>
                  </w:r>
                </w:p>
              </w:tc>
              <w:tc>
                <w:tcPr>
                  <w:tcW w:w="2776" w:type="dxa"/>
                  <w:vAlign w:val="center"/>
                </w:tcPr>
                <w:p w14:paraId="620CD09F">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0.00139</w:t>
                  </w:r>
                </w:p>
              </w:tc>
            </w:tr>
            <w:tr w14:paraId="6D2A3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8" w:type="dxa"/>
                  <w:vAlign w:val="center"/>
                </w:tcPr>
                <w:p w14:paraId="6E599A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2"/>
                    </w:rPr>
                    <w:t>生物池、</w:t>
                  </w:r>
                  <w:r>
                    <w:rPr>
                      <w:rFonts w:hint="default" w:ascii="Times New Roman" w:hAnsi="Times New Roman" w:eastAsia="宋体" w:cs="Times New Roman"/>
                      <w:color w:val="auto"/>
                      <w:szCs w:val="22"/>
                      <w:lang w:eastAsia="zh-CN"/>
                    </w:rPr>
                    <w:t>新型</w:t>
                  </w:r>
                  <w:r>
                    <w:rPr>
                      <w:rFonts w:hint="default" w:ascii="Times New Roman" w:hAnsi="Times New Roman" w:eastAsia="宋体" w:cs="Times New Roman"/>
                      <w:color w:val="auto"/>
                      <w:szCs w:val="22"/>
                      <w:lang w:val="en-US" w:eastAsia="zh-CN"/>
                    </w:rPr>
                    <w:t>D型滤池</w:t>
                  </w:r>
                </w:p>
              </w:tc>
              <w:tc>
                <w:tcPr>
                  <w:tcW w:w="3060" w:type="dxa"/>
                  <w:vAlign w:val="center"/>
                </w:tcPr>
                <w:p w14:paraId="76B5CB5E">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0.01</w:t>
                  </w:r>
                </w:p>
              </w:tc>
              <w:tc>
                <w:tcPr>
                  <w:tcW w:w="2776" w:type="dxa"/>
                  <w:vAlign w:val="center"/>
                </w:tcPr>
                <w:p w14:paraId="30C14C86">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0.0012</w:t>
                  </w:r>
                </w:p>
              </w:tc>
            </w:tr>
            <w:tr w14:paraId="64EC04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8" w:type="dxa"/>
                  <w:vAlign w:val="center"/>
                </w:tcPr>
                <w:p w14:paraId="62766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szCs w:val="22"/>
                    </w:rPr>
                    <w:t>污泥脱水间、污泥池</w:t>
                  </w:r>
                </w:p>
              </w:tc>
              <w:tc>
                <w:tcPr>
                  <w:tcW w:w="3060" w:type="dxa"/>
                  <w:vAlign w:val="center"/>
                </w:tcPr>
                <w:p w14:paraId="0A620C65">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0.10</w:t>
                  </w:r>
                </w:p>
              </w:tc>
              <w:tc>
                <w:tcPr>
                  <w:tcW w:w="2776" w:type="dxa"/>
                  <w:vAlign w:val="center"/>
                </w:tcPr>
                <w:p w14:paraId="6A855D6C">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0.0061</w:t>
                  </w:r>
                </w:p>
              </w:tc>
            </w:tr>
          </w:tbl>
          <w:p w14:paraId="33D4FA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根据设计的构筑物表面积可估算污水处理</w:t>
            </w:r>
            <w:r>
              <w:rPr>
                <w:rFonts w:hint="eastAsia" w:ascii="Times New Roman" w:hAnsi="Times New Roman" w:eastAsia="仿宋_GB2312" w:cs="Times New Roman"/>
                <w:color w:val="auto"/>
                <w:sz w:val="24"/>
                <w:szCs w:val="24"/>
                <w:lang w:eastAsia="zh-CN"/>
              </w:rPr>
              <w:t>厂</w:t>
            </w:r>
            <w:r>
              <w:rPr>
                <w:rFonts w:hint="default" w:ascii="Times New Roman" w:hAnsi="Times New Roman" w:eastAsia="仿宋_GB2312" w:cs="Times New Roman"/>
                <w:color w:val="auto"/>
                <w:sz w:val="24"/>
                <w:szCs w:val="24"/>
              </w:rPr>
              <w:t>的恶臭产生排放源强如表</w:t>
            </w:r>
            <w:r>
              <w:rPr>
                <w:rFonts w:hint="eastAsia" w:ascii="Times New Roman" w:hAnsi="Times New Roman" w:eastAsia="仿宋_GB2312" w:cs="Times New Roman"/>
                <w:color w:val="auto"/>
                <w:sz w:val="24"/>
                <w:szCs w:val="24"/>
                <w:lang w:val="en-US" w:eastAsia="zh-CN"/>
              </w:rPr>
              <w:t>4-2</w:t>
            </w:r>
            <w:r>
              <w:rPr>
                <w:rFonts w:hint="default" w:ascii="Times New Roman" w:hAnsi="Times New Roman" w:eastAsia="仿宋_GB2312" w:cs="Times New Roman"/>
                <w:color w:val="auto"/>
                <w:sz w:val="24"/>
                <w:szCs w:val="24"/>
              </w:rPr>
              <w:t>。</w:t>
            </w:r>
          </w:p>
          <w:p w14:paraId="218BEBA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lang w:val="en-US" w:eastAsia="zh-CN"/>
              </w:rPr>
              <w:t xml:space="preserve">4-2    </w:t>
            </w:r>
            <w:r>
              <w:rPr>
                <w:rFonts w:hint="default" w:ascii="Times New Roman" w:hAnsi="Times New Roman" w:eastAsia="宋体" w:cs="Times New Roman"/>
                <w:b/>
                <w:snapToGrid w:val="0"/>
                <w:color w:val="auto"/>
                <w:kern w:val="0"/>
              </w:rPr>
              <w:t>建设项目恶臭污染物产生源强一览表</w:t>
            </w:r>
          </w:p>
          <w:tbl>
            <w:tblPr>
              <w:tblStyle w:val="26"/>
              <w:tblW w:w="80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4"/>
              <w:gridCol w:w="1012"/>
              <w:gridCol w:w="837"/>
              <w:gridCol w:w="837"/>
              <w:gridCol w:w="837"/>
              <w:gridCol w:w="837"/>
              <w:gridCol w:w="838"/>
              <w:gridCol w:w="838"/>
            </w:tblGrid>
            <w:tr w14:paraId="3B815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9" w:type="dxa"/>
                  <w:vMerge w:val="restart"/>
                  <w:vAlign w:val="center"/>
                </w:tcPr>
                <w:p w14:paraId="4430681D">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构筑物名称</w:t>
                  </w:r>
                </w:p>
              </w:tc>
              <w:tc>
                <w:tcPr>
                  <w:tcW w:w="1133" w:type="dxa"/>
                  <w:vMerge w:val="restart"/>
                  <w:vAlign w:val="center"/>
                </w:tcPr>
                <w:p w14:paraId="2E7A9E90">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面积</w:t>
                  </w:r>
                </w:p>
                <w:p w14:paraId="3ED81BB4">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（m</w:t>
                  </w:r>
                  <w:r>
                    <w:rPr>
                      <w:rFonts w:hint="default" w:ascii="Times New Roman" w:hAnsi="Times New Roman" w:eastAsia="宋体" w:cs="Times New Roman"/>
                      <w:b/>
                      <w:snapToGrid w:val="0"/>
                      <w:color w:val="auto"/>
                      <w:kern w:val="0"/>
                      <w:sz w:val="21"/>
                      <w:szCs w:val="21"/>
                      <w:vertAlign w:val="superscript"/>
                    </w:rPr>
                    <w:t>2</w:t>
                  </w:r>
                  <w:r>
                    <w:rPr>
                      <w:rFonts w:hint="default" w:ascii="Times New Roman" w:hAnsi="Times New Roman" w:eastAsia="宋体" w:cs="Times New Roman"/>
                      <w:b/>
                      <w:snapToGrid w:val="0"/>
                      <w:color w:val="auto"/>
                      <w:kern w:val="0"/>
                      <w:sz w:val="21"/>
                      <w:szCs w:val="21"/>
                    </w:rPr>
                    <w:t>）</w:t>
                  </w:r>
                </w:p>
              </w:tc>
              <w:tc>
                <w:tcPr>
                  <w:tcW w:w="2796" w:type="dxa"/>
                  <w:gridSpan w:val="3"/>
                  <w:vAlign w:val="center"/>
                </w:tcPr>
                <w:p w14:paraId="159FA4F2">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NH</w:t>
                  </w:r>
                  <w:r>
                    <w:rPr>
                      <w:rFonts w:hint="default" w:ascii="Times New Roman" w:hAnsi="Times New Roman" w:eastAsia="宋体" w:cs="Times New Roman"/>
                      <w:b/>
                      <w:snapToGrid w:val="0"/>
                      <w:color w:val="auto"/>
                      <w:kern w:val="0"/>
                      <w:sz w:val="21"/>
                      <w:szCs w:val="21"/>
                      <w:vertAlign w:val="subscript"/>
                    </w:rPr>
                    <w:t>3</w:t>
                  </w:r>
                </w:p>
              </w:tc>
              <w:tc>
                <w:tcPr>
                  <w:tcW w:w="2796" w:type="dxa"/>
                  <w:gridSpan w:val="3"/>
                  <w:vAlign w:val="center"/>
                </w:tcPr>
                <w:p w14:paraId="5B5F31E0">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H</w:t>
                  </w:r>
                  <w:r>
                    <w:rPr>
                      <w:rFonts w:hint="default" w:ascii="Times New Roman" w:hAnsi="Times New Roman" w:eastAsia="宋体" w:cs="Times New Roman"/>
                      <w:b/>
                      <w:snapToGrid w:val="0"/>
                      <w:color w:val="auto"/>
                      <w:kern w:val="0"/>
                      <w:sz w:val="21"/>
                      <w:szCs w:val="21"/>
                      <w:vertAlign w:val="subscript"/>
                    </w:rPr>
                    <w:t>2</w:t>
                  </w:r>
                  <w:r>
                    <w:rPr>
                      <w:rFonts w:hint="default" w:ascii="Times New Roman" w:hAnsi="Times New Roman" w:eastAsia="宋体" w:cs="Times New Roman"/>
                      <w:b/>
                      <w:snapToGrid w:val="0"/>
                      <w:color w:val="auto"/>
                      <w:kern w:val="0"/>
                      <w:sz w:val="21"/>
                      <w:szCs w:val="21"/>
                    </w:rPr>
                    <w:t>S</w:t>
                  </w:r>
                </w:p>
              </w:tc>
            </w:tr>
            <w:tr w14:paraId="47CCBE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9" w:type="dxa"/>
                  <w:vMerge w:val="continue"/>
                  <w:vAlign w:val="center"/>
                </w:tcPr>
                <w:p w14:paraId="587DF504">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p>
              </w:tc>
              <w:tc>
                <w:tcPr>
                  <w:tcW w:w="1133" w:type="dxa"/>
                  <w:vMerge w:val="continue"/>
                  <w:vAlign w:val="center"/>
                </w:tcPr>
                <w:p w14:paraId="14016D3F">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p>
              </w:tc>
              <w:tc>
                <w:tcPr>
                  <w:tcW w:w="932" w:type="dxa"/>
                  <w:vAlign w:val="center"/>
                </w:tcPr>
                <w:p w14:paraId="00CC05D2">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color w:val="auto"/>
                      <w:kern w:val="0"/>
                      <w:sz w:val="21"/>
                      <w:szCs w:val="21"/>
                    </w:rPr>
                    <w:t>mg/s</w:t>
                  </w:r>
                </w:p>
              </w:tc>
              <w:tc>
                <w:tcPr>
                  <w:tcW w:w="932" w:type="dxa"/>
                  <w:vAlign w:val="center"/>
                </w:tcPr>
                <w:p w14:paraId="61257C8B">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kg/h</w:t>
                  </w:r>
                </w:p>
              </w:tc>
              <w:tc>
                <w:tcPr>
                  <w:tcW w:w="932" w:type="dxa"/>
                  <w:vAlign w:val="center"/>
                </w:tcPr>
                <w:p w14:paraId="30FCFD11">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snapToGrid w:val="0"/>
                      <w:color w:val="auto"/>
                      <w:kern w:val="0"/>
                      <w:sz w:val="21"/>
                      <w:szCs w:val="21"/>
                    </w:rPr>
                    <w:t>t/a</w:t>
                  </w:r>
                </w:p>
              </w:tc>
              <w:tc>
                <w:tcPr>
                  <w:tcW w:w="932" w:type="dxa"/>
                  <w:vAlign w:val="center"/>
                </w:tcPr>
                <w:p w14:paraId="64C265BB">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color w:val="auto"/>
                      <w:kern w:val="0"/>
                      <w:sz w:val="21"/>
                      <w:szCs w:val="21"/>
                    </w:rPr>
                    <w:t>mg/s</w:t>
                  </w:r>
                </w:p>
              </w:tc>
              <w:tc>
                <w:tcPr>
                  <w:tcW w:w="932" w:type="dxa"/>
                  <w:vAlign w:val="center"/>
                </w:tcPr>
                <w:p w14:paraId="58C89303">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kg/h</w:t>
                  </w:r>
                </w:p>
              </w:tc>
              <w:tc>
                <w:tcPr>
                  <w:tcW w:w="932" w:type="dxa"/>
                  <w:vAlign w:val="center"/>
                </w:tcPr>
                <w:p w14:paraId="6CC9DCA0">
                  <w:pPr>
                    <w:pStyle w:val="7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t/a</w:t>
                  </w:r>
                </w:p>
              </w:tc>
            </w:tr>
            <w:tr w14:paraId="4037C2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9" w:type="dxa"/>
                  <w:vAlign w:val="center"/>
                </w:tcPr>
                <w:p w14:paraId="25F582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eastAsia="zh-CN"/>
                    </w:rPr>
                    <w:t>预处理车间</w:t>
                  </w:r>
                </w:p>
              </w:tc>
              <w:tc>
                <w:tcPr>
                  <w:tcW w:w="1133" w:type="dxa"/>
                  <w:vAlign w:val="center"/>
                </w:tcPr>
                <w:p w14:paraId="407DE8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284.24</w:t>
                  </w:r>
                </w:p>
              </w:tc>
              <w:tc>
                <w:tcPr>
                  <w:tcW w:w="932" w:type="dxa"/>
                  <w:vAlign w:val="center"/>
                </w:tcPr>
                <w:p w14:paraId="2C10D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85.27</w:t>
                  </w:r>
                </w:p>
              </w:tc>
              <w:tc>
                <w:tcPr>
                  <w:tcW w:w="932" w:type="dxa"/>
                  <w:vAlign w:val="center"/>
                </w:tcPr>
                <w:p w14:paraId="7D3FA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0.31</w:t>
                  </w:r>
                </w:p>
              </w:tc>
              <w:tc>
                <w:tcPr>
                  <w:tcW w:w="932" w:type="dxa"/>
                  <w:vAlign w:val="center"/>
                </w:tcPr>
                <w:p w14:paraId="5C0351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2.72</w:t>
                  </w:r>
                </w:p>
              </w:tc>
              <w:tc>
                <w:tcPr>
                  <w:tcW w:w="932" w:type="dxa"/>
                  <w:vAlign w:val="center"/>
                </w:tcPr>
                <w:p w14:paraId="2EC1F8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0.40</w:t>
                  </w:r>
                </w:p>
              </w:tc>
              <w:tc>
                <w:tcPr>
                  <w:tcW w:w="932" w:type="dxa"/>
                  <w:vAlign w:val="center"/>
                </w:tcPr>
                <w:p w14:paraId="4598B6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0.0014</w:t>
                  </w:r>
                </w:p>
              </w:tc>
              <w:tc>
                <w:tcPr>
                  <w:tcW w:w="932" w:type="dxa"/>
                  <w:vAlign w:val="center"/>
                </w:tcPr>
                <w:p w14:paraId="211635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0.012</w:t>
                  </w:r>
                </w:p>
              </w:tc>
            </w:tr>
            <w:tr w14:paraId="640FF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9" w:type="dxa"/>
                  <w:vAlign w:val="center"/>
                </w:tcPr>
                <w:p w14:paraId="44BEF2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生物反应池</w:t>
                  </w:r>
                </w:p>
              </w:tc>
              <w:tc>
                <w:tcPr>
                  <w:tcW w:w="1133" w:type="dxa"/>
                  <w:vAlign w:val="center"/>
                </w:tcPr>
                <w:p w14:paraId="7A7A94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376</w:t>
                  </w:r>
                </w:p>
              </w:tc>
              <w:tc>
                <w:tcPr>
                  <w:tcW w:w="932" w:type="dxa"/>
                  <w:vAlign w:val="center"/>
                </w:tcPr>
                <w:p w14:paraId="4487C9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3.76</w:t>
                  </w:r>
                </w:p>
              </w:tc>
              <w:tc>
                <w:tcPr>
                  <w:tcW w:w="932" w:type="dxa"/>
                  <w:vAlign w:val="center"/>
                </w:tcPr>
                <w:p w14:paraId="259FC3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0.014</w:t>
                  </w:r>
                </w:p>
              </w:tc>
              <w:tc>
                <w:tcPr>
                  <w:tcW w:w="932" w:type="dxa"/>
                  <w:vAlign w:val="center"/>
                </w:tcPr>
                <w:p w14:paraId="34FBA6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0.12</w:t>
                  </w:r>
                </w:p>
              </w:tc>
              <w:tc>
                <w:tcPr>
                  <w:tcW w:w="932" w:type="dxa"/>
                  <w:vAlign w:val="center"/>
                </w:tcPr>
                <w:p w14:paraId="104FA9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0.45</w:t>
                  </w:r>
                </w:p>
              </w:tc>
              <w:tc>
                <w:tcPr>
                  <w:tcW w:w="932" w:type="dxa"/>
                  <w:vAlign w:val="center"/>
                </w:tcPr>
                <w:p w14:paraId="69A56E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0.0016</w:t>
                  </w:r>
                </w:p>
              </w:tc>
              <w:tc>
                <w:tcPr>
                  <w:tcW w:w="932" w:type="dxa"/>
                  <w:vAlign w:val="center"/>
                </w:tcPr>
                <w:p w14:paraId="091CC3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0.014</w:t>
                  </w:r>
                </w:p>
              </w:tc>
            </w:tr>
            <w:tr w14:paraId="52AAE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9" w:type="dxa"/>
                  <w:vAlign w:val="center"/>
                </w:tcPr>
                <w:p w14:paraId="279F32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贮泥池及脱水机房</w:t>
                  </w:r>
                </w:p>
              </w:tc>
              <w:tc>
                <w:tcPr>
                  <w:tcW w:w="1133" w:type="dxa"/>
                  <w:vAlign w:val="center"/>
                </w:tcPr>
                <w:p w14:paraId="1A07FB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33.2</w:t>
                  </w:r>
                </w:p>
              </w:tc>
              <w:tc>
                <w:tcPr>
                  <w:tcW w:w="932" w:type="dxa"/>
                  <w:vAlign w:val="center"/>
                </w:tcPr>
                <w:p w14:paraId="7E7209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3.21</w:t>
                  </w:r>
                </w:p>
              </w:tc>
              <w:tc>
                <w:tcPr>
                  <w:tcW w:w="932" w:type="dxa"/>
                  <w:vAlign w:val="center"/>
                </w:tcPr>
                <w:p w14:paraId="08FE4D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0.012</w:t>
                  </w:r>
                </w:p>
              </w:tc>
              <w:tc>
                <w:tcPr>
                  <w:tcW w:w="932" w:type="dxa"/>
                  <w:vAlign w:val="center"/>
                </w:tcPr>
                <w:p w14:paraId="685A4B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0.11</w:t>
                  </w:r>
                </w:p>
              </w:tc>
              <w:tc>
                <w:tcPr>
                  <w:tcW w:w="932" w:type="dxa"/>
                  <w:vAlign w:val="center"/>
                </w:tcPr>
                <w:p w14:paraId="056E4E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0.20</w:t>
                  </w:r>
                </w:p>
              </w:tc>
              <w:tc>
                <w:tcPr>
                  <w:tcW w:w="932" w:type="dxa"/>
                  <w:vAlign w:val="center"/>
                </w:tcPr>
                <w:p w14:paraId="5823E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0.0012</w:t>
                  </w:r>
                </w:p>
              </w:tc>
              <w:tc>
                <w:tcPr>
                  <w:tcW w:w="932" w:type="dxa"/>
                  <w:vAlign w:val="center"/>
                </w:tcPr>
                <w:p w14:paraId="686347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0.011</w:t>
                  </w:r>
                </w:p>
              </w:tc>
            </w:tr>
            <w:tr w14:paraId="49C856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22" w:type="dxa"/>
                  <w:gridSpan w:val="2"/>
                  <w:vAlign w:val="center"/>
                </w:tcPr>
                <w:p w14:paraId="19DB0EDE">
                  <w:pPr>
                    <w:pStyle w:val="7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合计</w:t>
                  </w:r>
                </w:p>
              </w:tc>
              <w:tc>
                <w:tcPr>
                  <w:tcW w:w="932" w:type="dxa"/>
                  <w:vAlign w:val="center"/>
                </w:tcPr>
                <w:p w14:paraId="1D3D0379">
                  <w:pPr>
                    <w:pStyle w:val="7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92.24</w:t>
                  </w:r>
                </w:p>
              </w:tc>
              <w:tc>
                <w:tcPr>
                  <w:tcW w:w="932" w:type="dxa"/>
                  <w:vAlign w:val="center"/>
                </w:tcPr>
                <w:p w14:paraId="68C722B5">
                  <w:pPr>
                    <w:pStyle w:val="7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0.33</w:t>
                  </w:r>
                </w:p>
              </w:tc>
              <w:tc>
                <w:tcPr>
                  <w:tcW w:w="932" w:type="dxa"/>
                  <w:vAlign w:val="center"/>
                </w:tcPr>
                <w:p w14:paraId="4EE79E53">
                  <w:pPr>
                    <w:pStyle w:val="7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2.95</w:t>
                  </w:r>
                </w:p>
              </w:tc>
              <w:tc>
                <w:tcPr>
                  <w:tcW w:w="932" w:type="dxa"/>
                  <w:vAlign w:val="center"/>
                </w:tcPr>
                <w:p w14:paraId="7086E2EF">
                  <w:pPr>
                    <w:pStyle w:val="7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1.05</w:t>
                  </w:r>
                </w:p>
              </w:tc>
              <w:tc>
                <w:tcPr>
                  <w:tcW w:w="932" w:type="dxa"/>
                  <w:vAlign w:val="center"/>
                </w:tcPr>
                <w:p w14:paraId="05026E79">
                  <w:pPr>
                    <w:pStyle w:val="7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0.0032</w:t>
                  </w:r>
                </w:p>
              </w:tc>
              <w:tc>
                <w:tcPr>
                  <w:tcW w:w="932" w:type="dxa"/>
                  <w:vAlign w:val="center"/>
                </w:tcPr>
                <w:p w14:paraId="4C658E29">
                  <w:pPr>
                    <w:pStyle w:val="7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0.037</w:t>
                  </w:r>
                </w:p>
              </w:tc>
            </w:tr>
          </w:tbl>
          <w:p w14:paraId="2440EA63">
            <w:pPr>
              <w:pStyle w:val="3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auto"/>
                <w:kern w:val="24"/>
                <w:sz w:val="24"/>
                <w:szCs w:val="24"/>
                <w:lang w:val="en-US" w:eastAsia="zh-CN"/>
              </w:rPr>
            </w:pPr>
            <w:r>
              <w:rPr>
                <w:rFonts w:hint="default" w:ascii="Times New Roman" w:hAnsi="Times New Roman" w:eastAsia="仿宋_GB2312" w:cs="Times New Roman"/>
                <w:color w:val="auto"/>
                <w:sz w:val="24"/>
                <w:szCs w:val="24"/>
                <w:lang w:bidi="ar"/>
              </w:rPr>
              <w:t>由此可见，本项目恶臭污染物NH</w:t>
            </w:r>
            <w:r>
              <w:rPr>
                <w:rFonts w:hint="default" w:ascii="Times New Roman" w:hAnsi="Times New Roman" w:eastAsia="仿宋_GB2312" w:cs="Times New Roman"/>
                <w:color w:val="auto"/>
                <w:sz w:val="24"/>
                <w:szCs w:val="24"/>
                <w:vertAlign w:val="subscript"/>
                <w:lang w:bidi="ar"/>
              </w:rPr>
              <w:t>3</w:t>
            </w:r>
            <w:r>
              <w:rPr>
                <w:rFonts w:hint="default" w:ascii="Times New Roman" w:hAnsi="Times New Roman" w:eastAsia="仿宋_GB2312" w:cs="Times New Roman"/>
                <w:color w:val="auto"/>
                <w:sz w:val="24"/>
                <w:szCs w:val="24"/>
                <w:lang w:bidi="ar"/>
              </w:rPr>
              <w:t>的产生量约0.</w:t>
            </w:r>
            <w:r>
              <w:rPr>
                <w:rFonts w:hint="default" w:ascii="Times New Roman" w:hAnsi="Times New Roman" w:eastAsia="仿宋_GB2312" w:cs="Times New Roman"/>
                <w:color w:val="auto"/>
                <w:sz w:val="24"/>
                <w:szCs w:val="24"/>
                <w:lang w:val="en-US" w:eastAsia="zh-CN" w:bidi="ar"/>
              </w:rPr>
              <w:t>33</w:t>
            </w:r>
            <w:r>
              <w:rPr>
                <w:rFonts w:hint="default" w:ascii="Times New Roman" w:hAnsi="Times New Roman" w:eastAsia="仿宋_GB2312" w:cs="Times New Roman"/>
                <w:color w:val="auto"/>
                <w:sz w:val="24"/>
                <w:szCs w:val="24"/>
                <w:lang w:bidi="ar"/>
              </w:rPr>
              <w:t>kg/h（</w:t>
            </w:r>
            <w:r>
              <w:rPr>
                <w:rFonts w:hint="default" w:ascii="Times New Roman" w:hAnsi="Times New Roman" w:eastAsia="仿宋_GB2312" w:cs="Times New Roman"/>
                <w:color w:val="auto"/>
                <w:sz w:val="24"/>
                <w:szCs w:val="24"/>
                <w:lang w:val="en-US" w:eastAsia="zh-CN" w:bidi="ar"/>
              </w:rPr>
              <w:t>2.95</w:t>
            </w:r>
            <w:r>
              <w:rPr>
                <w:rFonts w:hint="default" w:ascii="Times New Roman" w:hAnsi="Times New Roman" w:eastAsia="仿宋_GB2312" w:cs="Times New Roman"/>
                <w:color w:val="auto"/>
                <w:sz w:val="24"/>
                <w:szCs w:val="24"/>
                <w:lang w:bidi="ar"/>
              </w:rPr>
              <w:t>t/a），H</w:t>
            </w:r>
            <w:r>
              <w:rPr>
                <w:rFonts w:hint="default" w:ascii="Times New Roman" w:hAnsi="Times New Roman" w:eastAsia="仿宋_GB2312" w:cs="Times New Roman"/>
                <w:color w:val="auto"/>
                <w:sz w:val="24"/>
                <w:szCs w:val="24"/>
                <w:vertAlign w:val="subscript"/>
                <w:lang w:bidi="ar"/>
              </w:rPr>
              <w:t>2</w:t>
            </w:r>
            <w:r>
              <w:rPr>
                <w:rFonts w:hint="default" w:ascii="Times New Roman" w:hAnsi="Times New Roman" w:eastAsia="仿宋_GB2312" w:cs="Times New Roman"/>
                <w:color w:val="auto"/>
                <w:sz w:val="24"/>
                <w:szCs w:val="24"/>
                <w:lang w:bidi="ar"/>
              </w:rPr>
              <w:t>S的产生量约</w:t>
            </w:r>
            <w:r>
              <w:rPr>
                <w:rFonts w:hint="default" w:ascii="Times New Roman" w:hAnsi="Times New Roman" w:eastAsia="仿宋_GB2312" w:cs="Times New Roman"/>
                <w:color w:val="auto"/>
                <w:sz w:val="24"/>
                <w:szCs w:val="24"/>
                <w:lang w:val="en-US" w:eastAsia="zh-CN" w:bidi="ar"/>
              </w:rPr>
              <w:t>0.0032</w:t>
            </w:r>
            <w:r>
              <w:rPr>
                <w:rFonts w:hint="default" w:ascii="Times New Roman" w:hAnsi="Times New Roman" w:eastAsia="仿宋_GB2312" w:cs="Times New Roman"/>
                <w:color w:val="auto"/>
                <w:sz w:val="24"/>
                <w:szCs w:val="24"/>
                <w:lang w:bidi="ar"/>
              </w:rPr>
              <w:t>kg/h（0.</w:t>
            </w:r>
            <w:r>
              <w:rPr>
                <w:rFonts w:hint="default" w:ascii="Times New Roman" w:hAnsi="Times New Roman" w:eastAsia="仿宋_GB2312" w:cs="Times New Roman"/>
                <w:color w:val="auto"/>
                <w:sz w:val="24"/>
                <w:szCs w:val="24"/>
                <w:lang w:val="en-US" w:eastAsia="zh-CN" w:bidi="ar"/>
              </w:rPr>
              <w:t>037</w:t>
            </w:r>
            <w:r>
              <w:rPr>
                <w:rFonts w:hint="default" w:ascii="Times New Roman" w:hAnsi="Times New Roman" w:eastAsia="仿宋_GB2312" w:cs="Times New Roman"/>
                <w:color w:val="auto"/>
                <w:sz w:val="24"/>
                <w:szCs w:val="24"/>
                <w:lang w:bidi="ar"/>
              </w:rPr>
              <w:t>t/a）</w:t>
            </w:r>
            <w:r>
              <w:rPr>
                <w:rFonts w:hint="default" w:ascii="Times New Roman" w:hAnsi="Times New Roman" w:eastAsia="仿宋_GB2312" w:cs="Times New Roman"/>
                <w:color w:val="auto"/>
                <w:kern w:val="24"/>
                <w:sz w:val="24"/>
                <w:szCs w:val="24"/>
                <w:lang w:val="en-US" w:eastAsia="zh-CN"/>
              </w:rPr>
              <w:t>。</w:t>
            </w:r>
          </w:p>
          <w:p w14:paraId="01EF2E47">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bCs/>
                <w:color w:val="auto"/>
                <w:sz w:val="24"/>
                <w:szCs w:val="24"/>
                <w:highlight w:val="none"/>
                <w:lang w:val="en-US" w:eastAsia="zh-CN"/>
              </w:rPr>
            </w:pPr>
            <w:r>
              <w:rPr>
                <w:rFonts w:hint="default" w:ascii="Times New Roman" w:hAnsi="Times New Roman" w:eastAsia="仿宋_GB2312" w:cs="Times New Roman"/>
                <w:bCs/>
                <w:color w:val="auto"/>
                <w:sz w:val="24"/>
                <w:szCs w:val="24"/>
                <w:highlight w:val="none"/>
                <w:lang w:eastAsia="zh-CN"/>
              </w:rPr>
              <w:t>②</w:t>
            </w:r>
            <w:r>
              <w:rPr>
                <w:rFonts w:hint="default" w:ascii="Times New Roman" w:hAnsi="Times New Roman" w:eastAsia="仿宋_GB2312" w:cs="Times New Roman"/>
                <w:bCs/>
                <w:color w:val="auto"/>
                <w:sz w:val="24"/>
                <w:szCs w:val="24"/>
                <w:highlight w:val="none"/>
              </w:rPr>
              <w:t>G</w:t>
            </w:r>
            <w:r>
              <w:rPr>
                <w:rFonts w:hint="default" w:ascii="Times New Roman" w:hAnsi="Times New Roman" w:eastAsia="仿宋_GB2312" w:cs="Times New Roman"/>
                <w:bCs/>
                <w:color w:val="auto"/>
                <w:sz w:val="24"/>
                <w:szCs w:val="24"/>
                <w:highlight w:val="none"/>
                <w:lang w:val="en-US" w:eastAsia="zh-CN"/>
              </w:rPr>
              <w:t>2（污水处理</w:t>
            </w:r>
            <w:r>
              <w:rPr>
                <w:rFonts w:hint="eastAsia" w:eastAsia="仿宋_GB2312" w:cs="Times New Roman"/>
                <w:bCs/>
                <w:color w:val="auto"/>
                <w:sz w:val="24"/>
                <w:szCs w:val="24"/>
                <w:highlight w:val="none"/>
                <w:lang w:val="en-US" w:eastAsia="zh-CN"/>
              </w:rPr>
              <w:t>厂</w:t>
            </w:r>
            <w:r>
              <w:rPr>
                <w:rFonts w:hint="default" w:ascii="Times New Roman" w:hAnsi="Times New Roman" w:eastAsia="仿宋_GB2312" w:cs="Times New Roman"/>
                <w:bCs/>
                <w:color w:val="auto"/>
                <w:sz w:val="24"/>
                <w:szCs w:val="24"/>
                <w:highlight w:val="none"/>
                <w:lang w:val="en-US" w:eastAsia="zh-CN"/>
              </w:rPr>
              <w:t>无组织废气）</w:t>
            </w:r>
          </w:p>
          <w:p w14:paraId="0F7BB0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color w:val="auto"/>
                <w:kern w:val="44"/>
                <w:sz w:val="24"/>
                <w:szCs w:val="24"/>
                <w:lang w:bidi="ar"/>
              </w:rPr>
              <w:t>针对污水处理厂恶臭源，项目</w:t>
            </w:r>
            <w:r>
              <w:rPr>
                <w:rFonts w:hint="default" w:ascii="Times New Roman" w:hAnsi="Times New Roman" w:eastAsia="仿宋_GB2312" w:cs="Times New Roman"/>
                <w:color w:val="auto"/>
                <w:kern w:val="44"/>
                <w:sz w:val="24"/>
                <w:szCs w:val="24"/>
                <w:lang w:eastAsia="zh-CN" w:bidi="ar"/>
              </w:rPr>
              <w:t>预处理车间</w:t>
            </w:r>
            <w:r>
              <w:rPr>
                <w:rFonts w:hint="default" w:ascii="Times New Roman" w:hAnsi="Times New Roman" w:eastAsia="仿宋_GB2312" w:cs="Times New Roman"/>
                <w:color w:val="auto"/>
                <w:kern w:val="44"/>
                <w:sz w:val="24"/>
                <w:szCs w:val="24"/>
                <w:lang w:bidi="ar"/>
              </w:rPr>
              <w:t>、</w:t>
            </w:r>
            <w:r>
              <w:rPr>
                <w:rFonts w:hint="default" w:ascii="Times New Roman" w:hAnsi="Times New Roman" w:eastAsia="仿宋_GB2312" w:cs="Times New Roman"/>
                <w:color w:val="auto"/>
                <w:kern w:val="44"/>
                <w:sz w:val="24"/>
                <w:szCs w:val="24"/>
                <w:lang w:eastAsia="zh-CN" w:bidi="ar"/>
              </w:rPr>
              <w:t>生物反应池</w:t>
            </w:r>
            <w:r>
              <w:rPr>
                <w:rFonts w:hint="default" w:ascii="Times New Roman" w:hAnsi="Times New Roman" w:eastAsia="仿宋_GB2312" w:cs="Times New Roman"/>
                <w:color w:val="auto"/>
                <w:kern w:val="44"/>
                <w:sz w:val="24"/>
                <w:szCs w:val="24"/>
                <w:lang w:bidi="ar"/>
              </w:rPr>
              <w:t>、污泥池等主要构筑物均位于地下式或半地下式，采用全封闭方式</w:t>
            </w:r>
            <w:r>
              <w:rPr>
                <w:rFonts w:hint="default" w:ascii="Times New Roman" w:hAnsi="Times New Roman" w:eastAsia="仿宋_GB2312" w:cs="Times New Roman"/>
                <w:color w:val="auto"/>
                <w:kern w:val="44"/>
                <w:sz w:val="24"/>
                <w:szCs w:val="24"/>
                <w:lang w:eastAsia="zh-CN" w:bidi="ar"/>
              </w:rPr>
              <w:t>，废气</w:t>
            </w:r>
            <w:r>
              <w:rPr>
                <w:rFonts w:hint="default" w:ascii="Times New Roman" w:hAnsi="Times New Roman" w:eastAsia="仿宋_GB2312" w:cs="Times New Roman"/>
                <w:color w:val="auto"/>
                <w:kern w:val="44"/>
                <w:sz w:val="24"/>
                <w:szCs w:val="24"/>
                <w:lang w:bidi="ar"/>
              </w:rPr>
              <w:t>通过风管收集（收集效率98%，风量3000m</w:t>
            </w:r>
            <w:r>
              <w:rPr>
                <w:rFonts w:hint="default" w:ascii="Times New Roman" w:hAnsi="Times New Roman" w:eastAsia="仿宋_GB2312" w:cs="Times New Roman"/>
                <w:color w:val="auto"/>
                <w:kern w:val="44"/>
                <w:sz w:val="24"/>
                <w:szCs w:val="24"/>
                <w:vertAlign w:val="superscript"/>
                <w:lang w:bidi="ar"/>
              </w:rPr>
              <w:t>3</w:t>
            </w:r>
            <w:r>
              <w:rPr>
                <w:rFonts w:hint="default" w:ascii="Times New Roman" w:hAnsi="Times New Roman" w:eastAsia="仿宋_GB2312" w:cs="Times New Roman"/>
                <w:color w:val="auto"/>
                <w:kern w:val="44"/>
                <w:sz w:val="24"/>
                <w:szCs w:val="24"/>
                <w:lang w:bidi="ar"/>
              </w:rPr>
              <w:t>/d），则项目无组织恶臭污染物</w:t>
            </w:r>
            <w:r>
              <w:rPr>
                <w:rFonts w:hint="default" w:ascii="Times New Roman" w:hAnsi="Times New Roman" w:eastAsia="仿宋_GB2312" w:cs="Times New Roman"/>
                <w:color w:val="auto"/>
                <w:sz w:val="24"/>
                <w:szCs w:val="24"/>
                <w:lang w:bidi="ar"/>
              </w:rPr>
              <w:t>NH</w:t>
            </w:r>
            <w:r>
              <w:rPr>
                <w:rFonts w:hint="default" w:ascii="Times New Roman" w:hAnsi="Times New Roman" w:eastAsia="仿宋_GB2312" w:cs="Times New Roman"/>
                <w:color w:val="auto"/>
                <w:sz w:val="24"/>
                <w:szCs w:val="24"/>
                <w:vertAlign w:val="subscript"/>
                <w:lang w:bidi="ar"/>
              </w:rPr>
              <w:t>3</w:t>
            </w:r>
            <w:r>
              <w:rPr>
                <w:rFonts w:hint="default" w:ascii="Times New Roman" w:hAnsi="Times New Roman" w:eastAsia="仿宋_GB2312" w:cs="Times New Roman"/>
                <w:color w:val="auto"/>
                <w:sz w:val="24"/>
                <w:szCs w:val="24"/>
                <w:lang w:bidi="ar"/>
              </w:rPr>
              <w:t>的</w:t>
            </w:r>
            <w:r>
              <w:rPr>
                <w:rFonts w:hint="default" w:ascii="Times New Roman" w:hAnsi="Times New Roman" w:eastAsia="仿宋_GB2312" w:cs="Times New Roman"/>
                <w:color w:val="auto"/>
                <w:sz w:val="24"/>
                <w:szCs w:val="24"/>
                <w:lang w:eastAsia="zh-CN" w:bidi="ar"/>
              </w:rPr>
              <w:t>产生</w:t>
            </w:r>
            <w:r>
              <w:rPr>
                <w:rFonts w:hint="default" w:ascii="Times New Roman" w:hAnsi="Times New Roman" w:eastAsia="仿宋_GB2312" w:cs="Times New Roman"/>
                <w:color w:val="auto"/>
                <w:sz w:val="24"/>
                <w:szCs w:val="24"/>
                <w:lang w:bidi="ar"/>
              </w:rPr>
              <w:t>量约</w:t>
            </w:r>
            <w:r>
              <w:rPr>
                <w:rFonts w:hint="default" w:ascii="Times New Roman" w:hAnsi="Times New Roman" w:eastAsia="仿宋_GB2312" w:cs="Times New Roman"/>
                <w:color w:val="auto"/>
                <w:sz w:val="24"/>
                <w:szCs w:val="24"/>
                <w:lang w:val="en-US" w:eastAsia="zh-CN" w:bidi="ar"/>
              </w:rPr>
              <w:t>0.0066</w:t>
            </w:r>
            <w:r>
              <w:rPr>
                <w:rFonts w:hint="default" w:ascii="Times New Roman" w:hAnsi="Times New Roman" w:eastAsia="仿宋_GB2312" w:cs="Times New Roman"/>
                <w:color w:val="auto"/>
                <w:sz w:val="24"/>
                <w:szCs w:val="24"/>
                <w:lang w:bidi="ar"/>
              </w:rPr>
              <w:t>kg/h，H</w:t>
            </w:r>
            <w:r>
              <w:rPr>
                <w:rFonts w:hint="default" w:ascii="Times New Roman" w:hAnsi="Times New Roman" w:eastAsia="仿宋_GB2312" w:cs="Times New Roman"/>
                <w:color w:val="auto"/>
                <w:sz w:val="24"/>
                <w:szCs w:val="24"/>
                <w:vertAlign w:val="subscript"/>
                <w:lang w:bidi="ar"/>
              </w:rPr>
              <w:t>2</w:t>
            </w:r>
            <w:r>
              <w:rPr>
                <w:rFonts w:hint="default" w:ascii="Times New Roman" w:hAnsi="Times New Roman" w:eastAsia="仿宋_GB2312" w:cs="Times New Roman"/>
                <w:color w:val="auto"/>
                <w:sz w:val="24"/>
                <w:szCs w:val="24"/>
                <w:lang w:bidi="ar"/>
              </w:rPr>
              <w:t>S的</w:t>
            </w:r>
            <w:r>
              <w:rPr>
                <w:rFonts w:hint="default" w:ascii="Times New Roman" w:hAnsi="Times New Roman" w:eastAsia="仿宋_GB2312" w:cs="Times New Roman"/>
                <w:color w:val="auto"/>
                <w:sz w:val="24"/>
                <w:szCs w:val="24"/>
                <w:lang w:eastAsia="zh-CN" w:bidi="ar"/>
              </w:rPr>
              <w:t>产生</w:t>
            </w:r>
            <w:r>
              <w:rPr>
                <w:rFonts w:hint="default" w:ascii="Times New Roman" w:hAnsi="Times New Roman" w:eastAsia="仿宋_GB2312" w:cs="Times New Roman"/>
                <w:color w:val="auto"/>
                <w:sz w:val="24"/>
                <w:szCs w:val="24"/>
                <w:lang w:bidi="ar"/>
              </w:rPr>
              <w:t>量约</w:t>
            </w:r>
            <w:r>
              <w:rPr>
                <w:rFonts w:hint="default" w:ascii="Times New Roman" w:hAnsi="Times New Roman" w:eastAsia="仿宋_GB2312" w:cs="Times New Roman"/>
                <w:color w:val="auto"/>
                <w:sz w:val="24"/>
                <w:szCs w:val="24"/>
                <w:lang w:val="en-US" w:eastAsia="zh-CN" w:bidi="ar"/>
              </w:rPr>
              <w:t>0.000064</w:t>
            </w:r>
            <w:r>
              <w:rPr>
                <w:rFonts w:hint="default" w:ascii="Times New Roman" w:hAnsi="Times New Roman" w:eastAsia="仿宋_GB2312" w:cs="Times New Roman"/>
                <w:color w:val="auto"/>
                <w:sz w:val="24"/>
                <w:szCs w:val="24"/>
                <w:lang w:bidi="ar"/>
              </w:rPr>
              <w:t>kg/h</w:t>
            </w:r>
            <w:r>
              <w:rPr>
                <w:rFonts w:hint="default" w:ascii="Times New Roman" w:hAnsi="Times New Roman" w:eastAsia="仿宋_GB2312" w:cs="Times New Roman"/>
                <w:color w:val="auto"/>
                <w:sz w:val="24"/>
                <w:szCs w:val="24"/>
                <w:lang w:eastAsia="zh-CN" w:bidi="ar"/>
              </w:rPr>
              <w:t>。</w:t>
            </w:r>
          </w:p>
          <w:p w14:paraId="3455525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vertAlign w:val="baseline"/>
                <w:lang w:val="en-US" w:eastAsia="zh-CN"/>
              </w:rPr>
            </w:pPr>
            <w:r>
              <w:rPr>
                <w:rFonts w:hint="default" w:ascii="Times New Roman" w:hAnsi="Times New Roman" w:eastAsia="仿宋_GB2312" w:cs="Times New Roman"/>
                <w:b/>
                <w:color w:val="auto"/>
                <w:sz w:val="24"/>
                <w:szCs w:val="24"/>
                <w:highlight w:val="none"/>
              </w:rPr>
              <w:t>1</w:t>
            </w:r>
            <w:r>
              <w:rPr>
                <w:rFonts w:hint="default" w:ascii="Times New Roman" w:hAnsi="Times New Roman" w:eastAsia="仿宋_GB2312" w:cs="Times New Roman"/>
                <w:b/>
                <w:color w:val="auto"/>
                <w:sz w:val="24"/>
                <w:szCs w:val="24"/>
                <w:highlight w:val="none"/>
                <w:lang w:val="en-US" w:eastAsia="zh-CN"/>
              </w:rPr>
              <w:t>.2.2 治理措施</w:t>
            </w:r>
          </w:p>
          <w:p w14:paraId="2813F2BA">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仿宋_GB2312" w:cs="Times New Roman"/>
                <w:b/>
                <w:bCs w:val="0"/>
                <w:color w:val="auto"/>
                <w:sz w:val="24"/>
                <w:szCs w:val="24"/>
                <w:highlight w:val="none"/>
                <w:lang w:eastAsia="zh-CN"/>
              </w:rPr>
            </w:pPr>
            <w:r>
              <w:rPr>
                <w:rFonts w:hint="default" w:ascii="Times New Roman" w:hAnsi="Times New Roman" w:eastAsia="仿宋_GB2312" w:cs="Times New Roman"/>
                <w:b/>
                <w:bCs w:val="0"/>
                <w:color w:val="auto"/>
                <w:sz w:val="24"/>
                <w:szCs w:val="24"/>
                <w:highlight w:val="none"/>
                <w:lang w:eastAsia="zh-CN"/>
              </w:rPr>
              <w:t>⑴有组织废气</w:t>
            </w:r>
          </w:p>
          <w:p w14:paraId="7318DD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Cs/>
                <w:color w:val="auto"/>
                <w:sz w:val="24"/>
                <w:szCs w:val="24"/>
                <w:highlight w:val="none"/>
                <w:vertAlign w:val="baseline"/>
                <w:lang w:val="en-US" w:eastAsia="zh-CN"/>
              </w:rPr>
            </w:pPr>
            <w:r>
              <w:rPr>
                <w:rFonts w:hint="default" w:ascii="Times New Roman" w:hAnsi="Times New Roman" w:eastAsia="仿宋_GB2312" w:cs="Times New Roman"/>
                <w:bCs/>
                <w:color w:val="auto"/>
                <w:sz w:val="24"/>
                <w:szCs w:val="24"/>
                <w:highlight w:val="none"/>
                <w:lang w:eastAsia="zh-CN"/>
              </w:rPr>
              <w:t>①G1针对污水处理厂恶臭源，项目格栅、生物池、深床滤池、污泥池等主要构筑物均位于地下式或半地下式，采用全封闭方式，恶臭气体通过风管收集后采用生物除臭滤池工艺进行处理，生物除臭滤池工艺去除效率为90%，净化后的废气通过15m排气筒高空排放。</w:t>
            </w:r>
          </w:p>
          <w:p w14:paraId="6761C7B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vertAlign w:val="baseline"/>
                <w:lang w:val="en-US" w:eastAsia="zh-CN"/>
              </w:rPr>
            </w:pPr>
            <w:r>
              <w:rPr>
                <w:rFonts w:hint="default" w:ascii="Times New Roman" w:hAnsi="Times New Roman" w:eastAsia="仿宋_GB2312" w:cs="Times New Roman"/>
                <w:b/>
                <w:color w:val="auto"/>
                <w:sz w:val="24"/>
                <w:szCs w:val="24"/>
                <w:highlight w:val="none"/>
              </w:rPr>
              <w:t>1</w:t>
            </w:r>
            <w:r>
              <w:rPr>
                <w:rFonts w:hint="default" w:ascii="Times New Roman" w:hAnsi="Times New Roman" w:eastAsia="仿宋_GB2312" w:cs="Times New Roman"/>
                <w:b/>
                <w:color w:val="auto"/>
                <w:sz w:val="24"/>
                <w:szCs w:val="24"/>
                <w:highlight w:val="none"/>
                <w:lang w:val="en-US" w:eastAsia="zh-CN"/>
              </w:rPr>
              <w:t>.2.3污染物排放浓度</w:t>
            </w:r>
            <w:r>
              <w:rPr>
                <w:rFonts w:hint="default" w:ascii="Times New Roman" w:hAnsi="Times New Roman" w:eastAsia="仿宋_GB2312" w:cs="Times New Roman"/>
                <w:b/>
                <w:bCs w:val="0"/>
                <w:color w:val="auto"/>
                <w:sz w:val="24"/>
                <w:szCs w:val="24"/>
                <w:highlight w:val="none"/>
                <w:vertAlign w:val="baseline"/>
                <w:lang w:val="en-US" w:eastAsia="zh-CN"/>
              </w:rPr>
              <w:t>（速率）及排放量</w:t>
            </w:r>
          </w:p>
          <w:p w14:paraId="25196450">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仿宋_GB2312" w:cs="Times New Roman"/>
                <w:b/>
                <w:bCs w:val="0"/>
                <w:color w:val="auto"/>
                <w:sz w:val="24"/>
                <w:szCs w:val="24"/>
                <w:highlight w:val="none"/>
                <w:lang w:eastAsia="zh-CN"/>
              </w:rPr>
            </w:pPr>
            <w:r>
              <w:rPr>
                <w:rFonts w:hint="default" w:ascii="Times New Roman" w:hAnsi="Times New Roman" w:eastAsia="仿宋_GB2312" w:cs="Times New Roman"/>
                <w:b/>
                <w:bCs w:val="0"/>
                <w:color w:val="auto"/>
                <w:sz w:val="24"/>
                <w:szCs w:val="24"/>
                <w:highlight w:val="none"/>
                <w:lang w:eastAsia="zh-CN"/>
              </w:rPr>
              <w:t>⑴有组织排放</w:t>
            </w:r>
          </w:p>
          <w:p w14:paraId="4939EC6E">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bCs/>
                <w:color w:val="auto"/>
                <w:sz w:val="24"/>
                <w:szCs w:val="24"/>
                <w:highlight w:val="none"/>
                <w:lang w:eastAsia="zh-CN"/>
              </w:rPr>
            </w:pPr>
            <w:r>
              <w:rPr>
                <w:rFonts w:hint="default" w:ascii="Times New Roman" w:hAnsi="Times New Roman" w:eastAsia="仿宋_GB2312" w:cs="Times New Roman"/>
                <w:bCs/>
                <w:color w:val="auto"/>
                <w:sz w:val="24"/>
                <w:szCs w:val="24"/>
                <w:highlight w:val="none"/>
                <w:lang w:eastAsia="zh-CN"/>
              </w:rPr>
              <w:t>①</w:t>
            </w:r>
            <w:r>
              <w:rPr>
                <w:rFonts w:hint="default" w:ascii="Times New Roman" w:hAnsi="Times New Roman" w:eastAsia="仿宋_GB2312" w:cs="Times New Roman"/>
                <w:bCs/>
                <w:color w:val="auto"/>
                <w:sz w:val="24"/>
                <w:szCs w:val="24"/>
                <w:highlight w:val="none"/>
              </w:rPr>
              <w:t>G1</w:t>
            </w:r>
          </w:p>
          <w:p w14:paraId="50681030">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_GB2312" w:cs="Times New Roman"/>
                <w:bCs/>
                <w:color w:val="auto"/>
                <w:sz w:val="24"/>
                <w:szCs w:val="24"/>
                <w:highlight w:val="none"/>
                <w:lang w:eastAsia="zh-CN"/>
              </w:rPr>
            </w:pPr>
            <w:r>
              <w:rPr>
                <w:rFonts w:hint="default" w:ascii="Times New Roman" w:hAnsi="Times New Roman" w:eastAsia="仿宋_GB2312" w:cs="Times New Roman"/>
                <w:bCs/>
                <w:color w:val="auto"/>
                <w:sz w:val="24"/>
                <w:szCs w:val="24"/>
                <w:highlight w:val="none"/>
                <w:lang w:eastAsia="zh-CN"/>
              </w:rPr>
              <w:t>恶臭气体通过风管收集</w:t>
            </w:r>
            <w:r>
              <w:rPr>
                <w:rFonts w:hint="default" w:ascii="Times New Roman" w:hAnsi="Times New Roman" w:eastAsia="仿宋_GB2312" w:cs="Times New Roman"/>
                <w:color w:val="auto"/>
                <w:kern w:val="44"/>
                <w:sz w:val="24"/>
                <w:szCs w:val="24"/>
                <w:lang w:bidi="ar"/>
              </w:rPr>
              <w:t>（收集效率98%，风量3000m</w:t>
            </w:r>
            <w:r>
              <w:rPr>
                <w:rFonts w:hint="default" w:ascii="Times New Roman" w:hAnsi="Times New Roman" w:eastAsia="仿宋_GB2312" w:cs="Times New Roman"/>
                <w:color w:val="auto"/>
                <w:kern w:val="44"/>
                <w:sz w:val="24"/>
                <w:szCs w:val="24"/>
                <w:vertAlign w:val="superscript"/>
                <w:lang w:bidi="ar"/>
              </w:rPr>
              <w:t>3</w:t>
            </w:r>
            <w:r>
              <w:rPr>
                <w:rFonts w:hint="default" w:ascii="Times New Roman" w:hAnsi="Times New Roman" w:eastAsia="仿宋_GB2312" w:cs="Times New Roman"/>
                <w:color w:val="auto"/>
                <w:kern w:val="44"/>
                <w:sz w:val="24"/>
                <w:szCs w:val="24"/>
                <w:lang w:bidi="ar"/>
              </w:rPr>
              <w:t>/d）</w:t>
            </w:r>
            <w:r>
              <w:rPr>
                <w:rFonts w:hint="default" w:ascii="Times New Roman" w:hAnsi="Times New Roman" w:eastAsia="仿宋_GB2312" w:cs="Times New Roman"/>
                <w:bCs/>
                <w:color w:val="auto"/>
                <w:sz w:val="24"/>
                <w:szCs w:val="24"/>
                <w:highlight w:val="none"/>
                <w:lang w:eastAsia="zh-CN"/>
              </w:rPr>
              <w:t>后采用生物除臭滤池工艺进行处理，生物除臭滤池工艺去除效率为90%，NH</w:t>
            </w:r>
            <w:r>
              <w:rPr>
                <w:rFonts w:hint="default" w:ascii="Times New Roman" w:hAnsi="Times New Roman" w:eastAsia="仿宋_GB2312" w:cs="Times New Roman"/>
                <w:bCs/>
                <w:color w:val="auto"/>
                <w:sz w:val="24"/>
                <w:szCs w:val="24"/>
                <w:highlight w:val="none"/>
                <w:vertAlign w:val="subscript"/>
                <w:lang w:eastAsia="zh-CN"/>
              </w:rPr>
              <w:t>3</w:t>
            </w:r>
            <w:r>
              <w:rPr>
                <w:rFonts w:hint="default" w:ascii="Times New Roman" w:hAnsi="Times New Roman" w:eastAsia="仿宋_GB2312" w:cs="Times New Roman"/>
                <w:bCs/>
                <w:color w:val="auto"/>
                <w:sz w:val="24"/>
                <w:szCs w:val="24"/>
                <w:highlight w:val="none"/>
                <w:lang w:eastAsia="zh-CN"/>
              </w:rPr>
              <w:t>的排放量约</w:t>
            </w:r>
            <w:r>
              <w:rPr>
                <w:rFonts w:hint="default" w:ascii="Times New Roman" w:hAnsi="Times New Roman" w:eastAsia="仿宋_GB2312" w:cs="Times New Roman"/>
                <w:bCs/>
                <w:color w:val="auto"/>
                <w:sz w:val="24"/>
                <w:szCs w:val="24"/>
                <w:highlight w:val="none"/>
                <w:lang w:val="en-US" w:eastAsia="zh-CN"/>
              </w:rPr>
              <w:t>0.032</w:t>
            </w:r>
            <w:r>
              <w:rPr>
                <w:rFonts w:hint="default" w:ascii="Times New Roman" w:hAnsi="Times New Roman" w:eastAsia="仿宋_GB2312" w:cs="Times New Roman"/>
                <w:bCs/>
                <w:color w:val="auto"/>
                <w:sz w:val="24"/>
                <w:szCs w:val="24"/>
                <w:highlight w:val="none"/>
                <w:lang w:eastAsia="zh-CN"/>
              </w:rPr>
              <w:t>kg/h，H</w:t>
            </w:r>
            <w:r>
              <w:rPr>
                <w:rFonts w:hint="default" w:ascii="Times New Roman" w:hAnsi="Times New Roman" w:eastAsia="仿宋_GB2312" w:cs="Times New Roman"/>
                <w:bCs/>
                <w:color w:val="auto"/>
                <w:sz w:val="24"/>
                <w:szCs w:val="24"/>
                <w:highlight w:val="none"/>
                <w:vertAlign w:val="subscript"/>
                <w:lang w:eastAsia="zh-CN"/>
              </w:rPr>
              <w:t>2</w:t>
            </w:r>
            <w:r>
              <w:rPr>
                <w:rFonts w:hint="default" w:ascii="Times New Roman" w:hAnsi="Times New Roman" w:eastAsia="仿宋_GB2312" w:cs="Times New Roman"/>
                <w:bCs/>
                <w:color w:val="auto"/>
                <w:sz w:val="24"/>
                <w:szCs w:val="24"/>
                <w:highlight w:val="none"/>
                <w:lang w:eastAsia="zh-CN"/>
              </w:rPr>
              <w:t>S的排放量约</w:t>
            </w:r>
            <w:r>
              <w:rPr>
                <w:rFonts w:hint="default" w:ascii="Times New Roman" w:hAnsi="Times New Roman" w:eastAsia="仿宋_GB2312" w:cs="Times New Roman"/>
                <w:bCs/>
                <w:color w:val="auto"/>
                <w:sz w:val="24"/>
                <w:szCs w:val="24"/>
                <w:highlight w:val="none"/>
                <w:lang w:val="en-US" w:eastAsia="zh-CN"/>
              </w:rPr>
              <w:t>0.0003</w:t>
            </w:r>
            <w:r>
              <w:rPr>
                <w:rFonts w:hint="default" w:ascii="Times New Roman" w:hAnsi="Times New Roman" w:eastAsia="仿宋_GB2312" w:cs="Times New Roman"/>
                <w:bCs/>
                <w:color w:val="auto"/>
                <w:sz w:val="24"/>
                <w:szCs w:val="24"/>
                <w:highlight w:val="none"/>
                <w:lang w:eastAsia="zh-CN"/>
              </w:rPr>
              <w:t>kg/h。</w:t>
            </w:r>
          </w:p>
          <w:p w14:paraId="72DB1C13">
            <w:pPr>
              <w:pStyle w:val="48"/>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仿宋_GB2312" w:cs="Times New Roman"/>
                <w:b/>
                <w:bCs w:val="0"/>
                <w:color w:val="auto"/>
                <w:sz w:val="24"/>
                <w:szCs w:val="24"/>
                <w:highlight w:val="none"/>
                <w:lang w:eastAsia="zh-CN"/>
              </w:rPr>
            </w:pPr>
            <w:r>
              <w:rPr>
                <w:rFonts w:hint="eastAsia" w:ascii="Times New Roman" w:hAnsi="Times New Roman" w:eastAsia="仿宋_GB2312" w:cs="Times New Roman"/>
                <w:b/>
                <w:bCs w:val="0"/>
                <w:color w:val="auto"/>
                <w:sz w:val="24"/>
                <w:szCs w:val="24"/>
                <w:highlight w:val="none"/>
                <w:lang w:eastAsia="zh-CN"/>
              </w:rPr>
              <w:t>⑵无</w:t>
            </w:r>
            <w:r>
              <w:rPr>
                <w:rFonts w:hint="default" w:ascii="Times New Roman" w:hAnsi="Times New Roman" w:eastAsia="仿宋_GB2312" w:cs="Times New Roman"/>
                <w:b/>
                <w:bCs w:val="0"/>
                <w:color w:val="auto"/>
                <w:sz w:val="24"/>
                <w:szCs w:val="24"/>
                <w:highlight w:val="none"/>
                <w:lang w:eastAsia="zh-CN"/>
              </w:rPr>
              <w:t>组织排放</w:t>
            </w:r>
          </w:p>
          <w:p w14:paraId="43086859">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仿宋_GB2312" w:cs="Times New Roman"/>
                <w:b w:val="0"/>
                <w:bCs/>
                <w:color w:val="auto"/>
                <w:spacing w:val="-10"/>
                <w:sz w:val="24"/>
                <w:szCs w:val="24"/>
                <w:highlight w:val="none"/>
              </w:rPr>
            </w:pPr>
            <w:r>
              <w:rPr>
                <w:rFonts w:hint="default" w:ascii="Times New Roman" w:hAnsi="Times New Roman" w:eastAsia="仿宋_GB2312" w:cs="Times New Roman"/>
                <w:b w:val="0"/>
                <w:bCs/>
                <w:color w:val="auto"/>
                <w:spacing w:val="-10"/>
                <w:sz w:val="24"/>
                <w:szCs w:val="24"/>
                <w:highlight w:val="none"/>
              </w:rPr>
              <w:t>项目无组织恶臭污染物NH</w:t>
            </w:r>
            <w:r>
              <w:rPr>
                <w:rFonts w:hint="default" w:ascii="Times New Roman" w:hAnsi="Times New Roman" w:eastAsia="仿宋_GB2312" w:cs="Times New Roman"/>
                <w:b w:val="0"/>
                <w:bCs/>
                <w:color w:val="auto"/>
                <w:spacing w:val="-10"/>
                <w:sz w:val="24"/>
                <w:szCs w:val="24"/>
                <w:highlight w:val="none"/>
                <w:vertAlign w:val="subscript"/>
              </w:rPr>
              <w:t>3</w:t>
            </w:r>
            <w:r>
              <w:rPr>
                <w:rFonts w:hint="default" w:ascii="Times New Roman" w:hAnsi="Times New Roman" w:eastAsia="仿宋_GB2312" w:cs="Times New Roman"/>
                <w:b w:val="0"/>
                <w:bCs/>
                <w:color w:val="auto"/>
                <w:spacing w:val="-10"/>
                <w:sz w:val="24"/>
                <w:szCs w:val="24"/>
                <w:highlight w:val="none"/>
              </w:rPr>
              <w:t>的</w:t>
            </w:r>
            <w:r>
              <w:rPr>
                <w:rFonts w:hint="default" w:ascii="Times New Roman" w:hAnsi="Times New Roman" w:eastAsia="仿宋_GB2312" w:cs="Times New Roman"/>
                <w:b w:val="0"/>
                <w:bCs/>
                <w:color w:val="auto"/>
                <w:spacing w:val="-10"/>
                <w:sz w:val="24"/>
                <w:szCs w:val="24"/>
                <w:highlight w:val="none"/>
                <w:lang w:eastAsia="zh-CN"/>
              </w:rPr>
              <w:t>排放</w:t>
            </w:r>
            <w:r>
              <w:rPr>
                <w:rFonts w:hint="default" w:ascii="Times New Roman" w:hAnsi="Times New Roman" w:eastAsia="仿宋_GB2312" w:cs="Times New Roman"/>
                <w:b w:val="0"/>
                <w:bCs/>
                <w:color w:val="auto"/>
                <w:spacing w:val="-10"/>
                <w:sz w:val="24"/>
                <w:szCs w:val="24"/>
                <w:highlight w:val="none"/>
              </w:rPr>
              <w:t>量约</w:t>
            </w:r>
            <w:r>
              <w:rPr>
                <w:rFonts w:hint="default" w:ascii="Times New Roman" w:hAnsi="Times New Roman" w:eastAsia="仿宋_GB2312" w:cs="Times New Roman"/>
                <w:b w:val="0"/>
                <w:bCs/>
                <w:color w:val="auto"/>
                <w:spacing w:val="-10"/>
                <w:sz w:val="24"/>
                <w:szCs w:val="24"/>
                <w:highlight w:val="none"/>
                <w:lang w:val="en-US" w:eastAsia="zh-CN"/>
              </w:rPr>
              <w:t>0.0066</w:t>
            </w:r>
            <w:r>
              <w:rPr>
                <w:rFonts w:hint="default" w:ascii="Times New Roman" w:hAnsi="Times New Roman" w:eastAsia="仿宋_GB2312" w:cs="Times New Roman"/>
                <w:b w:val="0"/>
                <w:bCs/>
                <w:color w:val="auto"/>
                <w:spacing w:val="-10"/>
                <w:sz w:val="24"/>
                <w:szCs w:val="24"/>
                <w:highlight w:val="none"/>
              </w:rPr>
              <w:t>kg/h，H</w:t>
            </w:r>
            <w:r>
              <w:rPr>
                <w:rFonts w:hint="default" w:ascii="Times New Roman" w:hAnsi="Times New Roman" w:eastAsia="仿宋_GB2312" w:cs="Times New Roman"/>
                <w:b w:val="0"/>
                <w:bCs/>
                <w:color w:val="auto"/>
                <w:spacing w:val="-10"/>
                <w:sz w:val="24"/>
                <w:szCs w:val="24"/>
                <w:highlight w:val="none"/>
                <w:vertAlign w:val="subscript"/>
              </w:rPr>
              <w:t>2</w:t>
            </w:r>
            <w:r>
              <w:rPr>
                <w:rFonts w:hint="default" w:ascii="Times New Roman" w:hAnsi="Times New Roman" w:eastAsia="仿宋_GB2312" w:cs="Times New Roman"/>
                <w:b w:val="0"/>
                <w:bCs/>
                <w:color w:val="auto"/>
                <w:spacing w:val="-10"/>
                <w:sz w:val="24"/>
                <w:szCs w:val="24"/>
                <w:highlight w:val="none"/>
              </w:rPr>
              <w:t>S的</w:t>
            </w:r>
            <w:r>
              <w:rPr>
                <w:rFonts w:hint="default" w:ascii="Times New Roman" w:hAnsi="Times New Roman" w:eastAsia="仿宋_GB2312" w:cs="Times New Roman"/>
                <w:b w:val="0"/>
                <w:bCs/>
                <w:color w:val="auto"/>
                <w:spacing w:val="-10"/>
                <w:sz w:val="24"/>
                <w:szCs w:val="24"/>
                <w:highlight w:val="none"/>
                <w:lang w:eastAsia="zh-CN"/>
              </w:rPr>
              <w:t>排放</w:t>
            </w:r>
            <w:r>
              <w:rPr>
                <w:rFonts w:hint="default" w:ascii="Times New Roman" w:hAnsi="Times New Roman" w:eastAsia="仿宋_GB2312" w:cs="Times New Roman"/>
                <w:b w:val="0"/>
                <w:bCs/>
                <w:color w:val="auto"/>
                <w:spacing w:val="-10"/>
                <w:sz w:val="24"/>
                <w:szCs w:val="24"/>
                <w:highlight w:val="none"/>
              </w:rPr>
              <w:t>量约</w:t>
            </w:r>
            <w:r>
              <w:rPr>
                <w:rFonts w:hint="default" w:ascii="Times New Roman" w:hAnsi="Times New Roman" w:eastAsia="仿宋_GB2312" w:cs="Times New Roman"/>
                <w:b w:val="0"/>
                <w:bCs/>
                <w:color w:val="auto"/>
                <w:spacing w:val="-10"/>
                <w:sz w:val="24"/>
                <w:szCs w:val="24"/>
                <w:highlight w:val="none"/>
                <w:lang w:val="en-US" w:eastAsia="zh-CN"/>
              </w:rPr>
              <w:t>0.000064</w:t>
            </w:r>
            <w:r>
              <w:rPr>
                <w:rFonts w:hint="default" w:ascii="Times New Roman" w:hAnsi="Times New Roman" w:eastAsia="仿宋_GB2312" w:cs="Times New Roman"/>
                <w:b w:val="0"/>
                <w:bCs/>
                <w:color w:val="auto"/>
                <w:spacing w:val="-10"/>
                <w:sz w:val="24"/>
                <w:szCs w:val="24"/>
                <w:highlight w:val="none"/>
              </w:rPr>
              <w:t>kg/h</w:t>
            </w:r>
            <w:r>
              <w:rPr>
                <w:rFonts w:hint="default" w:ascii="Times New Roman" w:hAnsi="Times New Roman" w:eastAsia="仿宋_GB2312" w:cs="Times New Roman"/>
                <w:b w:val="0"/>
                <w:bCs/>
                <w:color w:val="auto"/>
                <w:spacing w:val="-10"/>
                <w:sz w:val="24"/>
                <w:szCs w:val="24"/>
                <w:highlight w:val="none"/>
                <w:lang w:eastAsia="zh-CN"/>
              </w:rPr>
              <w:t>。</w:t>
            </w:r>
          </w:p>
          <w:p w14:paraId="0D6382EF">
            <w:pPr>
              <w:keepNext w:val="0"/>
              <w:keepLines w:val="0"/>
              <w:pageBreakBefore w:val="0"/>
              <w:widowControl w:val="0"/>
              <w:kinsoku/>
              <w:wordWrap/>
              <w:overflowPunct/>
              <w:topLinePunct w:val="0"/>
              <w:autoSpaceDE/>
              <w:autoSpaceDN/>
              <w:bidi w:val="0"/>
              <w:adjustRightInd w:val="0"/>
              <w:snapToGrid/>
              <w:spacing w:line="240" w:lineRule="auto"/>
              <w:jc w:val="center"/>
              <w:rPr>
                <w:rFonts w:hint="eastAsia" w:ascii="黑体" w:hAnsi="黑体" w:eastAsia="黑体" w:cs="黑体"/>
                <w:b/>
                <w:color w:val="auto"/>
                <w:szCs w:val="21"/>
                <w:highlight w:val="none"/>
                <w:lang w:val="en-US" w:eastAsia="zh-CN"/>
              </w:rPr>
            </w:pPr>
            <w:r>
              <w:rPr>
                <w:rFonts w:hint="default" w:ascii="Times New Roman" w:hAnsi="Times New Roman" w:eastAsia="宋体" w:cs="Times New Roman"/>
                <w:b w:val="0"/>
                <w:bCs/>
                <w:color w:val="auto"/>
                <w:spacing w:val="-10"/>
                <w:szCs w:val="21"/>
                <w:highlight w:val="none"/>
              </w:rPr>
              <w:t>表</w:t>
            </w:r>
            <w:r>
              <w:rPr>
                <w:rFonts w:hint="eastAsia" w:ascii="Times New Roman" w:hAnsi="Times New Roman" w:eastAsia="宋体" w:cs="Times New Roman"/>
                <w:b w:val="0"/>
                <w:bCs/>
                <w:color w:val="auto"/>
                <w:spacing w:val="-10"/>
                <w:szCs w:val="21"/>
                <w:highlight w:val="none"/>
                <w:lang w:val="en-US" w:eastAsia="zh-CN"/>
              </w:rPr>
              <w:t xml:space="preserve">4-3    </w:t>
            </w:r>
            <w:r>
              <w:rPr>
                <w:rFonts w:hint="default" w:ascii="Times New Roman" w:hAnsi="Times New Roman" w:eastAsia="宋体" w:cs="Times New Roman"/>
                <w:b/>
                <w:bCs w:val="0"/>
                <w:color w:val="auto"/>
                <w:spacing w:val="-10"/>
                <w:sz w:val="24"/>
                <w:szCs w:val="24"/>
                <w:highlight w:val="none"/>
              </w:rPr>
              <w:t>本项目</w:t>
            </w:r>
            <w:r>
              <w:rPr>
                <w:rFonts w:hint="default" w:ascii="Times New Roman" w:hAnsi="Times New Roman" w:eastAsia="宋体" w:cs="Times New Roman"/>
                <w:b/>
                <w:bCs w:val="0"/>
                <w:color w:val="auto"/>
                <w:sz w:val="24"/>
                <w:szCs w:val="24"/>
                <w:highlight w:val="none"/>
                <w:lang w:eastAsia="zh-CN"/>
              </w:rPr>
              <w:t>废气产排情况</w:t>
            </w:r>
            <w:r>
              <w:rPr>
                <w:rFonts w:hint="default" w:ascii="Times New Roman" w:hAnsi="Times New Roman" w:eastAsia="宋体" w:cs="Times New Roman"/>
                <w:b/>
                <w:bCs w:val="0"/>
                <w:color w:val="auto"/>
                <w:spacing w:val="-10"/>
                <w:sz w:val="24"/>
                <w:szCs w:val="24"/>
                <w:highlight w:val="none"/>
              </w:rPr>
              <w:t>一览表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4"/>
              <w:gridCol w:w="717"/>
              <w:gridCol w:w="668"/>
              <w:gridCol w:w="773"/>
              <w:gridCol w:w="659"/>
              <w:gridCol w:w="668"/>
              <w:gridCol w:w="678"/>
              <w:gridCol w:w="659"/>
              <w:gridCol w:w="978"/>
              <w:gridCol w:w="877"/>
              <w:gridCol w:w="868"/>
            </w:tblGrid>
            <w:tr w14:paraId="286E0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restart"/>
                  <w:tcBorders>
                    <w:tl2br w:val="nil"/>
                    <w:tr2bl w:val="nil"/>
                  </w:tcBorders>
                  <w:noWrap w:val="0"/>
                  <w:vAlign w:val="center"/>
                </w:tcPr>
                <w:p w14:paraId="434678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排放形式</w:t>
                  </w:r>
                </w:p>
              </w:tc>
              <w:tc>
                <w:tcPr>
                  <w:tcW w:w="453" w:type="pct"/>
                  <w:vMerge w:val="restart"/>
                  <w:tcBorders>
                    <w:tl2br w:val="nil"/>
                    <w:tr2bl w:val="nil"/>
                  </w:tcBorders>
                  <w:noWrap w:val="0"/>
                  <w:vAlign w:val="center"/>
                </w:tcPr>
                <w:p w14:paraId="434A3D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污染源</w:t>
                  </w:r>
                </w:p>
              </w:tc>
              <w:tc>
                <w:tcPr>
                  <w:tcW w:w="422" w:type="pct"/>
                  <w:vMerge w:val="restart"/>
                  <w:tcBorders>
                    <w:tl2br w:val="nil"/>
                    <w:tr2bl w:val="nil"/>
                  </w:tcBorders>
                  <w:noWrap w:val="0"/>
                  <w:vAlign w:val="center"/>
                </w:tcPr>
                <w:p w14:paraId="658BCD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污染因子</w:t>
                  </w:r>
                </w:p>
              </w:tc>
              <w:tc>
                <w:tcPr>
                  <w:tcW w:w="905" w:type="pct"/>
                  <w:gridSpan w:val="2"/>
                  <w:tcBorders>
                    <w:tl2br w:val="nil"/>
                    <w:tr2bl w:val="nil"/>
                  </w:tcBorders>
                  <w:noWrap w:val="0"/>
                  <w:vAlign w:val="center"/>
                </w:tcPr>
                <w:p w14:paraId="5D9ACC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产生情况</w:t>
                  </w:r>
                </w:p>
              </w:tc>
              <w:tc>
                <w:tcPr>
                  <w:tcW w:w="422" w:type="pct"/>
                  <w:vMerge w:val="restart"/>
                  <w:tcBorders>
                    <w:tl2br w:val="nil"/>
                    <w:tr2bl w:val="nil"/>
                  </w:tcBorders>
                  <w:noWrap w:val="0"/>
                  <w:vAlign w:val="center"/>
                </w:tcPr>
                <w:p w14:paraId="793E03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处理效率（</w:t>
                  </w:r>
                  <w:r>
                    <w:rPr>
                      <w:rFonts w:hint="default" w:ascii="Times New Roman" w:hAnsi="Times New Roman" w:eastAsia="宋体" w:cs="Times New Roman"/>
                      <w:b/>
                      <w:color w:val="auto"/>
                      <w:sz w:val="21"/>
                      <w:szCs w:val="21"/>
                      <w:highlight w:val="none"/>
                      <w:vertAlign w:val="baseline"/>
                      <w:lang w:val="en-US" w:eastAsia="zh-CN"/>
                    </w:rPr>
                    <w:t>%</w:t>
                  </w:r>
                  <w:r>
                    <w:rPr>
                      <w:rFonts w:hint="default" w:ascii="Times New Roman" w:hAnsi="Times New Roman" w:eastAsia="宋体" w:cs="Times New Roman"/>
                      <w:b/>
                      <w:color w:val="auto"/>
                      <w:sz w:val="21"/>
                      <w:szCs w:val="21"/>
                      <w:highlight w:val="none"/>
                      <w:vertAlign w:val="baseline"/>
                      <w:lang w:eastAsia="zh-CN"/>
                    </w:rPr>
                    <w:t>）</w:t>
                  </w:r>
                </w:p>
              </w:tc>
              <w:tc>
                <w:tcPr>
                  <w:tcW w:w="845" w:type="pct"/>
                  <w:gridSpan w:val="2"/>
                  <w:tcBorders>
                    <w:tl2br w:val="nil"/>
                    <w:tr2bl w:val="nil"/>
                  </w:tcBorders>
                  <w:noWrap w:val="0"/>
                  <w:vAlign w:val="center"/>
                </w:tcPr>
                <w:p w14:paraId="50BF5B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排放参数</w:t>
                  </w:r>
                </w:p>
              </w:tc>
              <w:tc>
                <w:tcPr>
                  <w:tcW w:w="1721" w:type="pct"/>
                  <w:gridSpan w:val="3"/>
                  <w:tcBorders>
                    <w:tl2br w:val="nil"/>
                    <w:tr2bl w:val="nil"/>
                  </w:tcBorders>
                  <w:noWrap w:val="0"/>
                  <w:vAlign w:val="center"/>
                </w:tcPr>
                <w:p w14:paraId="4DCAFF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排放情况</w:t>
                  </w:r>
                </w:p>
              </w:tc>
            </w:tr>
            <w:tr w14:paraId="0C977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Borders>
                    <w:tl2br w:val="nil"/>
                    <w:tr2bl w:val="nil"/>
                  </w:tcBorders>
                  <w:noWrap w:val="0"/>
                  <w:vAlign w:val="center"/>
                </w:tcPr>
                <w:p w14:paraId="24285F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p>
              </w:tc>
              <w:tc>
                <w:tcPr>
                  <w:tcW w:w="453" w:type="pct"/>
                  <w:vMerge w:val="continue"/>
                  <w:tcBorders>
                    <w:tl2br w:val="nil"/>
                    <w:tr2bl w:val="nil"/>
                  </w:tcBorders>
                  <w:noWrap w:val="0"/>
                  <w:vAlign w:val="center"/>
                </w:tcPr>
                <w:p w14:paraId="174B4D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p>
              </w:tc>
              <w:tc>
                <w:tcPr>
                  <w:tcW w:w="422" w:type="pct"/>
                  <w:vMerge w:val="continue"/>
                  <w:tcBorders>
                    <w:tl2br w:val="nil"/>
                    <w:tr2bl w:val="nil"/>
                  </w:tcBorders>
                  <w:noWrap w:val="0"/>
                  <w:vAlign w:val="center"/>
                </w:tcPr>
                <w:p w14:paraId="1B4315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p>
              </w:tc>
              <w:tc>
                <w:tcPr>
                  <w:tcW w:w="488" w:type="pct"/>
                  <w:tcBorders>
                    <w:tl2br w:val="nil"/>
                    <w:tr2bl w:val="nil"/>
                  </w:tcBorders>
                  <w:noWrap w:val="0"/>
                  <w:vAlign w:val="center"/>
                </w:tcPr>
                <w:p w14:paraId="25E4B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产生速率（kg/h）</w:t>
                  </w:r>
                </w:p>
              </w:tc>
              <w:tc>
                <w:tcPr>
                  <w:tcW w:w="416" w:type="pct"/>
                  <w:tcBorders>
                    <w:tl2br w:val="nil"/>
                    <w:tr2bl w:val="nil"/>
                  </w:tcBorders>
                  <w:noWrap w:val="0"/>
                  <w:vAlign w:val="center"/>
                </w:tcPr>
                <w:p w14:paraId="59DA7A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产生量（t/a）</w:t>
                  </w:r>
                </w:p>
              </w:tc>
              <w:tc>
                <w:tcPr>
                  <w:tcW w:w="422" w:type="pct"/>
                  <w:vMerge w:val="continue"/>
                  <w:tcBorders>
                    <w:tl2br w:val="nil"/>
                    <w:tr2bl w:val="nil"/>
                  </w:tcBorders>
                  <w:noWrap w:val="0"/>
                  <w:vAlign w:val="center"/>
                </w:tcPr>
                <w:p w14:paraId="77493C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p>
              </w:tc>
              <w:tc>
                <w:tcPr>
                  <w:tcW w:w="428" w:type="pct"/>
                  <w:tcBorders>
                    <w:tl2br w:val="nil"/>
                    <w:tr2bl w:val="nil"/>
                  </w:tcBorders>
                  <w:noWrap w:val="0"/>
                  <w:vAlign w:val="center"/>
                </w:tcPr>
                <w:p w14:paraId="0756F7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排气筒</w:t>
                  </w:r>
                </w:p>
                <w:p w14:paraId="0E25BD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参数</w:t>
                  </w:r>
                </w:p>
              </w:tc>
              <w:tc>
                <w:tcPr>
                  <w:tcW w:w="416" w:type="pct"/>
                  <w:tcBorders>
                    <w:tl2br w:val="nil"/>
                    <w:tr2bl w:val="nil"/>
                  </w:tcBorders>
                  <w:noWrap w:val="0"/>
                  <w:vAlign w:val="center"/>
                </w:tcPr>
                <w:p w14:paraId="510D2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风量(m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vertAlign w:val="baseline"/>
                      <w:lang w:val="en-US" w:eastAsia="zh-CN"/>
                    </w:rPr>
                    <w:t>/h)</w:t>
                  </w:r>
                </w:p>
              </w:tc>
              <w:tc>
                <w:tcPr>
                  <w:tcW w:w="618" w:type="pct"/>
                  <w:tcBorders>
                    <w:tl2br w:val="nil"/>
                    <w:tr2bl w:val="nil"/>
                  </w:tcBorders>
                  <w:noWrap w:val="0"/>
                  <w:vAlign w:val="center"/>
                </w:tcPr>
                <w:p w14:paraId="366971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val="en-US" w:eastAsia="zh-CN"/>
                    </w:rPr>
                    <w:t>排放速率（kg/h）</w:t>
                  </w:r>
                </w:p>
              </w:tc>
              <w:tc>
                <w:tcPr>
                  <w:tcW w:w="554" w:type="pct"/>
                  <w:tcBorders>
                    <w:tl2br w:val="nil"/>
                    <w:tr2bl w:val="nil"/>
                  </w:tcBorders>
                  <w:noWrap w:val="0"/>
                  <w:vAlign w:val="center"/>
                </w:tcPr>
                <w:p w14:paraId="1DEF49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val="en-US" w:eastAsia="zh-CN"/>
                    </w:rPr>
                    <w:t>排放量（t/a）</w:t>
                  </w:r>
                </w:p>
              </w:tc>
              <w:tc>
                <w:tcPr>
                  <w:tcW w:w="548" w:type="pct"/>
                  <w:tcBorders>
                    <w:tl2br w:val="nil"/>
                    <w:tr2bl w:val="nil"/>
                  </w:tcBorders>
                  <w:noWrap w:val="0"/>
                  <w:vAlign w:val="center"/>
                </w:tcPr>
                <w:p w14:paraId="53700B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排放浓度（mg/m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vertAlign w:val="baseline"/>
                      <w:lang w:val="en-US" w:eastAsia="zh-CN"/>
                    </w:rPr>
                    <w:t>）</w:t>
                  </w:r>
                </w:p>
              </w:tc>
            </w:tr>
            <w:tr w14:paraId="15B9E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restart"/>
                  <w:tcBorders>
                    <w:tl2br w:val="nil"/>
                    <w:tr2bl w:val="nil"/>
                  </w:tcBorders>
                  <w:noWrap w:val="0"/>
                  <w:vAlign w:val="center"/>
                </w:tcPr>
                <w:p w14:paraId="56752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有组织</w:t>
                  </w:r>
                </w:p>
              </w:tc>
              <w:tc>
                <w:tcPr>
                  <w:tcW w:w="453" w:type="pct"/>
                  <w:vMerge w:val="restart"/>
                  <w:tcBorders>
                    <w:tl2br w:val="nil"/>
                    <w:tr2bl w:val="nil"/>
                  </w:tcBorders>
                  <w:noWrap w:val="0"/>
                  <w:vAlign w:val="center"/>
                </w:tcPr>
                <w:p w14:paraId="205001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DA001</w:t>
                  </w:r>
                </w:p>
              </w:tc>
              <w:tc>
                <w:tcPr>
                  <w:tcW w:w="422" w:type="pct"/>
                  <w:tcBorders>
                    <w:tl2br w:val="nil"/>
                    <w:tr2bl w:val="nil"/>
                  </w:tcBorders>
                  <w:noWrap w:val="0"/>
                  <w:vAlign w:val="center"/>
                </w:tcPr>
                <w:p w14:paraId="0513D6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p>
              </w:tc>
              <w:tc>
                <w:tcPr>
                  <w:tcW w:w="488" w:type="pct"/>
                  <w:tcBorders>
                    <w:tl2br w:val="nil"/>
                    <w:tr2bl w:val="nil"/>
                  </w:tcBorders>
                  <w:noWrap w:val="0"/>
                  <w:vAlign w:val="center"/>
                </w:tcPr>
                <w:p w14:paraId="2A94EF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0.33</w:t>
                  </w:r>
                </w:p>
              </w:tc>
              <w:tc>
                <w:tcPr>
                  <w:tcW w:w="416" w:type="pct"/>
                  <w:tcBorders>
                    <w:tl2br w:val="nil"/>
                    <w:tr2bl w:val="nil"/>
                  </w:tcBorders>
                  <w:noWrap w:val="0"/>
                  <w:vAlign w:val="center"/>
                </w:tcPr>
                <w:p w14:paraId="565B06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2.95</w:t>
                  </w:r>
                </w:p>
              </w:tc>
              <w:tc>
                <w:tcPr>
                  <w:tcW w:w="422" w:type="pct"/>
                  <w:vMerge w:val="restart"/>
                  <w:tcBorders>
                    <w:tl2br w:val="nil"/>
                    <w:tr2bl w:val="nil"/>
                  </w:tcBorders>
                  <w:noWrap w:val="0"/>
                  <w:vAlign w:val="center"/>
                </w:tcPr>
                <w:p w14:paraId="593B4C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90</w:t>
                  </w:r>
                </w:p>
              </w:tc>
              <w:tc>
                <w:tcPr>
                  <w:tcW w:w="428" w:type="pct"/>
                  <w:vMerge w:val="restart"/>
                  <w:tcBorders>
                    <w:tl2br w:val="nil"/>
                    <w:tr2bl w:val="nil"/>
                  </w:tcBorders>
                  <w:noWrap w:val="0"/>
                  <w:vAlign w:val="center"/>
                </w:tcPr>
                <w:p w14:paraId="77FDC8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排气筒高15m，温度20℃</w:t>
                  </w:r>
                </w:p>
              </w:tc>
              <w:tc>
                <w:tcPr>
                  <w:tcW w:w="416" w:type="pct"/>
                  <w:vMerge w:val="restart"/>
                  <w:tcBorders>
                    <w:tl2br w:val="nil"/>
                    <w:tr2bl w:val="nil"/>
                  </w:tcBorders>
                  <w:noWrap w:val="0"/>
                  <w:vAlign w:val="center"/>
                </w:tcPr>
                <w:p w14:paraId="2ED897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3000</w:t>
                  </w:r>
                </w:p>
              </w:tc>
              <w:tc>
                <w:tcPr>
                  <w:tcW w:w="618" w:type="pct"/>
                  <w:tcBorders>
                    <w:tl2br w:val="nil"/>
                    <w:tr2bl w:val="nil"/>
                  </w:tcBorders>
                  <w:noWrap w:val="0"/>
                  <w:vAlign w:val="center"/>
                </w:tcPr>
                <w:p w14:paraId="11483F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0.032</w:t>
                  </w:r>
                </w:p>
              </w:tc>
              <w:tc>
                <w:tcPr>
                  <w:tcW w:w="554" w:type="pct"/>
                  <w:tcBorders>
                    <w:tl2br w:val="nil"/>
                    <w:tr2bl w:val="nil"/>
                  </w:tcBorders>
                  <w:noWrap w:val="0"/>
                  <w:vAlign w:val="center"/>
                </w:tcPr>
                <w:p w14:paraId="505A25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0.28</w:t>
                  </w:r>
                </w:p>
              </w:tc>
              <w:tc>
                <w:tcPr>
                  <w:tcW w:w="548" w:type="pct"/>
                  <w:tcBorders>
                    <w:tl2br w:val="nil"/>
                    <w:tr2bl w:val="nil"/>
                  </w:tcBorders>
                  <w:noWrap w:val="0"/>
                  <w:vAlign w:val="center"/>
                </w:tcPr>
                <w:p w14:paraId="5840C4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10.67</w:t>
                  </w:r>
                </w:p>
              </w:tc>
            </w:tr>
            <w:tr w14:paraId="5DA07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Borders>
                    <w:tl2br w:val="nil"/>
                    <w:tr2bl w:val="nil"/>
                  </w:tcBorders>
                  <w:noWrap w:val="0"/>
                  <w:vAlign w:val="center"/>
                </w:tcPr>
                <w:p w14:paraId="5FDEF6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p>
              </w:tc>
              <w:tc>
                <w:tcPr>
                  <w:tcW w:w="453" w:type="pct"/>
                  <w:vMerge w:val="continue"/>
                  <w:tcBorders>
                    <w:tl2br w:val="nil"/>
                    <w:tr2bl w:val="nil"/>
                  </w:tcBorders>
                  <w:noWrap w:val="0"/>
                  <w:vAlign w:val="center"/>
                </w:tcPr>
                <w:p w14:paraId="113C90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422" w:type="pct"/>
                  <w:tcBorders>
                    <w:tl2br w:val="nil"/>
                    <w:tr2bl w:val="nil"/>
                  </w:tcBorders>
                  <w:noWrap w:val="0"/>
                  <w:vAlign w:val="center"/>
                </w:tcPr>
                <w:p w14:paraId="0DC330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H</w:t>
                  </w:r>
                  <w:r>
                    <w:rPr>
                      <w:rFonts w:hint="default" w:ascii="Times New Roman" w:hAnsi="Times New Roman" w:eastAsia="宋体" w:cs="Times New Roman"/>
                      <w:b w:val="0"/>
                      <w:bCs/>
                      <w:color w:val="auto"/>
                      <w:sz w:val="21"/>
                      <w:szCs w:val="21"/>
                      <w:highlight w:val="none"/>
                      <w:vertAlign w:val="subscript"/>
                      <w:lang w:val="en-US" w:eastAsia="zh-CN"/>
                    </w:rPr>
                    <w:t>2</w:t>
                  </w:r>
                  <w:r>
                    <w:rPr>
                      <w:rFonts w:hint="default" w:ascii="Times New Roman" w:hAnsi="Times New Roman" w:eastAsia="宋体" w:cs="Times New Roman"/>
                      <w:b w:val="0"/>
                      <w:bCs/>
                      <w:color w:val="auto"/>
                      <w:sz w:val="21"/>
                      <w:szCs w:val="21"/>
                      <w:highlight w:val="none"/>
                      <w:vertAlign w:val="baseline"/>
                      <w:lang w:val="en-US" w:eastAsia="zh-CN"/>
                    </w:rPr>
                    <w:t>S</w:t>
                  </w:r>
                </w:p>
              </w:tc>
              <w:tc>
                <w:tcPr>
                  <w:tcW w:w="488" w:type="pct"/>
                  <w:tcBorders>
                    <w:tl2br w:val="nil"/>
                    <w:tr2bl w:val="nil"/>
                  </w:tcBorders>
                  <w:noWrap w:val="0"/>
                  <w:vAlign w:val="center"/>
                </w:tcPr>
                <w:p w14:paraId="6EF1E4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0.0032</w:t>
                  </w:r>
                </w:p>
              </w:tc>
              <w:tc>
                <w:tcPr>
                  <w:tcW w:w="416" w:type="pct"/>
                  <w:tcBorders>
                    <w:tl2br w:val="nil"/>
                    <w:tr2bl w:val="nil"/>
                  </w:tcBorders>
                  <w:noWrap w:val="0"/>
                  <w:vAlign w:val="center"/>
                </w:tcPr>
                <w:p w14:paraId="4F0AB6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0.037</w:t>
                  </w:r>
                </w:p>
              </w:tc>
              <w:tc>
                <w:tcPr>
                  <w:tcW w:w="422" w:type="pct"/>
                  <w:vMerge w:val="continue"/>
                  <w:tcBorders>
                    <w:tl2br w:val="nil"/>
                    <w:tr2bl w:val="nil"/>
                  </w:tcBorders>
                  <w:noWrap w:val="0"/>
                  <w:vAlign w:val="center"/>
                </w:tcPr>
                <w:p w14:paraId="4C1D0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428" w:type="pct"/>
                  <w:vMerge w:val="continue"/>
                  <w:tcBorders>
                    <w:tl2br w:val="nil"/>
                    <w:tr2bl w:val="nil"/>
                  </w:tcBorders>
                  <w:noWrap w:val="0"/>
                  <w:vAlign w:val="center"/>
                </w:tcPr>
                <w:p w14:paraId="7DB0E6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416" w:type="pct"/>
                  <w:vMerge w:val="continue"/>
                  <w:tcBorders>
                    <w:tl2br w:val="nil"/>
                    <w:tr2bl w:val="nil"/>
                  </w:tcBorders>
                  <w:noWrap w:val="0"/>
                  <w:vAlign w:val="center"/>
                </w:tcPr>
                <w:p w14:paraId="606F0D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618" w:type="pct"/>
                  <w:tcBorders>
                    <w:tl2br w:val="nil"/>
                    <w:tr2bl w:val="nil"/>
                  </w:tcBorders>
                  <w:noWrap w:val="0"/>
                  <w:vAlign w:val="center"/>
                </w:tcPr>
                <w:p w14:paraId="6F832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0.0003</w:t>
                  </w:r>
                </w:p>
              </w:tc>
              <w:tc>
                <w:tcPr>
                  <w:tcW w:w="554" w:type="pct"/>
                  <w:tcBorders>
                    <w:tl2br w:val="nil"/>
                    <w:tr2bl w:val="nil"/>
                  </w:tcBorders>
                  <w:noWrap w:val="0"/>
                  <w:vAlign w:val="center"/>
                </w:tcPr>
                <w:p w14:paraId="461A88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0.0026</w:t>
                  </w:r>
                </w:p>
              </w:tc>
              <w:tc>
                <w:tcPr>
                  <w:tcW w:w="548" w:type="pct"/>
                  <w:tcBorders>
                    <w:tl2br w:val="nil"/>
                    <w:tr2bl w:val="nil"/>
                  </w:tcBorders>
                  <w:noWrap w:val="0"/>
                  <w:vAlign w:val="center"/>
                </w:tcPr>
                <w:p w14:paraId="5E8920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0.1</w:t>
                  </w:r>
                </w:p>
              </w:tc>
            </w:tr>
            <w:tr w14:paraId="54C9E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restart"/>
                  <w:tcBorders>
                    <w:tl2br w:val="nil"/>
                    <w:tr2bl w:val="nil"/>
                  </w:tcBorders>
                  <w:noWrap w:val="0"/>
                  <w:vAlign w:val="center"/>
                </w:tcPr>
                <w:p w14:paraId="7AB531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无组织</w:t>
                  </w:r>
                </w:p>
              </w:tc>
              <w:tc>
                <w:tcPr>
                  <w:tcW w:w="453" w:type="pct"/>
                  <w:vMerge w:val="restart"/>
                  <w:tcBorders>
                    <w:tl2br w:val="nil"/>
                    <w:tr2bl w:val="nil"/>
                  </w:tcBorders>
                  <w:noWrap w:val="0"/>
                  <w:vAlign w:val="center"/>
                </w:tcPr>
                <w:p w14:paraId="745573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全厂</w:t>
                  </w:r>
                </w:p>
              </w:tc>
              <w:tc>
                <w:tcPr>
                  <w:tcW w:w="422" w:type="pct"/>
                  <w:tcBorders>
                    <w:tl2br w:val="nil"/>
                    <w:tr2bl w:val="nil"/>
                  </w:tcBorders>
                  <w:noWrap w:val="0"/>
                  <w:vAlign w:val="center"/>
                </w:tcPr>
                <w:p w14:paraId="1356AB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p>
              </w:tc>
              <w:tc>
                <w:tcPr>
                  <w:tcW w:w="488" w:type="pct"/>
                  <w:tcBorders>
                    <w:tl2br w:val="nil"/>
                    <w:tr2bl w:val="nil"/>
                  </w:tcBorders>
                  <w:noWrap w:val="0"/>
                  <w:vAlign w:val="center"/>
                </w:tcPr>
                <w:p w14:paraId="1CFD7F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0.0066</w:t>
                  </w:r>
                </w:p>
              </w:tc>
              <w:tc>
                <w:tcPr>
                  <w:tcW w:w="416" w:type="pct"/>
                  <w:tcBorders>
                    <w:tl2br w:val="nil"/>
                    <w:tr2bl w:val="nil"/>
                  </w:tcBorders>
                  <w:noWrap w:val="0"/>
                  <w:vAlign w:val="center"/>
                </w:tcPr>
                <w:p w14:paraId="7685A0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0.058</w:t>
                  </w:r>
                </w:p>
              </w:tc>
              <w:tc>
                <w:tcPr>
                  <w:tcW w:w="422" w:type="pct"/>
                  <w:tcBorders>
                    <w:tl2br w:val="nil"/>
                    <w:tr2bl w:val="nil"/>
                  </w:tcBorders>
                  <w:noWrap w:val="0"/>
                  <w:vAlign w:val="center"/>
                </w:tcPr>
                <w:p w14:paraId="48FDB1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428" w:type="pct"/>
                  <w:tcBorders>
                    <w:tl2br w:val="nil"/>
                    <w:tr2bl w:val="nil"/>
                  </w:tcBorders>
                  <w:noWrap w:val="0"/>
                  <w:vAlign w:val="center"/>
                </w:tcPr>
                <w:p w14:paraId="1AD464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416" w:type="pct"/>
                  <w:tcBorders>
                    <w:tl2br w:val="nil"/>
                    <w:tr2bl w:val="nil"/>
                  </w:tcBorders>
                  <w:noWrap w:val="0"/>
                  <w:vAlign w:val="center"/>
                </w:tcPr>
                <w:p w14:paraId="4E7992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618" w:type="pct"/>
                  <w:tcBorders>
                    <w:tl2br w:val="nil"/>
                    <w:tr2bl w:val="nil"/>
                  </w:tcBorders>
                  <w:noWrap w:val="0"/>
                  <w:vAlign w:val="center"/>
                </w:tcPr>
                <w:p w14:paraId="21BD2C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0.0066</w:t>
                  </w:r>
                </w:p>
              </w:tc>
              <w:tc>
                <w:tcPr>
                  <w:tcW w:w="554" w:type="pct"/>
                  <w:tcBorders>
                    <w:tl2br w:val="nil"/>
                    <w:tr2bl w:val="nil"/>
                  </w:tcBorders>
                  <w:noWrap w:val="0"/>
                  <w:vAlign w:val="center"/>
                </w:tcPr>
                <w:p w14:paraId="4B917B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0.058</w:t>
                  </w:r>
                </w:p>
              </w:tc>
              <w:tc>
                <w:tcPr>
                  <w:tcW w:w="548" w:type="pct"/>
                  <w:tcBorders>
                    <w:tl2br w:val="nil"/>
                    <w:tr2bl w:val="nil"/>
                  </w:tcBorders>
                  <w:noWrap w:val="0"/>
                  <w:vAlign w:val="center"/>
                </w:tcPr>
                <w:p w14:paraId="17848D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r>
            <w:tr w14:paraId="769FF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Borders>
                    <w:tl2br w:val="nil"/>
                    <w:tr2bl w:val="nil"/>
                  </w:tcBorders>
                  <w:noWrap w:val="0"/>
                  <w:vAlign w:val="center"/>
                </w:tcPr>
                <w:p w14:paraId="5D9F61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p>
              </w:tc>
              <w:tc>
                <w:tcPr>
                  <w:tcW w:w="453" w:type="pct"/>
                  <w:vMerge w:val="continue"/>
                  <w:tcBorders>
                    <w:tl2br w:val="nil"/>
                    <w:tr2bl w:val="nil"/>
                  </w:tcBorders>
                  <w:noWrap w:val="0"/>
                  <w:vAlign w:val="center"/>
                </w:tcPr>
                <w:p w14:paraId="3CF5B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422" w:type="pct"/>
                  <w:tcBorders>
                    <w:tl2br w:val="nil"/>
                    <w:tr2bl w:val="nil"/>
                  </w:tcBorders>
                  <w:noWrap w:val="0"/>
                  <w:vAlign w:val="center"/>
                </w:tcPr>
                <w:p w14:paraId="649301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H</w:t>
                  </w:r>
                  <w:r>
                    <w:rPr>
                      <w:rFonts w:hint="default" w:ascii="Times New Roman" w:hAnsi="Times New Roman" w:eastAsia="宋体" w:cs="Times New Roman"/>
                      <w:b w:val="0"/>
                      <w:bCs/>
                      <w:color w:val="auto"/>
                      <w:sz w:val="21"/>
                      <w:szCs w:val="21"/>
                      <w:highlight w:val="none"/>
                      <w:vertAlign w:val="subscript"/>
                      <w:lang w:val="en-US" w:eastAsia="zh-CN"/>
                    </w:rPr>
                    <w:t>2</w:t>
                  </w:r>
                  <w:r>
                    <w:rPr>
                      <w:rFonts w:hint="default" w:ascii="Times New Roman" w:hAnsi="Times New Roman" w:eastAsia="宋体" w:cs="Times New Roman"/>
                      <w:b w:val="0"/>
                      <w:bCs/>
                      <w:color w:val="auto"/>
                      <w:sz w:val="21"/>
                      <w:szCs w:val="21"/>
                      <w:highlight w:val="none"/>
                      <w:vertAlign w:val="baseline"/>
                      <w:lang w:val="en-US" w:eastAsia="zh-CN"/>
                    </w:rPr>
                    <w:t>S</w:t>
                  </w:r>
                </w:p>
              </w:tc>
              <w:tc>
                <w:tcPr>
                  <w:tcW w:w="488" w:type="pct"/>
                  <w:tcBorders>
                    <w:tl2br w:val="nil"/>
                    <w:tr2bl w:val="nil"/>
                  </w:tcBorders>
                  <w:noWrap w:val="0"/>
                  <w:vAlign w:val="center"/>
                </w:tcPr>
                <w:p w14:paraId="2CC394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0.000064</w:t>
                  </w:r>
                </w:p>
              </w:tc>
              <w:tc>
                <w:tcPr>
                  <w:tcW w:w="416" w:type="pct"/>
                  <w:tcBorders>
                    <w:tl2br w:val="nil"/>
                    <w:tr2bl w:val="nil"/>
                  </w:tcBorders>
                  <w:noWrap w:val="0"/>
                  <w:vAlign w:val="center"/>
                </w:tcPr>
                <w:p w14:paraId="4E1C7F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0.00056</w:t>
                  </w:r>
                </w:p>
              </w:tc>
              <w:tc>
                <w:tcPr>
                  <w:tcW w:w="422" w:type="pct"/>
                  <w:tcBorders>
                    <w:tl2br w:val="nil"/>
                    <w:tr2bl w:val="nil"/>
                  </w:tcBorders>
                  <w:noWrap w:val="0"/>
                  <w:vAlign w:val="center"/>
                </w:tcPr>
                <w:p w14:paraId="51EEAB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428" w:type="pct"/>
                  <w:tcBorders>
                    <w:tl2br w:val="nil"/>
                    <w:tr2bl w:val="nil"/>
                  </w:tcBorders>
                  <w:noWrap w:val="0"/>
                  <w:vAlign w:val="center"/>
                </w:tcPr>
                <w:p w14:paraId="418444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416" w:type="pct"/>
                  <w:tcBorders>
                    <w:tl2br w:val="nil"/>
                    <w:tr2bl w:val="nil"/>
                  </w:tcBorders>
                  <w:noWrap w:val="0"/>
                  <w:vAlign w:val="center"/>
                </w:tcPr>
                <w:p w14:paraId="10464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618" w:type="pct"/>
                  <w:tcBorders>
                    <w:tl2br w:val="nil"/>
                    <w:tr2bl w:val="nil"/>
                  </w:tcBorders>
                  <w:noWrap w:val="0"/>
                  <w:vAlign w:val="center"/>
                </w:tcPr>
                <w:p w14:paraId="78BDF8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0.000064</w:t>
                  </w:r>
                </w:p>
              </w:tc>
              <w:tc>
                <w:tcPr>
                  <w:tcW w:w="554" w:type="pct"/>
                  <w:tcBorders>
                    <w:tl2br w:val="nil"/>
                    <w:tr2bl w:val="nil"/>
                  </w:tcBorders>
                  <w:noWrap w:val="0"/>
                  <w:vAlign w:val="center"/>
                </w:tcPr>
                <w:p w14:paraId="6C39B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0.00056</w:t>
                  </w:r>
                </w:p>
              </w:tc>
              <w:tc>
                <w:tcPr>
                  <w:tcW w:w="548" w:type="pct"/>
                  <w:tcBorders>
                    <w:tl2br w:val="nil"/>
                    <w:tr2bl w:val="nil"/>
                  </w:tcBorders>
                  <w:noWrap w:val="0"/>
                  <w:vAlign w:val="center"/>
                </w:tcPr>
                <w:p w14:paraId="76022D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r>
            <w:tr w14:paraId="63E55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gridSpan w:val="2"/>
                  <w:vMerge w:val="restart"/>
                  <w:tcBorders>
                    <w:tl2br w:val="nil"/>
                    <w:tr2bl w:val="nil"/>
                  </w:tcBorders>
                  <w:noWrap w:val="0"/>
                  <w:vAlign w:val="center"/>
                </w:tcPr>
                <w:p w14:paraId="7BD499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合计</w:t>
                  </w:r>
                </w:p>
              </w:tc>
              <w:tc>
                <w:tcPr>
                  <w:tcW w:w="422" w:type="pct"/>
                  <w:tcBorders>
                    <w:tl2br w:val="nil"/>
                    <w:tr2bl w:val="nil"/>
                  </w:tcBorders>
                  <w:noWrap w:val="0"/>
                  <w:vAlign w:val="center"/>
                </w:tcPr>
                <w:p w14:paraId="456670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p>
              </w:tc>
              <w:tc>
                <w:tcPr>
                  <w:tcW w:w="488" w:type="pct"/>
                  <w:tcBorders>
                    <w:tl2br w:val="nil"/>
                    <w:tr2bl w:val="nil"/>
                  </w:tcBorders>
                  <w:noWrap w:val="0"/>
                  <w:vAlign w:val="center"/>
                </w:tcPr>
                <w:p w14:paraId="76F704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416" w:type="pct"/>
                  <w:tcBorders>
                    <w:tl2br w:val="nil"/>
                    <w:tr2bl w:val="nil"/>
                  </w:tcBorders>
                  <w:noWrap w:val="0"/>
                  <w:vAlign w:val="center"/>
                </w:tcPr>
                <w:p w14:paraId="7F9D54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2.95</w:t>
                  </w:r>
                </w:p>
              </w:tc>
              <w:tc>
                <w:tcPr>
                  <w:tcW w:w="422" w:type="pct"/>
                  <w:tcBorders>
                    <w:tl2br w:val="nil"/>
                    <w:tr2bl w:val="nil"/>
                  </w:tcBorders>
                  <w:noWrap w:val="0"/>
                  <w:vAlign w:val="center"/>
                </w:tcPr>
                <w:p w14:paraId="06E9AA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845" w:type="pct"/>
                  <w:gridSpan w:val="2"/>
                  <w:tcBorders>
                    <w:tl2br w:val="nil"/>
                    <w:tr2bl w:val="nil"/>
                  </w:tcBorders>
                  <w:noWrap w:val="0"/>
                  <w:vAlign w:val="center"/>
                </w:tcPr>
                <w:p w14:paraId="265A6A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618" w:type="pct"/>
                  <w:tcBorders>
                    <w:tl2br w:val="nil"/>
                    <w:tr2bl w:val="nil"/>
                  </w:tcBorders>
                  <w:noWrap w:val="0"/>
                  <w:vAlign w:val="center"/>
                </w:tcPr>
                <w:p w14:paraId="2B6C15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554" w:type="pct"/>
                  <w:tcBorders>
                    <w:tl2br w:val="nil"/>
                    <w:tr2bl w:val="nil"/>
                  </w:tcBorders>
                  <w:noWrap w:val="0"/>
                  <w:vAlign w:val="center"/>
                </w:tcPr>
                <w:p w14:paraId="7AA2C7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0.338</w:t>
                  </w:r>
                </w:p>
              </w:tc>
              <w:tc>
                <w:tcPr>
                  <w:tcW w:w="548" w:type="pct"/>
                  <w:tcBorders>
                    <w:tl2br w:val="nil"/>
                    <w:tr2bl w:val="nil"/>
                  </w:tcBorders>
                  <w:noWrap w:val="0"/>
                  <w:vAlign w:val="center"/>
                </w:tcPr>
                <w:p w14:paraId="6F542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r>
            <w:tr w14:paraId="7E905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gridSpan w:val="2"/>
                  <w:vMerge w:val="continue"/>
                  <w:tcBorders>
                    <w:tl2br w:val="nil"/>
                    <w:tr2bl w:val="nil"/>
                  </w:tcBorders>
                  <w:noWrap w:val="0"/>
                  <w:vAlign w:val="center"/>
                </w:tcPr>
                <w:p w14:paraId="731FB3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422" w:type="pct"/>
                  <w:tcBorders>
                    <w:tl2br w:val="nil"/>
                    <w:tr2bl w:val="nil"/>
                  </w:tcBorders>
                  <w:noWrap w:val="0"/>
                  <w:vAlign w:val="center"/>
                </w:tcPr>
                <w:p w14:paraId="6F842C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H</w:t>
                  </w:r>
                  <w:r>
                    <w:rPr>
                      <w:rFonts w:hint="default" w:ascii="Times New Roman" w:hAnsi="Times New Roman" w:eastAsia="宋体" w:cs="Times New Roman"/>
                      <w:b w:val="0"/>
                      <w:bCs/>
                      <w:color w:val="auto"/>
                      <w:sz w:val="21"/>
                      <w:szCs w:val="21"/>
                      <w:highlight w:val="none"/>
                      <w:vertAlign w:val="subscript"/>
                      <w:lang w:val="en-US" w:eastAsia="zh-CN"/>
                    </w:rPr>
                    <w:t>2</w:t>
                  </w:r>
                  <w:r>
                    <w:rPr>
                      <w:rFonts w:hint="default" w:ascii="Times New Roman" w:hAnsi="Times New Roman" w:eastAsia="宋体" w:cs="Times New Roman"/>
                      <w:b w:val="0"/>
                      <w:bCs/>
                      <w:color w:val="auto"/>
                      <w:sz w:val="21"/>
                      <w:szCs w:val="21"/>
                      <w:highlight w:val="none"/>
                      <w:vertAlign w:val="baseline"/>
                      <w:lang w:val="en-US" w:eastAsia="zh-CN"/>
                    </w:rPr>
                    <w:t>S</w:t>
                  </w:r>
                </w:p>
              </w:tc>
              <w:tc>
                <w:tcPr>
                  <w:tcW w:w="488" w:type="pct"/>
                  <w:tcBorders>
                    <w:tl2br w:val="nil"/>
                    <w:tr2bl w:val="nil"/>
                  </w:tcBorders>
                  <w:noWrap w:val="0"/>
                  <w:vAlign w:val="center"/>
                </w:tcPr>
                <w:p w14:paraId="5A03FF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416" w:type="pct"/>
                  <w:tcBorders>
                    <w:tl2br w:val="nil"/>
                    <w:tr2bl w:val="nil"/>
                  </w:tcBorders>
                  <w:noWrap w:val="0"/>
                  <w:vAlign w:val="center"/>
                </w:tcPr>
                <w:p w14:paraId="237518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0.037</w:t>
                  </w:r>
                </w:p>
              </w:tc>
              <w:tc>
                <w:tcPr>
                  <w:tcW w:w="422" w:type="pct"/>
                  <w:tcBorders>
                    <w:tl2br w:val="nil"/>
                    <w:tr2bl w:val="nil"/>
                  </w:tcBorders>
                  <w:noWrap w:val="0"/>
                  <w:vAlign w:val="center"/>
                </w:tcPr>
                <w:p w14:paraId="681A7E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845" w:type="pct"/>
                  <w:gridSpan w:val="2"/>
                  <w:tcBorders>
                    <w:tl2br w:val="nil"/>
                    <w:tr2bl w:val="nil"/>
                  </w:tcBorders>
                  <w:noWrap w:val="0"/>
                  <w:vAlign w:val="center"/>
                </w:tcPr>
                <w:p w14:paraId="6F59A9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618" w:type="pct"/>
                  <w:tcBorders>
                    <w:tl2br w:val="nil"/>
                    <w:tr2bl w:val="nil"/>
                  </w:tcBorders>
                  <w:noWrap w:val="0"/>
                  <w:vAlign w:val="center"/>
                </w:tcPr>
                <w:p w14:paraId="7D290B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554" w:type="pct"/>
                  <w:tcBorders>
                    <w:tl2br w:val="nil"/>
                    <w:tr2bl w:val="nil"/>
                  </w:tcBorders>
                  <w:noWrap w:val="0"/>
                  <w:vAlign w:val="center"/>
                </w:tcPr>
                <w:p w14:paraId="6BD9B7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0.003</w:t>
                  </w:r>
                </w:p>
              </w:tc>
              <w:tc>
                <w:tcPr>
                  <w:tcW w:w="548" w:type="pct"/>
                  <w:tcBorders>
                    <w:tl2br w:val="nil"/>
                    <w:tr2bl w:val="nil"/>
                  </w:tcBorders>
                  <w:noWrap w:val="0"/>
                  <w:vAlign w:val="center"/>
                </w:tcPr>
                <w:p w14:paraId="7472AA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r>
          </w:tbl>
          <w:p w14:paraId="3D3266FF">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lang w:eastAsia="zh-CN"/>
              </w:rPr>
            </w:pPr>
            <w:r>
              <w:rPr>
                <w:rFonts w:hint="default" w:ascii="Times New Roman" w:hAnsi="Times New Roman" w:eastAsia="仿宋_GB2312" w:cs="Times New Roman"/>
                <w:b/>
                <w:color w:val="auto"/>
                <w:sz w:val="24"/>
                <w:szCs w:val="24"/>
                <w:highlight w:val="none"/>
              </w:rPr>
              <w:t>1</w:t>
            </w:r>
            <w:r>
              <w:rPr>
                <w:rFonts w:hint="default" w:ascii="Times New Roman" w:hAnsi="Times New Roman" w:eastAsia="仿宋_GB2312" w:cs="Times New Roman"/>
                <w:b/>
                <w:color w:val="auto"/>
                <w:sz w:val="24"/>
                <w:szCs w:val="24"/>
                <w:highlight w:val="none"/>
                <w:lang w:val="en-US" w:eastAsia="zh-CN"/>
              </w:rPr>
              <w:t>.3</w:t>
            </w:r>
            <w:r>
              <w:rPr>
                <w:rFonts w:hint="default" w:ascii="Times New Roman" w:hAnsi="Times New Roman" w:eastAsia="仿宋_GB2312" w:cs="Times New Roman"/>
                <w:b/>
                <w:color w:val="auto"/>
                <w:sz w:val="24"/>
                <w:szCs w:val="24"/>
                <w:highlight w:val="none"/>
                <w:lang w:eastAsia="zh-CN"/>
              </w:rPr>
              <w:t>排放口基本情况</w:t>
            </w:r>
          </w:p>
          <w:p w14:paraId="35ED3D3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bCs/>
                <w:color w:val="auto"/>
                <w:sz w:val="24"/>
                <w:szCs w:val="24"/>
                <w:highlight w:val="none"/>
                <w:lang w:val="en-US" w:eastAsia="zh-CN"/>
              </w:rPr>
            </w:pPr>
            <w:r>
              <w:rPr>
                <w:rFonts w:hint="default" w:ascii="Times New Roman" w:hAnsi="Times New Roman" w:eastAsia="仿宋_GB2312" w:cs="Times New Roman"/>
                <w:bCs/>
                <w:color w:val="auto"/>
                <w:sz w:val="24"/>
                <w:szCs w:val="24"/>
                <w:highlight w:val="none"/>
                <w:lang w:val="en-US" w:eastAsia="zh-CN"/>
              </w:rPr>
              <w:t xml:space="preserve">根据《排污单位自行监测技术指南 总则》（HJ819-2017）、《排污许可证申请与核发技术规范 </w:t>
            </w:r>
            <w:r>
              <w:rPr>
                <w:rFonts w:hint="eastAsia" w:ascii="Times New Roman" w:hAnsi="Times New Roman" w:eastAsia="仿宋_GB2312" w:cs="Times New Roman"/>
                <w:bCs/>
                <w:color w:val="auto"/>
                <w:sz w:val="24"/>
                <w:szCs w:val="24"/>
                <w:highlight w:val="none"/>
                <w:lang w:val="en-US" w:eastAsia="zh-CN"/>
              </w:rPr>
              <w:t>水处理（试行）</w:t>
            </w:r>
            <w:r>
              <w:rPr>
                <w:rFonts w:hint="default" w:ascii="Times New Roman" w:hAnsi="Times New Roman" w:eastAsia="仿宋_GB2312" w:cs="Times New Roman"/>
                <w:bCs/>
                <w:color w:val="auto"/>
                <w:sz w:val="24"/>
                <w:szCs w:val="24"/>
                <w:highlight w:val="none"/>
                <w:lang w:val="en-US" w:eastAsia="zh-CN"/>
              </w:rPr>
              <w:t>》（HJ9</w:t>
            </w:r>
            <w:r>
              <w:rPr>
                <w:rFonts w:hint="eastAsia" w:ascii="Times New Roman" w:hAnsi="Times New Roman" w:eastAsia="仿宋_GB2312" w:cs="Times New Roman"/>
                <w:bCs/>
                <w:color w:val="auto"/>
                <w:sz w:val="24"/>
                <w:szCs w:val="24"/>
                <w:highlight w:val="none"/>
                <w:lang w:val="en-US" w:eastAsia="zh-CN"/>
              </w:rPr>
              <w:t>78</w:t>
            </w:r>
            <w:r>
              <w:rPr>
                <w:rFonts w:hint="default" w:ascii="Times New Roman" w:hAnsi="Times New Roman" w:eastAsia="仿宋_GB2312" w:cs="Times New Roman"/>
                <w:bCs/>
                <w:color w:val="auto"/>
                <w:sz w:val="24"/>
                <w:szCs w:val="24"/>
                <w:highlight w:val="none"/>
                <w:lang w:val="en-US" w:eastAsia="zh-CN"/>
              </w:rPr>
              <w:t>-2018），本项目排放口基本情况见表</w:t>
            </w:r>
            <w:r>
              <w:rPr>
                <w:rFonts w:hint="eastAsia" w:ascii="Times New Roman" w:hAnsi="Times New Roman" w:eastAsia="仿宋_GB2312" w:cs="Times New Roman"/>
                <w:bCs/>
                <w:color w:val="auto"/>
                <w:sz w:val="24"/>
                <w:szCs w:val="24"/>
                <w:highlight w:val="none"/>
                <w:lang w:val="en-US" w:eastAsia="zh-CN"/>
              </w:rPr>
              <w:t>4-4</w:t>
            </w:r>
            <w:r>
              <w:rPr>
                <w:rFonts w:hint="default" w:ascii="Times New Roman" w:hAnsi="Times New Roman" w:eastAsia="仿宋_GB2312" w:cs="Times New Roman"/>
                <w:bCs/>
                <w:color w:val="auto"/>
                <w:sz w:val="24"/>
                <w:szCs w:val="24"/>
                <w:highlight w:val="none"/>
                <w:lang w:val="en-US" w:eastAsia="zh-CN"/>
              </w:rPr>
              <w:t>。</w:t>
            </w:r>
          </w:p>
          <w:p w14:paraId="3B55E0A5">
            <w:pPr>
              <w:adjustRightInd w:val="0"/>
              <w:snapToGrid w:val="0"/>
              <w:jc w:val="center"/>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 w:val="0"/>
                <w:bCs/>
                <w:color w:val="auto"/>
                <w:spacing w:val="-10"/>
                <w:szCs w:val="21"/>
                <w:highlight w:val="none"/>
              </w:rPr>
              <w:t>表</w:t>
            </w:r>
            <w:r>
              <w:rPr>
                <w:rFonts w:hint="eastAsia" w:ascii="Times New Roman" w:hAnsi="Times New Roman" w:eastAsia="宋体" w:cs="Times New Roman"/>
                <w:b w:val="0"/>
                <w:bCs/>
                <w:color w:val="auto"/>
                <w:spacing w:val="-10"/>
                <w:szCs w:val="21"/>
                <w:highlight w:val="none"/>
                <w:lang w:val="en-US" w:eastAsia="zh-CN"/>
              </w:rPr>
              <w:t xml:space="preserve">4-4    </w:t>
            </w:r>
            <w:r>
              <w:rPr>
                <w:rFonts w:hint="default" w:ascii="Times New Roman" w:hAnsi="Times New Roman" w:eastAsia="宋体" w:cs="Times New Roman"/>
                <w:b/>
                <w:color w:val="auto"/>
                <w:spacing w:val="-10"/>
                <w:szCs w:val="21"/>
                <w:highlight w:val="none"/>
              </w:rPr>
              <w:t>本项目</w:t>
            </w:r>
            <w:r>
              <w:rPr>
                <w:rFonts w:hint="default" w:ascii="Times New Roman" w:hAnsi="Times New Roman" w:eastAsia="宋体" w:cs="Times New Roman"/>
                <w:b/>
                <w:color w:val="auto"/>
                <w:szCs w:val="21"/>
                <w:highlight w:val="none"/>
              </w:rPr>
              <w:t>排放口基本情况</w:t>
            </w:r>
            <w:r>
              <w:rPr>
                <w:rFonts w:hint="default" w:ascii="Times New Roman" w:hAnsi="Times New Roman" w:eastAsia="宋体" w:cs="Times New Roman"/>
                <w:b/>
                <w:color w:val="auto"/>
                <w:spacing w:val="-10"/>
                <w:szCs w:val="21"/>
                <w:highlight w:val="none"/>
              </w:rPr>
              <w:t>一览表</w:t>
            </w:r>
          </w:p>
          <w:tbl>
            <w:tblPr>
              <w:tblStyle w:val="26"/>
              <w:tblW w:w="49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56"/>
              <w:gridCol w:w="707"/>
              <w:gridCol w:w="600"/>
              <w:gridCol w:w="665"/>
              <w:gridCol w:w="721"/>
              <w:gridCol w:w="1507"/>
              <w:gridCol w:w="1757"/>
              <w:gridCol w:w="1341"/>
            </w:tblGrid>
            <w:tr w14:paraId="5AF4FC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noWrap w:val="0"/>
                  <w:tcMar>
                    <w:top w:w="12" w:type="dxa"/>
                    <w:left w:w="12" w:type="dxa"/>
                    <w:right w:w="12" w:type="dxa"/>
                  </w:tcMar>
                  <w:vAlign w:val="center"/>
                </w:tcPr>
                <w:p w14:paraId="3D768BDF">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eastAsia="zh-CN" w:bidi="ar"/>
                    </w:rPr>
                  </w:pPr>
                  <w:r>
                    <w:rPr>
                      <w:rFonts w:hint="default" w:ascii="Times New Roman" w:hAnsi="Times New Roman" w:eastAsia="宋体" w:cs="Times New Roman"/>
                      <w:b/>
                      <w:color w:val="auto"/>
                      <w:kern w:val="0"/>
                      <w:sz w:val="21"/>
                      <w:szCs w:val="21"/>
                      <w:highlight w:val="none"/>
                      <w:lang w:eastAsia="zh-CN" w:bidi="ar"/>
                    </w:rPr>
                    <w:t>序号</w:t>
                  </w:r>
                </w:p>
              </w:tc>
              <w:tc>
                <w:tcPr>
                  <w:tcW w:w="455" w:type="pct"/>
                  <w:noWrap w:val="0"/>
                  <w:tcMar>
                    <w:top w:w="12" w:type="dxa"/>
                    <w:left w:w="12" w:type="dxa"/>
                    <w:right w:w="12" w:type="dxa"/>
                  </w:tcMar>
                  <w:vAlign w:val="center"/>
                </w:tcPr>
                <w:p w14:paraId="0529ED37">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高度/m</w:t>
                  </w:r>
                </w:p>
              </w:tc>
              <w:tc>
                <w:tcPr>
                  <w:tcW w:w="386" w:type="pct"/>
                  <w:noWrap w:val="0"/>
                  <w:tcMar>
                    <w:top w:w="12" w:type="dxa"/>
                    <w:left w:w="12" w:type="dxa"/>
                    <w:right w:w="12" w:type="dxa"/>
                  </w:tcMar>
                  <w:vAlign w:val="center"/>
                </w:tcPr>
                <w:p w14:paraId="2B85E5E8">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内径/m</w:t>
                  </w:r>
                </w:p>
              </w:tc>
              <w:tc>
                <w:tcPr>
                  <w:tcW w:w="428" w:type="pct"/>
                  <w:noWrap w:val="0"/>
                  <w:tcMar>
                    <w:top w:w="12" w:type="dxa"/>
                    <w:left w:w="12" w:type="dxa"/>
                    <w:right w:w="12" w:type="dxa"/>
                  </w:tcMar>
                  <w:vAlign w:val="center"/>
                </w:tcPr>
                <w:p w14:paraId="4739A5C9">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温度/℃</w:t>
                  </w:r>
                </w:p>
              </w:tc>
              <w:tc>
                <w:tcPr>
                  <w:tcW w:w="464" w:type="pct"/>
                  <w:noWrap w:val="0"/>
                  <w:tcMar>
                    <w:top w:w="12" w:type="dxa"/>
                    <w:left w:w="12" w:type="dxa"/>
                    <w:right w:w="12" w:type="dxa"/>
                  </w:tcMar>
                  <w:vAlign w:val="center"/>
                </w:tcPr>
                <w:p w14:paraId="6A63B8C0">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编号</w:t>
                  </w:r>
                </w:p>
              </w:tc>
              <w:tc>
                <w:tcPr>
                  <w:tcW w:w="971" w:type="pct"/>
                  <w:noWrap w:val="0"/>
                  <w:tcMar>
                    <w:top w:w="12" w:type="dxa"/>
                    <w:left w:w="12" w:type="dxa"/>
                    <w:right w:w="12" w:type="dxa"/>
                  </w:tcMar>
                  <w:vAlign w:val="center"/>
                </w:tcPr>
                <w:p w14:paraId="66EDB708">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eastAsia="zh-CN" w:bidi="ar"/>
                    </w:rPr>
                  </w:pPr>
                  <w:r>
                    <w:rPr>
                      <w:rFonts w:hint="default" w:ascii="Times New Roman" w:hAnsi="Times New Roman" w:eastAsia="宋体" w:cs="Times New Roman"/>
                      <w:b/>
                      <w:color w:val="auto"/>
                      <w:kern w:val="0"/>
                      <w:sz w:val="21"/>
                      <w:szCs w:val="21"/>
                      <w:highlight w:val="none"/>
                      <w:lang w:eastAsia="zh-CN" w:bidi="ar"/>
                    </w:rPr>
                    <w:t>排放口坐标</w:t>
                  </w:r>
                </w:p>
              </w:tc>
              <w:tc>
                <w:tcPr>
                  <w:tcW w:w="1132" w:type="pct"/>
                  <w:noWrap w:val="0"/>
                  <w:tcMar>
                    <w:top w:w="12" w:type="dxa"/>
                    <w:left w:w="12" w:type="dxa"/>
                    <w:right w:w="12" w:type="dxa"/>
                  </w:tcMar>
                  <w:vAlign w:val="center"/>
                </w:tcPr>
                <w:p w14:paraId="2FA41966">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名称</w:t>
                  </w:r>
                </w:p>
              </w:tc>
              <w:tc>
                <w:tcPr>
                  <w:tcW w:w="864" w:type="pct"/>
                  <w:noWrap w:val="0"/>
                  <w:tcMar>
                    <w:top w:w="12" w:type="dxa"/>
                    <w:left w:w="12" w:type="dxa"/>
                    <w:right w:w="12" w:type="dxa"/>
                  </w:tcMar>
                  <w:vAlign w:val="center"/>
                </w:tcPr>
                <w:p w14:paraId="0043894B">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类型</w:t>
                  </w:r>
                </w:p>
              </w:tc>
            </w:tr>
            <w:tr w14:paraId="19CEDA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noWrap w:val="0"/>
                  <w:tcMar>
                    <w:top w:w="12" w:type="dxa"/>
                    <w:left w:w="12" w:type="dxa"/>
                    <w:right w:w="12" w:type="dxa"/>
                  </w:tcMar>
                  <w:vAlign w:val="center"/>
                </w:tcPr>
                <w:p w14:paraId="780A2304">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455" w:type="pct"/>
                  <w:noWrap w:val="0"/>
                  <w:tcMar>
                    <w:top w:w="12" w:type="dxa"/>
                    <w:left w:w="12" w:type="dxa"/>
                    <w:right w:w="12" w:type="dxa"/>
                  </w:tcMar>
                  <w:vAlign w:val="center"/>
                </w:tcPr>
                <w:p w14:paraId="5E79DE09">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386" w:type="pct"/>
                  <w:noWrap w:val="0"/>
                  <w:tcMar>
                    <w:top w:w="12" w:type="dxa"/>
                    <w:left w:w="12" w:type="dxa"/>
                    <w:right w:w="12" w:type="dxa"/>
                  </w:tcMar>
                  <w:vAlign w:val="center"/>
                </w:tcPr>
                <w:p w14:paraId="713E88CD">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w:t>
                  </w:r>
                </w:p>
              </w:tc>
              <w:tc>
                <w:tcPr>
                  <w:tcW w:w="428" w:type="pct"/>
                  <w:noWrap w:val="0"/>
                  <w:tcMar>
                    <w:top w:w="12" w:type="dxa"/>
                    <w:left w:w="12" w:type="dxa"/>
                    <w:right w:w="12" w:type="dxa"/>
                  </w:tcMar>
                  <w:vAlign w:val="center"/>
                </w:tcPr>
                <w:p w14:paraId="35EC4A56">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464" w:type="pct"/>
                  <w:noWrap w:val="0"/>
                  <w:tcMar>
                    <w:top w:w="12" w:type="dxa"/>
                    <w:left w:w="12" w:type="dxa"/>
                    <w:right w:w="12" w:type="dxa"/>
                  </w:tcMar>
                  <w:vAlign w:val="center"/>
                </w:tcPr>
                <w:p w14:paraId="2325C6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DA001</w:t>
                  </w:r>
                </w:p>
              </w:tc>
              <w:tc>
                <w:tcPr>
                  <w:tcW w:w="971" w:type="pct"/>
                  <w:noWrap w:val="0"/>
                  <w:tcMar>
                    <w:top w:w="12" w:type="dxa"/>
                    <w:left w:w="12" w:type="dxa"/>
                    <w:right w:w="12" w:type="dxa"/>
                  </w:tcMar>
                  <w:vAlign w:val="center"/>
                </w:tcPr>
                <w:p w14:paraId="4A8237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105°15′4.011″,</w:t>
                  </w:r>
                </w:p>
                <w:p w14:paraId="779ADE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36°56′39.628″</w:t>
                  </w:r>
                </w:p>
              </w:tc>
              <w:tc>
                <w:tcPr>
                  <w:tcW w:w="1132" w:type="pct"/>
                  <w:noWrap w:val="0"/>
                  <w:tcMar>
                    <w:top w:w="12" w:type="dxa"/>
                    <w:left w:w="12" w:type="dxa"/>
                    <w:right w:w="12" w:type="dxa"/>
                  </w:tcMar>
                  <w:vAlign w:val="center"/>
                </w:tcPr>
                <w:p w14:paraId="685261FB">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排气筒</w:t>
                  </w:r>
                </w:p>
              </w:tc>
              <w:tc>
                <w:tcPr>
                  <w:tcW w:w="864" w:type="pct"/>
                  <w:noWrap w:val="0"/>
                  <w:tcMar>
                    <w:top w:w="12" w:type="dxa"/>
                    <w:left w:w="12" w:type="dxa"/>
                    <w:right w:w="12" w:type="dxa"/>
                  </w:tcMar>
                  <w:vAlign w:val="center"/>
                </w:tcPr>
                <w:p w14:paraId="3A886B28">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一般排放口</w:t>
                  </w:r>
                </w:p>
              </w:tc>
            </w:tr>
          </w:tbl>
          <w:p w14:paraId="12490C85">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lang w:eastAsia="zh-CN"/>
              </w:rPr>
            </w:pPr>
            <w:r>
              <w:rPr>
                <w:rFonts w:hint="default" w:ascii="Times New Roman" w:hAnsi="Times New Roman" w:eastAsia="仿宋_GB2312" w:cs="Times New Roman"/>
                <w:b/>
                <w:color w:val="auto"/>
                <w:sz w:val="24"/>
                <w:szCs w:val="24"/>
                <w:highlight w:val="none"/>
              </w:rPr>
              <w:t>1</w:t>
            </w:r>
            <w:r>
              <w:rPr>
                <w:rFonts w:hint="default" w:ascii="Times New Roman" w:hAnsi="Times New Roman" w:eastAsia="仿宋_GB2312" w:cs="Times New Roman"/>
                <w:b/>
                <w:color w:val="auto"/>
                <w:sz w:val="24"/>
                <w:szCs w:val="24"/>
                <w:highlight w:val="none"/>
                <w:lang w:val="en-US" w:eastAsia="zh-CN"/>
              </w:rPr>
              <w:t>.4</w:t>
            </w:r>
            <w:r>
              <w:rPr>
                <w:rFonts w:hint="default" w:ascii="Times New Roman" w:hAnsi="Times New Roman" w:eastAsia="仿宋_GB2312" w:cs="Times New Roman"/>
                <w:b/>
                <w:color w:val="auto"/>
                <w:sz w:val="24"/>
                <w:szCs w:val="24"/>
                <w:highlight w:val="none"/>
                <w:lang w:eastAsia="zh-CN"/>
              </w:rPr>
              <w:t>监测要求及排放标准</w:t>
            </w:r>
          </w:p>
          <w:p w14:paraId="29888FA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b/>
                <w:color w:val="auto"/>
                <w:spacing w:val="-10"/>
                <w:sz w:val="24"/>
                <w:szCs w:val="24"/>
                <w:highlight w:val="yellow"/>
              </w:rPr>
            </w:pPr>
            <w:r>
              <w:rPr>
                <w:rFonts w:hint="eastAsia" w:ascii="Times New Roman" w:hAnsi="Times New Roman" w:eastAsia="仿宋_GB2312" w:cs="Times New Roman"/>
                <w:bCs/>
                <w:color w:val="auto"/>
                <w:sz w:val="24"/>
                <w:szCs w:val="24"/>
                <w:highlight w:val="none"/>
                <w:lang w:val="en-US" w:eastAsia="zh-CN"/>
              </w:rPr>
              <w:t>根据</w:t>
            </w:r>
            <w:r>
              <w:rPr>
                <w:rFonts w:hint="default" w:ascii="Times New Roman" w:hAnsi="Times New Roman" w:eastAsia="仿宋_GB2312" w:cs="Times New Roman"/>
                <w:bCs/>
                <w:color w:val="auto"/>
                <w:sz w:val="24"/>
                <w:szCs w:val="24"/>
                <w:highlight w:val="none"/>
                <w:lang w:val="en-US" w:eastAsia="zh-CN"/>
              </w:rPr>
              <w:t>《排污单位自行监测技术指南 总则》（HJ819-2017）、</w:t>
            </w:r>
            <w:r>
              <w:rPr>
                <w:rFonts w:hint="eastAsia" w:ascii="Times New Roman" w:hAnsi="Times New Roman" w:eastAsia="仿宋_GB2312" w:cs="Times New Roman"/>
                <w:bCs/>
                <w:color w:val="auto"/>
                <w:sz w:val="24"/>
                <w:szCs w:val="24"/>
                <w:highlight w:val="none"/>
                <w:lang w:val="en-US" w:eastAsia="zh-CN"/>
              </w:rPr>
              <w:t>《排污单位自行监测技术指南 水处理》（HJ1083-2020）及</w:t>
            </w:r>
            <w:r>
              <w:rPr>
                <w:rFonts w:hint="default" w:ascii="Times New Roman" w:hAnsi="Times New Roman" w:eastAsia="仿宋_GB2312" w:cs="Times New Roman"/>
                <w:bCs/>
                <w:color w:val="auto"/>
                <w:sz w:val="24"/>
                <w:szCs w:val="24"/>
                <w:highlight w:val="none"/>
                <w:lang w:val="en-US" w:eastAsia="zh-CN"/>
              </w:rPr>
              <w:t xml:space="preserve">《排污许可证申请与核发技术规范 </w:t>
            </w:r>
            <w:r>
              <w:rPr>
                <w:rFonts w:hint="eastAsia" w:ascii="Times New Roman" w:hAnsi="Times New Roman" w:eastAsia="仿宋_GB2312" w:cs="Times New Roman"/>
                <w:bCs/>
                <w:color w:val="auto"/>
                <w:sz w:val="24"/>
                <w:szCs w:val="24"/>
                <w:highlight w:val="none"/>
                <w:lang w:val="en-US" w:eastAsia="zh-CN"/>
              </w:rPr>
              <w:t>水处理（试行）</w:t>
            </w:r>
            <w:r>
              <w:rPr>
                <w:rFonts w:hint="default" w:ascii="Times New Roman" w:hAnsi="Times New Roman" w:eastAsia="仿宋_GB2312" w:cs="Times New Roman"/>
                <w:bCs/>
                <w:color w:val="auto"/>
                <w:sz w:val="24"/>
                <w:szCs w:val="24"/>
                <w:highlight w:val="none"/>
                <w:lang w:val="en-US" w:eastAsia="zh-CN"/>
              </w:rPr>
              <w:t>》（HJ9</w:t>
            </w:r>
            <w:r>
              <w:rPr>
                <w:rFonts w:hint="eastAsia" w:ascii="Times New Roman" w:hAnsi="Times New Roman" w:eastAsia="仿宋_GB2312" w:cs="Times New Roman"/>
                <w:bCs/>
                <w:color w:val="auto"/>
                <w:sz w:val="24"/>
                <w:szCs w:val="24"/>
                <w:highlight w:val="none"/>
                <w:lang w:val="en-US" w:eastAsia="zh-CN"/>
              </w:rPr>
              <w:t>78</w:t>
            </w:r>
            <w:r>
              <w:rPr>
                <w:rFonts w:hint="default" w:ascii="Times New Roman" w:hAnsi="Times New Roman" w:eastAsia="仿宋_GB2312" w:cs="Times New Roman"/>
                <w:bCs/>
                <w:color w:val="auto"/>
                <w:sz w:val="24"/>
                <w:szCs w:val="24"/>
                <w:highlight w:val="none"/>
                <w:lang w:val="en-US" w:eastAsia="zh-CN"/>
              </w:rPr>
              <w:t>-2018），监测要求及排放标准</w:t>
            </w:r>
            <w:r>
              <w:rPr>
                <w:rFonts w:hint="default" w:ascii="Times New Roman" w:hAnsi="Times New Roman" w:eastAsia="仿宋_GB2312" w:cs="Times New Roman"/>
                <w:color w:val="auto"/>
                <w:sz w:val="24"/>
                <w:szCs w:val="24"/>
                <w:highlight w:val="none"/>
                <w:lang w:val="en-US" w:eastAsia="zh-CN"/>
              </w:rPr>
              <w:t>见表</w:t>
            </w:r>
            <w:r>
              <w:rPr>
                <w:rFonts w:hint="eastAsia" w:ascii="Times New Roman" w:hAnsi="Times New Roman" w:eastAsia="仿宋_GB2312" w:cs="Times New Roman"/>
                <w:color w:val="auto"/>
                <w:sz w:val="24"/>
                <w:szCs w:val="24"/>
                <w:highlight w:val="none"/>
                <w:lang w:val="en-US" w:eastAsia="zh-CN"/>
              </w:rPr>
              <w:t>4-5</w:t>
            </w:r>
            <w:r>
              <w:rPr>
                <w:rFonts w:hint="default" w:ascii="Times New Roman" w:hAnsi="Times New Roman" w:eastAsia="仿宋_GB2312" w:cs="Times New Roman"/>
                <w:color w:val="auto"/>
                <w:sz w:val="24"/>
                <w:szCs w:val="24"/>
                <w:highlight w:val="none"/>
                <w:lang w:val="en-US" w:eastAsia="zh-CN"/>
              </w:rPr>
              <w:t>。</w:t>
            </w:r>
          </w:p>
          <w:p w14:paraId="229133E0">
            <w:pPr>
              <w:adjustRightInd w:val="0"/>
              <w:snapToGrid w:val="0"/>
              <w:jc w:val="center"/>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 w:val="0"/>
                <w:bCs/>
                <w:color w:val="auto"/>
                <w:spacing w:val="-10"/>
                <w:sz w:val="21"/>
                <w:szCs w:val="21"/>
                <w:highlight w:val="none"/>
              </w:rPr>
              <w:t>表</w:t>
            </w:r>
            <w:r>
              <w:rPr>
                <w:rFonts w:hint="eastAsia" w:ascii="Times New Roman" w:hAnsi="Times New Roman" w:eastAsia="宋体" w:cs="Times New Roman"/>
                <w:b w:val="0"/>
                <w:bCs/>
                <w:color w:val="auto"/>
                <w:spacing w:val="-10"/>
                <w:sz w:val="21"/>
                <w:szCs w:val="21"/>
                <w:highlight w:val="none"/>
                <w:lang w:val="en-US" w:eastAsia="zh-CN"/>
              </w:rPr>
              <w:t xml:space="preserve">4-5    </w:t>
            </w:r>
            <w:r>
              <w:rPr>
                <w:rFonts w:hint="default" w:ascii="Times New Roman" w:hAnsi="Times New Roman" w:eastAsia="宋体" w:cs="Times New Roman"/>
                <w:b/>
                <w:color w:val="auto"/>
                <w:spacing w:val="-10"/>
                <w:szCs w:val="21"/>
                <w:highlight w:val="none"/>
              </w:rPr>
              <w:t>本项目监测要求及排放标准一览表</w:t>
            </w:r>
          </w:p>
          <w:tbl>
            <w:tblPr>
              <w:tblStyle w:val="26"/>
              <w:tblW w:w="49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34"/>
              <w:gridCol w:w="1415"/>
              <w:gridCol w:w="1109"/>
              <w:gridCol w:w="3596"/>
            </w:tblGrid>
            <w:tr w14:paraId="495B61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3" w:type="pct"/>
                  <w:tcBorders>
                    <w:tl2br w:val="nil"/>
                    <w:tr2bl w:val="nil"/>
                  </w:tcBorders>
                  <w:noWrap w:val="0"/>
                  <w:tcMar>
                    <w:top w:w="12" w:type="dxa"/>
                    <w:left w:w="12" w:type="dxa"/>
                    <w:right w:w="12" w:type="dxa"/>
                  </w:tcMar>
                  <w:vAlign w:val="center"/>
                </w:tcPr>
                <w:p w14:paraId="55CD2716">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监测点位</w:t>
                  </w:r>
                </w:p>
              </w:tc>
              <w:tc>
                <w:tcPr>
                  <w:tcW w:w="912" w:type="pct"/>
                  <w:tcBorders>
                    <w:tl2br w:val="nil"/>
                    <w:tr2bl w:val="nil"/>
                  </w:tcBorders>
                  <w:noWrap w:val="0"/>
                  <w:tcMar>
                    <w:top w:w="12" w:type="dxa"/>
                    <w:left w:w="12" w:type="dxa"/>
                    <w:right w:w="12" w:type="dxa"/>
                  </w:tcMar>
                  <w:vAlign w:val="center"/>
                </w:tcPr>
                <w:p w14:paraId="0DDD27FB">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监测因子</w:t>
                  </w:r>
                </w:p>
              </w:tc>
              <w:tc>
                <w:tcPr>
                  <w:tcW w:w="715" w:type="pct"/>
                  <w:tcBorders>
                    <w:tl2br w:val="nil"/>
                    <w:tr2bl w:val="nil"/>
                  </w:tcBorders>
                  <w:noWrap w:val="0"/>
                  <w:tcMar>
                    <w:top w:w="12" w:type="dxa"/>
                    <w:left w:w="12" w:type="dxa"/>
                    <w:right w:w="12" w:type="dxa"/>
                  </w:tcMar>
                  <w:vAlign w:val="center"/>
                </w:tcPr>
                <w:p w14:paraId="505F6848">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监测频次</w:t>
                  </w:r>
                </w:p>
              </w:tc>
              <w:tc>
                <w:tcPr>
                  <w:tcW w:w="2318" w:type="pct"/>
                  <w:tcBorders>
                    <w:right w:val="single" w:color="000000" w:sz="12" w:space="0"/>
                    <w:tl2br w:val="nil"/>
                    <w:tr2bl w:val="nil"/>
                  </w:tcBorders>
                  <w:noWrap w:val="0"/>
                  <w:tcMar>
                    <w:top w:w="12" w:type="dxa"/>
                    <w:left w:w="12" w:type="dxa"/>
                    <w:right w:w="12" w:type="dxa"/>
                  </w:tcMar>
                  <w:vAlign w:val="center"/>
                </w:tcPr>
                <w:p w14:paraId="531704B9">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执行排放标准</w:t>
                  </w:r>
                </w:p>
              </w:tc>
            </w:tr>
            <w:tr w14:paraId="00AF09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3" w:type="pct"/>
                  <w:tcBorders>
                    <w:tl2br w:val="nil"/>
                    <w:tr2bl w:val="nil"/>
                  </w:tcBorders>
                  <w:noWrap w:val="0"/>
                  <w:tcMar>
                    <w:top w:w="12" w:type="dxa"/>
                    <w:left w:w="12" w:type="dxa"/>
                    <w:right w:w="12" w:type="dxa"/>
                  </w:tcMar>
                  <w:vAlign w:val="center"/>
                </w:tcPr>
                <w:p w14:paraId="5F169C49">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排气筒</w:t>
                  </w:r>
                  <w:r>
                    <w:rPr>
                      <w:rFonts w:hint="default" w:ascii="Times New Roman" w:hAnsi="Times New Roman" w:eastAsia="宋体" w:cs="Times New Roman"/>
                      <w:color w:val="auto"/>
                      <w:kern w:val="0"/>
                      <w:sz w:val="21"/>
                      <w:szCs w:val="21"/>
                      <w:highlight w:val="none"/>
                      <w:lang w:val="en-US" w:eastAsia="zh-CN"/>
                    </w:rPr>
                    <w:t>DA001</w:t>
                  </w:r>
                </w:p>
              </w:tc>
              <w:tc>
                <w:tcPr>
                  <w:tcW w:w="912" w:type="pct"/>
                  <w:tcBorders>
                    <w:tl2br w:val="nil"/>
                    <w:tr2bl w:val="nil"/>
                  </w:tcBorders>
                  <w:noWrap w:val="0"/>
                  <w:tcMar>
                    <w:top w:w="12" w:type="dxa"/>
                    <w:left w:w="12" w:type="dxa"/>
                    <w:right w:w="12" w:type="dxa"/>
                  </w:tcMar>
                  <w:vAlign w:val="center"/>
                </w:tcPr>
                <w:p w14:paraId="774E15AC">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氨、硫化氢、臭气浓度</w:t>
                  </w:r>
                </w:p>
              </w:tc>
              <w:tc>
                <w:tcPr>
                  <w:tcW w:w="715" w:type="pct"/>
                  <w:tcBorders>
                    <w:tl2br w:val="nil"/>
                    <w:tr2bl w:val="nil"/>
                  </w:tcBorders>
                  <w:noWrap w:val="0"/>
                  <w:tcMar>
                    <w:top w:w="12" w:type="dxa"/>
                    <w:left w:w="12" w:type="dxa"/>
                    <w:right w:w="12" w:type="dxa"/>
                  </w:tcMar>
                  <w:vAlign w:val="center"/>
                </w:tcPr>
                <w:p w14:paraId="02ED8634">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1次/半年</w:t>
                  </w:r>
                </w:p>
              </w:tc>
              <w:tc>
                <w:tcPr>
                  <w:tcW w:w="2318" w:type="pct"/>
                  <w:tcBorders>
                    <w:right w:val="single" w:color="000000" w:sz="12" w:space="0"/>
                    <w:tl2br w:val="nil"/>
                    <w:tr2bl w:val="nil"/>
                  </w:tcBorders>
                  <w:noWrap w:val="0"/>
                  <w:tcMar>
                    <w:top w:w="12" w:type="dxa"/>
                    <w:left w:w="12" w:type="dxa"/>
                    <w:right w:w="12" w:type="dxa"/>
                  </w:tcMar>
                  <w:vAlign w:val="center"/>
                </w:tcPr>
                <w:p w14:paraId="11A0BA71">
                  <w:pPr>
                    <w:keepNext w:val="0"/>
                    <w:keepLines w:val="0"/>
                    <w:pageBreakBefore w:val="0"/>
                    <w:widowControl/>
                    <w:kinsoku/>
                    <w:wordWrap/>
                    <w:overflowPunct/>
                    <w:topLinePunct w:val="0"/>
                    <w:autoSpaceDE/>
                    <w:autoSpaceDN/>
                    <w:bidi w:val="0"/>
                    <w:adjustRightInd/>
                    <w:snapToGrid w:val="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《恶臭污染物排放标准》(GB14554-93)中表2标准限值</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硫化氢≤0.33kg/h，氨≤4.9kg/h</w:t>
                  </w:r>
                  <w:r>
                    <w:rPr>
                      <w:rFonts w:hint="eastAsia" w:ascii="Times New Roman" w:hAnsi="Times New Roman" w:eastAsia="宋体" w:cs="Times New Roman"/>
                      <w:color w:val="auto"/>
                      <w:kern w:val="0"/>
                      <w:sz w:val="21"/>
                      <w:szCs w:val="21"/>
                      <w:highlight w:val="none"/>
                      <w:lang w:val="en-US" w:eastAsia="zh-CN"/>
                    </w:rPr>
                    <w:t>)</w:t>
                  </w:r>
                </w:p>
              </w:tc>
            </w:tr>
            <w:tr w14:paraId="0346FC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3" w:type="pct"/>
                  <w:tcBorders>
                    <w:tl2br w:val="nil"/>
                    <w:tr2bl w:val="nil"/>
                  </w:tcBorders>
                  <w:noWrap w:val="0"/>
                  <w:tcMar>
                    <w:top w:w="12" w:type="dxa"/>
                    <w:left w:w="12" w:type="dxa"/>
                    <w:right w:w="12" w:type="dxa"/>
                  </w:tcMar>
                  <w:vAlign w:val="center"/>
                </w:tcPr>
                <w:p w14:paraId="41887393">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厂界</w:t>
                  </w:r>
                  <w:r>
                    <w:rPr>
                      <w:rFonts w:hint="eastAsia" w:ascii="Times New Roman" w:hAnsi="Times New Roman" w:eastAsia="宋体" w:cs="Times New Roman"/>
                      <w:color w:val="auto"/>
                      <w:kern w:val="0"/>
                      <w:sz w:val="21"/>
                      <w:szCs w:val="21"/>
                      <w:highlight w:val="none"/>
                      <w:lang w:eastAsia="zh-CN"/>
                    </w:rPr>
                    <w:t>或防护带边缘的浓度最高点</w:t>
                  </w:r>
                  <w:r>
                    <w:rPr>
                      <w:rFonts w:hint="eastAsia" w:ascii="Times New Roman" w:hAnsi="Times New Roman" w:eastAsia="宋体" w:cs="Times New Roman"/>
                      <w:color w:val="auto"/>
                      <w:kern w:val="0"/>
                      <w:sz w:val="21"/>
                      <w:szCs w:val="21"/>
                      <w:highlight w:val="none"/>
                      <w:vertAlign w:val="superscript"/>
                      <w:lang w:val="en-US" w:eastAsia="zh-CN"/>
                    </w:rPr>
                    <w:t>a</w:t>
                  </w:r>
                </w:p>
              </w:tc>
              <w:tc>
                <w:tcPr>
                  <w:tcW w:w="912" w:type="pct"/>
                  <w:tcBorders>
                    <w:tl2br w:val="nil"/>
                    <w:tr2bl w:val="nil"/>
                  </w:tcBorders>
                  <w:noWrap w:val="0"/>
                  <w:tcMar>
                    <w:top w:w="12" w:type="dxa"/>
                    <w:left w:w="12" w:type="dxa"/>
                    <w:right w:w="12" w:type="dxa"/>
                  </w:tcMar>
                  <w:vAlign w:val="center"/>
                </w:tcPr>
                <w:p w14:paraId="56BF85C1">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氨、硫化氢、臭气浓度</w:t>
                  </w:r>
                </w:p>
              </w:tc>
              <w:tc>
                <w:tcPr>
                  <w:tcW w:w="715" w:type="pct"/>
                  <w:tcBorders>
                    <w:tl2br w:val="nil"/>
                    <w:tr2bl w:val="nil"/>
                  </w:tcBorders>
                  <w:noWrap w:val="0"/>
                  <w:tcMar>
                    <w:top w:w="12" w:type="dxa"/>
                    <w:left w:w="12" w:type="dxa"/>
                    <w:right w:w="12" w:type="dxa"/>
                  </w:tcMar>
                  <w:vAlign w:val="center"/>
                </w:tcPr>
                <w:p w14:paraId="073AD43E">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1次/半年</w:t>
                  </w:r>
                </w:p>
              </w:tc>
              <w:tc>
                <w:tcPr>
                  <w:tcW w:w="2318" w:type="pct"/>
                  <w:vMerge w:val="restart"/>
                  <w:tcBorders>
                    <w:right w:val="single" w:color="000000" w:sz="12" w:space="0"/>
                    <w:tl2br w:val="nil"/>
                    <w:tr2bl w:val="nil"/>
                  </w:tcBorders>
                  <w:noWrap w:val="0"/>
                  <w:tcMar>
                    <w:top w:w="12" w:type="dxa"/>
                    <w:left w:w="12" w:type="dxa"/>
                    <w:right w:w="12" w:type="dxa"/>
                  </w:tcMar>
                  <w:vAlign w:val="center"/>
                </w:tcPr>
                <w:p w14:paraId="57AC8ECE">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《城镇污水处理厂污染物排放标准（修改单）》(GB18918-2002)中表4厂界(防护带边缘)废气排放最高允许浓度中二级标准(硫化氢≤0.06mg/m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，氨≤1.5mg/m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p>
              </w:tc>
            </w:tr>
            <w:tr w14:paraId="7F39DB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3" w:type="pct"/>
                  <w:tcBorders>
                    <w:tl2br w:val="nil"/>
                    <w:tr2bl w:val="nil"/>
                  </w:tcBorders>
                  <w:noWrap w:val="0"/>
                  <w:tcMar>
                    <w:top w:w="12" w:type="dxa"/>
                    <w:left w:w="12" w:type="dxa"/>
                    <w:right w:w="12" w:type="dxa"/>
                  </w:tcMar>
                  <w:vAlign w:val="center"/>
                </w:tcPr>
                <w:p w14:paraId="39C406FD">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厂区甲烷体积浓度最高处</w:t>
                  </w:r>
                  <w:r>
                    <w:rPr>
                      <w:rFonts w:hint="eastAsia" w:ascii="Times New Roman" w:hAnsi="Times New Roman" w:eastAsia="宋体" w:cs="Times New Roman"/>
                      <w:color w:val="auto"/>
                      <w:kern w:val="0"/>
                      <w:sz w:val="21"/>
                      <w:szCs w:val="21"/>
                      <w:highlight w:val="none"/>
                      <w:vertAlign w:val="superscript"/>
                      <w:lang w:val="en-US" w:eastAsia="zh-CN"/>
                    </w:rPr>
                    <w:t>b</w:t>
                  </w:r>
                </w:p>
              </w:tc>
              <w:tc>
                <w:tcPr>
                  <w:tcW w:w="912" w:type="pct"/>
                  <w:tcBorders>
                    <w:tl2br w:val="nil"/>
                    <w:tr2bl w:val="nil"/>
                  </w:tcBorders>
                  <w:noWrap w:val="0"/>
                  <w:tcMar>
                    <w:top w:w="12" w:type="dxa"/>
                    <w:left w:w="12" w:type="dxa"/>
                    <w:right w:w="12" w:type="dxa"/>
                  </w:tcMar>
                  <w:vAlign w:val="center"/>
                </w:tcPr>
                <w:p w14:paraId="3030C7BA">
                  <w:pPr>
                    <w:keepNext w:val="0"/>
                    <w:keepLines w:val="0"/>
                    <w:pageBreakBefore w:val="0"/>
                    <w:widowControl/>
                    <w:kinsoku/>
                    <w:wordWrap/>
                    <w:overflowPunct/>
                    <w:topLinePunct w:val="0"/>
                    <w:autoSpaceDE/>
                    <w:autoSpaceDN/>
                    <w:bidi w:val="0"/>
                    <w:adjustRightInd/>
                    <w:snapToGrid w:val="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甲烷</w:t>
                  </w:r>
                </w:p>
              </w:tc>
              <w:tc>
                <w:tcPr>
                  <w:tcW w:w="715" w:type="pct"/>
                  <w:tcBorders>
                    <w:tl2br w:val="nil"/>
                    <w:tr2bl w:val="nil"/>
                  </w:tcBorders>
                  <w:noWrap w:val="0"/>
                  <w:tcMar>
                    <w:top w:w="12" w:type="dxa"/>
                    <w:left w:w="12" w:type="dxa"/>
                    <w:right w:w="12" w:type="dxa"/>
                  </w:tcMar>
                  <w:vAlign w:val="center"/>
                </w:tcPr>
                <w:p w14:paraId="3AF8B1A6">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年</w:t>
                  </w:r>
                </w:p>
              </w:tc>
              <w:tc>
                <w:tcPr>
                  <w:tcW w:w="2318" w:type="pct"/>
                  <w:vMerge w:val="continue"/>
                  <w:tcBorders>
                    <w:right w:val="single" w:color="000000" w:sz="12" w:space="0"/>
                    <w:tl2br w:val="nil"/>
                    <w:tr2bl w:val="nil"/>
                  </w:tcBorders>
                  <w:noWrap w:val="0"/>
                  <w:tcMar>
                    <w:top w:w="12" w:type="dxa"/>
                    <w:left w:w="12" w:type="dxa"/>
                    <w:right w:w="12" w:type="dxa"/>
                  </w:tcMar>
                  <w:vAlign w:val="center"/>
                </w:tcPr>
                <w:p w14:paraId="1CA835A9">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highlight w:val="none"/>
                    </w:rPr>
                  </w:pPr>
                </w:p>
              </w:tc>
            </w:tr>
            <w:tr w14:paraId="17938B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4"/>
                  <w:tcBorders>
                    <w:right w:val="single" w:color="000000" w:sz="12" w:space="0"/>
                    <w:tl2br w:val="nil"/>
                    <w:tr2bl w:val="nil"/>
                  </w:tcBorders>
                  <w:noWrap w:val="0"/>
                  <w:tcMar>
                    <w:top w:w="12" w:type="dxa"/>
                    <w:left w:w="12" w:type="dxa"/>
                    <w:right w:w="12" w:type="dxa"/>
                  </w:tcMar>
                  <w:vAlign w:val="center"/>
                </w:tcPr>
                <w:p w14:paraId="686F99F2">
                  <w:pPr>
                    <w:keepNext w:val="0"/>
                    <w:keepLines w:val="0"/>
                    <w:pageBreakBefore w:val="0"/>
                    <w:widowControl/>
                    <w:kinsoku/>
                    <w:wordWrap/>
                    <w:overflowPunct/>
                    <w:topLinePunct w:val="0"/>
                    <w:autoSpaceDE/>
                    <w:autoSpaceDN/>
                    <w:bidi w:val="0"/>
                    <w:adjustRightInd/>
                    <w:snapToGrid w:val="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lang w:val="en-US" w:eastAsia="zh-CN"/>
                    </w:rPr>
                    <w:t>防护带边缘的浓度最高点，通常位于靠近污泥脱水机房附近。</w:t>
                  </w:r>
                </w:p>
                <w:p w14:paraId="65355675">
                  <w:pPr>
                    <w:pStyle w:val="40"/>
                    <w:rPr>
                      <w:rFonts w:hint="default"/>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b</w:t>
                  </w:r>
                  <w:r>
                    <w:rPr>
                      <w:rFonts w:hint="default" w:ascii="Times New Roman" w:hAnsi="Times New Roman" w:eastAsia="宋体" w:cs="Times New Roman"/>
                      <w:color w:val="auto"/>
                      <w:kern w:val="0"/>
                      <w:sz w:val="21"/>
                      <w:szCs w:val="21"/>
                      <w:highlight w:val="none"/>
                      <w:lang w:val="en-US" w:eastAsia="zh-CN"/>
                    </w:rPr>
                    <w:t>通常位于格栅、初沉池、污泥消化池、污泥浓缩池、污泥脱水机房等位置，选取浓度最高点设置监测点位</w:t>
                  </w:r>
                  <w:r>
                    <w:rPr>
                      <w:rFonts w:hint="eastAsia" w:ascii="Times New Roman" w:hAnsi="Times New Roman" w:eastAsia="宋体" w:cs="Times New Roman"/>
                      <w:color w:val="auto"/>
                      <w:kern w:val="0"/>
                      <w:sz w:val="21"/>
                      <w:szCs w:val="21"/>
                      <w:highlight w:val="none"/>
                      <w:lang w:val="en-US" w:eastAsia="zh-CN"/>
                    </w:rPr>
                    <w:t>。</w:t>
                  </w:r>
                </w:p>
              </w:tc>
            </w:tr>
          </w:tbl>
          <w:p w14:paraId="7423632F">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lang w:eastAsia="zh-CN"/>
              </w:rPr>
            </w:pPr>
            <w:r>
              <w:rPr>
                <w:rFonts w:hint="default" w:ascii="Times New Roman" w:hAnsi="Times New Roman" w:eastAsia="仿宋_GB2312" w:cs="Times New Roman"/>
                <w:b/>
                <w:color w:val="auto"/>
                <w:sz w:val="24"/>
                <w:szCs w:val="24"/>
                <w:highlight w:val="none"/>
              </w:rPr>
              <w:t>1</w:t>
            </w:r>
            <w:r>
              <w:rPr>
                <w:rFonts w:hint="default" w:ascii="Times New Roman" w:hAnsi="Times New Roman" w:eastAsia="仿宋_GB2312" w:cs="Times New Roman"/>
                <w:b/>
                <w:color w:val="auto"/>
                <w:sz w:val="24"/>
                <w:szCs w:val="24"/>
                <w:highlight w:val="none"/>
                <w:lang w:val="en-US" w:eastAsia="zh-CN"/>
              </w:rPr>
              <w:t>.5</w:t>
            </w:r>
            <w:r>
              <w:rPr>
                <w:rFonts w:hint="default" w:ascii="Times New Roman" w:hAnsi="Times New Roman" w:eastAsia="仿宋_GB2312" w:cs="Times New Roman"/>
                <w:b/>
                <w:color w:val="auto"/>
                <w:sz w:val="24"/>
                <w:szCs w:val="24"/>
                <w:highlight w:val="none"/>
                <w:lang w:eastAsia="zh-CN"/>
              </w:rPr>
              <w:t>达标排放情况及措施可行性分析</w:t>
            </w:r>
          </w:p>
          <w:p w14:paraId="26276282">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lang w:val="en-US" w:eastAsia="zh-CN"/>
              </w:rPr>
            </w:pPr>
            <w:r>
              <w:rPr>
                <w:rFonts w:hint="default" w:ascii="Times New Roman" w:hAnsi="Times New Roman" w:eastAsia="仿宋_GB2312" w:cs="Times New Roman"/>
                <w:b/>
                <w:color w:val="auto"/>
                <w:sz w:val="24"/>
                <w:szCs w:val="24"/>
                <w:highlight w:val="none"/>
              </w:rPr>
              <w:t>1</w:t>
            </w:r>
            <w:r>
              <w:rPr>
                <w:rFonts w:hint="default" w:ascii="Times New Roman" w:hAnsi="Times New Roman" w:eastAsia="仿宋_GB2312" w:cs="Times New Roman"/>
                <w:b/>
                <w:color w:val="auto"/>
                <w:sz w:val="24"/>
                <w:szCs w:val="24"/>
                <w:highlight w:val="none"/>
                <w:lang w:val="en-US" w:eastAsia="zh-CN"/>
              </w:rPr>
              <w:t>.5.1达标排放情况分析</w:t>
            </w:r>
          </w:p>
          <w:p w14:paraId="6CAAAF2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bCs/>
                <w:color w:val="auto"/>
                <w:sz w:val="24"/>
                <w:szCs w:val="24"/>
                <w:highlight w:val="none"/>
                <w:lang w:val="en-US" w:eastAsia="zh-CN"/>
              </w:rPr>
            </w:pPr>
            <w:r>
              <w:rPr>
                <w:rFonts w:hint="default" w:ascii="Times New Roman" w:hAnsi="Times New Roman" w:eastAsia="仿宋_GB2312" w:cs="Times New Roman"/>
                <w:bCs/>
                <w:color w:val="auto"/>
                <w:sz w:val="24"/>
                <w:szCs w:val="24"/>
                <w:highlight w:val="none"/>
                <w:lang w:eastAsia="zh-CN"/>
              </w:rPr>
              <w:t>本项目废气主要为</w:t>
            </w:r>
            <w:r>
              <w:rPr>
                <w:rFonts w:hint="eastAsia" w:ascii="Times New Roman" w:hAnsi="Times New Roman" w:eastAsia="仿宋_GB2312" w:cs="Times New Roman"/>
                <w:bCs/>
                <w:color w:val="auto"/>
                <w:sz w:val="24"/>
                <w:szCs w:val="24"/>
                <w:highlight w:val="none"/>
                <w:lang w:eastAsia="zh-CN"/>
              </w:rPr>
              <w:t>污水处理厂运行过程中产生的恶臭气体，污染因子主要为氨、硫化氢</w:t>
            </w:r>
            <w:r>
              <w:rPr>
                <w:rFonts w:hint="default" w:ascii="Times New Roman" w:hAnsi="Times New Roman" w:eastAsia="仿宋_GB2312" w:cs="Times New Roman"/>
                <w:bCs/>
                <w:color w:val="auto"/>
                <w:sz w:val="24"/>
                <w:szCs w:val="24"/>
                <w:highlight w:val="none"/>
                <w:lang w:eastAsia="zh-CN"/>
              </w:rPr>
              <w:t>。</w:t>
            </w:r>
            <w:r>
              <w:rPr>
                <w:rFonts w:hint="eastAsia" w:ascii="Times New Roman" w:hAnsi="Times New Roman" w:eastAsia="仿宋_GB2312" w:cs="Times New Roman"/>
                <w:bCs/>
                <w:color w:val="auto"/>
                <w:sz w:val="24"/>
                <w:szCs w:val="24"/>
                <w:highlight w:val="none"/>
                <w:lang w:eastAsia="zh-CN"/>
              </w:rPr>
              <w:t>项目运行过程中氨、硫化氢及臭气浓度</w:t>
            </w:r>
            <w:r>
              <w:rPr>
                <w:rFonts w:hint="default" w:ascii="Times New Roman" w:hAnsi="Times New Roman" w:eastAsia="仿宋_GB2312" w:cs="Times New Roman"/>
                <w:bCs/>
                <w:color w:val="auto"/>
                <w:sz w:val="24"/>
                <w:szCs w:val="24"/>
                <w:highlight w:val="none"/>
                <w:lang w:val="en-US" w:eastAsia="zh-CN"/>
              </w:rPr>
              <w:t>可满足《恶臭污染物排放标准》(GB14554-93)中表2标准限值</w:t>
            </w:r>
            <w:r>
              <w:rPr>
                <w:rFonts w:hint="eastAsia" w:ascii="Times New Roman" w:hAnsi="Times New Roman" w:eastAsia="仿宋_GB2312" w:cs="Times New Roman"/>
                <w:bCs/>
                <w:color w:val="auto"/>
                <w:sz w:val="24"/>
                <w:szCs w:val="24"/>
                <w:highlight w:val="none"/>
                <w:lang w:val="en-US" w:eastAsia="zh-CN"/>
              </w:rPr>
              <w:t>要求</w:t>
            </w:r>
            <w:r>
              <w:rPr>
                <w:rFonts w:hint="default" w:ascii="Times New Roman" w:hAnsi="Times New Roman" w:eastAsia="仿宋_GB2312" w:cs="Times New Roman"/>
                <w:bCs/>
                <w:color w:val="auto"/>
                <w:sz w:val="24"/>
                <w:szCs w:val="24"/>
                <w:highlight w:val="none"/>
                <w:lang w:val="en-US" w:eastAsia="zh-CN"/>
              </w:rPr>
              <w:t>(硫化氢≤0.33kg/h，氨≤4.9kg/h)。</w:t>
            </w:r>
          </w:p>
          <w:p w14:paraId="2D9484C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仿宋_GB2312" w:cs="Times New Roman"/>
                <w:bCs/>
                <w:color w:val="auto"/>
                <w:sz w:val="24"/>
                <w:szCs w:val="24"/>
                <w:highlight w:val="none"/>
                <w:lang w:val="en-US" w:eastAsia="zh-CN"/>
              </w:rPr>
            </w:pPr>
            <w:r>
              <w:rPr>
                <w:rFonts w:hint="eastAsia" w:ascii="Times New Roman" w:hAnsi="Times New Roman" w:eastAsia="仿宋_GB2312" w:cs="Times New Roman"/>
                <w:bCs/>
                <w:color w:val="auto"/>
                <w:sz w:val="24"/>
                <w:szCs w:val="24"/>
                <w:highlight w:val="none"/>
                <w:lang w:val="en-US" w:eastAsia="zh-CN"/>
              </w:rPr>
              <w:t>污水处理厂未能收集恶臭气体通过</w:t>
            </w:r>
            <w:r>
              <w:rPr>
                <w:rFonts w:hint="default" w:ascii="Times New Roman" w:hAnsi="Times New Roman" w:eastAsia="仿宋_GB2312" w:cs="Times New Roman"/>
                <w:bCs/>
                <w:color w:val="auto"/>
                <w:sz w:val="24"/>
                <w:szCs w:val="24"/>
                <w:highlight w:val="none"/>
                <w:lang w:val="en-US" w:eastAsia="zh-CN"/>
              </w:rPr>
              <w:t>无组织</w:t>
            </w:r>
            <w:r>
              <w:rPr>
                <w:rFonts w:hint="eastAsia" w:ascii="Times New Roman" w:hAnsi="Times New Roman" w:eastAsia="仿宋_GB2312" w:cs="Times New Roman"/>
                <w:bCs/>
                <w:color w:val="auto"/>
                <w:sz w:val="24"/>
                <w:szCs w:val="24"/>
                <w:highlight w:val="none"/>
                <w:lang w:val="en-US" w:eastAsia="zh-CN"/>
              </w:rPr>
              <w:t>形式排放</w:t>
            </w:r>
            <w:r>
              <w:rPr>
                <w:rFonts w:hint="default" w:ascii="Times New Roman" w:hAnsi="Times New Roman" w:eastAsia="仿宋_GB2312" w:cs="Times New Roman"/>
                <w:bCs/>
                <w:color w:val="auto"/>
                <w:sz w:val="24"/>
                <w:szCs w:val="24"/>
                <w:highlight w:val="none"/>
                <w:lang w:val="en-US" w:eastAsia="zh-CN"/>
              </w:rPr>
              <w:t>，其排放浓度均</w:t>
            </w:r>
            <w:r>
              <w:rPr>
                <w:rFonts w:hint="eastAsia" w:ascii="Times New Roman" w:hAnsi="Times New Roman" w:eastAsia="仿宋_GB2312" w:cs="Times New Roman"/>
                <w:bCs/>
                <w:color w:val="auto"/>
                <w:sz w:val="24"/>
                <w:szCs w:val="24"/>
                <w:highlight w:val="none"/>
                <w:lang w:val="en-US" w:eastAsia="zh-CN"/>
              </w:rPr>
              <w:t>可满足</w:t>
            </w:r>
            <w:r>
              <w:rPr>
                <w:rFonts w:hint="default" w:ascii="Times New Roman" w:hAnsi="Times New Roman" w:eastAsia="仿宋_GB2312" w:cs="Times New Roman"/>
                <w:bCs/>
                <w:color w:val="auto"/>
                <w:sz w:val="24"/>
                <w:szCs w:val="24"/>
                <w:highlight w:val="none"/>
                <w:lang w:val="en-US" w:eastAsia="zh-CN"/>
              </w:rPr>
              <w:t>《城镇污水处理厂污染物排放标准（修改单）》(GB18918-2002)中表4厂界(防护带边缘)废气排放最高允许浓度中二级标准(硫化氢≤0.06mg/m</w:t>
            </w:r>
            <w:r>
              <w:rPr>
                <w:rFonts w:hint="default" w:ascii="Times New Roman" w:hAnsi="Times New Roman" w:eastAsia="仿宋_GB2312" w:cs="Times New Roman"/>
                <w:bCs/>
                <w:color w:val="auto"/>
                <w:sz w:val="24"/>
                <w:szCs w:val="24"/>
                <w:highlight w:val="none"/>
                <w:vertAlign w:val="superscript"/>
                <w:lang w:val="en-US" w:eastAsia="zh-CN"/>
              </w:rPr>
              <w:t>3</w:t>
            </w:r>
            <w:r>
              <w:rPr>
                <w:rFonts w:hint="default" w:ascii="Times New Roman" w:hAnsi="Times New Roman" w:eastAsia="仿宋_GB2312" w:cs="Times New Roman"/>
                <w:bCs/>
                <w:color w:val="auto"/>
                <w:sz w:val="24"/>
                <w:szCs w:val="24"/>
                <w:highlight w:val="none"/>
                <w:lang w:val="en-US" w:eastAsia="zh-CN"/>
              </w:rPr>
              <w:t>，氨≤1.5mg/m</w:t>
            </w:r>
            <w:r>
              <w:rPr>
                <w:rFonts w:hint="default" w:ascii="Times New Roman" w:hAnsi="Times New Roman" w:eastAsia="仿宋_GB2312" w:cs="Times New Roman"/>
                <w:bCs/>
                <w:color w:val="auto"/>
                <w:sz w:val="24"/>
                <w:szCs w:val="24"/>
                <w:highlight w:val="none"/>
                <w:vertAlign w:val="superscript"/>
                <w:lang w:val="en-US" w:eastAsia="zh-CN"/>
              </w:rPr>
              <w:t>3</w:t>
            </w:r>
            <w:r>
              <w:rPr>
                <w:rFonts w:hint="default" w:ascii="Times New Roman" w:hAnsi="Times New Roman" w:eastAsia="仿宋_GB2312" w:cs="Times New Roman"/>
                <w:bCs/>
                <w:color w:val="auto"/>
                <w:sz w:val="24"/>
                <w:szCs w:val="24"/>
                <w:highlight w:val="none"/>
                <w:lang w:val="en-US" w:eastAsia="zh-CN"/>
              </w:rPr>
              <w:t>)。</w:t>
            </w:r>
          </w:p>
          <w:p w14:paraId="239271C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lang w:val="en-US" w:eastAsia="zh-CN"/>
              </w:rPr>
            </w:pPr>
            <w:r>
              <w:rPr>
                <w:rFonts w:hint="default" w:ascii="Times New Roman" w:hAnsi="Times New Roman" w:eastAsia="仿宋_GB2312" w:cs="Times New Roman"/>
                <w:b/>
                <w:color w:val="auto"/>
                <w:sz w:val="24"/>
                <w:szCs w:val="24"/>
                <w:highlight w:val="none"/>
              </w:rPr>
              <w:t>1</w:t>
            </w:r>
            <w:r>
              <w:rPr>
                <w:rFonts w:hint="default" w:ascii="Times New Roman" w:hAnsi="Times New Roman" w:eastAsia="仿宋_GB2312" w:cs="Times New Roman"/>
                <w:b/>
                <w:color w:val="auto"/>
                <w:sz w:val="24"/>
                <w:szCs w:val="24"/>
                <w:highlight w:val="none"/>
                <w:lang w:val="en-US" w:eastAsia="zh-CN"/>
              </w:rPr>
              <w:t>.5.2 措施可行性分析</w:t>
            </w:r>
          </w:p>
          <w:p w14:paraId="398D45F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Cs/>
                <w:color w:val="auto"/>
                <w:sz w:val="24"/>
                <w:szCs w:val="24"/>
                <w:highlight w:val="none"/>
                <w:lang w:val="en-US" w:eastAsia="zh-CN"/>
              </w:rPr>
            </w:pPr>
            <w:r>
              <w:rPr>
                <w:rFonts w:hint="default" w:ascii="Times New Roman" w:hAnsi="Times New Roman" w:eastAsia="仿宋_GB2312" w:cs="Times New Roman"/>
                <w:bCs/>
                <w:color w:val="auto"/>
                <w:sz w:val="24"/>
                <w:szCs w:val="24"/>
                <w:highlight w:val="none"/>
                <w:lang w:eastAsia="zh-CN"/>
              </w:rPr>
              <w:t>参照</w:t>
            </w:r>
            <w:r>
              <w:rPr>
                <w:rFonts w:hint="default" w:ascii="Times New Roman" w:hAnsi="Times New Roman" w:eastAsia="仿宋_GB2312" w:cs="Times New Roman"/>
                <w:bCs/>
                <w:color w:val="auto"/>
                <w:sz w:val="24"/>
                <w:szCs w:val="24"/>
                <w:highlight w:val="none"/>
                <w:lang w:val="en-US" w:eastAsia="zh-CN"/>
              </w:rPr>
              <w:t xml:space="preserve">《排污许可证申请与核发技术规范 </w:t>
            </w:r>
            <w:r>
              <w:rPr>
                <w:rFonts w:hint="eastAsia" w:ascii="Times New Roman" w:hAnsi="Times New Roman" w:eastAsia="仿宋_GB2312" w:cs="Times New Roman"/>
                <w:bCs/>
                <w:color w:val="auto"/>
                <w:sz w:val="24"/>
                <w:szCs w:val="24"/>
                <w:highlight w:val="none"/>
                <w:lang w:val="en-US" w:eastAsia="zh-CN"/>
              </w:rPr>
              <w:t>水处理（试行）</w:t>
            </w:r>
            <w:r>
              <w:rPr>
                <w:rFonts w:hint="default" w:ascii="Times New Roman" w:hAnsi="Times New Roman" w:eastAsia="仿宋_GB2312" w:cs="Times New Roman"/>
                <w:bCs/>
                <w:color w:val="auto"/>
                <w:sz w:val="24"/>
                <w:szCs w:val="24"/>
                <w:highlight w:val="none"/>
                <w:lang w:val="en-US" w:eastAsia="zh-CN"/>
              </w:rPr>
              <w:t>》（HJ9</w:t>
            </w:r>
            <w:r>
              <w:rPr>
                <w:rFonts w:hint="eastAsia" w:ascii="Times New Roman" w:hAnsi="Times New Roman" w:eastAsia="仿宋_GB2312" w:cs="Times New Roman"/>
                <w:bCs/>
                <w:color w:val="auto"/>
                <w:sz w:val="24"/>
                <w:szCs w:val="24"/>
                <w:highlight w:val="none"/>
                <w:lang w:val="en-US" w:eastAsia="zh-CN"/>
              </w:rPr>
              <w:t>78</w:t>
            </w:r>
            <w:r>
              <w:rPr>
                <w:rFonts w:hint="default" w:ascii="Times New Roman" w:hAnsi="Times New Roman" w:eastAsia="仿宋_GB2312" w:cs="Times New Roman"/>
                <w:bCs/>
                <w:color w:val="auto"/>
                <w:sz w:val="24"/>
                <w:szCs w:val="24"/>
                <w:highlight w:val="none"/>
                <w:lang w:val="en-US" w:eastAsia="zh-CN"/>
              </w:rPr>
              <w:t>-2018）</w:t>
            </w:r>
            <w:r>
              <w:rPr>
                <w:rFonts w:hint="default" w:ascii="Times New Roman" w:hAnsi="Times New Roman" w:eastAsia="仿宋_GB2312" w:cs="Times New Roman"/>
                <w:bCs/>
                <w:color w:val="auto"/>
                <w:sz w:val="24"/>
                <w:szCs w:val="24"/>
                <w:highlight w:val="none"/>
                <w:lang w:eastAsia="zh-CN"/>
              </w:rPr>
              <w:t>表</w:t>
            </w:r>
            <w:r>
              <w:rPr>
                <w:rFonts w:hint="eastAsia" w:ascii="Times New Roman" w:hAnsi="Times New Roman" w:eastAsia="仿宋_GB2312" w:cs="Times New Roman"/>
                <w:bCs/>
                <w:color w:val="auto"/>
                <w:sz w:val="24"/>
                <w:szCs w:val="24"/>
                <w:highlight w:val="none"/>
                <w:lang w:val="en-US" w:eastAsia="zh-CN"/>
              </w:rPr>
              <w:t>5废气治理</w:t>
            </w:r>
            <w:r>
              <w:rPr>
                <w:rFonts w:hint="default" w:ascii="Times New Roman" w:hAnsi="Times New Roman" w:eastAsia="仿宋_GB2312" w:cs="Times New Roman"/>
                <w:bCs/>
                <w:color w:val="auto"/>
                <w:sz w:val="24"/>
                <w:szCs w:val="24"/>
                <w:highlight w:val="none"/>
                <w:lang w:val="en-US" w:eastAsia="zh-CN"/>
              </w:rPr>
              <w:t>可行技术</w:t>
            </w:r>
            <w:r>
              <w:rPr>
                <w:rFonts w:hint="eastAsia" w:ascii="Times New Roman" w:hAnsi="Times New Roman" w:eastAsia="仿宋_GB2312" w:cs="Times New Roman"/>
                <w:bCs/>
                <w:color w:val="auto"/>
                <w:sz w:val="24"/>
                <w:szCs w:val="24"/>
                <w:highlight w:val="none"/>
                <w:lang w:val="en-US" w:eastAsia="zh-CN"/>
              </w:rPr>
              <w:t>参照表</w:t>
            </w:r>
            <w:r>
              <w:rPr>
                <w:rFonts w:hint="default" w:ascii="Times New Roman" w:hAnsi="Times New Roman" w:eastAsia="仿宋_GB2312" w:cs="Times New Roman"/>
                <w:bCs/>
                <w:color w:val="auto"/>
                <w:sz w:val="24"/>
                <w:szCs w:val="24"/>
                <w:highlight w:val="none"/>
                <w:lang w:val="en-US" w:eastAsia="zh-CN"/>
              </w:rPr>
              <w:t>，具体见表</w:t>
            </w:r>
            <w:r>
              <w:rPr>
                <w:rFonts w:hint="eastAsia" w:ascii="Times New Roman" w:hAnsi="Times New Roman" w:eastAsia="仿宋_GB2312" w:cs="Times New Roman"/>
                <w:bCs/>
                <w:color w:val="auto"/>
                <w:sz w:val="24"/>
                <w:szCs w:val="24"/>
                <w:highlight w:val="none"/>
                <w:lang w:val="en-US" w:eastAsia="zh-CN"/>
              </w:rPr>
              <w:t>4-6</w:t>
            </w:r>
            <w:r>
              <w:rPr>
                <w:rFonts w:hint="default" w:ascii="Times New Roman" w:hAnsi="Times New Roman" w:eastAsia="仿宋_GB2312" w:cs="Times New Roman"/>
                <w:bCs/>
                <w:color w:val="auto"/>
                <w:sz w:val="24"/>
                <w:szCs w:val="24"/>
                <w:highlight w:val="none"/>
                <w:lang w:val="en-US" w:eastAsia="zh-CN"/>
              </w:rPr>
              <w:t>。</w:t>
            </w:r>
          </w:p>
          <w:p w14:paraId="6623DA43">
            <w:pPr>
              <w:adjustRightInd w:val="0"/>
              <w:snapToGrid w:val="0"/>
              <w:spacing w:line="240" w:lineRule="auto"/>
              <w:jc w:val="center"/>
              <w:rPr>
                <w:rFonts w:hint="default" w:ascii="Times New Roman" w:hAnsi="Times New Roman" w:eastAsia="宋体" w:cs="Times New Roman"/>
                <w:b/>
                <w:color w:val="auto"/>
                <w:spacing w:val="-10"/>
                <w:szCs w:val="21"/>
                <w:highlight w:val="none"/>
                <w:lang w:val="en-US" w:eastAsia="zh-CN"/>
              </w:rPr>
            </w:pPr>
            <w:r>
              <w:rPr>
                <w:rFonts w:hint="default" w:ascii="Times New Roman" w:hAnsi="Times New Roman" w:eastAsia="宋体" w:cs="Times New Roman"/>
                <w:b w:val="0"/>
                <w:bCs/>
                <w:color w:val="auto"/>
                <w:spacing w:val="-10"/>
                <w:szCs w:val="21"/>
                <w:highlight w:val="none"/>
              </w:rPr>
              <w:t>表</w:t>
            </w:r>
            <w:r>
              <w:rPr>
                <w:rFonts w:hint="eastAsia" w:ascii="Times New Roman" w:hAnsi="Times New Roman" w:eastAsia="宋体" w:cs="Times New Roman"/>
                <w:b w:val="0"/>
                <w:bCs/>
                <w:color w:val="auto"/>
                <w:spacing w:val="-10"/>
                <w:szCs w:val="21"/>
                <w:highlight w:val="none"/>
                <w:lang w:val="en-US" w:eastAsia="zh-CN"/>
              </w:rPr>
              <w:t xml:space="preserve">4-6    </w:t>
            </w:r>
            <w:r>
              <w:rPr>
                <w:rFonts w:hint="eastAsia" w:ascii="Times New Roman" w:hAnsi="Times New Roman" w:eastAsia="宋体" w:cs="Times New Roman"/>
                <w:b/>
                <w:color w:val="auto"/>
                <w:spacing w:val="-10"/>
                <w:szCs w:val="21"/>
                <w:highlight w:val="none"/>
                <w:lang w:val="en-US" w:eastAsia="zh-CN"/>
              </w:rPr>
              <w:t>废气治理可行技术参照表</w:t>
            </w:r>
          </w:p>
          <w:tbl>
            <w:tblPr>
              <w:tblStyle w:val="27"/>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86"/>
              <w:gridCol w:w="1804"/>
              <w:gridCol w:w="2819"/>
            </w:tblGrid>
            <w:tr w14:paraId="70064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77" w:type="pct"/>
                  <w:tcBorders>
                    <w:tl2br w:val="nil"/>
                    <w:tr2bl w:val="nil"/>
                  </w:tcBorders>
                  <w:noWrap w:val="0"/>
                  <w:vAlign w:val="center"/>
                </w:tcPr>
                <w:p w14:paraId="3B256230">
                  <w:pPr>
                    <w:pStyle w:val="39"/>
                    <w:ind w:left="0" w:leftChars="0" w:firstLine="0" w:firstLineChars="0"/>
                    <w:jc w:val="center"/>
                    <w:rPr>
                      <w:rFonts w:hint="eastAsia"/>
                      <w:b/>
                      <w:bCs/>
                      <w:color w:val="auto"/>
                      <w:sz w:val="21"/>
                      <w:szCs w:val="21"/>
                      <w:vertAlign w:val="baseline"/>
                      <w:lang w:eastAsia="zh-CN"/>
                    </w:rPr>
                  </w:pPr>
                  <w:r>
                    <w:rPr>
                      <w:rFonts w:hint="eastAsia"/>
                      <w:b/>
                      <w:bCs/>
                      <w:color w:val="auto"/>
                      <w:sz w:val="21"/>
                      <w:szCs w:val="21"/>
                      <w:vertAlign w:val="baseline"/>
                      <w:lang w:eastAsia="zh-CN"/>
                    </w:rPr>
                    <w:t>排放源</w:t>
                  </w:r>
                </w:p>
              </w:tc>
              <w:tc>
                <w:tcPr>
                  <w:tcW w:w="1140" w:type="pct"/>
                  <w:tcBorders>
                    <w:tl2br w:val="nil"/>
                    <w:tr2bl w:val="nil"/>
                  </w:tcBorders>
                  <w:noWrap w:val="0"/>
                  <w:vAlign w:val="center"/>
                </w:tcPr>
                <w:p w14:paraId="777B2526">
                  <w:pPr>
                    <w:pStyle w:val="39"/>
                    <w:ind w:left="0" w:leftChars="0" w:firstLine="0" w:firstLineChars="0"/>
                    <w:jc w:val="center"/>
                    <w:rPr>
                      <w:rFonts w:hint="eastAsia"/>
                      <w:b/>
                      <w:bCs/>
                      <w:color w:val="auto"/>
                      <w:sz w:val="21"/>
                      <w:szCs w:val="21"/>
                      <w:vertAlign w:val="baseline"/>
                      <w:lang w:eastAsia="zh-CN"/>
                    </w:rPr>
                  </w:pPr>
                  <w:r>
                    <w:rPr>
                      <w:rFonts w:hint="eastAsia"/>
                      <w:b/>
                      <w:bCs/>
                      <w:color w:val="auto"/>
                      <w:sz w:val="21"/>
                      <w:szCs w:val="21"/>
                      <w:vertAlign w:val="baseline"/>
                      <w:lang w:eastAsia="zh-CN"/>
                    </w:rPr>
                    <w:t>主要污染物</w:t>
                  </w:r>
                </w:p>
              </w:tc>
              <w:tc>
                <w:tcPr>
                  <w:tcW w:w="1782" w:type="pct"/>
                  <w:tcBorders>
                    <w:tl2br w:val="nil"/>
                    <w:tr2bl w:val="nil"/>
                  </w:tcBorders>
                  <w:noWrap w:val="0"/>
                  <w:vAlign w:val="center"/>
                </w:tcPr>
                <w:p w14:paraId="7E42A3C6">
                  <w:pPr>
                    <w:pStyle w:val="39"/>
                    <w:ind w:left="0" w:leftChars="0" w:firstLine="0" w:firstLineChars="0"/>
                    <w:jc w:val="center"/>
                    <w:rPr>
                      <w:rFonts w:hint="eastAsia"/>
                      <w:b/>
                      <w:bCs/>
                      <w:color w:val="auto"/>
                      <w:sz w:val="21"/>
                      <w:szCs w:val="21"/>
                      <w:vertAlign w:val="baseline"/>
                      <w:lang w:eastAsia="zh-CN"/>
                    </w:rPr>
                  </w:pPr>
                  <w:r>
                    <w:rPr>
                      <w:rFonts w:hint="eastAsia"/>
                      <w:b/>
                      <w:bCs/>
                      <w:color w:val="auto"/>
                      <w:sz w:val="21"/>
                      <w:szCs w:val="21"/>
                      <w:vertAlign w:val="baseline"/>
                      <w:lang w:eastAsia="zh-CN"/>
                    </w:rPr>
                    <w:t>可行技术</w:t>
                  </w:r>
                </w:p>
              </w:tc>
            </w:tr>
            <w:tr w14:paraId="4B978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77" w:type="pct"/>
                  <w:tcBorders>
                    <w:tl2br w:val="nil"/>
                    <w:tr2bl w:val="nil"/>
                  </w:tcBorders>
                  <w:noWrap w:val="0"/>
                  <w:vAlign w:val="center"/>
                </w:tcPr>
                <w:p w14:paraId="3351C6A6">
                  <w:pPr>
                    <w:pStyle w:val="39"/>
                    <w:ind w:left="0" w:leftChars="0" w:firstLine="0" w:firstLineChars="0"/>
                    <w:jc w:val="center"/>
                    <w:rPr>
                      <w:rFonts w:hint="eastAsia" w:ascii="宋体" w:hAnsi="Times New Roman" w:eastAsia="宋体" w:cs="Times New Roman"/>
                      <w:color w:val="auto"/>
                      <w:sz w:val="21"/>
                      <w:szCs w:val="21"/>
                      <w:vertAlign w:val="baseline"/>
                      <w:lang w:eastAsia="zh-CN"/>
                    </w:rPr>
                  </w:pPr>
                  <w:r>
                    <w:rPr>
                      <w:rFonts w:hint="eastAsia" w:ascii="宋体" w:cs="Times New Roman"/>
                      <w:color w:val="auto"/>
                      <w:sz w:val="21"/>
                      <w:szCs w:val="21"/>
                      <w:vertAlign w:val="baseline"/>
                      <w:lang w:val="en-US" w:eastAsia="zh-CN"/>
                    </w:rPr>
                    <w:t>预处理段、污泥处理段等产生恶臭气体的工段</w:t>
                  </w:r>
                </w:p>
              </w:tc>
              <w:tc>
                <w:tcPr>
                  <w:tcW w:w="1140" w:type="pct"/>
                  <w:tcBorders>
                    <w:tl2br w:val="nil"/>
                    <w:tr2bl w:val="nil"/>
                  </w:tcBorders>
                  <w:noWrap w:val="0"/>
                  <w:vAlign w:val="center"/>
                </w:tcPr>
                <w:p w14:paraId="10B0F776">
                  <w:pPr>
                    <w:pStyle w:val="39"/>
                    <w:ind w:left="0" w:leftChars="0" w:firstLine="0" w:firstLineChars="0"/>
                    <w:jc w:val="center"/>
                    <w:rPr>
                      <w:rFonts w:hint="eastAsia" w:ascii="宋体" w:hAnsi="Times New Roman" w:eastAsia="宋体" w:cs="Times New Roman"/>
                      <w:color w:val="auto"/>
                      <w:sz w:val="21"/>
                      <w:szCs w:val="21"/>
                      <w:vertAlign w:val="baseline"/>
                      <w:lang w:eastAsia="zh-CN"/>
                    </w:rPr>
                  </w:pPr>
                  <w:r>
                    <w:rPr>
                      <w:rFonts w:hint="eastAsia" w:ascii="宋体" w:cs="Times New Roman"/>
                      <w:color w:val="auto"/>
                      <w:sz w:val="21"/>
                      <w:szCs w:val="21"/>
                      <w:vertAlign w:val="baseline"/>
                      <w:lang w:eastAsia="zh-CN"/>
                    </w:rPr>
                    <w:t>氨气、硫化氢等恶臭气体</w:t>
                  </w:r>
                </w:p>
              </w:tc>
              <w:tc>
                <w:tcPr>
                  <w:tcW w:w="1782" w:type="pct"/>
                  <w:tcBorders>
                    <w:tl2br w:val="nil"/>
                    <w:tr2bl w:val="nil"/>
                  </w:tcBorders>
                  <w:noWrap w:val="0"/>
                  <w:vAlign w:val="center"/>
                </w:tcPr>
                <w:p w14:paraId="5651360A">
                  <w:pPr>
                    <w:pStyle w:val="39"/>
                    <w:ind w:left="0" w:leftChars="0" w:firstLine="0" w:firstLineChars="0"/>
                    <w:jc w:val="center"/>
                    <w:rPr>
                      <w:rFonts w:hint="eastAsia" w:ascii="宋体" w:hAnsi="Times New Roman" w:eastAsia="宋体" w:cs="Times New Roman"/>
                      <w:color w:val="auto"/>
                      <w:sz w:val="21"/>
                      <w:szCs w:val="21"/>
                      <w:vertAlign w:val="baseline"/>
                      <w:lang w:eastAsia="zh-CN"/>
                    </w:rPr>
                  </w:pPr>
                  <w:r>
                    <w:rPr>
                      <w:rFonts w:hint="eastAsia" w:ascii="宋体" w:cs="Times New Roman"/>
                      <w:color w:val="auto"/>
                      <w:sz w:val="21"/>
                      <w:szCs w:val="21"/>
                      <w:vertAlign w:val="baseline"/>
                      <w:lang w:eastAsia="zh-CN"/>
                    </w:rPr>
                    <w:t>生物过滤、化学洗涤、活性炭吸附</w:t>
                  </w:r>
                </w:p>
              </w:tc>
            </w:tr>
          </w:tbl>
          <w:p w14:paraId="3F3344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Cs/>
                <w:color w:val="auto"/>
                <w:sz w:val="24"/>
                <w:szCs w:val="24"/>
                <w:highlight w:val="none"/>
                <w:lang w:val="en-US" w:eastAsia="zh-CN"/>
              </w:rPr>
            </w:pPr>
            <w:r>
              <w:rPr>
                <w:rFonts w:hint="default" w:ascii="Times New Roman" w:hAnsi="Times New Roman" w:eastAsia="仿宋_GB2312" w:cs="Times New Roman"/>
                <w:bCs/>
                <w:color w:val="auto"/>
                <w:sz w:val="24"/>
                <w:szCs w:val="24"/>
                <w:highlight w:val="none"/>
                <w:lang w:val="en-US" w:eastAsia="zh-CN"/>
              </w:rPr>
              <w:t>本项目</w:t>
            </w:r>
            <w:r>
              <w:rPr>
                <w:rFonts w:hint="eastAsia" w:ascii="Times New Roman" w:hAnsi="Times New Roman" w:eastAsia="仿宋_GB2312" w:cs="Times New Roman"/>
                <w:bCs/>
                <w:color w:val="auto"/>
                <w:sz w:val="24"/>
                <w:szCs w:val="24"/>
                <w:highlight w:val="none"/>
                <w:lang w:val="en-US" w:eastAsia="zh-CN"/>
              </w:rPr>
              <w:t>运行过程中</w:t>
            </w:r>
            <w:r>
              <w:rPr>
                <w:rFonts w:hint="default" w:ascii="Times New Roman" w:hAnsi="Times New Roman" w:eastAsia="仿宋_GB2312" w:cs="Times New Roman"/>
                <w:bCs/>
                <w:color w:val="auto"/>
                <w:sz w:val="24"/>
                <w:szCs w:val="24"/>
                <w:highlight w:val="none"/>
                <w:lang w:eastAsia="zh-CN"/>
              </w:rPr>
              <w:t>恶臭气体通过风管收集后采用生物除臭滤池工艺进行处理，净化后的废气通过15m排气筒高空排放</w:t>
            </w:r>
            <w:r>
              <w:rPr>
                <w:rFonts w:hint="default" w:ascii="Times New Roman" w:hAnsi="Times New Roman" w:eastAsia="仿宋_GB2312" w:cs="Times New Roman"/>
                <w:bCs/>
                <w:color w:val="auto"/>
                <w:sz w:val="24"/>
                <w:szCs w:val="24"/>
                <w:highlight w:val="none"/>
                <w:lang w:val="en-US" w:eastAsia="zh-CN"/>
              </w:rPr>
              <w:t xml:space="preserve">，符合《排污许可证申请与核发技术规范 </w:t>
            </w:r>
            <w:r>
              <w:rPr>
                <w:rFonts w:hint="eastAsia" w:ascii="Times New Roman" w:hAnsi="Times New Roman" w:eastAsia="仿宋_GB2312" w:cs="Times New Roman"/>
                <w:bCs/>
                <w:color w:val="auto"/>
                <w:sz w:val="24"/>
                <w:szCs w:val="24"/>
                <w:highlight w:val="none"/>
                <w:lang w:val="en-US" w:eastAsia="zh-CN"/>
              </w:rPr>
              <w:t>水处理（试行）</w:t>
            </w:r>
            <w:r>
              <w:rPr>
                <w:rFonts w:hint="default" w:ascii="Times New Roman" w:hAnsi="Times New Roman" w:eastAsia="仿宋_GB2312" w:cs="Times New Roman"/>
                <w:bCs/>
                <w:color w:val="auto"/>
                <w:sz w:val="24"/>
                <w:szCs w:val="24"/>
                <w:highlight w:val="none"/>
                <w:lang w:val="en-US" w:eastAsia="zh-CN"/>
              </w:rPr>
              <w:t>》（HJ9</w:t>
            </w:r>
            <w:r>
              <w:rPr>
                <w:rFonts w:hint="eastAsia" w:ascii="Times New Roman" w:hAnsi="Times New Roman" w:eastAsia="仿宋_GB2312" w:cs="Times New Roman"/>
                <w:bCs/>
                <w:color w:val="auto"/>
                <w:sz w:val="24"/>
                <w:szCs w:val="24"/>
                <w:highlight w:val="none"/>
                <w:lang w:val="en-US" w:eastAsia="zh-CN"/>
              </w:rPr>
              <w:t>78</w:t>
            </w:r>
            <w:r>
              <w:rPr>
                <w:rFonts w:hint="default" w:ascii="Times New Roman" w:hAnsi="Times New Roman" w:eastAsia="仿宋_GB2312" w:cs="Times New Roman"/>
                <w:bCs/>
                <w:color w:val="auto"/>
                <w:sz w:val="24"/>
                <w:szCs w:val="24"/>
                <w:highlight w:val="none"/>
                <w:lang w:val="en-US" w:eastAsia="zh-CN"/>
              </w:rPr>
              <w:t>-2018）</w:t>
            </w:r>
            <w:r>
              <w:rPr>
                <w:rFonts w:hint="default" w:ascii="Times New Roman" w:hAnsi="Times New Roman" w:eastAsia="仿宋_GB2312" w:cs="Times New Roman"/>
                <w:bCs/>
                <w:color w:val="auto"/>
                <w:sz w:val="24"/>
                <w:szCs w:val="24"/>
                <w:highlight w:val="none"/>
                <w:lang w:eastAsia="zh-CN"/>
              </w:rPr>
              <w:t>中废气污染防治技术要求。因此，本项目采取的废气处理措施可行。</w:t>
            </w:r>
          </w:p>
          <w:p w14:paraId="074BFD6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color w:val="auto"/>
                <w:sz w:val="24"/>
                <w:szCs w:val="24"/>
                <w:highlight w:val="none"/>
                <w:lang w:val="en-US" w:eastAsia="zh-CN"/>
              </w:rPr>
            </w:pPr>
            <w:r>
              <w:rPr>
                <w:rFonts w:hint="default" w:ascii="Times New Roman" w:hAnsi="Times New Roman" w:eastAsia="仿宋_GB2312" w:cs="Times New Roman"/>
                <w:b/>
                <w:color w:val="auto"/>
                <w:sz w:val="24"/>
                <w:szCs w:val="24"/>
                <w:highlight w:val="none"/>
                <w:lang w:eastAsia="zh-CN"/>
              </w:rPr>
              <w:t>1</w:t>
            </w:r>
            <w:r>
              <w:rPr>
                <w:rFonts w:hint="default" w:ascii="Times New Roman" w:hAnsi="Times New Roman" w:eastAsia="仿宋_GB2312" w:cs="Times New Roman"/>
                <w:b/>
                <w:color w:val="auto"/>
                <w:sz w:val="24"/>
                <w:szCs w:val="24"/>
                <w:highlight w:val="none"/>
                <w:lang w:val="en-US" w:eastAsia="zh-CN"/>
              </w:rPr>
              <w:t>.6非正常情况分析</w:t>
            </w:r>
          </w:p>
          <w:p w14:paraId="19A59F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 w:val="0"/>
                <w:bCs/>
                <w:color w:val="auto"/>
                <w:sz w:val="24"/>
                <w:szCs w:val="24"/>
                <w:highlight w:val="none"/>
                <w:lang w:val="en-US" w:eastAsia="zh-CN"/>
              </w:rPr>
            </w:pPr>
            <w:r>
              <w:rPr>
                <w:rFonts w:hint="default" w:ascii="Times New Roman" w:hAnsi="Times New Roman" w:eastAsia="仿宋_GB2312" w:cs="Times New Roman"/>
                <w:b w:val="0"/>
                <w:bCs/>
                <w:color w:val="auto"/>
                <w:sz w:val="24"/>
                <w:szCs w:val="24"/>
                <w:highlight w:val="none"/>
                <w:lang w:val="en-US" w:eastAsia="zh-CN"/>
              </w:rPr>
              <w:t>本项目非正常情况为</w:t>
            </w:r>
            <w:r>
              <w:rPr>
                <w:rFonts w:hint="eastAsia" w:ascii="Times New Roman" w:hAnsi="Times New Roman" w:eastAsia="仿宋_GB2312" w:cs="Times New Roman"/>
                <w:b w:val="0"/>
                <w:bCs/>
                <w:color w:val="auto"/>
                <w:sz w:val="24"/>
                <w:szCs w:val="24"/>
                <w:highlight w:val="none"/>
                <w:lang w:val="en-US" w:eastAsia="zh-CN"/>
              </w:rPr>
              <w:t>微生物滤池</w:t>
            </w:r>
            <w:r>
              <w:rPr>
                <w:rFonts w:hint="default" w:ascii="Times New Roman" w:hAnsi="Times New Roman" w:eastAsia="仿宋_GB2312" w:cs="Times New Roman"/>
                <w:b w:val="0"/>
                <w:bCs/>
                <w:color w:val="auto"/>
                <w:sz w:val="24"/>
                <w:szCs w:val="24"/>
                <w:highlight w:val="none"/>
                <w:lang w:val="en-US" w:eastAsia="zh-CN"/>
              </w:rPr>
              <w:t>出现故障，按完全失效计算。</w:t>
            </w:r>
            <w:r>
              <w:rPr>
                <w:rFonts w:hint="eastAsia" w:ascii="Times New Roman" w:hAnsi="Times New Roman" w:eastAsia="仿宋_GB2312" w:cs="Times New Roman"/>
                <w:b w:val="0"/>
                <w:bCs/>
                <w:color w:val="auto"/>
                <w:sz w:val="24"/>
                <w:szCs w:val="24"/>
                <w:highlight w:val="none"/>
                <w:lang w:val="en-US" w:eastAsia="zh-CN"/>
              </w:rPr>
              <w:t>微生物滤池除臭</w:t>
            </w:r>
            <w:r>
              <w:rPr>
                <w:rFonts w:hint="default" w:ascii="Times New Roman" w:hAnsi="Times New Roman" w:eastAsia="仿宋_GB2312" w:cs="Times New Roman"/>
                <w:b w:val="0"/>
                <w:bCs/>
                <w:color w:val="auto"/>
                <w:sz w:val="24"/>
                <w:szCs w:val="24"/>
                <w:highlight w:val="none"/>
                <w:lang w:val="en-US" w:eastAsia="zh-CN"/>
              </w:rPr>
              <w:t>效率降至0%时DA00</w:t>
            </w:r>
            <w:r>
              <w:rPr>
                <w:rFonts w:hint="eastAsia" w:ascii="Times New Roman" w:hAnsi="Times New Roman" w:eastAsia="仿宋_GB2312" w:cs="Times New Roman"/>
                <w:b w:val="0"/>
                <w:bCs/>
                <w:color w:val="auto"/>
                <w:sz w:val="24"/>
                <w:szCs w:val="24"/>
                <w:highlight w:val="none"/>
                <w:lang w:val="en-US" w:eastAsia="zh-CN"/>
              </w:rPr>
              <w:t>1</w:t>
            </w:r>
            <w:r>
              <w:rPr>
                <w:rFonts w:hint="default" w:ascii="Times New Roman" w:hAnsi="Times New Roman" w:eastAsia="仿宋_GB2312" w:cs="Times New Roman"/>
                <w:b w:val="0"/>
                <w:bCs/>
                <w:color w:val="auto"/>
                <w:sz w:val="24"/>
                <w:szCs w:val="24"/>
                <w:highlight w:val="none"/>
                <w:lang w:val="en-US" w:eastAsia="zh-CN"/>
              </w:rPr>
              <w:t>排放情况见表</w:t>
            </w:r>
            <w:r>
              <w:rPr>
                <w:rFonts w:hint="eastAsia" w:ascii="Times New Roman" w:hAnsi="Times New Roman" w:eastAsia="仿宋_GB2312" w:cs="Times New Roman"/>
                <w:b w:val="0"/>
                <w:bCs/>
                <w:color w:val="auto"/>
                <w:sz w:val="24"/>
                <w:szCs w:val="24"/>
                <w:highlight w:val="none"/>
                <w:lang w:val="en-US" w:eastAsia="zh-CN"/>
              </w:rPr>
              <w:t>4-7</w:t>
            </w:r>
            <w:r>
              <w:rPr>
                <w:rFonts w:hint="default" w:ascii="Times New Roman" w:hAnsi="Times New Roman" w:eastAsia="仿宋_GB2312" w:cs="Times New Roman"/>
                <w:b w:val="0"/>
                <w:bCs/>
                <w:color w:val="auto"/>
                <w:sz w:val="24"/>
                <w:szCs w:val="24"/>
                <w:highlight w:val="none"/>
                <w:lang w:val="en-US" w:eastAsia="zh-CN"/>
              </w:rPr>
              <w:t>。</w:t>
            </w:r>
          </w:p>
          <w:p w14:paraId="362DAD20">
            <w:pPr>
              <w:pStyle w:val="39"/>
              <w:keepNext w:val="0"/>
              <w:keepLines w:val="0"/>
              <w:pageBreakBefore w:val="0"/>
              <w:widowControl w:val="0"/>
              <w:kinsoku/>
              <w:wordWrap/>
              <w:overflowPunct/>
              <w:topLinePunct w:val="0"/>
              <w:autoSpaceDE/>
              <w:autoSpaceDN/>
              <w:bidi w:val="0"/>
              <w:adjustRightInd w:val="0"/>
              <w:snapToGrid w:val="0"/>
              <w:spacing w:beforeLines="0" w:afterLines="0" w:line="260" w:lineRule="auto"/>
              <w:ind w:left="0" w:leftChars="0" w:firstLine="0" w:firstLineChars="0"/>
              <w:jc w:val="center"/>
              <w:textAlignment w:val="auto"/>
              <w:rPr>
                <w:rFonts w:hint="default"/>
                <w:b/>
                <w:bCs w:val="0"/>
                <w:color w:val="auto"/>
                <w:highlight w:val="none"/>
                <w:lang w:val="en-US" w:eastAsia="zh-CN"/>
              </w:rPr>
            </w:pPr>
            <w:r>
              <w:rPr>
                <w:rFonts w:hint="default" w:ascii="Times New Roman" w:hAnsi="Times New Roman" w:eastAsia="宋体" w:cs="Times New Roman"/>
                <w:b w:val="0"/>
                <w:bCs/>
                <w:color w:val="auto"/>
                <w:sz w:val="21"/>
                <w:szCs w:val="21"/>
                <w:highlight w:val="none"/>
                <w:lang w:val="en-US" w:eastAsia="zh-CN"/>
              </w:rPr>
              <w:t>表</w:t>
            </w:r>
            <w:r>
              <w:rPr>
                <w:rFonts w:hint="eastAsia" w:cs="Times New Roman"/>
                <w:b w:val="0"/>
                <w:bCs/>
                <w:color w:val="auto"/>
                <w:sz w:val="21"/>
                <w:szCs w:val="21"/>
                <w:highlight w:val="none"/>
                <w:lang w:val="en-US" w:eastAsia="zh-CN"/>
              </w:rPr>
              <w:t xml:space="preserve">4-7   </w:t>
            </w:r>
            <w:r>
              <w:rPr>
                <w:rFonts w:hint="eastAsia"/>
                <w:b/>
                <w:bCs w:val="0"/>
                <w:color w:val="auto"/>
                <w:sz w:val="21"/>
                <w:szCs w:val="21"/>
                <w:highlight w:val="none"/>
                <w:lang w:val="en-US" w:eastAsia="zh-CN"/>
              </w:rPr>
              <w:t>非正常工况污染物排放情况表</w:t>
            </w:r>
          </w:p>
          <w:tbl>
            <w:tblPr>
              <w:tblStyle w:val="27"/>
              <w:tblW w:w="801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079"/>
              <w:gridCol w:w="781"/>
              <w:gridCol w:w="1017"/>
              <w:gridCol w:w="844"/>
              <w:gridCol w:w="900"/>
              <w:gridCol w:w="956"/>
              <w:gridCol w:w="1247"/>
            </w:tblGrid>
            <w:tr w14:paraId="26FEA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tcBorders>
                    <w:tl2br w:val="nil"/>
                    <w:tr2bl w:val="nil"/>
                  </w:tcBorders>
                  <w:noWrap w:val="0"/>
                  <w:vAlign w:val="center"/>
                </w:tcPr>
                <w:p w14:paraId="0D78D9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污染源</w:t>
                  </w:r>
                </w:p>
              </w:tc>
              <w:tc>
                <w:tcPr>
                  <w:tcW w:w="1079" w:type="dxa"/>
                  <w:tcBorders>
                    <w:tl2br w:val="nil"/>
                    <w:tr2bl w:val="nil"/>
                  </w:tcBorders>
                  <w:noWrap w:val="0"/>
                  <w:vAlign w:val="center"/>
                </w:tcPr>
                <w:p w14:paraId="5C02BE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非正常排放原因</w:t>
                  </w:r>
                </w:p>
              </w:tc>
              <w:tc>
                <w:tcPr>
                  <w:tcW w:w="781" w:type="dxa"/>
                  <w:tcBorders>
                    <w:tl2br w:val="nil"/>
                    <w:tr2bl w:val="nil"/>
                  </w:tcBorders>
                  <w:noWrap w:val="0"/>
                  <w:vAlign w:val="center"/>
                </w:tcPr>
                <w:p w14:paraId="32226E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rPr>
                  </w:pPr>
                  <w:r>
                    <w:rPr>
                      <w:rFonts w:hint="default" w:ascii="Times New Roman" w:hAnsi="Times New Roman" w:eastAsia="宋体" w:cs="Times New Roman"/>
                      <w:b/>
                      <w:color w:val="auto"/>
                      <w:sz w:val="21"/>
                      <w:szCs w:val="21"/>
                      <w:highlight w:val="none"/>
                      <w:vertAlign w:val="baseline"/>
                      <w:lang w:eastAsia="zh-CN"/>
                    </w:rPr>
                    <w:t>污染因子</w:t>
                  </w:r>
                </w:p>
              </w:tc>
              <w:tc>
                <w:tcPr>
                  <w:tcW w:w="1017" w:type="dxa"/>
                  <w:tcBorders>
                    <w:tl2br w:val="nil"/>
                    <w:tr2bl w:val="nil"/>
                  </w:tcBorders>
                  <w:noWrap w:val="0"/>
                  <w:vAlign w:val="center"/>
                </w:tcPr>
                <w:p w14:paraId="2B7CD1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highlight w:val="none"/>
                      <w:vertAlign w:val="baseline"/>
                      <w:lang w:val="en-US" w:eastAsia="zh-CN" w:bidi="ar-SA"/>
                    </w:rPr>
                  </w:pPr>
                  <w:r>
                    <w:rPr>
                      <w:rFonts w:hint="default" w:ascii="Times New Roman" w:hAnsi="Times New Roman" w:eastAsia="宋体" w:cs="Times New Roman"/>
                      <w:b/>
                      <w:color w:val="auto"/>
                      <w:sz w:val="21"/>
                      <w:szCs w:val="21"/>
                      <w:highlight w:val="none"/>
                      <w:vertAlign w:val="baseline"/>
                      <w:lang w:eastAsia="zh-CN"/>
                    </w:rPr>
                    <w:t>排放浓度（</w:t>
                  </w:r>
                  <w:r>
                    <w:rPr>
                      <w:rFonts w:hint="default" w:ascii="Times New Roman" w:hAnsi="Times New Roman" w:eastAsia="宋体" w:cs="Times New Roman"/>
                      <w:b/>
                      <w:color w:val="auto"/>
                      <w:sz w:val="21"/>
                      <w:szCs w:val="21"/>
                      <w:highlight w:val="none"/>
                      <w:vertAlign w:val="baseline"/>
                      <w:lang w:val="en-US" w:eastAsia="zh-CN"/>
                    </w:rPr>
                    <w:t>mg/m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vertAlign w:val="baseline"/>
                      <w:lang w:val="en-US" w:eastAsia="zh-CN"/>
                    </w:rPr>
                    <w:t>)</w:t>
                  </w:r>
                </w:p>
              </w:tc>
              <w:tc>
                <w:tcPr>
                  <w:tcW w:w="844" w:type="dxa"/>
                  <w:tcBorders>
                    <w:tl2br w:val="nil"/>
                    <w:tr2bl w:val="nil"/>
                  </w:tcBorders>
                  <w:noWrap w:val="0"/>
                  <w:vAlign w:val="center"/>
                </w:tcPr>
                <w:p w14:paraId="1D631BA0">
                  <w:pPr>
                    <w:widowControl/>
                    <w:jc w:val="center"/>
                    <w:textAlignment w:val="center"/>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kern w:val="0"/>
                      <w:sz w:val="21"/>
                      <w:szCs w:val="21"/>
                      <w:highlight w:val="none"/>
                      <w:lang w:bidi="ar"/>
                    </w:rPr>
                    <w:t>排放频次/次</w:t>
                  </w:r>
                </w:p>
              </w:tc>
              <w:tc>
                <w:tcPr>
                  <w:tcW w:w="900" w:type="dxa"/>
                  <w:tcBorders>
                    <w:tl2br w:val="nil"/>
                    <w:tr2bl w:val="nil"/>
                  </w:tcBorders>
                  <w:noWrap w:val="0"/>
                  <w:vAlign w:val="center"/>
                </w:tcPr>
                <w:p w14:paraId="51357BB9">
                  <w:pPr>
                    <w:widowControl/>
                    <w:jc w:val="center"/>
                    <w:textAlignment w:val="center"/>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kern w:val="0"/>
                      <w:sz w:val="21"/>
                      <w:szCs w:val="21"/>
                      <w:highlight w:val="none"/>
                      <w:lang w:bidi="ar"/>
                    </w:rPr>
                    <w:t>持续时间/h</w:t>
                  </w:r>
                </w:p>
              </w:tc>
              <w:tc>
                <w:tcPr>
                  <w:tcW w:w="956" w:type="dxa"/>
                  <w:tcBorders>
                    <w:tl2br w:val="nil"/>
                    <w:tr2bl w:val="nil"/>
                  </w:tcBorders>
                  <w:noWrap w:val="0"/>
                  <w:vAlign w:val="center"/>
                </w:tcPr>
                <w:p w14:paraId="32A589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highlight w:val="none"/>
                      <w:vertAlign w:val="baseline"/>
                      <w:lang w:val="en-US" w:eastAsia="zh-CN" w:bidi="ar-SA"/>
                    </w:rPr>
                  </w:pPr>
                  <w:r>
                    <w:rPr>
                      <w:rFonts w:hint="default" w:ascii="Times New Roman" w:hAnsi="Times New Roman" w:eastAsia="宋体" w:cs="Times New Roman"/>
                      <w:b/>
                      <w:color w:val="auto"/>
                      <w:sz w:val="21"/>
                      <w:szCs w:val="21"/>
                      <w:highlight w:val="none"/>
                      <w:vertAlign w:val="baseline"/>
                      <w:lang w:val="en-US" w:eastAsia="zh-CN"/>
                    </w:rPr>
                    <w:t>排放量（t</w:t>
                  </w:r>
                  <w:r>
                    <w:rPr>
                      <w:rFonts w:hint="eastAsia" w:ascii="Times New Roman" w:hAnsi="Times New Roman" w:eastAsia="宋体" w:cs="Times New Roman"/>
                      <w:b/>
                      <w:color w:val="auto"/>
                      <w:sz w:val="21"/>
                      <w:szCs w:val="21"/>
                      <w:highlight w:val="none"/>
                      <w:vertAlign w:val="baseline"/>
                      <w:lang w:val="en-US" w:eastAsia="zh-CN"/>
                    </w:rPr>
                    <w:t>/a</w:t>
                  </w:r>
                  <w:r>
                    <w:rPr>
                      <w:rFonts w:hint="default" w:ascii="Times New Roman" w:hAnsi="Times New Roman" w:eastAsia="宋体" w:cs="Times New Roman"/>
                      <w:b/>
                      <w:color w:val="auto"/>
                      <w:sz w:val="21"/>
                      <w:szCs w:val="21"/>
                      <w:highlight w:val="none"/>
                      <w:vertAlign w:val="baseline"/>
                      <w:lang w:val="en-US" w:eastAsia="zh-CN"/>
                    </w:rPr>
                    <w:t>）</w:t>
                  </w:r>
                </w:p>
              </w:tc>
              <w:tc>
                <w:tcPr>
                  <w:tcW w:w="1247" w:type="dxa"/>
                  <w:tcBorders>
                    <w:tl2br w:val="nil"/>
                    <w:tr2bl w:val="nil"/>
                  </w:tcBorders>
                  <w:noWrap w:val="0"/>
                  <w:vAlign w:val="center"/>
                </w:tcPr>
                <w:p w14:paraId="45DB2C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eastAsia="zh-CN"/>
                    </w:rPr>
                  </w:pPr>
                  <w:r>
                    <w:rPr>
                      <w:rFonts w:hint="default" w:ascii="Times New Roman" w:hAnsi="Times New Roman" w:eastAsia="宋体" w:cs="Times New Roman"/>
                      <w:b/>
                      <w:color w:val="auto"/>
                      <w:sz w:val="21"/>
                      <w:szCs w:val="21"/>
                      <w:highlight w:val="none"/>
                      <w:vertAlign w:val="baseline"/>
                      <w:lang w:eastAsia="zh-CN"/>
                    </w:rPr>
                    <w:t>应对措施</w:t>
                  </w:r>
                </w:p>
              </w:tc>
            </w:tr>
            <w:tr w14:paraId="0D143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92" w:type="dxa"/>
                  <w:vMerge w:val="restart"/>
                  <w:tcBorders>
                    <w:tl2br w:val="nil"/>
                    <w:tr2bl w:val="nil"/>
                  </w:tcBorders>
                  <w:noWrap w:val="0"/>
                  <w:vAlign w:val="center"/>
                </w:tcPr>
                <w:p w14:paraId="29F1C0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DA001</w:t>
                  </w:r>
                </w:p>
              </w:tc>
              <w:tc>
                <w:tcPr>
                  <w:tcW w:w="1079" w:type="dxa"/>
                  <w:vMerge w:val="restart"/>
                  <w:tcBorders>
                    <w:tl2br w:val="nil"/>
                    <w:tr2bl w:val="nil"/>
                  </w:tcBorders>
                  <w:noWrap w:val="0"/>
                  <w:vAlign w:val="center"/>
                </w:tcPr>
                <w:p w14:paraId="161C33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环保设施（</w:t>
                  </w:r>
                  <w:r>
                    <w:rPr>
                      <w:rFonts w:hint="eastAsia" w:ascii="Times New Roman" w:hAnsi="Times New Roman" w:eastAsia="宋体" w:cs="Times New Roman"/>
                      <w:b w:val="0"/>
                      <w:bCs/>
                      <w:color w:val="auto"/>
                      <w:sz w:val="21"/>
                      <w:szCs w:val="21"/>
                      <w:highlight w:val="none"/>
                      <w:vertAlign w:val="baseline"/>
                      <w:lang w:eastAsia="zh-CN"/>
                    </w:rPr>
                    <w:t>微生物滤池</w:t>
                  </w:r>
                  <w:r>
                    <w:rPr>
                      <w:rFonts w:hint="default" w:ascii="Times New Roman" w:hAnsi="Times New Roman" w:eastAsia="宋体" w:cs="Times New Roman"/>
                      <w:b w:val="0"/>
                      <w:bCs/>
                      <w:color w:val="auto"/>
                      <w:sz w:val="21"/>
                      <w:szCs w:val="21"/>
                      <w:highlight w:val="none"/>
                      <w:vertAlign w:val="baseline"/>
                      <w:lang w:eastAsia="zh-CN"/>
                    </w:rPr>
                    <w:t>）故障</w:t>
                  </w:r>
                </w:p>
              </w:tc>
              <w:tc>
                <w:tcPr>
                  <w:tcW w:w="781" w:type="dxa"/>
                  <w:tcBorders>
                    <w:tl2br w:val="nil"/>
                    <w:tr2bl w:val="nil"/>
                  </w:tcBorders>
                  <w:noWrap w:val="0"/>
                  <w:vAlign w:val="center"/>
                </w:tcPr>
                <w:p w14:paraId="5E4CE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NH</w:t>
                  </w:r>
                  <w:r>
                    <w:rPr>
                      <w:rFonts w:hint="eastAsia" w:ascii="Times New Roman" w:hAnsi="Times New Roman" w:eastAsia="宋体" w:cs="Times New Roman"/>
                      <w:b w:val="0"/>
                      <w:bCs/>
                      <w:color w:val="auto"/>
                      <w:sz w:val="21"/>
                      <w:szCs w:val="21"/>
                      <w:highlight w:val="none"/>
                      <w:vertAlign w:val="subscript"/>
                      <w:lang w:val="en-US" w:eastAsia="zh-CN"/>
                    </w:rPr>
                    <w:t>3</w:t>
                  </w:r>
                </w:p>
              </w:tc>
              <w:tc>
                <w:tcPr>
                  <w:tcW w:w="1017" w:type="dxa"/>
                  <w:tcBorders>
                    <w:tl2br w:val="nil"/>
                    <w:tr2bl w:val="nil"/>
                  </w:tcBorders>
                  <w:noWrap w:val="0"/>
                  <w:vAlign w:val="center"/>
                </w:tcPr>
                <w:p w14:paraId="622F4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110</w:t>
                  </w:r>
                </w:p>
              </w:tc>
              <w:tc>
                <w:tcPr>
                  <w:tcW w:w="844" w:type="dxa"/>
                  <w:vMerge w:val="restart"/>
                  <w:tcBorders>
                    <w:tl2br w:val="nil"/>
                    <w:tr2bl w:val="nil"/>
                  </w:tcBorders>
                  <w:noWrap w:val="0"/>
                  <w:vAlign w:val="center"/>
                </w:tcPr>
                <w:p w14:paraId="6852A7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900" w:type="dxa"/>
                  <w:vMerge w:val="restart"/>
                  <w:tcBorders>
                    <w:tl2br w:val="nil"/>
                    <w:tr2bl w:val="nil"/>
                  </w:tcBorders>
                  <w:noWrap w:val="0"/>
                  <w:vAlign w:val="center"/>
                </w:tcPr>
                <w:p w14:paraId="4E5E34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956" w:type="dxa"/>
                  <w:tcBorders>
                    <w:tl2br w:val="nil"/>
                    <w:tr2bl w:val="nil"/>
                  </w:tcBorders>
                  <w:noWrap w:val="0"/>
                  <w:vAlign w:val="center"/>
                </w:tcPr>
                <w:p w14:paraId="54A78C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2.89</w:t>
                  </w:r>
                </w:p>
              </w:tc>
              <w:tc>
                <w:tcPr>
                  <w:tcW w:w="1247" w:type="dxa"/>
                  <w:vMerge w:val="restart"/>
                  <w:tcBorders>
                    <w:tl2br w:val="nil"/>
                    <w:tr2bl w:val="nil"/>
                  </w:tcBorders>
                  <w:noWrap w:val="0"/>
                  <w:vAlign w:val="center"/>
                </w:tcPr>
                <w:p w14:paraId="542AE9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rPr>
                    <w:t>及时检修，恢复生产</w:t>
                  </w:r>
                </w:p>
              </w:tc>
            </w:tr>
            <w:tr w14:paraId="75A89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vMerge w:val="continue"/>
                  <w:tcBorders>
                    <w:tl2br w:val="nil"/>
                    <w:tr2bl w:val="nil"/>
                  </w:tcBorders>
                  <w:noWrap w:val="0"/>
                  <w:vAlign w:val="center"/>
                </w:tcPr>
                <w:p w14:paraId="5BB987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079" w:type="dxa"/>
                  <w:vMerge w:val="continue"/>
                  <w:tcBorders>
                    <w:tl2br w:val="nil"/>
                    <w:tr2bl w:val="nil"/>
                  </w:tcBorders>
                  <w:noWrap w:val="0"/>
                  <w:vAlign w:val="center"/>
                </w:tcPr>
                <w:p w14:paraId="67CE1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781" w:type="dxa"/>
                  <w:tcBorders>
                    <w:tl2br w:val="nil"/>
                    <w:tr2bl w:val="nil"/>
                  </w:tcBorders>
                  <w:noWrap w:val="0"/>
                  <w:vAlign w:val="center"/>
                </w:tcPr>
                <w:p w14:paraId="6F0820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H</w:t>
                  </w:r>
                  <w:r>
                    <w:rPr>
                      <w:rFonts w:hint="eastAsia" w:ascii="Times New Roman" w:hAnsi="Times New Roman" w:eastAsia="宋体" w:cs="Times New Roman"/>
                      <w:b w:val="0"/>
                      <w:bCs/>
                      <w:color w:val="auto"/>
                      <w:sz w:val="21"/>
                      <w:szCs w:val="21"/>
                      <w:highlight w:val="none"/>
                      <w:vertAlign w:val="sub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S</w:t>
                  </w:r>
                </w:p>
              </w:tc>
              <w:tc>
                <w:tcPr>
                  <w:tcW w:w="1017" w:type="dxa"/>
                  <w:tcBorders>
                    <w:tl2br w:val="nil"/>
                    <w:tr2bl w:val="nil"/>
                  </w:tcBorders>
                  <w:noWrap w:val="0"/>
                  <w:vAlign w:val="center"/>
                </w:tcPr>
                <w:p w14:paraId="368F4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0.06</w:t>
                  </w:r>
                </w:p>
              </w:tc>
              <w:tc>
                <w:tcPr>
                  <w:tcW w:w="844" w:type="dxa"/>
                  <w:vMerge w:val="continue"/>
                  <w:tcBorders>
                    <w:tl2br w:val="nil"/>
                    <w:tr2bl w:val="nil"/>
                  </w:tcBorders>
                  <w:noWrap w:val="0"/>
                  <w:vAlign w:val="center"/>
                </w:tcPr>
                <w:p w14:paraId="61FE0B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900" w:type="dxa"/>
                  <w:vMerge w:val="continue"/>
                  <w:tcBorders>
                    <w:tl2br w:val="nil"/>
                    <w:tr2bl w:val="nil"/>
                  </w:tcBorders>
                  <w:noWrap w:val="0"/>
                  <w:vAlign w:val="center"/>
                </w:tcPr>
                <w:p w14:paraId="05BAA7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956" w:type="dxa"/>
                  <w:tcBorders>
                    <w:tl2br w:val="nil"/>
                    <w:tr2bl w:val="nil"/>
                  </w:tcBorders>
                  <w:noWrap w:val="0"/>
                  <w:vAlign w:val="center"/>
                </w:tcPr>
                <w:p w14:paraId="244A9C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0.028</w:t>
                  </w:r>
                </w:p>
              </w:tc>
              <w:tc>
                <w:tcPr>
                  <w:tcW w:w="1247" w:type="dxa"/>
                  <w:vMerge w:val="continue"/>
                  <w:tcBorders>
                    <w:tl2br w:val="nil"/>
                    <w:tr2bl w:val="nil"/>
                  </w:tcBorders>
                  <w:noWrap w:val="0"/>
                  <w:vAlign w:val="center"/>
                </w:tcPr>
                <w:p w14:paraId="3E0D18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r>
          </w:tbl>
          <w:p w14:paraId="4F2A72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val="0"/>
                <w:bCs/>
                <w:color w:val="auto"/>
                <w:sz w:val="24"/>
                <w:szCs w:val="24"/>
                <w:highlight w:val="none"/>
                <w:lang w:val="en-US" w:eastAsia="zh-CN"/>
              </w:rPr>
              <w:t>由上表结果，</w:t>
            </w:r>
            <w:r>
              <w:rPr>
                <w:rFonts w:hint="eastAsia" w:ascii="Times New Roman" w:hAnsi="Times New Roman" w:eastAsia="仿宋_GB2312" w:cs="Times New Roman"/>
                <w:b w:val="0"/>
                <w:bCs/>
                <w:color w:val="auto"/>
                <w:sz w:val="24"/>
                <w:szCs w:val="24"/>
                <w:highlight w:val="none"/>
                <w:lang w:val="en-US" w:eastAsia="zh-CN"/>
              </w:rPr>
              <w:t>污水处理厂</w:t>
            </w:r>
            <w:r>
              <w:rPr>
                <w:rFonts w:hint="default" w:ascii="Times New Roman" w:hAnsi="Times New Roman" w:eastAsia="仿宋_GB2312" w:cs="Times New Roman"/>
                <w:b w:val="0"/>
                <w:bCs/>
                <w:color w:val="auto"/>
                <w:sz w:val="24"/>
                <w:szCs w:val="24"/>
                <w:highlight w:val="none"/>
                <w:lang w:val="en-US" w:eastAsia="zh-CN"/>
              </w:rPr>
              <w:t>排气筒DA00</w:t>
            </w:r>
            <w:r>
              <w:rPr>
                <w:rFonts w:hint="eastAsia" w:ascii="Times New Roman" w:hAnsi="Times New Roman" w:eastAsia="仿宋_GB2312" w:cs="Times New Roman"/>
                <w:b w:val="0"/>
                <w:bCs/>
                <w:color w:val="auto"/>
                <w:sz w:val="24"/>
                <w:szCs w:val="24"/>
                <w:highlight w:val="none"/>
                <w:lang w:val="en-US" w:eastAsia="zh-CN"/>
              </w:rPr>
              <w:t>1</w:t>
            </w:r>
            <w:r>
              <w:rPr>
                <w:rFonts w:hint="default" w:ascii="Times New Roman" w:hAnsi="Times New Roman" w:eastAsia="仿宋_GB2312" w:cs="Times New Roman"/>
                <w:b w:val="0"/>
                <w:bCs/>
                <w:color w:val="auto"/>
                <w:sz w:val="24"/>
                <w:szCs w:val="24"/>
                <w:highlight w:val="none"/>
                <w:lang w:val="en-US" w:eastAsia="zh-CN"/>
              </w:rPr>
              <w:t>产生</w:t>
            </w:r>
            <w:r>
              <w:rPr>
                <w:rFonts w:hint="eastAsia" w:ascii="Times New Roman" w:hAnsi="Times New Roman" w:eastAsia="仿宋_GB2312" w:cs="Times New Roman"/>
                <w:b w:val="0"/>
                <w:bCs/>
                <w:color w:val="auto"/>
                <w:sz w:val="24"/>
                <w:szCs w:val="24"/>
                <w:highlight w:val="none"/>
                <w:lang w:val="en-US" w:eastAsia="zh-CN"/>
              </w:rPr>
              <w:t>的氨气及硫化氢</w:t>
            </w:r>
            <w:r>
              <w:rPr>
                <w:rFonts w:hint="default" w:ascii="Times New Roman" w:hAnsi="Times New Roman" w:eastAsia="仿宋_GB2312" w:cs="Times New Roman"/>
                <w:b w:val="0"/>
                <w:bCs/>
                <w:color w:val="auto"/>
                <w:sz w:val="24"/>
                <w:szCs w:val="24"/>
                <w:highlight w:val="none"/>
                <w:lang w:val="en-US" w:eastAsia="zh-CN"/>
              </w:rPr>
              <w:t>排放</w:t>
            </w:r>
            <w:r>
              <w:rPr>
                <w:rFonts w:hint="default" w:ascii="Times New Roman" w:hAnsi="Times New Roman" w:eastAsia="仿宋_GB2312" w:cs="Times New Roman"/>
                <w:b w:val="0"/>
                <w:bCs/>
                <w:color w:val="auto"/>
                <w:sz w:val="24"/>
                <w:szCs w:val="24"/>
                <w:highlight w:val="none"/>
                <w:vertAlign w:val="baseline"/>
                <w:lang w:val="en-US" w:eastAsia="zh-CN"/>
              </w:rPr>
              <w:t>浓度严重超标。因此，非正常工况时建设单位应采取及时检修措施，恢复生产。</w:t>
            </w:r>
          </w:p>
          <w:p w14:paraId="4634B98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lang w:eastAsia="zh-CN"/>
              </w:rPr>
            </w:pPr>
            <w:r>
              <w:rPr>
                <w:rFonts w:hint="default" w:ascii="Times New Roman" w:hAnsi="Times New Roman" w:eastAsia="仿宋_GB2312" w:cs="Times New Roman"/>
                <w:b/>
                <w:color w:val="auto"/>
                <w:sz w:val="24"/>
                <w:szCs w:val="24"/>
                <w:highlight w:val="none"/>
              </w:rPr>
              <w:t>1</w:t>
            </w:r>
            <w:r>
              <w:rPr>
                <w:rFonts w:hint="default" w:ascii="Times New Roman" w:hAnsi="Times New Roman" w:eastAsia="仿宋_GB2312" w:cs="Times New Roman"/>
                <w:b/>
                <w:color w:val="auto"/>
                <w:sz w:val="24"/>
                <w:szCs w:val="24"/>
                <w:highlight w:val="none"/>
                <w:lang w:val="en-US" w:eastAsia="zh-CN"/>
              </w:rPr>
              <w:t>.7</w:t>
            </w:r>
            <w:r>
              <w:rPr>
                <w:rFonts w:hint="default" w:ascii="Times New Roman" w:hAnsi="Times New Roman" w:eastAsia="仿宋_GB2312" w:cs="Times New Roman"/>
                <w:b/>
                <w:color w:val="auto"/>
                <w:sz w:val="24"/>
                <w:szCs w:val="24"/>
                <w:highlight w:val="none"/>
                <w:lang w:eastAsia="zh-CN"/>
              </w:rPr>
              <w:t>环境影响分析结论</w:t>
            </w:r>
          </w:p>
          <w:p w14:paraId="124189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Cs/>
                <w:color w:val="auto"/>
                <w:sz w:val="24"/>
                <w:szCs w:val="24"/>
                <w:highlight w:val="none"/>
              </w:rPr>
              <w:t>本项目位于</w:t>
            </w:r>
            <w:r>
              <w:rPr>
                <w:rFonts w:hint="default" w:ascii="Times New Roman" w:hAnsi="Times New Roman" w:eastAsia="仿宋_GB2312" w:cs="Times New Roman"/>
                <w:bCs/>
                <w:color w:val="auto"/>
                <w:sz w:val="24"/>
                <w:szCs w:val="24"/>
                <w:highlight w:val="none"/>
                <w:lang w:eastAsia="zh-CN"/>
              </w:rPr>
              <w:t>中卫市沙坡头区兴仁镇</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根据</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val="en-US" w:eastAsia="zh-CN"/>
              </w:rPr>
              <w:t>2023年宁夏生态环境质量状况</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0"/>
                <w:sz w:val="24"/>
                <w:szCs w:val="24"/>
              </w:rPr>
              <w:t>中</w:t>
            </w:r>
            <w:r>
              <w:rPr>
                <w:rFonts w:hint="default" w:ascii="Times New Roman" w:hAnsi="Times New Roman" w:eastAsia="仿宋_GB2312" w:cs="Times New Roman"/>
                <w:color w:val="auto"/>
                <w:kern w:val="0"/>
                <w:sz w:val="24"/>
                <w:szCs w:val="24"/>
                <w:lang w:val="en-US" w:eastAsia="zh-CN"/>
              </w:rPr>
              <w:t>202</w:t>
            </w:r>
            <w:r>
              <w:rPr>
                <w:rFonts w:hint="eastAsia" w:ascii="Times New Roman" w:hAnsi="Times New Roman" w:eastAsia="仿宋_GB2312" w:cs="Times New Roman"/>
                <w:color w:val="auto"/>
                <w:kern w:val="0"/>
                <w:sz w:val="24"/>
                <w:szCs w:val="24"/>
                <w:lang w:val="en-US" w:eastAsia="zh-CN"/>
              </w:rPr>
              <w:t>3</w:t>
            </w:r>
            <w:r>
              <w:rPr>
                <w:rFonts w:hint="default" w:ascii="Times New Roman" w:hAnsi="Times New Roman" w:eastAsia="仿宋_GB2312" w:cs="Times New Roman"/>
                <w:color w:val="auto"/>
                <w:kern w:val="0"/>
                <w:sz w:val="24"/>
                <w:szCs w:val="24"/>
                <w:lang w:val="en-US" w:eastAsia="zh-CN"/>
              </w:rPr>
              <w:t>年</w:t>
            </w:r>
            <w:r>
              <w:rPr>
                <w:rFonts w:hint="default" w:ascii="Times New Roman" w:hAnsi="Times New Roman" w:eastAsia="仿宋_GB2312" w:cs="Times New Roman"/>
                <w:color w:val="auto"/>
                <w:kern w:val="0"/>
                <w:sz w:val="24"/>
                <w:szCs w:val="24"/>
              </w:rPr>
              <w:t>中卫市的现状监测数据</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color w:val="auto"/>
                <w:sz w:val="24"/>
                <w:szCs w:val="24"/>
              </w:rPr>
              <w:t>项目所在区域为达标区域。</w:t>
            </w:r>
          </w:p>
          <w:p w14:paraId="01A52C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项目周边500米范围内无环境空气敏感目标，主要废气污染物为</w:t>
            </w:r>
            <w:r>
              <w:rPr>
                <w:rFonts w:hint="default" w:ascii="Times New Roman" w:hAnsi="Times New Roman" w:eastAsia="仿宋_GB2312" w:cs="Times New Roman"/>
                <w:color w:val="auto"/>
                <w:sz w:val="24"/>
                <w:szCs w:val="24"/>
                <w:highlight w:val="none"/>
                <w:lang w:eastAsia="zh-CN"/>
              </w:rPr>
              <w:t>氨气及硫化氢</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本项目有组织恶臭气体通过风管收集后采用生物除臭滤池工艺进行处理可达标排放，</w:t>
            </w:r>
            <w:r>
              <w:rPr>
                <w:rFonts w:hint="default" w:ascii="Times New Roman" w:hAnsi="Times New Roman" w:eastAsia="仿宋_GB2312" w:cs="Times New Roman"/>
                <w:bCs/>
                <w:color w:val="auto"/>
                <w:sz w:val="24"/>
                <w:szCs w:val="24"/>
                <w:highlight w:val="none"/>
                <w:lang w:val="en-US" w:eastAsia="zh-CN"/>
              </w:rPr>
              <w:t>满足《恶臭污染物排放标准》(GB14554-93)中表2标准限值要求(硫化氢≤0.33kg/h，氨≤4.9kg/h)，其技术措施</w:t>
            </w:r>
            <w:r>
              <w:rPr>
                <w:rFonts w:hint="default" w:ascii="Times New Roman" w:hAnsi="Times New Roman" w:eastAsia="仿宋_GB2312" w:cs="Times New Roman"/>
                <w:color w:val="auto"/>
                <w:sz w:val="24"/>
                <w:szCs w:val="24"/>
                <w:highlight w:val="none"/>
                <w:lang w:eastAsia="zh-CN"/>
              </w:rPr>
              <w:t>符合</w:t>
            </w:r>
            <w:r>
              <w:rPr>
                <w:rFonts w:hint="default" w:ascii="Times New Roman" w:hAnsi="Times New Roman" w:eastAsia="仿宋_GB2312" w:cs="Times New Roman"/>
                <w:bCs/>
                <w:color w:val="auto"/>
                <w:sz w:val="24"/>
                <w:szCs w:val="24"/>
                <w:highlight w:val="none"/>
                <w:lang w:val="en-US" w:eastAsia="zh-CN"/>
              </w:rPr>
              <w:t>《排污许可证申请与核发技术规范 水处理（试行）》（HJ978-2018）</w:t>
            </w:r>
            <w:r>
              <w:rPr>
                <w:rFonts w:hint="default" w:ascii="Times New Roman" w:hAnsi="Times New Roman" w:eastAsia="仿宋_GB2312" w:cs="Times New Roman"/>
                <w:bCs/>
                <w:color w:val="auto"/>
                <w:sz w:val="24"/>
                <w:szCs w:val="24"/>
                <w:highlight w:val="none"/>
                <w:lang w:eastAsia="zh-CN"/>
              </w:rPr>
              <w:t>中相关防治技术要求；</w:t>
            </w:r>
            <w:r>
              <w:rPr>
                <w:rFonts w:hint="default" w:ascii="Times New Roman" w:hAnsi="Times New Roman" w:eastAsia="仿宋_GB2312" w:cs="Times New Roman"/>
                <w:color w:val="auto"/>
                <w:sz w:val="24"/>
                <w:szCs w:val="24"/>
                <w:highlight w:val="none"/>
                <w:lang w:eastAsia="zh-CN"/>
              </w:rPr>
              <w:t>无组织废气排放量较小，厂界排放浓度可满足</w:t>
            </w:r>
            <w:r>
              <w:rPr>
                <w:rFonts w:hint="default" w:ascii="Times New Roman" w:hAnsi="Times New Roman" w:eastAsia="仿宋_GB2312" w:cs="Times New Roman"/>
                <w:bCs/>
                <w:color w:val="auto"/>
                <w:sz w:val="24"/>
                <w:szCs w:val="24"/>
                <w:highlight w:val="none"/>
                <w:lang w:val="en-US" w:eastAsia="zh-CN"/>
              </w:rPr>
              <w:t>《城镇污水处理厂污染物排放标准（修改单）》(GB18918-2002)中表4厂界(防护带边缘)二级标准限值要求。因此，项目的建设对周围大气环境影响较小。</w:t>
            </w:r>
          </w:p>
          <w:p w14:paraId="7306C8DA">
            <w:pPr>
              <w:pStyle w:val="48"/>
              <w:keepNext w:val="0"/>
              <w:keepLines w:val="0"/>
              <w:pageBreakBefore w:val="0"/>
              <w:kinsoku/>
              <w:wordWrap/>
              <w:overflowPunct/>
              <w:topLinePunct w:val="0"/>
              <w:autoSpaceDE/>
              <w:autoSpaceDN/>
              <w:bidi w:val="0"/>
              <w:adjustRightInd w:val="0"/>
              <w:snapToGrid w:val="0"/>
              <w:spacing w:line="360" w:lineRule="auto"/>
              <w:ind w:left="0" w:right="0" w:firstLine="0"/>
              <w:jc w:val="both"/>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3、废水环境影响分析</w:t>
            </w:r>
          </w:p>
          <w:p w14:paraId="6D35EF15">
            <w:pPr>
              <w:keepNext w:val="0"/>
              <w:keepLines w:val="0"/>
              <w:pageBreakBefore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⑴产排污环节</w:t>
            </w:r>
          </w:p>
          <w:p w14:paraId="06A75422">
            <w:pPr>
              <w:pStyle w:val="69"/>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本项目运营期废水主要为员工生活污水及项目收集兴仁镇城镇居民生活污水。</w:t>
            </w:r>
          </w:p>
          <w:p w14:paraId="3A937F11">
            <w:pPr>
              <w:keepNext w:val="0"/>
              <w:keepLines w:val="0"/>
              <w:pageBreakBefore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rPr>
              <w:t>⑵</w:t>
            </w:r>
            <w:r>
              <w:rPr>
                <w:rFonts w:hint="default" w:ascii="Times New Roman" w:hAnsi="Times New Roman" w:eastAsia="仿宋_GB2312" w:cs="Times New Roman"/>
                <w:b/>
                <w:color w:val="auto"/>
                <w:sz w:val="24"/>
                <w:szCs w:val="24"/>
                <w:highlight w:val="none"/>
                <w:lang w:eastAsia="zh-CN"/>
              </w:rPr>
              <w:t>污染物种类</w:t>
            </w:r>
          </w:p>
          <w:p w14:paraId="05C7257F">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仿宋_GB2312" w:cs="Times New Roman"/>
                <w:b w:val="0"/>
                <w:bCs/>
                <w:color w:val="auto"/>
                <w:sz w:val="24"/>
                <w:szCs w:val="24"/>
                <w:highlight w:val="none"/>
                <w:lang w:val="en-US" w:eastAsia="zh-CN"/>
              </w:rPr>
            </w:pPr>
            <w:r>
              <w:rPr>
                <w:rFonts w:hint="default" w:ascii="Times New Roman" w:hAnsi="Times New Roman" w:eastAsia="仿宋_GB2312" w:cs="Times New Roman"/>
                <w:b w:val="0"/>
                <w:bCs/>
                <w:color w:val="auto"/>
                <w:sz w:val="24"/>
                <w:szCs w:val="24"/>
                <w:highlight w:val="none"/>
                <w:lang w:eastAsia="zh-CN"/>
              </w:rPr>
              <w:t>本项目建成后主要收集处理兴仁镇镇区废水，均为居民生活污水，污染因子主要为</w:t>
            </w:r>
            <w:r>
              <w:rPr>
                <w:rFonts w:hint="default" w:ascii="Times New Roman" w:hAnsi="Times New Roman" w:eastAsia="仿宋_GB2312" w:cs="Times New Roman"/>
                <w:b w:val="0"/>
                <w:bCs/>
                <w:color w:val="auto"/>
                <w:sz w:val="24"/>
                <w:szCs w:val="24"/>
                <w:highlight w:val="none"/>
                <w:lang w:val="en-US" w:eastAsia="zh-CN"/>
              </w:rPr>
              <w:t>COD、BOD、SS、氨氮、总磷及总氮。</w:t>
            </w:r>
          </w:p>
          <w:p w14:paraId="5F4CDF42">
            <w:pPr>
              <w:keepNext w:val="0"/>
              <w:keepLines w:val="0"/>
              <w:pageBreakBefore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仿宋_GB2312" w:cs="Times New Roman"/>
                <w:bCs/>
                <w:color w:val="auto"/>
                <w:sz w:val="24"/>
                <w:szCs w:val="24"/>
                <w:highlight w:val="none"/>
                <w:lang w:val="en-US" w:eastAsia="zh-CN"/>
              </w:rPr>
            </w:pPr>
            <w:r>
              <w:rPr>
                <w:rFonts w:hint="default" w:ascii="Times New Roman" w:hAnsi="Times New Roman" w:eastAsia="仿宋_GB2312" w:cs="Times New Roman"/>
                <w:b/>
                <w:color w:val="auto"/>
                <w:sz w:val="24"/>
                <w:szCs w:val="24"/>
                <w:highlight w:val="none"/>
                <w:lang w:val="en-US" w:eastAsia="zh-CN"/>
              </w:rPr>
              <w:t>(3)</w:t>
            </w:r>
            <w:r>
              <w:rPr>
                <w:rFonts w:hint="default" w:ascii="Times New Roman" w:hAnsi="Times New Roman" w:eastAsia="仿宋_GB2312" w:cs="Times New Roman"/>
                <w:b/>
                <w:color w:val="auto"/>
                <w:sz w:val="24"/>
                <w:szCs w:val="24"/>
                <w:highlight w:val="none"/>
              </w:rPr>
              <w:t>污染物</w:t>
            </w:r>
            <w:r>
              <w:rPr>
                <w:rFonts w:hint="default" w:ascii="Times New Roman" w:hAnsi="Times New Roman" w:eastAsia="仿宋_GB2312" w:cs="Times New Roman"/>
                <w:b/>
                <w:color w:val="auto"/>
                <w:sz w:val="24"/>
                <w:szCs w:val="24"/>
                <w:highlight w:val="none"/>
                <w:lang w:eastAsia="zh-CN"/>
              </w:rPr>
              <w:t>产生浓度及产生量</w:t>
            </w:r>
          </w:p>
          <w:p w14:paraId="1C6C9BCE">
            <w:pPr>
              <w:pStyle w:val="12"/>
              <w:keepNext w:val="0"/>
              <w:keepLines w:val="0"/>
              <w:pageBreakBefore w:val="0"/>
              <w:kinsoku/>
              <w:wordWrap/>
              <w:overflowPunct/>
              <w:topLinePunct w:val="0"/>
              <w:autoSpaceDE/>
              <w:autoSpaceDN/>
              <w:bidi w:val="0"/>
              <w:adjustRightInd w:val="0"/>
              <w:snapToGrid w:val="0"/>
              <w:spacing w:after="0" w:line="360" w:lineRule="auto"/>
              <w:ind w:right="0" w:firstLine="480"/>
              <w:jc w:val="both"/>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bCs/>
                <w:color w:val="auto"/>
                <w:sz w:val="24"/>
                <w:szCs w:val="24"/>
                <w:highlight w:val="none"/>
                <w:lang w:val="en-US" w:eastAsia="zh-CN"/>
              </w:rPr>
              <w:t>本项目为城镇污水处理厂建设项目，项目涉及近期处理能力为800m</w:t>
            </w:r>
            <w:r>
              <w:rPr>
                <w:rFonts w:hint="default" w:ascii="Times New Roman" w:hAnsi="Times New Roman" w:eastAsia="仿宋_GB2312" w:cs="Times New Roman"/>
                <w:bCs/>
                <w:color w:val="auto"/>
                <w:sz w:val="24"/>
                <w:szCs w:val="24"/>
                <w:highlight w:val="none"/>
                <w:vertAlign w:val="superscript"/>
                <w:lang w:val="en-US" w:eastAsia="zh-CN"/>
              </w:rPr>
              <w:t>3</w:t>
            </w:r>
            <w:r>
              <w:rPr>
                <w:rFonts w:hint="default" w:ascii="Times New Roman" w:hAnsi="Times New Roman" w:eastAsia="仿宋_GB2312" w:cs="Times New Roman"/>
                <w:bCs/>
                <w:color w:val="auto"/>
                <w:sz w:val="24"/>
                <w:szCs w:val="24"/>
                <w:highlight w:val="none"/>
                <w:lang w:val="en-US" w:eastAsia="zh-CN"/>
              </w:rPr>
              <w:t>/d，进水水质见下表：</w:t>
            </w:r>
          </w:p>
          <w:p w14:paraId="378E2660">
            <w:pPr>
              <w:spacing w:before="0" w:line="266" w:lineRule="exact"/>
              <w:ind w:right="0"/>
              <w:jc w:val="center"/>
              <w:rPr>
                <w:rFonts w:hint="default" w:ascii="Times New Roman" w:hAnsi="Times New Roman" w:eastAsia="宋体" w:cs="Times New Roman"/>
                <w:b/>
                <w:color w:val="auto"/>
                <w:sz w:val="21"/>
                <w:lang w:val="en-US" w:eastAsia="zh-CN"/>
              </w:rPr>
            </w:pPr>
            <w:r>
              <w:rPr>
                <w:rFonts w:hint="default" w:ascii="Times New Roman" w:hAnsi="Times New Roman" w:eastAsia="宋体" w:cs="Times New Roman"/>
                <w:b w:val="0"/>
                <w:bCs/>
                <w:color w:val="auto"/>
                <w:spacing w:val="-26"/>
                <w:sz w:val="21"/>
              </w:rPr>
              <w:t xml:space="preserve">表 </w:t>
            </w:r>
            <w:r>
              <w:rPr>
                <w:rFonts w:hint="eastAsia" w:ascii="Times New Roman" w:hAnsi="Times New Roman" w:eastAsia="宋体" w:cs="Times New Roman"/>
                <w:b w:val="0"/>
                <w:bCs/>
                <w:color w:val="auto"/>
                <w:sz w:val="21"/>
                <w:lang w:val="en-US" w:eastAsia="zh-CN"/>
              </w:rPr>
              <w:t xml:space="preserve">4-8    </w:t>
            </w:r>
            <w:r>
              <w:rPr>
                <w:rFonts w:hint="default" w:ascii="Times New Roman" w:hAnsi="Times New Roman" w:eastAsia="宋体" w:cs="Times New Roman"/>
                <w:b/>
                <w:color w:val="auto"/>
                <w:sz w:val="21"/>
              </w:rPr>
              <w:t>设计进水水质</w:t>
            </w:r>
            <w:r>
              <w:rPr>
                <w:rFonts w:hint="eastAsia" w:ascii="Times New Roman" w:hAnsi="Times New Roman" w:eastAsia="宋体" w:cs="Times New Roman"/>
                <w:b/>
                <w:color w:val="auto"/>
                <w:sz w:val="21"/>
                <w:lang w:val="en-US" w:eastAsia="zh-CN"/>
              </w:rPr>
              <w:t xml:space="preserve">    mg/L</w:t>
            </w:r>
          </w:p>
          <w:tbl>
            <w:tblPr>
              <w:tblStyle w:val="26"/>
              <w:tblW w:w="805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1762"/>
              <w:gridCol w:w="1256"/>
              <w:gridCol w:w="1259"/>
              <w:gridCol w:w="1256"/>
              <w:gridCol w:w="1259"/>
              <w:gridCol w:w="1258"/>
            </w:tblGrid>
            <w:tr w14:paraId="66D180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524" w:type="dxa"/>
                  <w:tcBorders>
                    <w:tl2br w:val="nil"/>
                    <w:tr2bl w:val="nil"/>
                  </w:tcBorders>
                  <w:noWrap w:val="0"/>
                  <w:vAlign w:val="center"/>
                </w:tcPr>
                <w:p w14:paraId="23BD61D0">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项目</w:t>
                  </w:r>
                </w:p>
              </w:tc>
              <w:tc>
                <w:tcPr>
                  <w:tcW w:w="1086" w:type="dxa"/>
                  <w:tcBorders>
                    <w:tl2br w:val="nil"/>
                    <w:tr2bl w:val="nil"/>
                  </w:tcBorders>
                  <w:noWrap w:val="0"/>
                  <w:vAlign w:val="center"/>
                </w:tcPr>
                <w:p w14:paraId="08A198DA">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position w:val="2"/>
                      <w:sz w:val="21"/>
                    </w:rPr>
                    <w:t>BOD</w:t>
                  </w:r>
                  <w:r>
                    <w:rPr>
                      <w:rFonts w:hint="default" w:ascii="Times New Roman" w:hAnsi="Times New Roman" w:eastAsia="宋体" w:cs="Times New Roman"/>
                      <w:b/>
                      <w:bCs/>
                      <w:color w:val="auto"/>
                      <w:position w:val="2"/>
                      <w:sz w:val="21"/>
                      <w:vertAlign w:val="subscript"/>
                    </w:rPr>
                    <w:t>5</w:t>
                  </w:r>
                </w:p>
              </w:tc>
              <w:tc>
                <w:tcPr>
                  <w:tcW w:w="1089" w:type="dxa"/>
                  <w:tcBorders>
                    <w:tl2br w:val="nil"/>
                    <w:tr2bl w:val="nil"/>
                  </w:tcBorders>
                  <w:noWrap w:val="0"/>
                  <w:vAlign w:val="center"/>
                </w:tcPr>
                <w:p w14:paraId="12433044">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SS</w:t>
                  </w:r>
                </w:p>
              </w:tc>
              <w:tc>
                <w:tcPr>
                  <w:tcW w:w="1086" w:type="dxa"/>
                  <w:tcBorders>
                    <w:tl2br w:val="nil"/>
                    <w:tr2bl w:val="nil"/>
                  </w:tcBorders>
                  <w:noWrap w:val="0"/>
                  <w:vAlign w:val="center"/>
                </w:tcPr>
                <w:p w14:paraId="3283B01E">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TP</w:t>
                  </w:r>
                </w:p>
              </w:tc>
              <w:tc>
                <w:tcPr>
                  <w:tcW w:w="1089" w:type="dxa"/>
                  <w:tcBorders>
                    <w:tl2br w:val="nil"/>
                    <w:tr2bl w:val="nil"/>
                  </w:tcBorders>
                  <w:noWrap w:val="0"/>
                  <w:vAlign w:val="center"/>
                </w:tcPr>
                <w:p w14:paraId="4F22DA80">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position w:val="2"/>
                      <w:sz w:val="21"/>
                    </w:rPr>
                    <w:t>NH</w:t>
                  </w:r>
                  <w:r>
                    <w:rPr>
                      <w:rFonts w:hint="default" w:ascii="Times New Roman" w:hAnsi="Times New Roman" w:eastAsia="宋体" w:cs="Times New Roman"/>
                      <w:b/>
                      <w:bCs/>
                      <w:color w:val="auto"/>
                      <w:position w:val="2"/>
                      <w:sz w:val="21"/>
                      <w:vertAlign w:val="subscript"/>
                    </w:rPr>
                    <w:t>3</w:t>
                  </w:r>
                  <w:r>
                    <w:rPr>
                      <w:rFonts w:hint="default" w:ascii="Times New Roman" w:hAnsi="Times New Roman" w:eastAsia="宋体" w:cs="Times New Roman"/>
                      <w:b/>
                      <w:bCs/>
                      <w:color w:val="auto"/>
                      <w:position w:val="2"/>
                      <w:sz w:val="21"/>
                      <w:vertAlign w:val="baseline"/>
                    </w:rPr>
                    <w:t>-N</w:t>
                  </w:r>
                </w:p>
              </w:tc>
              <w:tc>
                <w:tcPr>
                  <w:tcW w:w="1087" w:type="dxa"/>
                  <w:tcBorders>
                    <w:tl2br w:val="nil"/>
                    <w:tr2bl w:val="nil"/>
                  </w:tcBorders>
                  <w:noWrap w:val="0"/>
                  <w:vAlign w:val="center"/>
                </w:tcPr>
                <w:p w14:paraId="0ABC6950">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TN</w:t>
                  </w:r>
                </w:p>
              </w:tc>
            </w:tr>
            <w:tr w14:paraId="166C75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524" w:type="dxa"/>
                  <w:tcBorders>
                    <w:tl2br w:val="nil"/>
                    <w:tr2bl w:val="nil"/>
                  </w:tcBorders>
                  <w:noWrap w:val="0"/>
                  <w:vAlign w:val="center"/>
                </w:tcPr>
                <w:p w14:paraId="4FED484B">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进水水质</w:t>
                  </w:r>
                </w:p>
              </w:tc>
              <w:tc>
                <w:tcPr>
                  <w:tcW w:w="1086" w:type="dxa"/>
                  <w:tcBorders>
                    <w:tl2br w:val="nil"/>
                    <w:tr2bl w:val="nil"/>
                  </w:tcBorders>
                  <w:noWrap w:val="0"/>
                  <w:vAlign w:val="center"/>
                </w:tcPr>
                <w:p w14:paraId="68C3D876">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200</w:t>
                  </w:r>
                </w:p>
              </w:tc>
              <w:tc>
                <w:tcPr>
                  <w:tcW w:w="1089" w:type="dxa"/>
                  <w:tcBorders>
                    <w:tl2br w:val="nil"/>
                    <w:tr2bl w:val="nil"/>
                  </w:tcBorders>
                  <w:noWrap w:val="0"/>
                  <w:vAlign w:val="center"/>
                </w:tcPr>
                <w:p w14:paraId="05F11646">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250</w:t>
                  </w:r>
                </w:p>
              </w:tc>
              <w:tc>
                <w:tcPr>
                  <w:tcW w:w="1086" w:type="dxa"/>
                  <w:tcBorders>
                    <w:tl2br w:val="nil"/>
                    <w:tr2bl w:val="nil"/>
                  </w:tcBorders>
                  <w:noWrap w:val="0"/>
                  <w:vAlign w:val="center"/>
                </w:tcPr>
                <w:p w14:paraId="3803994E">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w w:val="99"/>
                      <w:sz w:val="21"/>
                    </w:rPr>
                    <w:t>5</w:t>
                  </w:r>
                </w:p>
              </w:tc>
              <w:tc>
                <w:tcPr>
                  <w:tcW w:w="1089" w:type="dxa"/>
                  <w:tcBorders>
                    <w:tl2br w:val="nil"/>
                    <w:tr2bl w:val="nil"/>
                  </w:tcBorders>
                  <w:noWrap w:val="0"/>
                  <w:vAlign w:val="center"/>
                </w:tcPr>
                <w:p w14:paraId="660C15C9">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50</w:t>
                  </w:r>
                </w:p>
              </w:tc>
              <w:tc>
                <w:tcPr>
                  <w:tcW w:w="1087" w:type="dxa"/>
                  <w:tcBorders>
                    <w:tl2br w:val="nil"/>
                    <w:tr2bl w:val="nil"/>
                  </w:tcBorders>
                  <w:noWrap w:val="0"/>
                  <w:vAlign w:val="center"/>
                </w:tcPr>
                <w:p w14:paraId="02497A95">
                  <w:pPr>
                    <w:pStyle w:val="67"/>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60</w:t>
                  </w:r>
                </w:p>
              </w:tc>
            </w:tr>
          </w:tbl>
          <w:p w14:paraId="3E43B64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 w:val="0"/>
                <w:bCs w:val="0"/>
                <w:snapToGrid w:val="0"/>
                <w:color w:val="auto"/>
                <w:kern w:val="0"/>
                <w:sz w:val="21"/>
                <w:szCs w:val="21"/>
                <w:lang w:eastAsia="zh-CN"/>
              </w:rPr>
            </w:pPr>
            <w:r>
              <w:rPr>
                <w:rFonts w:hint="default" w:ascii="Times New Roman" w:hAnsi="Times New Roman" w:eastAsia="仿宋_GB2312" w:cs="Times New Roman"/>
                <w:b w:val="0"/>
                <w:bCs w:val="0"/>
                <w:snapToGrid w:val="0"/>
                <w:color w:val="auto"/>
                <w:kern w:val="0"/>
                <w:sz w:val="24"/>
                <w:szCs w:val="24"/>
                <w:lang w:eastAsia="zh-CN"/>
              </w:rPr>
              <w:t>根据污水处理厂设计进水水质，确定本项目水污染物产生浓度及产生量，见下表。</w:t>
            </w:r>
          </w:p>
          <w:p w14:paraId="724D10F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snapToGrid w:val="0"/>
                <w:color w:val="auto"/>
                <w:kern w:val="0"/>
                <w:sz w:val="24"/>
                <w:szCs w:val="24"/>
              </w:rPr>
            </w:pPr>
            <w:r>
              <w:rPr>
                <w:rFonts w:hint="default" w:ascii="Times New Roman" w:hAnsi="Times New Roman" w:eastAsia="宋体" w:cs="Times New Roman"/>
                <w:b w:val="0"/>
                <w:bCs w:val="0"/>
                <w:snapToGrid w:val="0"/>
                <w:color w:val="auto"/>
                <w:kern w:val="0"/>
                <w:sz w:val="21"/>
                <w:szCs w:val="21"/>
              </w:rPr>
              <w:t>表</w:t>
            </w:r>
            <w:r>
              <w:rPr>
                <w:rFonts w:hint="eastAsia" w:ascii="Times New Roman" w:hAnsi="Times New Roman" w:eastAsia="宋体" w:cs="Times New Roman"/>
                <w:b w:val="0"/>
                <w:bCs w:val="0"/>
                <w:snapToGrid w:val="0"/>
                <w:color w:val="auto"/>
                <w:kern w:val="0"/>
                <w:sz w:val="21"/>
                <w:szCs w:val="21"/>
                <w:lang w:val="en-US" w:eastAsia="zh-CN"/>
              </w:rPr>
              <w:t xml:space="preserve">4-9    </w:t>
            </w:r>
            <w:r>
              <w:rPr>
                <w:rFonts w:hint="default" w:ascii="Times New Roman" w:hAnsi="Times New Roman" w:eastAsia="宋体" w:cs="Times New Roman"/>
                <w:b/>
                <w:bCs/>
                <w:snapToGrid w:val="0"/>
                <w:color w:val="auto"/>
                <w:kern w:val="0"/>
                <w:sz w:val="24"/>
                <w:szCs w:val="24"/>
              </w:rPr>
              <w:t>项目水污染物源强汇总表</w:t>
            </w:r>
          </w:p>
          <w:tbl>
            <w:tblPr>
              <w:tblStyle w:val="26"/>
              <w:tblW w:w="805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347"/>
              <w:gridCol w:w="1258"/>
              <w:gridCol w:w="2042"/>
              <w:gridCol w:w="1858"/>
              <w:gridCol w:w="1545"/>
            </w:tblGrid>
            <w:tr w14:paraId="4CE504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36" w:type="pct"/>
                  <w:vMerge w:val="restart"/>
                  <w:tcBorders>
                    <w:top w:val="single" w:color="auto" w:sz="12" w:space="0"/>
                  </w:tcBorders>
                  <w:shd w:val="clear" w:color="auto" w:fill="auto"/>
                  <w:noWrap w:val="0"/>
                  <w:vAlign w:val="center"/>
                </w:tcPr>
                <w:p w14:paraId="663BD8DD">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shd w:val="clear" w:color="auto" w:fill="auto"/>
                      <w:lang w:eastAsia="zh-CN"/>
                    </w:rPr>
                  </w:pPr>
                  <w:bookmarkStart w:id="5" w:name="OLE_LINK6"/>
                  <w:bookmarkStart w:id="6" w:name="OLE_LINK5"/>
                  <w:r>
                    <w:rPr>
                      <w:rFonts w:hint="default" w:ascii="Times New Roman" w:hAnsi="Times New Roman" w:eastAsia="宋体" w:cs="Times New Roman"/>
                      <w:b/>
                      <w:snapToGrid w:val="0"/>
                      <w:color w:val="auto"/>
                      <w:kern w:val="0"/>
                      <w:sz w:val="21"/>
                      <w:szCs w:val="21"/>
                      <w:shd w:val="clear" w:color="auto" w:fill="auto"/>
                      <w:lang w:eastAsia="zh-CN"/>
                    </w:rPr>
                    <w:t>类别</w:t>
                  </w:r>
                </w:p>
              </w:tc>
              <w:tc>
                <w:tcPr>
                  <w:tcW w:w="781" w:type="pct"/>
                  <w:vMerge w:val="restart"/>
                  <w:tcBorders>
                    <w:top w:val="single" w:color="auto" w:sz="12" w:space="0"/>
                  </w:tcBorders>
                  <w:shd w:val="clear" w:color="auto" w:fill="auto"/>
                  <w:noWrap w:val="0"/>
                  <w:vAlign w:val="center"/>
                </w:tcPr>
                <w:p w14:paraId="72B39A11">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shd w:val="clear" w:color="auto" w:fill="auto"/>
                      <w:lang w:eastAsia="en-US"/>
                    </w:rPr>
                  </w:pPr>
                  <w:r>
                    <w:rPr>
                      <w:rFonts w:hint="default" w:ascii="Times New Roman" w:hAnsi="Times New Roman" w:eastAsia="宋体" w:cs="Times New Roman"/>
                      <w:b/>
                      <w:snapToGrid w:val="0"/>
                      <w:color w:val="auto"/>
                      <w:kern w:val="0"/>
                      <w:sz w:val="21"/>
                      <w:szCs w:val="21"/>
                      <w:shd w:val="clear" w:color="auto" w:fill="auto"/>
                    </w:rPr>
                    <w:t>污染物</w:t>
                  </w:r>
                </w:p>
              </w:tc>
              <w:tc>
                <w:tcPr>
                  <w:tcW w:w="3381" w:type="pct"/>
                  <w:gridSpan w:val="3"/>
                  <w:tcBorders>
                    <w:top w:val="single" w:color="auto" w:sz="12" w:space="0"/>
                    <w:right w:val="single" w:color="auto" w:sz="12" w:space="0"/>
                  </w:tcBorders>
                  <w:shd w:val="clear" w:color="auto" w:fill="auto"/>
                  <w:noWrap w:val="0"/>
                  <w:vAlign w:val="center"/>
                </w:tcPr>
                <w:p w14:paraId="057F8D70">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shd w:val="clear" w:color="auto" w:fill="auto"/>
                      <w:lang w:eastAsia="en-US"/>
                    </w:rPr>
                  </w:pPr>
                  <w:r>
                    <w:rPr>
                      <w:rFonts w:hint="default" w:ascii="Times New Roman" w:hAnsi="Times New Roman" w:eastAsia="宋体" w:cs="Times New Roman"/>
                      <w:b/>
                      <w:snapToGrid w:val="0"/>
                      <w:color w:val="auto"/>
                      <w:kern w:val="0"/>
                      <w:sz w:val="21"/>
                      <w:szCs w:val="21"/>
                      <w:shd w:val="clear" w:color="auto" w:fill="auto"/>
                    </w:rPr>
                    <w:t>污染物产生</w:t>
                  </w:r>
                </w:p>
              </w:tc>
            </w:tr>
            <w:tr w14:paraId="5AD395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36" w:type="pct"/>
                  <w:vMerge w:val="continue"/>
                  <w:tcBorders>
                    <w:left w:val="single" w:color="auto" w:sz="12" w:space="0"/>
                  </w:tcBorders>
                  <w:shd w:val="clear" w:color="auto" w:fill="auto"/>
                  <w:noWrap w:val="0"/>
                  <w:vAlign w:val="center"/>
                </w:tcPr>
                <w:p w14:paraId="14387DF9">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shd w:val="clear" w:color="auto" w:fill="auto"/>
                      <w:lang w:eastAsia="en-US"/>
                    </w:rPr>
                  </w:pPr>
                </w:p>
              </w:tc>
              <w:tc>
                <w:tcPr>
                  <w:tcW w:w="781" w:type="pct"/>
                  <w:vMerge w:val="continue"/>
                  <w:shd w:val="clear" w:color="auto" w:fill="auto"/>
                  <w:noWrap w:val="0"/>
                  <w:vAlign w:val="center"/>
                </w:tcPr>
                <w:p w14:paraId="0E4F1E5F">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shd w:val="clear" w:color="auto" w:fill="auto"/>
                      <w:lang w:eastAsia="en-US"/>
                    </w:rPr>
                  </w:pPr>
                </w:p>
              </w:tc>
              <w:tc>
                <w:tcPr>
                  <w:tcW w:w="1268" w:type="pct"/>
                  <w:shd w:val="clear" w:color="auto" w:fill="auto"/>
                  <w:noWrap w:val="0"/>
                  <w:vAlign w:val="center"/>
                </w:tcPr>
                <w:p w14:paraId="0E2748D3">
                  <w:pPr>
                    <w:pStyle w:val="67"/>
                    <w:keepNext w:val="0"/>
                    <w:keepLines w:val="0"/>
                    <w:pageBreakBefore w:val="0"/>
                    <w:tabs>
                      <w:tab w:val="left" w:pos="589"/>
                    </w:tabs>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shd w:val="clear" w:color="auto" w:fill="auto"/>
                      <w:lang w:eastAsia="en-US"/>
                    </w:rPr>
                  </w:pPr>
                  <w:r>
                    <w:rPr>
                      <w:rFonts w:hint="default" w:ascii="Times New Roman" w:hAnsi="Times New Roman" w:eastAsia="宋体" w:cs="Times New Roman"/>
                      <w:b/>
                      <w:snapToGrid w:val="0"/>
                      <w:color w:val="auto"/>
                      <w:kern w:val="0"/>
                      <w:sz w:val="21"/>
                      <w:szCs w:val="21"/>
                      <w:shd w:val="clear" w:color="auto" w:fill="auto"/>
                    </w:rPr>
                    <w:t>废水产生量m</w:t>
                  </w:r>
                  <w:r>
                    <w:rPr>
                      <w:rFonts w:hint="default" w:ascii="Times New Roman" w:hAnsi="Times New Roman" w:eastAsia="宋体" w:cs="Times New Roman"/>
                      <w:b/>
                      <w:snapToGrid w:val="0"/>
                      <w:color w:val="auto"/>
                      <w:kern w:val="0"/>
                      <w:sz w:val="21"/>
                      <w:szCs w:val="21"/>
                      <w:shd w:val="clear" w:color="auto" w:fill="auto"/>
                      <w:vertAlign w:val="superscript"/>
                    </w:rPr>
                    <w:t>3</w:t>
                  </w:r>
                  <w:r>
                    <w:rPr>
                      <w:rFonts w:hint="default" w:ascii="Times New Roman" w:hAnsi="Times New Roman" w:eastAsia="宋体" w:cs="Times New Roman"/>
                      <w:b/>
                      <w:snapToGrid w:val="0"/>
                      <w:color w:val="auto"/>
                      <w:kern w:val="0"/>
                      <w:sz w:val="21"/>
                      <w:szCs w:val="21"/>
                      <w:shd w:val="clear" w:color="auto" w:fill="auto"/>
                    </w:rPr>
                    <w:t>/a</w:t>
                  </w:r>
                </w:p>
              </w:tc>
              <w:tc>
                <w:tcPr>
                  <w:tcW w:w="1154" w:type="pct"/>
                  <w:shd w:val="clear" w:color="auto" w:fill="auto"/>
                  <w:noWrap w:val="0"/>
                  <w:vAlign w:val="center"/>
                </w:tcPr>
                <w:p w14:paraId="1E12C4DB">
                  <w:pPr>
                    <w:pStyle w:val="67"/>
                    <w:keepNext w:val="0"/>
                    <w:keepLines w:val="0"/>
                    <w:pageBreakBefore w:val="0"/>
                    <w:tabs>
                      <w:tab w:val="left" w:pos="697"/>
                    </w:tabs>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shd w:val="clear" w:color="auto" w:fill="auto"/>
                      <w:lang w:eastAsia="en-US"/>
                    </w:rPr>
                  </w:pPr>
                  <w:r>
                    <w:rPr>
                      <w:rFonts w:hint="default" w:ascii="Times New Roman" w:hAnsi="Times New Roman" w:eastAsia="宋体" w:cs="Times New Roman"/>
                      <w:b/>
                      <w:snapToGrid w:val="0"/>
                      <w:color w:val="auto"/>
                      <w:kern w:val="0"/>
                      <w:sz w:val="21"/>
                      <w:szCs w:val="21"/>
                      <w:shd w:val="clear" w:color="auto" w:fill="auto"/>
                    </w:rPr>
                    <w:t>产生质量浓度mg/L</w:t>
                  </w:r>
                </w:p>
              </w:tc>
              <w:tc>
                <w:tcPr>
                  <w:tcW w:w="959" w:type="pct"/>
                  <w:tcBorders>
                    <w:right w:val="single" w:color="auto" w:sz="12" w:space="0"/>
                  </w:tcBorders>
                  <w:shd w:val="clear" w:color="auto" w:fill="auto"/>
                  <w:noWrap w:val="0"/>
                  <w:vAlign w:val="center"/>
                </w:tcPr>
                <w:p w14:paraId="1CF77814">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shd w:val="clear" w:color="auto" w:fill="auto"/>
                      <w:lang w:eastAsia="en-US"/>
                    </w:rPr>
                  </w:pPr>
                  <w:r>
                    <w:rPr>
                      <w:rFonts w:hint="default" w:ascii="Times New Roman" w:hAnsi="Times New Roman" w:eastAsia="宋体" w:cs="Times New Roman"/>
                      <w:b/>
                      <w:snapToGrid w:val="0"/>
                      <w:color w:val="auto"/>
                      <w:kern w:val="0"/>
                      <w:sz w:val="21"/>
                      <w:szCs w:val="21"/>
                      <w:shd w:val="clear" w:color="auto" w:fill="auto"/>
                    </w:rPr>
                    <w:t>产生量</w:t>
                  </w:r>
                  <w:r>
                    <w:rPr>
                      <w:rFonts w:hint="default" w:ascii="Times New Roman" w:hAnsi="Times New Roman" w:eastAsia="宋体" w:cs="Times New Roman"/>
                      <w:b/>
                      <w:snapToGrid w:val="0"/>
                      <w:color w:val="auto"/>
                      <w:kern w:val="0"/>
                      <w:sz w:val="21"/>
                      <w:szCs w:val="21"/>
                      <w:shd w:val="clear" w:color="auto" w:fill="auto"/>
                      <w:lang w:val="en-US" w:eastAsia="zh-CN"/>
                    </w:rPr>
                    <w:t>t</w:t>
                  </w:r>
                  <w:r>
                    <w:rPr>
                      <w:rFonts w:hint="default" w:ascii="Times New Roman" w:hAnsi="Times New Roman" w:eastAsia="宋体" w:cs="Times New Roman"/>
                      <w:b/>
                      <w:snapToGrid w:val="0"/>
                      <w:color w:val="auto"/>
                      <w:kern w:val="0"/>
                      <w:sz w:val="21"/>
                      <w:szCs w:val="21"/>
                      <w:shd w:val="clear" w:color="auto" w:fill="auto"/>
                    </w:rPr>
                    <w:t>/a</w:t>
                  </w:r>
                </w:p>
              </w:tc>
            </w:tr>
            <w:tr w14:paraId="08ECF2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36" w:type="pct"/>
                  <w:vMerge w:val="restart"/>
                  <w:tcBorders>
                    <w:top w:val="single" w:color="000000" w:sz="6" w:space="0"/>
                    <w:left w:val="single" w:color="auto" w:sz="12" w:space="0"/>
                  </w:tcBorders>
                  <w:shd w:val="clear" w:color="auto" w:fill="auto"/>
                  <w:noWrap w:val="0"/>
                  <w:vAlign w:val="center"/>
                </w:tcPr>
                <w:p w14:paraId="473821BA">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zh-CN"/>
                    </w:rPr>
                  </w:pPr>
                  <w:r>
                    <w:rPr>
                      <w:rFonts w:hint="default" w:ascii="Times New Roman" w:hAnsi="Times New Roman" w:eastAsia="宋体" w:cs="Times New Roman"/>
                      <w:snapToGrid w:val="0"/>
                      <w:color w:val="auto"/>
                      <w:kern w:val="0"/>
                      <w:sz w:val="21"/>
                      <w:szCs w:val="21"/>
                      <w:shd w:val="clear" w:color="auto" w:fill="auto"/>
                      <w:lang w:eastAsia="zh-CN"/>
                    </w:rPr>
                    <w:t>全厂废水</w:t>
                  </w:r>
                </w:p>
              </w:tc>
              <w:tc>
                <w:tcPr>
                  <w:tcW w:w="781" w:type="pct"/>
                  <w:tcBorders>
                    <w:top w:val="single" w:color="000000" w:sz="6" w:space="0"/>
                    <w:bottom w:val="single" w:color="000000" w:sz="6" w:space="0"/>
                  </w:tcBorders>
                  <w:shd w:val="clear" w:color="auto" w:fill="auto"/>
                  <w:noWrap w:val="0"/>
                  <w:vAlign w:val="center"/>
                </w:tcPr>
                <w:p w14:paraId="791BAC14">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rPr>
                  </w:pPr>
                  <w:r>
                    <w:rPr>
                      <w:rFonts w:hint="default" w:ascii="Times New Roman" w:hAnsi="Times New Roman" w:eastAsia="宋体" w:cs="Times New Roman"/>
                      <w:snapToGrid w:val="0"/>
                      <w:color w:val="auto"/>
                      <w:kern w:val="0"/>
                      <w:sz w:val="21"/>
                      <w:szCs w:val="21"/>
                      <w:shd w:val="clear" w:color="auto" w:fill="auto"/>
                    </w:rPr>
                    <w:t>pH</w:t>
                  </w:r>
                </w:p>
              </w:tc>
              <w:tc>
                <w:tcPr>
                  <w:tcW w:w="1268" w:type="pct"/>
                  <w:vMerge w:val="restart"/>
                  <w:tcBorders>
                    <w:top w:val="single" w:color="000000" w:sz="6" w:space="0"/>
                  </w:tcBorders>
                  <w:shd w:val="clear" w:color="auto" w:fill="auto"/>
                  <w:noWrap w:val="0"/>
                  <w:vAlign w:val="center"/>
                </w:tcPr>
                <w:p w14:paraId="21BD703C">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292000</w:t>
                  </w:r>
                </w:p>
              </w:tc>
              <w:tc>
                <w:tcPr>
                  <w:tcW w:w="1154" w:type="pct"/>
                  <w:tcBorders>
                    <w:top w:val="single" w:color="000000" w:sz="6" w:space="0"/>
                    <w:bottom w:val="single" w:color="000000" w:sz="6" w:space="0"/>
                  </w:tcBorders>
                  <w:shd w:val="clear" w:color="auto" w:fill="auto"/>
                  <w:noWrap w:val="0"/>
                  <w:vAlign w:val="center"/>
                </w:tcPr>
                <w:p w14:paraId="358E033D">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rPr>
                  </w:pPr>
                  <w:r>
                    <w:rPr>
                      <w:rFonts w:hint="default" w:ascii="Times New Roman" w:hAnsi="Times New Roman" w:eastAsia="宋体" w:cs="Times New Roman"/>
                      <w:snapToGrid w:val="0"/>
                      <w:color w:val="auto"/>
                      <w:kern w:val="0"/>
                      <w:sz w:val="21"/>
                      <w:szCs w:val="21"/>
                      <w:shd w:val="clear" w:color="auto" w:fill="auto"/>
                    </w:rPr>
                    <w:t>6~9</w:t>
                  </w:r>
                </w:p>
              </w:tc>
              <w:tc>
                <w:tcPr>
                  <w:tcW w:w="959" w:type="pct"/>
                  <w:tcBorders>
                    <w:top w:val="single" w:color="000000" w:sz="6" w:space="0"/>
                    <w:bottom w:val="single" w:color="000000" w:sz="6" w:space="0"/>
                    <w:right w:val="single" w:color="auto" w:sz="12" w:space="0"/>
                  </w:tcBorders>
                  <w:shd w:val="clear" w:color="auto" w:fill="auto"/>
                  <w:noWrap w:val="0"/>
                  <w:vAlign w:val="center"/>
                </w:tcPr>
                <w:p w14:paraId="7E2DE053">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rPr>
                  </w:pPr>
                  <w:r>
                    <w:rPr>
                      <w:rFonts w:hint="default" w:ascii="Times New Roman" w:hAnsi="Times New Roman" w:eastAsia="宋体" w:cs="Times New Roman"/>
                      <w:snapToGrid w:val="0"/>
                      <w:color w:val="auto"/>
                      <w:kern w:val="0"/>
                      <w:sz w:val="21"/>
                      <w:szCs w:val="21"/>
                      <w:shd w:val="clear" w:color="auto" w:fill="auto"/>
                    </w:rPr>
                    <w:t>/</w:t>
                  </w:r>
                </w:p>
              </w:tc>
            </w:tr>
            <w:tr w14:paraId="5ADB19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36" w:type="pct"/>
                  <w:vMerge w:val="continue"/>
                  <w:tcBorders>
                    <w:left w:val="single" w:color="auto" w:sz="12" w:space="0"/>
                  </w:tcBorders>
                  <w:shd w:val="clear" w:color="auto" w:fill="auto"/>
                  <w:noWrap w:val="0"/>
                  <w:vAlign w:val="center"/>
                </w:tcPr>
                <w:p w14:paraId="5136A13F">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781" w:type="pct"/>
                  <w:tcBorders>
                    <w:top w:val="single" w:color="000000" w:sz="6" w:space="0"/>
                    <w:bottom w:val="single" w:color="000000" w:sz="6" w:space="0"/>
                  </w:tcBorders>
                  <w:shd w:val="clear" w:color="auto" w:fill="auto"/>
                  <w:noWrap w:val="0"/>
                  <w:vAlign w:val="center"/>
                </w:tcPr>
                <w:p w14:paraId="03CA5980">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rPr>
                  </w:pPr>
                  <w:r>
                    <w:rPr>
                      <w:rFonts w:hint="default" w:ascii="Times New Roman" w:hAnsi="Times New Roman" w:eastAsia="宋体" w:cs="Times New Roman"/>
                      <w:snapToGrid w:val="0"/>
                      <w:color w:val="auto"/>
                      <w:kern w:val="0"/>
                      <w:sz w:val="21"/>
                      <w:szCs w:val="21"/>
                      <w:shd w:val="clear" w:color="auto" w:fill="auto"/>
                    </w:rPr>
                    <w:t>COD</w:t>
                  </w:r>
                </w:p>
              </w:tc>
              <w:tc>
                <w:tcPr>
                  <w:tcW w:w="1268" w:type="pct"/>
                  <w:vMerge w:val="continue"/>
                  <w:shd w:val="clear" w:color="auto" w:fill="auto"/>
                  <w:noWrap w:val="0"/>
                  <w:vAlign w:val="center"/>
                </w:tcPr>
                <w:p w14:paraId="6F7789F3">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1154" w:type="pct"/>
                  <w:tcBorders>
                    <w:top w:val="single" w:color="000000" w:sz="6" w:space="0"/>
                    <w:bottom w:val="single" w:color="000000" w:sz="6" w:space="0"/>
                  </w:tcBorders>
                  <w:shd w:val="clear" w:color="auto" w:fill="auto"/>
                  <w:noWrap w:val="0"/>
                  <w:vAlign w:val="center"/>
                </w:tcPr>
                <w:p w14:paraId="00B2393F">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500</w:t>
                  </w:r>
                </w:p>
              </w:tc>
              <w:tc>
                <w:tcPr>
                  <w:tcW w:w="959" w:type="pct"/>
                  <w:tcBorders>
                    <w:top w:val="single" w:color="000000" w:sz="6" w:space="0"/>
                    <w:bottom w:val="single" w:color="000000" w:sz="6" w:space="0"/>
                    <w:right w:val="single" w:color="auto" w:sz="12" w:space="0"/>
                  </w:tcBorders>
                  <w:shd w:val="clear" w:color="auto" w:fill="auto"/>
                  <w:noWrap w:val="0"/>
                  <w:vAlign w:val="center"/>
                </w:tcPr>
                <w:p w14:paraId="08EDAAD5">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146</w:t>
                  </w:r>
                </w:p>
              </w:tc>
            </w:tr>
            <w:tr w14:paraId="05A48B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36" w:type="pct"/>
                  <w:vMerge w:val="continue"/>
                  <w:tcBorders>
                    <w:left w:val="single" w:color="auto" w:sz="12" w:space="0"/>
                  </w:tcBorders>
                  <w:shd w:val="clear" w:color="auto" w:fill="auto"/>
                  <w:noWrap w:val="0"/>
                  <w:vAlign w:val="center"/>
                </w:tcPr>
                <w:p w14:paraId="378D0358">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781" w:type="pct"/>
                  <w:tcBorders>
                    <w:top w:val="single" w:color="000000" w:sz="6" w:space="0"/>
                    <w:bottom w:val="single" w:color="000000" w:sz="6" w:space="0"/>
                  </w:tcBorders>
                  <w:shd w:val="clear" w:color="auto" w:fill="auto"/>
                  <w:noWrap w:val="0"/>
                  <w:vAlign w:val="center"/>
                </w:tcPr>
                <w:p w14:paraId="3C2ACE5D">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rPr>
                  </w:pPr>
                  <w:r>
                    <w:rPr>
                      <w:rFonts w:hint="default" w:ascii="Times New Roman" w:hAnsi="Times New Roman" w:eastAsia="宋体" w:cs="Times New Roman"/>
                      <w:snapToGrid w:val="0"/>
                      <w:color w:val="auto"/>
                      <w:kern w:val="0"/>
                      <w:sz w:val="21"/>
                      <w:szCs w:val="21"/>
                      <w:shd w:val="clear" w:color="auto" w:fill="auto"/>
                    </w:rPr>
                    <w:t>BOD</w:t>
                  </w:r>
                  <w:r>
                    <w:rPr>
                      <w:rFonts w:hint="default" w:ascii="Times New Roman" w:hAnsi="Times New Roman" w:eastAsia="宋体" w:cs="Times New Roman"/>
                      <w:snapToGrid w:val="0"/>
                      <w:color w:val="auto"/>
                      <w:kern w:val="0"/>
                      <w:sz w:val="21"/>
                      <w:szCs w:val="21"/>
                      <w:shd w:val="clear" w:color="auto" w:fill="auto"/>
                      <w:vertAlign w:val="subscript"/>
                    </w:rPr>
                    <w:t>5</w:t>
                  </w:r>
                </w:p>
              </w:tc>
              <w:tc>
                <w:tcPr>
                  <w:tcW w:w="1268" w:type="pct"/>
                  <w:vMerge w:val="continue"/>
                  <w:shd w:val="clear" w:color="auto" w:fill="auto"/>
                  <w:noWrap w:val="0"/>
                  <w:vAlign w:val="center"/>
                </w:tcPr>
                <w:p w14:paraId="4CDEA53E">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1154" w:type="pct"/>
                  <w:tcBorders>
                    <w:top w:val="single" w:color="000000" w:sz="6" w:space="0"/>
                    <w:bottom w:val="single" w:color="000000" w:sz="6" w:space="0"/>
                  </w:tcBorders>
                  <w:shd w:val="clear" w:color="auto" w:fill="auto"/>
                  <w:noWrap w:val="0"/>
                  <w:vAlign w:val="center"/>
                </w:tcPr>
                <w:p w14:paraId="31DCEE1E">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200</w:t>
                  </w:r>
                </w:p>
              </w:tc>
              <w:tc>
                <w:tcPr>
                  <w:tcW w:w="959" w:type="pct"/>
                  <w:tcBorders>
                    <w:top w:val="single" w:color="000000" w:sz="6" w:space="0"/>
                    <w:bottom w:val="single" w:color="000000" w:sz="6" w:space="0"/>
                    <w:right w:val="single" w:color="auto" w:sz="12" w:space="0"/>
                  </w:tcBorders>
                  <w:shd w:val="clear" w:color="auto" w:fill="auto"/>
                  <w:noWrap w:val="0"/>
                  <w:vAlign w:val="center"/>
                </w:tcPr>
                <w:p w14:paraId="4C6D1DB4">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58.4</w:t>
                  </w:r>
                </w:p>
              </w:tc>
            </w:tr>
            <w:tr w14:paraId="7DD0BF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36" w:type="pct"/>
                  <w:vMerge w:val="continue"/>
                  <w:tcBorders>
                    <w:left w:val="single" w:color="auto" w:sz="12" w:space="0"/>
                  </w:tcBorders>
                  <w:shd w:val="clear" w:color="auto" w:fill="auto"/>
                  <w:noWrap w:val="0"/>
                  <w:vAlign w:val="center"/>
                </w:tcPr>
                <w:p w14:paraId="25289527">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781" w:type="pct"/>
                  <w:tcBorders>
                    <w:top w:val="single" w:color="000000" w:sz="6" w:space="0"/>
                    <w:bottom w:val="single" w:color="000000" w:sz="6" w:space="0"/>
                  </w:tcBorders>
                  <w:shd w:val="clear" w:color="auto" w:fill="auto"/>
                  <w:noWrap w:val="0"/>
                  <w:vAlign w:val="center"/>
                </w:tcPr>
                <w:p w14:paraId="79DC3BE0">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rPr>
                  </w:pPr>
                  <w:r>
                    <w:rPr>
                      <w:rFonts w:hint="default" w:ascii="Times New Roman" w:hAnsi="Times New Roman" w:eastAsia="宋体" w:cs="Times New Roman"/>
                      <w:snapToGrid w:val="0"/>
                      <w:color w:val="auto"/>
                      <w:kern w:val="0"/>
                      <w:sz w:val="21"/>
                      <w:szCs w:val="21"/>
                      <w:shd w:val="clear" w:color="auto" w:fill="auto"/>
                    </w:rPr>
                    <w:t>氨氮</w:t>
                  </w:r>
                </w:p>
              </w:tc>
              <w:tc>
                <w:tcPr>
                  <w:tcW w:w="1268" w:type="pct"/>
                  <w:vMerge w:val="continue"/>
                  <w:shd w:val="clear" w:color="auto" w:fill="auto"/>
                  <w:noWrap w:val="0"/>
                  <w:vAlign w:val="center"/>
                </w:tcPr>
                <w:p w14:paraId="5859CA52">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1154" w:type="pct"/>
                  <w:tcBorders>
                    <w:top w:val="single" w:color="000000" w:sz="6" w:space="0"/>
                    <w:bottom w:val="single" w:color="000000" w:sz="6" w:space="0"/>
                  </w:tcBorders>
                  <w:shd w:val="clear" w:color="auto" w:fill="auto"/>
                  <w:noWrap w:val="0"/>
                  <w:vAlign w:val="center"/>
                </w:tcPr>
                <w:p w14:paraId="53AB6A96">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50</w:t>
                  </w:r>
                </w:p>
              </w:tc>
              <w:tc>
                <w:tcPr>
                  <w:tcW w:w="959" w:type="pct"/>
                  <w:tcBorders>
                    <w:top w:val="single" w:color="000000" w:sz="6" w:space="0"/>
                    <w:bottom w:val="single" w:color="000000" w:sz="6" w:space="0"/>
                    <w:right w:val="single" w:color="auto" w:sz="12" w:space="0"/>
                  </w:tcBorders>
                  <w:shd w:val="clear" w:color="auto" w:fill="auto"/>
                  <w:noWrap w:val="0"/>
                  <w:vAlign w:val="center"/>
                </w:tcPr>
                <w:p w14:paraId="4F1FD342">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14.6</w:t>
                  </w:r>
                </w:p>
              </w:tc>
            </w:tr>
            <w:tr w14:paraId="55AB80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36" w:type="pct"/>
                  <w:vMerge w:val="continue"/>
                  <w:tcBorders>
                    <w:left w:val="single" w:color="auto" w:sz="12" w:space="0"/>
                  </w:tcBorders>
                  <w:shd w:val="clear" w:color="auto" w:fill="auto"/>
                  <w:noWrap w:val="0"/>
                  <w:vAlign w:val="center"/>
                </w:tcPr>
                <w:p w14:paraId="6CCDB8C8">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781" w:type="pct"/>
                  <w:tcBorders>
                    <w:top w:val="single" w:color="000000" w:sz="6" w:space="0"/>
                    <w:bottom w:val="single" w:color="000000" w:sz="6" w:space="0"/>
                  </w:tcBorders>
                  <w:shd w:val="clear" w:color="auto" w:fill="auto"/>
                  <w:noWrap w:val="0"/>
                  <w:vAlign w:val="center"/>
                </w:tcPr>
                <w:p w14:paraId="681EFA91">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rPr>
                  </w:pPr>
                  <w:r>
                    <w:rPr>
                      <w:rFonts w:hint="default" w:ascii="Times New Roman" w:hAnsi="Times New Roman" w:eastAsia="宋体" w:cs="Times New Roman"/>
                      <w:snapToGrid w:val="0"/>
                      <w:color w:val="auto"/>
                      <w:kern w:val="0"/>
                      <w:sz w:val="21"/>
                      <w:szCs w:val="21"/>
                      <w:shd w:val="clear" w:color="auto" w:fill="auto"/>
                    </w:rPr>
                    <w:t>SS</w:t>
                  </w:r>
                </w:p>
              </w:tc>
              <w:tc>
                <w:tcPr>
                  <w:tcW w:w="1268" w:type="pct"/>
                  <w:vMerge w:val="continue"/>
                  <w:shd w:val="clear" w:color="auto" w:fill="auto"/>
                  <w:noWrap w:val="0"/>
                  <w:vAlign w:val="center"/>
                </w:tcPr>
                <w:p w14:paraId="620DF028">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1154" w:type="pct"/>
                  <w:tcBorders>
                    <w:top w:val="single" w:color="000000" w:sz="6" w:space="0"/>
                    <w:bottom w:val="single" w:color="000000" w:sz="6" w:space="0"/>
                  </w:tcBorders>
                  <w:shd w:val="clear" w:color="auto" w:fill="auto"/>
                  <w:noWrap w:val="0"/>
                  <w:vAlign w:val="center"/>
                </w:tcPr>
                <w:p w14:paraId="53392E9A">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250</w:t>
                  </w:r>
                </w:p>
              </w:tc>
              <w:tc>
                <w:tcPr>
                  <w:tcW w:w="959" w:type="pct"/>
                  <w:tcBorders>
                    <w:top w:val="single" w:color="000000" w:sz="6" w:space="0"/>
                    <w:bottom w:val="single" w:color="000000" w:sz="6" w:space="0"/>
                    <w:right w:val="single" w:color="auto" w:sz="12" w:space="0"/>
                  </w:tcBorders>
                  <w:shd w:val="clear" w:color="auto" w:fill="auto"/>
                  <w:noWrap w:val="0"/>
                  <w:vAlign w:val="center"/>
                </w:tcPr>
                <w:p w14:paraId="5D4EF884">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73</w:t>
                  </w:r>
                </w:p>
              </w:tc>
            </w:tr>
            <w:tr w14:paraId="651508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36" w:type="pct"/>
                  <w:vMerge w:val="continue"/>
                  <w:tcBorders>
                    <w:left w:val="single" w:color="auto" w:sz="12" w:space="0"/>
                  </w:tcBorders>
                  <w:shd w:val="clear" w:color="auto" w:fill="auto"/>
                  <w:noWrap w:val="0"/>
                  <w:vAlign w:val="center"/>
                </w:tcPr>
                <w:p w14:paraId="227176D1">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781" w:type="pct"/>
                  <w:tcBorders>
                    <w:top w:val="single" w:color="000000" w:sz="6" w:space="0"/>
                    <w:bottom w:val="single" w:color="000000" w:sz="6" w:space="0"/>
                  </w:tcBorders>
                  <w:shd w:val="clear" w:color="auto" w:fill="auto"/>
                  <w:noWrap w:val="0"/>
                  <w:vAlign w:val="center"/>
                </w:tcPr>
                <w:p w14:paraId="3A4EA3A0">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TN</w:t>
                  </w:r>
                </w:p>
              </w:tc>
              <w:tc>
                <w:tcPr>
                  <w:tcW w:w="1268" w:type="pct"/>
                  <w:vMerge w:val="continue"/>
                  <w:shd w:val="clear" w:color="auto" w:fill="auto"/>
                  <w:noWrap w:val="0"/>
                  <w:vAlign w:val="center"/>
                </w:tcPr>
                <w:p w14:paraId="6C9FDFBE">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1154" w:type="pct"/>
                  <w:tcBorders>
                    <w:top w:val="single" w:color="000000" w:sz="6" w:space="0"/>
                    <w:bottom w:val="single" w:color="000000" w:sz="6" w:space="0"/>
                  </w:tcBorders>
                  <w:shd w:val="clear" w:color="auto" w:fill="auto"/>
                  <w:noWrap w:val="0"/>
                  <w:vAlign w:val="center"/>
                </w:tcPr>
                <w:p w14:paraId="0205C4E9">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60</w:t>
                  </w:r>
                </w:p>
              </w:tc>
              <w:tc>
                <w:tcPr>
                  <w:tcW w:w="959" w:type="pct"/>
                  <w:tcBorders>
                    <w:top w:val="single" w:color="000000" w:sz="6" w:space="0"/>
                    <w:bottom w:val="single" w:color="000000" w:sz="6" w:space="0"/>
                    <w:right w:val="single" w:color="auto" w:sz="12" w:space="0"/>
                  </w:tcBorders>
                  <w:shd w:val="clear" w:color="auto" w:fill="auto"/>
                  <w:noWrap w:val="0"/>
                  <w:vAlign w:val="center"/>
                </w:tcPr>
                <w:p w14:paraId="553ECC07">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17.52</w:t>
                  </w:r>
                </w:p>
              </w:tc>
            </w:tr>
            <w:tr w14:paraId="501191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36" w:type="pct"/>
                  <w:vMerge w:val="continue"/>
                  <w:tcBorders>
                    <w:left w:val="single" w:color="auto" w:sz="12" w:space="0"/>
                    <w:bottom w:val="single" w:color="auto" w:sz="12" w:space="0"/>
                  </w:tcBorders>
                  <w:shd w:val="clear" w:color="auto" w:fill="auto"/>
                  <w:noWrap w:val="0"/>
                  <w:vAlign w:val="center"/>
                </w:tcPr>
                <w:p w14:paraId="40A86B75">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781" w:type="pct"/>
                  <w:tcBorders>
                    <w:top w:val="single" w:color="000000" w:sz="6" w:space="0"/>
                    <w:bottom w:val="single" w:color="auto" w:sz="12" w:space="0"/>
                  </w:tcBorders>
                  <w:shd w:val="clear" w:color="auto" w:fill="auto"/>
                  <w:noWrap w:val="0"/>
                  <w:vAlign w:val="center"/>
                </w:tcPr>
                <w:p w14:paraId="335255DE">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TP</w:t>
                  </w:r>
                </w:p>
              </w:tc>
              <w:tc>
                <w:tcPr>
                  <w:tcW w:w="1268" w:type="pct"/>
                  <w:vMerge w:val="continue"/>
                  <w:tcBorders>
                    <w:bottom w:val="single" w:color="auto" w:sz="12" w:space="0"/>
                  </w:tcBorders>
                  <w:shd w:val="clear" w:color="auto" w:fill="auto"/>
                  <w:noWrap w:val="0"/>
                  <w:vAlign w:val="center"/>
                </w:tcPr>
                <w:p w14:paraId="69048F6C">
                  <w:pPr>
                    <w:keepNext w:val="0"/>
                    <w:keepLines w:val="0"/>
                    <w:pageBreakBefore w:val="0"/>
                    <w:widowControl/>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eastAsia="en-US"/>
                    </w:rPr>
                  </w:pPr>
                </w:p>
              </w:tc>
              <w:tc>
                <w:tcPr>
                  <w:tcW w:w="1154" w:type="pct"/>
                  <w:tcBorders>
                    <w:top w:val="single" w:color="000000" w:sz="6" w:space="0"/>
                    <w:bottom w:val="single" w:color="auto" w:sz="12" w:space="0"/>
                  </w:tcBorders>
                  <w:shd w:val="clear" w:color="auto" w:fill="auto"/>
                  <w:noWrap w:val="0"/>
                  <w:vAlign w:val="center"/>
                </w:tcPr>
                <w:p w14:paraId="06492AAF">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5</w:t>
                  </w:r>
                </w:p>
              </w:tc>
              <w:tc>
                <w:tcPr>
                  <w:tcW w:w="959" w:type="pct"/>
                  <w:tcBorders>
                    <w:top w:val="single" w:color="000000" w:sz="6" w:space="0"/>
                    <w:bottom w:val="single" w:color="auto" w:sz="12" w:space="0"/>
                    <w:right w:val="single" w:color="auto" w:sz="12" w:space="0"/>
                  </w:tcBorders>
                  <w:shd w:val="clear" w:color="auto" w:fill="auto"/>
                  <w:noWrap w:val="0"/>
                  <w:vAlign w:val="center"/>
                </w:tcPr>
                <w:p w14:paraId="55DB50E3">
                  <w:pPr>
                    <w:pStyle w:val="67"/>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shd w:val="clear" w:color="auto" w:fill="auto"/>
                      <w:lang w:val="en-US" w:eastAsia="zh-CN"/>
                    </w:rPr>
                  </w:pPr>
                  <w:r>
                    <w:rPr>
                      <w:rFonts w:hint="default" w:ascii="Times New Roman" w:hAnsi="Times New Roman" w:eastAsia="宋体" w:cs="Times New Roman"/>
                      <w:snapToGrid w:val="0"/>
                      <w:color w:val="auto"/>
                      <w:kern w:val="0"/>
                      <w:sz w:val="21"/>
                      <w:szCs w:val="21"/>
                      <w:shd w:val="clear" w:color="auto" w:fill="auto"/>
                      <w:lang w:val="en-US" w:eastAsia="zh-CN"/>
                    </w:rPr>
                    <w:t>1.46</w:t>
                  </w:r>
                </w:p>
              </w:tc>
            </w:tr>
            <w:bookmarkEnd w:id="5"/>
            <w:bookmarkEnd w:id="6"/>
          </w:tbl>
          <w:p w14:paraId="72E298D9">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Cs/>
                <w:color w:val="auto"/>
                <w:sz w:val="24"/>
                <w:szCs w:val="24"/>
                <w:highlight w:val="none"/>
                <w:lang w:val="en-US" w:eastAsia="zh-CN"/>
              </w:rPr>
            </w:pPr>
            <w:r>
              <w:rPr>
                <w:rFonts w:hint="eastAsia" w:ascii="Times New Roman" w:hAnsi="Times New Roman" w:eastAsia="仿宋_GB2312" w:cs="Times New Roman"/>
                <w:b/>
                <w:color w:val="auto"/>
                <w:sz w:val="24"/>
                <w:szCs w:val="24"/>
                <w:highlight w:val="none"/>
                <w:lang w:val="en-US" w:eastAsia="zh-CN"/>
              </w:rPr>
              <w:t>(4)</w:t>
            </w:r>
            <w:r>
              <w:rPr>
                <w:rFonts w:hint="eastAsia" w:ascii="Times New Roman" w:hAnsi="Times New Roman" w:eastAsia="仿宋_GB2312" w:cs="Times New Roman"/>
                <w:b/>
                <w:color w:val="auto"/>
                <w:sz w:val="24"/>
                <w:szCs w:val="24"/>
                <w:highlight w:val="none"/>
                <w:lang w:eastAsia="zh-CN"/>
              </w:rPr>
              <w:t>治理设施</w:t>
            </w:r>
          </w:p>
          <w:p w14:paraId="664E6899">
            <w:pPr>
              <w:pStyle w:val="69"/>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仿宋_GB2312" w:cs="Times New Roman"/>
                <w:bCs/>
                <w:color w:val="auto"/>
                <w:sz w:val="24"/>
                <w:szCs w:val="24"/>
                <w:highlight w:val="none"/>
                <w:lang w:val="en-US" w:eastAsia="zh-CN"/>
              </w:rPr>
            </w:pPr>
            <w:r>
              <w:rPr>
                <w:rFonts w:hint="eastAsia" w:ascii="Times New Roman" w:hAnsi="Times New Roman" w:eastAsia="仿宋_GB2312" w:cs="Times New Roman"/>
                <w:bCs/>
                <w:color w:val="auto"/>
                <w:sz w:val="24"/>
                <w:szCs w:val="24"/>
                <w:highlight w:val="none"/>
                <w:lang w:val="en-US" w:eastAsia="zh-CN"/>
              </w:rPr>
              <w:t>①废水处理工艺</w:t>
            </w:r>
          </w:p>
          <w:p w14:paraId="0E380340">
            <w:pPr>
              <w:pStyle w:val="69"/>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default" w:ascii="Times New Roman" w:hAnsi="Times New Roman" w:eastAsia="仿宋_GB2312" w:cs="Times New Roman"/>
                <w:bCs/>
                <w:color w:val="auto"/>
                <w:sz w:val="24"/>
                <w:szCs w:val="24"/>
                <w:highlight w:val="none"/>
                <w:lang w:val="en-US" w:eastAsia="zh-CN"/>
              </w:rPr>
            </w:pPr>
            <w:r>
              <w:rPr>
                <w:rFonts w:hint="eastAsia" w:ascii="Times New Roman" w:hAnsi="Times New Roman" w:eastAsia="仿宋_GB2312" w:cs="Times New Roman"/>
                <w:bCs/>
                <w:color w:val="auto"/>
                <w:sz w:val="24"/>
                <w:szCs w:val="24"/>
                <w:highlight w:val="none"/>
                <w:lang w:val="en-US" w:eastAsia="zh-CN"/>
              </w:rPr>
              <w:t>本项目为污水处理厂建设项目，设计近期废水处理能力为800m</w:t>
            </w:r>
            <w:r>
              <w:rPr>
                <w:rFonts w:hint="eastAsia" w:ascii="Times New Roman" w:hAnsi="Times New Roman" w:eastAsia="仿宋_GB2312" w:cs="Times New Roman"/>
                <w:bCs/>
                <w:color w:val="auto"/>
                <w:sz w:val="24"/>
                <w:szCs w:val="24"/>
                <w:highlight w:val="none"/>
                <w:vertAlign w:val="superscript"/>
                <w:lang w:val="en-US" w:eastAsia="zh-CN"/>
              </w:rPr>
              <w:t>3</w:t>
            </w:r>
            <w:r>
              <w:rPr>
                <w:rFonts w:hint="eastAsia" w:ascii="Times New Roman" w:hAnsi="Times New Roman" w:eastAsia="仿宋_GB2312" w:cs="Times New Roman"/>
                <w:bCs/>
                <w:color w:val="auto"/>
                <w:sz w:val="24"/>
                <w:szCs w:val="24"/>
                <w:highlight w:val="none"/>
                <w:lang w:val="en-US" w:eastAsia="zh-CN"/>
              </w:rPr>
              <w:t>/d，项目采用“</w:t>
            </w:r>
            <w:r>
              <w:rPr>
                <w:rFonts w:hint="default" w:ascii="Times New Roman" w:hAnsi="Times New Roman" w:eastAsia="仿宋_GB2312" w:cs="Times New Roman"/>
                <w:bCs/>
                <w:color w:val="auto"/>
                <w:sz w:val="24"/>
                <w:szCs w:val="24"/>
                <w:highlight w:val="none"/>
                <w:lang w:val="en-US" w:eastAsia="zh-CN"/>
              </w:rPr>
              <w:t>预处理间（粗细格栅+平流沉砂池）＋调节池＋A</w:t>
            </w:r>
            <w:r>
              <w:rPr>
                <w:rFonts w:hint="default" w:ascii="Times New Roman" w:hAnsi="Times New Roman" w:eastAsia="仿宋_GB2312" w:cs="Times New Roman"/>
                <w:bCs/>
                <w:color w:val="auto"/>
                <w:sz w:val="24"/>
                <w:szCs w:val="24"/>
                <w:highlight w:val="none"/>
                <w:vertAlign w:val="superscript"/>
                <w:lang w:val="en-US" w:eastAsia="zh-CN"/>
              </w:rPr>
              <w:t>2</w:t>
            </w:r>
            <w:r>
              <w:rPr>
                <w:rFonts w:hint="default" w:ascii="Times New Roman" w:hAnsi="Times New Roman" w:eastAsia="仿宋_GB2312" w:cs="Times New Roman"/>
                <w:bCs/>
                <w:color w:val="auto"/>
                <w:sz w:val="24"/>
                <w:szCs w:val="24"/>
                <w:highlight w:val="none"/>
                <w:lang w:val="en-US" w:eastAsia="zh-CN"/>
              </w:rPr>
              <w:t>/O生物反应池＋平流沉淀池＋高效沉淀池+竖片滤池+次氯酸钠消毒</w:t>
            </w:r>
            <w:r>
              <w:rPr>
                <w:rFonts w:hint="eastAsia" w:ascii="Times New Roman" w:hAnsi="Times New Roman" w:eastAsia="仿宋_GB2312" w:cs="Times New Roman"/>
                <w:bCs/>
                <w:color w:val="auto"/>
                <w:sz w:val="24"/>
                <w:szCs w:val="24"/>
                <w:highlight w:val="none"/>
                <w:lang w:val="en-US" w:eastAsia="zh-CN"/>
              </w:rPr>
              <w:t>”工艺对兴仁镇城镇污水进行处理。</w:t>
            </w:r>
          </w:p>
          <w:p w14:paraId="2FFD51AD">
            <w:pPr>
              <w:pStyle w:val="69"/>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_GB2312" w:cs="Times New Roman"/>
                <w:bCs/>
                <w:color w:val="auto"/>
                <w:sz w:val="24"/>
                <w:szCs w:val="24"/>
                <w:highlight w:val="none"/>
                <w:lang w:val="en-US" w:eastAsia="zh-CN"/>
              </w:rPr>
            </w:pPr>
            <w:r>
              <w:rPr>
                <w:rFonts w:hint="default" w:ascii="Times New Roman" w:hAnsi="Times New Roman" w:eastAsia="仿宋_GB2312" w:cs="Times New Roman"/>
                <w:bCs/>
                <w:color w:val="auto"/>
                <w:sz w:val="24"/>
                <w:szCs w:val="24"/>
                <w:highlight w:val="none"/>
                <w:lang w:val="en-US" w:eastAsia="zh-CN"/>
              </w:rPr>
              <w:t>②可行性分析</w:t>
            </w:r>
          </w:p>
          <w:p w14:paraId="47737A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bCs/>
                <w:color w:val="auto"/>
                <w:sz w:val="24"/>
                <w:szCs w:val="24"/>
                <w:highlight w:val="none"/>
                <w:lang w:val="en-US" w:eastAsia="zh-CN"/>
              </w:rPr>
              <w:t>本项目为污水处理厂建设项目,项目设计采用“预处理间（粗细格栅+平流沉砂池）＋调节池＋A</w:t>
            </w:r>
            <w:r>
              <w:rPr>
                <w:rFonts w:hint="default" w:ascii="Times New Roman" w:hAnsi="Times New Roman" w:eastAsia="仿宋_GB2312" w:cs="Times New Roman"/>
                <w:bCs/>
                <w:color w:val="auto"/>
                <w:sz w:val="24"/>
                <w:szCs w:val="24"/>
                <w:highlight w:val="none"/>
                <w:vertAlign w:val="superscript"/>
                <w:lang w:val="en-US" w:eastAsia="zh-CN"/>
              </w:rPr>
              <w:t>2</w:t>
            </w:r>
            <w:r>
              <w:rPr>
                <w:rFonts w:hint="default" w:ascii="Times New Roman" w:hAnsi="Times New Roman" w:eastAsia="仿宋_GB2312" w:cs="Times New Roman"/>
                <w:bCs/>
                <w:color w:val="auto"/>
                <w:sz w:val="24"/>
                <w:szCs w:val="24"/>
                <w:highlight w:val="none"/>
                <w:lang w:val="en-US" w:eastAsia="zh-CN"/>
              </w:rPr>
              <w:t>/O生物反应池＋平流沉淀池＋高效沉淀池+竖片滤池+次氯酸钠消毒”工艺对兴仁镇城镇污水进行处理后</w:t>
            </w:r>
            <w:r>
              <w:rPr>
                <w:rFonts w:hint="default" w:ascii="Times New Roman" w:hAnsi="Times New Roman" w:eastAsia="仿宋_GB2312" w:cs="Times New Roman"/>
                <w:bCs/>
                <w:color w:val="auto"/>
                <w:sz w:val="24"/>
                <w:szCs w:val="24"/>
                <w:highlight w:val="none"/>
              </w:rPr>
              <w:t>本项目污水处理厂进水主要为兴仁镇镇区生活污水。项目设计污水处理能力为800m</w:t>
            </w:r>
            <w:r>
              <w:rPr>
                <w:rFonts w:hint="default" w:ascii="Times New Roman" w:hAnsi="Times New Roman" w:eastAsia="仿宋_GB2312" w:cs="Times New Roman"/>
                <w:bCs/>
                <w:color w:val="auto"/>
                <w:sz w:val="24"/>
                <w:szCs w:val="24"/>
                <w:highlight w:val="none"/>
                <w:vertAlign w:val="superscript"/>
              </w:rPr>
              <w:t>3</w:t>
            </w:r>
            <w:r>
              <w:rPr>
                <w:rFonts w:hint="default" w:ascii="Times New Roman" w:hAnsi="Times New Roman" w:eastAsia="仿宋_GB2312" w:cs="Times New Roman"/>
                <w:bCs/>
                <w:color w:val="auto"/>
                <w:sz w:val="24"/>
                <w:szCs w:val="24"/>
                <w:highlight w:val="none"/>
              </w:rPr>
              <w:t>/d，污水经污水处理厂处理后达到《城镇污水处理厂污染物排放标准（修改单）》(GB18918-2002)一级A标准后</w:t>
            </w:r>
            <w:r>
              <w:rPr>
                <w:rFonts w:hint="default" w:ascii="Times New Roman" w:hAnsi="Times New Roman" w:eastAsia="仿宋_GB2312" w:cs="Times New Roman"/>
                <w:bCs/>
                <w:color w:val="auto"/>
                <w:sz w:val="24"/>
                <w:szCs w:val="24"/>
                <w:highlight w:val="none"/>
                <w:lang w:val="en-US" w:eastAsia="zh-CN"/>
              </w:rPr>
              <w:t>，参照《排污许可证申请与核发技术规范 水处理（试行）》（HJ978-2018）中表4污水处理可行技术参照表,</w:t>
            </w:r>
          </w:p>
          <w:p w14:paraId="43F8C742">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1"/>
                <w:szCs w:val="21"/>
                <w:highlight w:val="none"/>
                <w:lang w:val="en-US" w:eastAsia="zh-CN"/>
              </w:rPr>
              <w:t>表</w:t>
            </w:r>
            <w:r>
              <w:rPr>
                <w:rFonts w:hint="eastAsia" w:ascii="Times New Roman" w:hAnsi="Times New Roman" w:eastAsia="宋体" w:cs="Times New Roman"/>
                <w:bCs/>
                <w:color w:val="auto"/>
                <w:sz w:val="21"/>
                <w:szCs w:val="21"/>
                <w:highlight w:val="none"/>
                <w:lang w:val="en-US" w:eastAsia="zh-CN"/>
              </w:rPr>
              <w:t xml:space="preserve">4-10    </w:t>
            </w:r>
            <w:r>
              <w:rPr>
                <w:rFonts w:hint="default" w:ascii="Times New Roman" w:hAnsi="Times New Roman" w:eastAsia="宋体" w:cs="Times New Roman"/>
                <w:b/>
                <w:bCs w:val="0"/>
                <w:color w:val="auto"/>
                <w:sz w:val="21"/>
                <w:szCs w:val="21"/>
                <w:highlight w:val="none"/>
                <w:lang w:val="en-US" w:eastAsia="zh-CN"/>
              </w:rPr>
              <w:t>污水处理可行技术参照表</w:t>
            </w:r>
          </w:p>
          <w:tbl>
            <w:tblPr>
              <w:tblStyle w:val="27"/>
              <w:tblW w:w="8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964"/>
              <w:gridCol w:w="4915"/>
            </w:tblGrid>
            <w:tr w14:paraId="54CE5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vAlign w:val="center"/>
                </w:tcPr>
                <w:p w14:paraId="5143FFBE">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废水类别</w:t>
                  </w:r>
                </w:p>
              </w:tc>
              <w:tc>
                <w:tcPr>
                  <w:tcW w:w="1938" w:type="dxa"/>
                  <w:vAlign w:val="center"/>
                </w:tcPr>
                <w:p w14:paraId="26F96E1D">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执行标准</w:t>
                  </w:r>
                </w:p>
              </w:tc>
              <w:tc>
                <w:tcPr>
                  <w:tcW w:w="4849" w:type="dxa"/>
                  <w:vAlign w:val="center"/>
                </w:tcPr>
                <w:p w14:paraId="2187F27C">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可行技术</w:t>
                  </w:r>
                </w:p>
              </w:tc>
            </w:tr>
            <w:tr w14:paraId="7867E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vAlign w:val="center"/>
                </w:tcPr>
                <w:p w14:paraId="6C2C3250">
                  <w:pPr>
                    <w:pStyle w:val="69"/>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生活污水</w:t>
                  </w:r>
                </w:p>
              </w:tc>
              <w:tc>
                <w:tcPr>
                  <w:tcW w:w="1938" w:type="dxa"/>
                  <w:vAlign w:val="center"/>
                </w:tcPr>
                <w:p w14:paraId="5EE2650C">
                  <w:pPr>
                    <w:pStyle w:val="69"/>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执行GB18918中一级标准的A标准或更严格标准</w:t>
                  </w:r>
                </w:p>
              </w:tc>
              <w:tc>
                <w:tcPr>
                  <w:tcW w:w="4849" w:type="dxa"/>
                  <w:vAlign w:val="center"/>
                </w:tcPr>
                <w:p w14:paraId="74F62F33">
                  <w:pPr>
                    <w:pStyle w:val="69"/>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预处理：格栅、沉淀（沉砂、初沉）、调节；</w:t>
                  </w:r>
                </w:p>
                <w:p w14:paraId="6E4AB398">
                  <w:pPr>
                    <w:pStyle w:val="69"/>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生化处理：缺氧好氧、厌氧缺氧好氧、序批式活性污泥、接触氧化、氧化沟、移动生物床反应器、膜生物反应器；</w:t>
                  </w:r>
                </w:p>
                <w:p w14:paraId="3D8C1ABD">
                  <w:pPr>
                    <w:pStyle w:val="69"/>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深度处理：混凝沉淀、过滤、曝气生物滤池、微滤、超滤、消毒（次氯酸钠、臭氧、紫外、二氧化氯）</w:t>
                  </w:r>
                </w:p>
              </w:tc>
            </w:tr>
          </w:tbl>
          <w:p w14:paraId="456A8254">
            <w:pPr>
              <w:pStyle w:val="69"/>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仿宋_GB2312" w:cs="Times New Roman"/>
                <w:b/>
                <w:color w:val="auto"/>
                <w:sz w:val="24"/>
                <w:szCs w:val="24"/>
                <w:highlight w:val="none"/>
                <w:lang w:val="en-US" w:eastAsia="zh-CN"/>
              </w:rPr>
            </w:pPr>
            <w:r>
              <w:rPr>
                <w:rFonts w:hint="eastAsia" w:ascii="Times New Roman" w:hAnsi="Times New Roman" w:eastAsia="仿宋_GB2312" w:cs="Times New Roman"/>
                <w:bCs/>
                <w:color w:val="auto"/>
                <w:sz w:val="24"/>
                <w:szCs w:val="24"/>
                <w:highlight w:val="none"/>
                <w:lang w:val="en-US" w:eastAsia="zh-CN"/>
              </w:rPr>
              <w:t>对照《排污许可证申请与核发技术规范水处理（试行）》（HJ978-2018）中表4污水处理可行技术参照表，本项目设计废水处理工艺符合污水处理可行技术。</w:t>
            </w:r>
          </w:p>
          <w:p w14:paraId="7DE8256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color w:val="auto"/>
                <w:sz w:val="24"/>
                <w:szCs w:val="24"/>
                <w:highlight w:val="none"/>
                <w:lang w:val="en-US" w:eastAsia="zh-CN"/>
              </w:rPr>
            </w:pPr>
            <w:r>
              <w:rPr>
                <w:rFonts w:hint="eastAsia" w:ascii="Times New Roman" w:hAnsi="Times New Roman" w:eastAsia="仿宋_GB2312" w:cs="Times New Roman"/>
                <w:b/>
                <w:color w:val="auto"/>
                <w:sz w:val="24"/>
                <w:szCs w:val="24"/>
                <w:highlight w:val="none"/>
                <w:lang w:val="en-US" w:eastAsia="zh-CN"/>
              </w:rPr>
              <w:t>③尾水达标可行性分析</w:t>
            </w:r>
          </w:p>
          <w:p w14:paraId="65D014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eastAsia="zh-CN"/>
              </w:rPr>
              <w:t>4-11</w:t>
            </w:r>
            <w:r>
              <w:rPr>
                <w:rFonts w:hint="default"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b/>
                <w:bCs/>
                <w:color w:val="auto"/>
                <w:sz w:val="21"/>
                <w:szCs w:val="21"/>
              </w:rPr>
              <w:t>废水处理单元处理效率及出水水质表</w:t>
            </w:r>
          </w:p>
          <w:tbl>
            <w:tblPr>
              <w:tblStyle w:val="26"/>
              <w:tblW w:w="49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46"/>
              <w:gridCol w:w="929"/>
              <w:gridCol w:w="837"/>
              <w:gridCol w:w="847"/>
              <w:gridCol w:w="995"/>
              <w:gridCol w:w="783"/>
              <w:gridCol w:w="847"/>
            </w:tblGrid>
            <w:tr w14:paraId="71165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0" w:type="dxa"/>
                  <w:noWrap w:val="0"/>
                  <w:vAlign w:val="center"/>
                </w:tcPr>
                <w:p w14:paraId="76B2B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处理单元</w:t>
                  </w:r>
                </w:p>
              </w:tc>
              <w:tc>
                <w:tcPr>
                  <w:tcW w:w="1246" w:type="dxa"/>
                  <w:noWrap w:val="0"/>
                  <w:vAlign w:val="center"/>
                </w:tcPr>
                <w:p w14:paraId="18A427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进出水</w:t>
                  </w:r>
                </w:p>
              </w:tc>
              <w:tc>
                <w:tcPr>
                  <w:tcW w:w="929" w:type="dxa"/>
                  <w:noWrap w:val="0"/>
                  <w:vAlign w:val="center"/>
                </w:tcPr>
                <w:p w14:paraId="4A7BD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COD</w:t>
                  </w:r>
                </w:p>
                <w:p w14:paraId="75C548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(mg/L)</w:t>
                  </w:r>
                </w:p>
              </w:tc>
              <w:tc>
                <w:tcPr>
                  <w:tcW w:w="837" w:type="dxa"/>
                  <w:noWrap w:val="0"/>
                  <w:vAlign w:val="center"/>
                </w:tcPr>
                <w:p w14:paraId="03A162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BOD</w:t>
                  </w:r>
                  <w:r>
                    <w:rPr>
                      <w:rFonts w:hint="default" w:ascii="Times New Roman" w:hAnsi="Times New Roman" w:eastAsia="宋体" w:cs="Times New Roman"/>
                      <w:b/>
                      <w:color w:val="auto"/>
                      <w:sz w:val="21"/>
                      <w:szCs w:val="21"/>
                      <w:vertAlign w:val="subscript"/>
                    </w:rPr>
                    <w:t>5</w:t>
                  </w:r>
                </w:p>
                <w:p w14:paraId="25D2AA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(mg/L)</w:t>
                  </w:r>
                </w:p>
              </w:tc>
              <w:tc>
                <w:tcPr>
                  <w:tcW w:w="847" w:type="dxa"/>
                  <w:noWrap w:val="0"/>
                  <w:vAlign w:val="center"/>
                </w:tcPr>
                <w:p w14:paraId="0A25CE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SS</w:t>
                  </w:r>
                </w:p>
                <w:p w14:paraId="1FC5A7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(mg/L)</w:t>
                  </w:r>
                </w:p>
              </w:tc>
              <w:tc>
                <w:tcPr>
                  <w:tcW w:w="995" w:type="dxa"/>
                  <w:noWrap w:val="0"/>
                  <w:vAlign w:val="center"/>
                </w:tcPr>
                <w:p w14:paraId="091DDC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NH</w:t>
                  </w:r>
                  <w:r>
                    <w:rPr>
                      <w:rFonts w:hint="default" w:ascii="Times New Roman" w:hAnsi="Times New Roman" w:eastAsia="宋体" w:cs="Times New Roman"/>
                      <w:b/>
                      <w:color w:val="auto"/>
                      <w:sz w:val="21"/>
                      <w:szCs w:val="21"/>
                      <w:vertAlign w:val="subscript"/>
                      <w:lang w:val="en-US" w:eastAsia="zh-CN"/>
                    </w:rPr>
                    <w:t>3</w:t>
                  </w:r>
                  <w:r>
                    <w:rPr>
                      <w:rFonts w:hint="default" w:ascii="Times New Roman" w:hAnsi="Times New Roman" w:eastAsia="宋体" w:cs="Times New Roman"/>
                      <w:b/>
                      <w:color w:val="auto"/>
                      <w:sz w:val="21"/>
                      <w:szCs w:val="21"/>
                      <w:lang w:val="en-US" w:eastAsia="zh-CN"/>
                    </w:rPr>
                    <w:t>-N</w:t>
                  </w:r>
                  <w:r>
                    <w:rPr>
                      <w:rFonts w:hint="default" w:ascii="Times New Roman" w:hAnsi="Times New Roman" w:eastAsia="宋体" w:cs="Times New Roman"/>
                      <w:b/>
                      <w:color w:val="auto"/>
                      <w:sz w:val="21"/>
                      <w:szCs w:val="21"/>
                    </w:rPr>
                    <w:t>(mg/L)</w:t>
                  </w:r>
                </w:p>
              </w:tc>
              <w:tc>
                <w:tcPr>
                  <w:tcW w:w="783" w:type="dxa"/>
                  <w:noWrap w:val="0"/>
                  <w:vAlign w:val="center"/>
                </w:tcPr>
                <w:p w14:paraId="1593A5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lang w:val="en-US" w:eastAsia="zh-CN"/>
                    </w:rPr>
                    <w:t>TN</w:t>
                  </w:r>
                  <w:r>
                    <w:rPr>
                      <w:rFonts w:hint="default" w:ascii="Times New Roman" w:hAnsi="Times New Roman" w:eastAsia="宋体" w:cs="Times New Roman"/>
                      <w:b/>
                      <w:color w:val="auto"/>
                      <w:sz w:val="21"/>
                      <w:szCs w:val="21"/>
                    </w:rPr>
                    <w:t>(mg/L)</w:t>
                  </w:r>
                </w:p>
              </w:tc>
              <w:tc>
                <w:tcPr>
                  <w:tcW w:w="847" w:type="dxa"/>
                  <w:noWrap w:val="0"/>
                  <w:vAlign w:val="center"/>
                </w:tcPr>
                <w:p w14:paraId="4BA8FE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TP</w:t>
                  </w:r>
                  <w:r>
                    <w:rPr>
                      <w:rFonts w:hint="default" w:ascii="Times New Roman" w:hAnsi="Times New Roman" w:eastAsia="宋体" w:cs="Times New Roman"/>
                      <w:b/>
                      <w:color w:val="auto"/>
                      <w:sz w:val="21"/>
                      <w:szCs w:val="21"/>
                    </w:rPr>
                    <w:t>(mg/L)</w:t>
                  </w:r>
                </w:p>
              </w:tc>
            </w:tr>
            <w:tr w14:paraId="6441C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0" w:type="dxa"/>
                  <w:vMerge w:val="restart"/>
                  <w:noWrap w:val="0"/>
                  <w:vAlign w:val="center"/>
                </w:tcPr>
                <w:p w14:paraId="3CB26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预处理单元</w:t>
                  </w:r>
                </w:p>
              </w:tc>
              <w:tc>
                <w:tcPr>
                  <w:tcW w:w="1246" w:type="dxa"/>
                  <w:noWrap w:val="0"/>
                  <w:vAlign w:val="center"/>
                </w:tcPr>
                <w:p w14:paraId="11A658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进水（mg/L）</w:t>
                  </w:r>
                </w:p>
              </w:tc>
              <w:tc>
                <w:tcPr>
                  <w:tcW w:w="929" w:type="dxa"/>
                  <w:noWrap w:val="0"/>
                  <w:vAlign w:val="center"/>
                </w:tcPr>
                <w:p w14:paraId="58602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lang w:val="en-US" w:eastAsia="zh-CN"/>
                    </w:rPr>
                    <w:t>500</w:t>
                  </w:r>
                </w:p>
              </w:tc>
              <w:tc>
                <w:tcPr>
                  <w:tcW w:w="837" w:type="dxa"/>
                  <w:noWrap w:val="0"/>
                  <w:vAlign w:val="center"/>
                </w:tcPr>
                <w:p w14:paraId="197C0D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lang w:val="en-US" w:eastAsia="zh-CN"/>
                    </w:rPr>
                    <w:t>200</w:t>
                  </w:r>
                </w:p>
              </w:tc>
              <w:tc>
                <w:tcPr>
                  <w:tcW w:w="847" w:type="dxa"/>
                  <w:noWrap w:val="0"/>
                  <w:vAlign w:val="center"/>
                </w:tcPr>
                <w:p w14:paraId="605CC9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lang w:val="en-US" w:eastAsia="zh-CN"/>
                    </w:rPr>
                    <w:t>250</w:t>
                  </w:r>
                </w:p>
              </w:tc>
              <w:tc>
                <w:tcPr>
                  <w:tcW w:w="995" w:type="dxa"/>
                  <w:noWrap w:val="0"/>
                  <w:vAlign w:val="center"/>
                </w:tcPr>
                <w:p w14:paraId="2C3701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lang w:val="en-US" w:eastAsia="zh-CN"/>
                    </w:rPr>
                    <w:t>50</w:t>
                  </w:r>
                </w:p>
              </w:tc>
              <w:tc>
                <w:tcPr>
                  <w:tcW w:w="783" w:type="dxa"/>
                  <w:noWrap w:val="0"/>
                  <w:vAlign w:val="center"/>
                </w:tcPr>
                <w:p w14:paraId="084E9A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lang w:val="en-US" w:eastAsia="zh-CN"/>
                    </w:rPr>
                    <w:t>60</w:t>
                  </w:r>
                </w:p>
              </w:tc>
              <w:tc>
                <w:tcPr>
                  <w:tcW w:w="847" w:type="dxa"/>
                  <w:noWrap w:val="0"/>
                  <w:vAlign w:val="center"/>
                </w:tcPr>
                <w:p w14:paraId="67AA84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lang w:val="en-US" w:eastAsia="zh-CN"/>
                    </w:rPr>
                    <w:t>5</w:t>
                  </w:r>
                </w:p>
              </w:tc>
            </w:tr>
            <w:tr w14:paraId="53AA9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0" w:type="dxa"/>
                  <w:vMerge w:val="continue"/>
                  <w:noWrap w:val="0"/>
                  <w:vAlign w:val="center"/>
                </w:tcPr>
                <w:p w14:paraId="1A4F88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46" w:type="dxa"/>
                  <w:noWrap w:val="0"/>
                  <w:vAlign w:val="center"/>
                </w:tcPr>
                <w:p w14:paraId="01218E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出水（mg/L）</w:t>
                  </w:r>
                </w:p>
              </w:tc>
              <w:tc>
                <w:tcPr>
                  <w:tcW w:w="929" w:type="dxa"/>
                  <w:noWrap w:val="0"/>
                  <w:vAlign w:val="center"/>
                </w:tcPr>
                <w:p w14:paraId="6CFFAB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416.5</w:t>
                  </w:r>
                </w:p>
              </w:tc>
              <w:tc>
                <w:tcPr>
                  <w:tcW w:w="837" w:type="dxa"/>
                  <w:noWrap w:val="0"/>
                  <w:vAlign w:val="center"/>
                </w:tcPr>
                <w:p w14:paraId="7F28F7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166.6</w:t>
                  </w:r>
                </w:p>
              </w:tc>
              <w:tc>
                <w:tcPr>
                  <w:tcW w:w="847" w:type="dxa"/>
                  <w:noWrap w:val="0"/>
                  <w:vAlign w:val="center"/>
                </w:tcPr>
                <w:p w14:paraId="0E462A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142.75</w:t>
                  </w:r>
                </w:p>
              </w:tc>
              <w:tc>
                <w:tcPr>
                  <w:tcW w:w="995" w:type="dxa"/>
                  <w:noWrap w:val="0"/>
                  <w:vAlign w:val="center"/>
                </w:tcPr>
                <w:p w14:paraId="151DBA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45.45</w:t>
                  </w:r>
                </w:p>
              </w:tc>
              <w:tc>
                <w:tcPr>
                  <w:tcW w:w="783" w:type="dxa"/>
                  <w:noWrap w:val="0"/>
                  <w:vAlign w:val="center"/>
                </w:tcPr>
                <w:p w14:paraId="62F7AD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54.54</w:t>
                  </w:r>
                </w:p>
              </w:tc>
              <w:tc>
                <w:tcPr>
                  <w:tcW w:w="847" w:type="dxa"/>
                  <w:noWrap w:val="0"/>
                  <w:vAlign w:val="center"/>
                </w:tcPr>
                <w:p w14:paraId="72DFC2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14:paraId="2B1A3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0" w:type="dxa"/>
                  <w:vMerge w:val="continue"/>
                  <w:noWrap w:val="0"/>
                  <w:vAlign w:val="center"/>
                </w:tcPr>
                <w:p w14:paraId="05BC50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46" w:type="dxa"/>
                  <w:noWrap w:val="0"/>
                  <w:vAlign w:val="center"/>
                </w:tcPr>
                <w:p w14:paraId="156E0B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处理效率（%）</w:t>
                  </w:r>
                </w:p>
              </w:tc>
              <w:tc>
                <w:tcPr>
                  <w:tcW w:w="929" w:type="dxa"/>
                  <w:noWrap w:val="0"/>
                  <w:vAlign w:val="center"/>
                </w:tcPr>
                <w:p w14:paraId="758807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16.7</w:t>
                  </w:r>
                </w:p>
              </w:tc>
              <w:tc>
                <w:tcPr>
                  <w:tcW w:w="837" w:type="dxa"/>
                  <w:noWrap w:val="0"/>
                  <w:vAlign w:val="center"/>
                </w:tcPr>
                <w:p w14:paraId="4ACC35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16.7</w:t>
                  </w:r>
                </w:p>
              </w:tc>
              <w:tc>
                <w:tcPr>
                  <w:tcW w:w="847" w:type="dxa"/>
                  <w:noWrap w:val="0"/>
                  <w:vAlign w:val="center"/>
                </w:tcPr>
                <w:p w14:paraId="0C5033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42.9</w:t>
                  </w:r>
                </w:p>
              </w:tc>
              <w:tc>
                <w:tcPr>
                  <w:tcW w:w="995" w:type="dxa"/>
                  <w:noWrap w:val="0"/>
                  <w:vAlign w:val="center"/>
                </w:tcPr>
                <w:p w14:paraId="7E1333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9.1</w:t>
                  </w:r>
                </w:p>
              </w:tc>
              <w:tc>
                <w:tcPr>
                  <w:tcW w:w="783" w:type="dxa"/>
                  <w:noWrap w:val="0"/>
                  <w:vAlign w:val="center"/>
                </w:tcPr>
                <w:p w14:paraId="0C747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9.1</w:t>
                  </w:r>
                </w:p>
              </w:tc>
              <w:tc>
                <w:tcPr>
                  <w:tcW w:w="847" w:type="dxa"/>
                  <w:noWrap w:val="0"/>
                  <w:vAlign w:val="center"/>
                </w:tcPr>
                <w:p w14:paraId="78F972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r>
            <w:tr w14:paraId="04F7C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0" w:type="dxa"/>
                  <w:vMerge w:val="restart"/>
                  <w:noWrap w:val="0"/>
                  <w:vAlign w:val="center"/>
                </w:tcPr>
                <w:p w14:paraId="09722A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二级生物处理工艺（</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lang w:eastAsia="zh-CN"/>
                    </w:rPr>
                    <w:t>）</w:t>
                  </w:r>
                </w:p>
              </w:tc>
              <w:tc>
                <w:tcPr>
                  <w:tcW w:w="1246" w:type="dxa"/>
                  <w:noWrap w:val="0"/>
                  <w:vAlign w:val="center"/>
                </w:tcPr>
                <w:p w14:paraId="26159C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进水（mg/L）</w:t>
                  </w:r>
                </w:p>
              </w:tc>
              <w:tc>
                <w:tcPr>
                  <w:tcW w:w="929" w:type="dxa"/>
                  <w:noWrap w:val="0"/>
                  <w:vAlign w:val="center"/>
                </w:tcPr>
                <w:p w14:paraId="288406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416.5</w:t>
                  </w:r>
                </w:p>
              </w:tc>
              <w:tc>
                <w:tcPr>
                  <w:tcW w:w="837" w:type="dxa"/>
                  <w:noWrap w:val="0"/>
                  <w:vAlign w:val="center"/>
                </w:tcPr>
                <w:p w14:paraId="2935BF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166.6</w:t>
                  </w:r>
                </w:p>
              </w:tc>
              <w:tc>
                <w:tcPr>
                  <w:tcW w:w="847" w:type="dxa"/>
                  <w:noWrap w:val="0"/>
                  <w:vAlign w:val="center"/>
                </w:tcPr>
                <w:p w14:paraId="288DF3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142.75</w:t>
                  </w:r>
                </w:p>
              </w:tc>
              <w:tc>
                <w:tcPr>
                  <w:tcW w:w="995" w:type="dxa"/>
                  <w:noWrap w:val="0"/>
                  <w:vAlign w:val="center"/>
                </w:tcPr>
                <w:p w14:paraId="2E2505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45.45</w:t>
                  </w:r>
                </w:p>
              </w:tc>
              <w:tc>
                <w:tcPr>
                  <w:tcW w:w="783" w:type="dxa"/>
                  <w:noWrap w:val="0"/>
                  <w:vAlign w:val="center"/>
                </w:tcPr>
                <w:p w14:paraId="59A4DD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54.54</w:t>
                  </w:r>
                </w:p>
              </w:tc>
              <w:tc>
                <w:tcPr>
                  <w:tcW w:w="847" w:type="dxa"/>
                  <w:noWrap w:val="0"/>
                  <w:vAlign w:val="center"/>
                </w:tcPr>
                <w:p w14:paraId="76DE4B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4.6</w:t>
                  </w:r>
                </w:p>
              </w:tc>
            </w:tr>
            <w:tr w14:paraId="72498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0" w:type="dxa"/>
                  <w:vMerge w:val="continue"/>
                  <w:noWrap w:val="0"/>
                  <w:vAlign w:val="center"/>
                </w:tcPr>
                <w:p w14:paraId="7A9E5C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46" w:type="dxa"/>
                  <w:noWrap w:val="0"/>
                  <w:vAlign w:val="center"/>
                </w:tcPr>
                <w:p w14:paraId="272654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出水（mg/L）</w:t>
                  </w:r>
                </w:p>
              </w:tc>
              <w:tc>
                <w:tcPr>
                  <w:tcW w:w="929" w:type="dxa"/>
                  <w:noWrap w:val="0"/>
                  <w:vAlign w:val="center"/>
                </w:tcPr>
                <w:p w14:paraId="771EE5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62.48</w:t>
                  </w:r>
                </w:p>
              </w:tc>
              <w:tc>
                <w:tcPr>
                  <w:tcW w:w="837" w:type="dxa"/>
                  <w:noWrap w:val="0"/>
                  <w:vAlign w:val="center"/>
                </w:tcPr>
                <w:p w14:paraId="411549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24.99</w:t>
                  </w:r>
                </w:p>
              </w:tc>
              <w:tc>
                <w:tcPr>
                  <w:tcW w:w="847" w:type="dxa"/>
                  <w:noWrap w:val="0"/>
                  <w:vAlign w:val="center"/>
                </w:tcPr>
                <w:p w14:paraId="7C9F77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28.55</w:t>
                  </w:r>
                </w:p>
              </w:tc>
              <w:tc>
                <w:tcPr>
                  <w:tcW w:w="995" w:type="dxa"/>
                  <w:noWrap w:val="0"/>
                  <w:vAlign w:val="center"/>
                </w:tcPr>
                <w:p w14:paraId="52A3E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11.36</w:t>
                  </w:r>
                </w:p>
              </w:tc>
              <w:tc>
                <w:tcPr>
                  <w:tcW w:w="783" w:type="dxa"/>
                  <w:noWrap w:val="0"/>
                  <w:vAlign w:val="center"/>
                </w:tcPr>
                <w:p w14:paraId="5AD3F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13.64</w:t>
                  </w:r>
                </w:p>
              </w:tc>
              <w:tc>
                <w:tcPr>
                  <w:tcW w:w="847" w:type="dxa"/>
                  <w:noWrap w:val="0"/>
                  <w:vAlign w:val="center"/>
                </w:tcPr>
                <w:p w14:paraId="755D51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0.92</w:t>
                  </w:r>
                </w:p>
              </w:tc>
            </w:tr>
            <w:tr w14:paraId="43D67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0" w:type="dxa"/>
                  <w:vMerge w:val="continue"/>
                  <w:noWrap w:val="0"/>
                  <w:vAlign w:val="center"/>
                </w:tcPr>
                <w:p w14:paraId="4F6280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46" w:type="dxa"/>
                  <w:noWrap w:val="0"/>
                  <w:vAlign w:val="center"/>
                </w:tcPr>
                <w:p w14:paraId="2E5E9E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处理效率（%）</w:t>
                  </w:r>
                </w:p>
              </w:tc>
              <w:tc>
                <w:tcPr>
                  <w:tcW w:w="929" w:type="dxa"/>
                  <w:noWrap w:val="0"/>
                  <w:vAlign w:val="center"/>
                </w:tcPr>
                <w:p w14:paraId="19E519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837" w:type="dxa"/>
                  <w:noWrap w:val="0"/>
                  <w:vAlign w:val="center"/>
                </w:tcPr>
                <w:p w14:paraId="3F0D0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847" w:type="dxa"/>
                  <w:noWrap w:val="0"/>
                  <w:vAlign w:val="center"/>
                </w:tcPr>
                <w:p w14:paraId="3F9F2B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995" w:type="dxa"/>
                  <w:noWrap w:val="0"/>
                  <w:vAlign w:val="center"/>
                </w:tcPr>
                <w:p w14:paraId="65D301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783" w:type="dxa"/>
                  <w:noWrap w:val="0"/>
                  <w:vAlign w:val="center"/>
                </w:tcPr>
                <w:p w14:paraId="38937B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75</w:t>
                  </w:r>
                </w:p>
              </w:tc>
              <w:tc>
                <w:tcPr>
                  <w:tcW w:w="847" w:type="dxa"/>
                  <w:noWrap w:val="0"/>
                  <w:vAlign w:val="center"/>
                </w:tcPr>
                <w:p w14:paraId="2CAD3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r>
            <w:tr w14:paraId="6C2F5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0" w:type="dxa"/>
                  <w:vMerge w:val="restart"/>
                  <w:noWrap w:val="0"/>
                  <w:vAlign w:val="center"/>
                </w:tcPr>
                <w:p w14:paraId="180E4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高效沉淀法+竖片式滤池</w:t>
                  </w:r>
                </w:p>
              </w:tc>
              <w:tc>
                <w:tcPr>
                  <w:tcW w:w="1246" w:type="dxa"/>
                  <w:noWrap w:val="0"/>
                  <w:vAlign w:val="center"/>
                </w:tcPr>
                <w:p w14:paraId="158E2A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进水（mg/L）</w:t>
                  </w:r>
                </w:p>
              </w:tc>
              <w:tc>
                <w:tcPr>
                  <w:tcW w:w="929" w:type="dxa"/>
                  <w:noWrap w:val="0"/>
                  <w:vAlign w:val="center"/>
                </w:tcPr>
                <w:p w14:paraId="39473A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62.48</w:t>
                  </w:r>
                </w:p>
              </w:tc>
              <w:tc>
                <w:tcPr>
                  <w:tcW w:w="837" w:type="dxa"/>
                  <w:noWrap w:val="0"/>
                  <w:vAlign w:val="center"/>
                </w:tcPr>
                <w:p w14:paraId="19468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24.99</w:t>
                  </w:r>
                </w:p>
              </w:tc>
              <w:tc>
                <w:tcPr>
                  <w:tcW w:w="847" w:type="dxa"/>
                  <w:noWrap w:val="0"/>
                  <w:vAlign w:val="center"/>
                </w:tcPr>
                <w:p w14:paraId="229C43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28.55</w:t>
                  </w:r>
                </w:p>
              </w:tc>
              <w:tc>
                <w:tcPr>
                  <w:tcW w:w="995" w:type="dxa"/>
                  <w:noWrap w:val="0"/>
                  <w:vAlign w:val="center"/>
                </w:tcPr>
                <w:p w14:paraId="5ADF13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11.36</w:t>
                  </w:r>
                </w:p>
              </w:tc>
              <w:tc>
                <w:tcPr>
                  <w:tcW w:w="783" w:type="dxa"/>
                  <w:noWrap w:val="0"/>
                  <w:vAlign w:val="center"/>
                </w:tcPr>
                <w:p w14:paraId="032F7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13.64</w:t>
                  </w:r>
                </w:p>
              </w:tc>
              <w:tc>
                <w:tcPr>
                  <w:tcW w:w="847" w:type="dxa"/>
                  <w:noWrap w:val="0"/>
                  <w:vAlign w:val="center"/>
                </w:tcPr>
                <w:p w14:paraId="27E40C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0.92</w:t>
                  </w:r>
                </w:p>
              </w:tc>
            </w:tr>
            <w:tr w14:paraId="6AC78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0" w:type="dxa"/>
                  <w:vMerge w:val="continue"/>
                  <w:noWrap w:val="0"/>
                  <w:vAlign w:val="center"/>
                </w:tcPr>
                <w:p w14:paraId="077C3B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46" w:type="dxa"/>
                  <w:noWrap w:val="0"/>
                  <w:vAlign w:val="center"/>
                </w:tcPr>
                <w:p w14:paraId="3EDE33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出水（mg/L）</w:t>
                  </w:r>
                </w:p>
              </w:tc>
              <w:tc>
                <w:tcPr>
                  <w:tcW w:w="929" w:type="dxa"/>
                  <w:noWrap w:val="0"/>
                  <w:vAlign w:val="center"/>
                </w:tcPr>
                <w:p w14:paraId="26DBD2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31.24</w:t>
                  </w:r>
                </w:p>
              </w:tc>
              <w:tc>
                <w:tcPr>
                  <w:tcW w:w="837" w:type="dxa"/>
                  <w:noWrap w:val="0"/>
                  <w:vAlign w:val="center"/>
                </w:tcPr>
                <w:p w14:paraId="21730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6.25</w:t>
                  </w:r>
                </w:p>
              </w:tc>
              <w:tc>
                <w:tcPr>
                  <w:tcW w:w="847" w:type="dxa"/>
                  <w:noWrap w:val="0"/>
                  <w:vAlign w:val="center"/>
                </w:tcPr>
                <w:p w14:paraId="0FC297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5.71</w:t>
                  </w:r>
                </w:p>
              </w:tc>
              <w:tc>
                <w:tcPr>
                  <w:tcW w:w="995" w:type="dxa"/>
                  <w:noWrap w:val="0"/>
                  <w:vAlign w:val="center"/>
                </w:tcPr>
                <w:p w14:paraId="12EFAF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6.82</w:t>
                  </w:r>
                </w:p>
              </w:tc>
              <w:tc>
                <w:tcPr>
                  <w:tcW w:w="783" w:type="dxa"/>
                  <w:noWrap w:val="0"/>
                  <w:vAlign w:val="center"/>
                </w:tcPr>
                <w:p w14:paraId="263F7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9.55</w:t>
                  </w:r>
                </w:p>
              </w:tc>
              <w:tc>
                <w:tcPr>
                  <w:tcW w:w="847" w:type="dxa"/>
                  <w:noWrap w:val="0"/>
                  <w:vAlign w:val="center"/>
                </w:tcPr>
                <w:p w14:paraId="402A3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0.46</w:t>
                  </w:r>
                </w:p>
              </w:tc>
            </w:tr>
            <w:tr w14:paraId="7E109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0" w:type="dxa"/>
                  <w:vMerge w:val="continue"/>
                  <w:noWrap w:val="0"/>
                  <w:vAlign w:val="center"/>
                </w:tcPr>
                <w:p w14:paraId="6F4C93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46" w:type="dxa"/>
                  <w:noWrap w:val="0"/>
                  <w:vAlign w:val="center"/>
                </w:tcPr>
                <w:p w14:paraId="214E74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处理效率（%）</w:t>
                  </w:r>
                </w:p>
              </w:tc>
              <w:tc>
                <w:tcPr>
                  <w:tcW w:w="929" w:type="dxa"/>
                  <w:noWrap w:val="0"/>
                  <w:vAlign w:val="center"/>
                </w:tcPr>
                <w:p w14:paraId="586FF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837" w:type="dxa"/>
                  <w:noWrap w:val="0"/>
                  <w:vAlign w:val="center"/>
                </w:tcPr>
                <w:p w14:paraId="43748F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847" w:type="dxa"/>
                  <w:noWrap w:val="0"/>
                  <w:vAlign w:val="center"/>
                </w:tcPr>
                <w:p w14:paraId="6EDD81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995" w:type="dxa"/>
                  <w:noWrap w:val="0"/>
                  <w:vAlign w:val="center"/>
                </w:tcPr>
                <w:p w14:paraId="2755AA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783" w:type="dxa"/>
                  <w:noWrap w:val="0"/>
                  <w:vAlign w:val="center"/>
                </w:tcPr>
                <w:p w14:paraId="4766CE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847" w:type="dxa"/>
                  <w:noWrap w:val="0"/>
                  <w:vAlign w:val="center"/>
                </w:tcPr>
                <w:p w14:paraId="0DF15A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256D6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270" w:type="dxa"/>
                  <w:noWrap w:val="0"/>
                  <w:vAlign w:val="center"/>
                </w:tcPr>
                <w:p w14:paraId="5344CB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p w14:paraId="54B80B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排放量</w:t>
                  </w:r>
                  <w:r>
                    <w:rPr>
                      <w:rFonts w:hint="eastAsia" w:ascii="Times New Roman" w:hAnsi="Times New Roman" w:eastAsia="宋体" w:cs="Times New Roman"/>
                      <w:color w:val="auto"/>
                      <w:sz w:val="21"/>
                      <w:szCs w:val="21"/>
                      <w:lang w:val="en-US" w:eastAsia="zh-CN"/>
                    </w:rPr>
                    <w:t>（总水量29.2万m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w:t>
                  </w:r>
                </w:p>
              </w:tc>
              <w:tc>
                <w:tcPr>
                  <w:tcW w:w="1246" w:type="dxa"/>
                  <w:noWrap w:val="0"/>
                  <w:vAlign w:val="center"/>
                </w:tcPr>
                <w:p w14:paraId="6CBB5D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排入</w:t>
                  </w:r>
                </w:p>
                <w:p w14:paraId="33386A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地表水体</w:t>
                  </w:r>
                  <w:r>
                    <w:rPr>
                      <w:rFonts w:hint="eastAsia" w:ascii="Times New Roman" w:hAnsi="Times New Roman" w:eastAsia="宋体" w:cs="Times New Roman"/>
                      <w:color w:val="auto"/>
                      <w:sz w:val="21"/>
                      <w:szCs w:val="21"/>
                      <w:lang w:val="en-US" w:eastAsia="zh-CN"/>
                    </w:rPr>
                    <w:t>（总水量29.2万m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w:t>
                  </w:r>
                </w:p>
              </w:tc>
              <w:tc>
                <w:tcPr>
                  <w:tcW w:w="929" w:type="dxa"/>
                  <w:noWrap w:val="0"/>
                  <w:vAlign w:val="center"/>
                </w:tcPr>
                <w:p w14:paraId="77D8E3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9.12</w:t>
                  </w:r>
                </w:p>
              </w:tc>
              <w:tc>
                <w:tcPr>
                  <w:tcW w:w="837" w:type="dxa"/>
                  <w:noWrap w:val="0"/>
                  <w:vAlign w:val="center"/>
                </w:tcPr>
                <w:p w14:paraId="6F745F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1.83</w:t>
                  </w:r>
                </w:p>
              </w:tc>
              <w:tc>
                <w:tcPr>
                  <w:tcW w:w="847" w:type="dxa"/>
                  <w:noWrap w:val="0"/>
                  <w:vAlign w:val="center"/>
                </w:tcPr>
                <w:p w14:paraId="0D9ED5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1.67</w:t>
                  </w:r>
                </w:p>
              </w:tc>
              <w:tc>
                <w:tcPr>
                  <w:tcW w:w="995" w:type="dxa"/>
                  <w:noWrap w:val="0"/>
                  <w:vAlign w:val="center"/>
                </w:tcPr>
                <w:p w14:paraId="4C5640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83" w:type="dxa"/>
                  <w:noWrap w:val="0"/>
                  <w:vAlign w:val="center"/>
                </w:tcPr>
                <w:p w14:paraId="4DE33B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2.79</w:t>
                  </w:r>
                </w:p>
              </w:tc>
              <w:tc>
                <w:tcPr>
                  <w:tcW w:w="847" w:type="dxa"/>
                  <w:noWrap w:val="0"/>
                  <w:vAlign w:val="center"/>
                </w:tcPr>
                <w:p w14:paraId="22F601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w:t>
                  </w:r>
                </w:p>
              </w:tc>
            </w:tr>
            <w:tr w14:paraId="40CB5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516" w:type="dxa"/>
                  <w:gridSpan w:val="2"/>
                  <w:noWrap w:val="0"/>
                  <w:vAlign w:val="center"/>
                </w:tcPr>
                <w:p w14:paraId="42542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总处理效率（%）</w:t>
                  </w:r>
                </w:p>
              </w:tc>
              <w:tc>
                <w:tcPr>
                  <w:tcW w:w="929" w:type="dxa"/>
                  <w:noWrap w:val="0"/>
                  <w:vAlign w:val="center"/>
                </w:tcPr>
                <w:p w14:paraId="7E14CF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93.75</w:t>
                  </w:r>
                </w:p>
              </w:tc>
              <w:tc>
                <w:tcPr>
                  <w:tcW w:w="837" w:type="dxa"/>
                  <w:noWrap w:val="0"/>
                  <w:vAlign w:val="center"/>
                </w:tcPr>
                <w:p w14:paraId="7CD180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96.88</w:t>
                  </w:r>
                </w:p>
              </w:tc>
              <w:tc>
                <w:tcPr>
                  <w:tcW w:w="847" w:type="dxa"/>
                  <w:noWrap w:val="0"/>
                  <w:vAlign w:val="center"/>
                </w:tcPr>
                <w:p w14:paraId="36D84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97.72</w:t>
                  </w:r>
                </w:p>
              </w:tc>
              <w:tc>
                <w:tcPr>
                  <w:tcW w:w="995" w:type="dxa"/>
                  <w:noWrap w:val="0"/>
                  <w:vAlign w:val="center"/>
                </w:tcPr>
                <w:p w14:paraId="1003DC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86.36</w:t>
                  </w:r>
                </w:p>
              </w:tc>
              <w:tc>
                <w:tcPr>
                  <w:tcW w:w="783" w:type="dxa"/>
                  <w:noWrap w:val="0"/>
                  <w:vAlign w:val="center"/>
                </w:tcPr>
                <w:p w14:paraId="7CA73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84.08</w:t>
                  </w:r>
                </w:p>
              </w:tc>
              <w:tc>
                <w:tcPr>
                  <w:tcW w:w="847" w:type="dxa"/>
                  <w:noWrap w:val="0"/>
                  <w:vAlign w:val="center"/>
                </w:tcPr>
                <w:p w14:paraId="573557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90.8</w:t>
                  </w:r>
                </w:p>
              </w:tc>
            </w:tr>
            <w:tr w14:paraId="01E57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516" w:type="dxa"/>
                  <w:gridSpan w:val="2"/>
                  <w:noWrap w:val="0"/>
                  <w:vAlign w:val="center"/>
                </w:tcPr>
                <w:p w14:paraId="0AD23F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排放标准（mg/L）</w:t>
                  </w:r>
                </w:p>
              </w:tc>
              <w:tc>
                <w:tcPr>
                  <w:tcW w:w="929" w:type="dxa"/>
                  <w:noWrap w:val="0"/>
                  <w:vAlign w:val="center"/>
                </w:tcPr>
                <w:p w14:paraId="073CA7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50</w:t>
                  </w:r>
                </w:p>
              </w:tc>
              <w:tc>
                <w:tcPr>
                  <w:tcW w:w="837" w:type="dxa"/>
                  <w:noWrap w:val="0"/>
                  <w:vAlign w:val="center"/>
                </w:tcPr>
                <w:p w14:paraId="02756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10</w:t>
                  </w:r>
                </w:p>
              </w:tc>
              <w:tc>
                <w:tcPr>
                  <w:tcW w:w="847" w:type="dxa"/>
                  <w:noWrap w:val="0"/>
                  <w:vAlign w:val="center"/>
                </w:tcPr>
                <w:p w14:paraId="0C00A6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10</w:t>
                  </w:r>
                </w:p>
              </w:tc>
              <w:tc>
                <w:tcPr>
                  <w:tcW w:w="995" w:type="dxa"/>
                  <w:noWrap w:val="0"/>
                  <w:vAlign w:val="center"/>
                </w:tcPr>
                <w:p w14:paraId="724CD6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w:t>
                  </w:r>
                </w:p>
              </w:tc>
              <w:tc>
                <w:tcPr>
                  <w:tcW w:w="783" w:type="dxa"/>
                  <w:noWrap w:val="0"/>
                  <w:vAlign w:val="center"/>
                </w:tcPr>
                <w:p w14:paraId="3317B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15</w:t>
                  </w:r>
                </w:p>
              </w:tc>
              <w:tc>
                <w:tcPr>
                  <w:tcW w:w="847" w:type="dxa"/>
                  <w:noWrap w:val="0"/>
                  <w:vAlign w:val="center"/>
                </w:tcPr>
                <w:p w14:paraId="58C645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0.5</w:t>
                  </w:r>
                </w:p>
              </w:tc>
            </w:tr>
          </w:tbl>
          <w:p w14:paraId="730956FC">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Cs/>
                <w:color w:val="auto"/>
                <w:sz w:val="24"/>
                <w:szCs w:val="24"/>
                <w:highlight w:val="none"/>
                <w:lang w:val="en-US" w:eastAsia="zh-CN"/>
              </w:rPr>
            </w:pPr>
            <w:r>
              <w:rPr>
                <w:rFonts w:hint="eastAsia" w:ascii="Times New Roman" w:hAnsi="Times New Roman" w:eastAsia="仿宋_GB2312" w:cs="Times New Roman"/>
                <w:b/>
                <w:color w:val="auto"/>
                <w:sz w:val="24"/>
                <w:szCs w:val="24"/>
                <w:highlight w:val="none"/>
                <w:lang w:val="en-US" w:eastAsia="zh-CN"/>
              </w:rPr>
              <w:t>(4)排放方式</w:t>
            </w:r>
          </w:p>
          <w:p w14:paraId="47C7F345">
            <w:pPr>
              <w:pStyle w:val="69"/>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仿宋_GB2312" w:cs="Times New Roman"/>
                <w:bCs/>
                <w:color w:val="auto"/>
                <w:sz w:val="24"/>
                <w:szCs w:val="24"/>
                <w:highlight w:val="none"/>
                <w:lang w:eastAsia="zh-CN"/>
              </w:rPr>
            </w:pPr>
            <w:r>
              <w:rPr>
                <w:rFonts w:hint="eastAsia" w:ascii="Times New Roman" w:hAnsi="Times New Roman" w:eastAsia="仿宋_GB2312" w:cs="Times New Roman"/>
                <w:bCs/>
                <w:color w:val="auto"/>
                <w:sz w:val="24"/>
                <w:szCs w:val="24"/>
                <w:highlight w:val="none"/>
                <w:lang w:eastAsia="zh-CN"/>
              </w:rPr>
              <w:t>本项目废水经处理后排入污水处理厂东北侧洪水河内，本项目排放口信息见表</w:t>
            </w:r>
            <w:r>
              <w:rPr>
                <w:rFonts w:hint="eastAsia" w:ascii="Times New Roman" w:hAnsi="Times New Roman" w:eastAsia="仿宋_GB2312" w:cs="Times New Roman"/>
                <w:bCs/>
                <w:color w:val="auto"/>
                <w:sz w:val="24"/>
                <w:szCs w:val="24"/>
                <w:highlight w:val="none"/>
                <w:lang w:val="en-US" w:eastAsia="zh-CN"/>
              </w:rPr>
              <w:t>4-12</w:t>
            </w:r>
            <w:r>
              <w:rPr>
                <w:rFonts w:hint="eastAsia" w:ascii="Times New Roman" w:hAnsi="Times New Roman" w:eastAsia="仿宋_GB2312" w:cs="Times New Roman"/>
                <w:bCs/>
                <w:color w:val="auto"/>
                <w:sz w:val="24"/>
                <w:szCs w:val="24"/>
                <w:highlight w:val="none"/>
                <w:lang w:eastAsia="zh-CN"/>
              </w:rPr>
              <w:t>。</w:t>
            </w:r>
          </w:p>
          <w:p w14:paraId="69A21318">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Cs/>
                <w:color w:val="auto"/>
                <w:sz w:val="24"/>
                <w:szCs w:val="24"/>
                <w:highlight w:val="none"/>
                <w:lang w:val="en-US" w:eastAsia="zh-CN"/>
              </w:rPr>
            </w:pPr>
            <w:r>
              <w:rPr>
                <w:rFonts w:hint="default" w:ascii="Times New Roman" w:hAnsi="Times New Roman" w:eastAsia="宋体" w:cs="Times New Roman"/>
                <w:bCs/>
                <w:color w:val="auto"/>
                <w:sz w:val="21"/>
                <w:szCs w:val="21"/>
                <w:highlight w:val="none"/>
                <w:lang w:val="en-US" w:eastAsia="zh-CN"/>
              </w:rPr>
              <w:t>表4</w:t>
            </w:r>
            <w:r>
              <w:rPr>
                <w:rFonts w:hint="eastAsia" w:ascii="Times New Roman" w:hAnsi="Times New Roman" w:eastAsia="宋体" w:cs="Times New Roman"/>
                <w:bCs/>
                <w:color w:val="auto"/>
                <w:sz w:val="21"/>
                <w:szCs w:val="21"/>
                <w:highlight w:val="none"/>
                <w:lang w:val="en-US" w:eastAsia="zh-CN"/>
              </w:rPr>
              <w:t>-12</w:t>
            </w:r>
            <w:r>
              <w:rPr>
                <w:rFonts w:hint="default" w:ascii="Times New Roman" w:hAnsi="Times New Roman" w:eastAsia="宋体" w:cs="Times New Roman"/>
                <w:bCs/>
                <w:color w:val="auto"/>
                <w:sz w:val="24"/>
                <w:szCs w:val="24"/>
                <w:highlight w:val="none"/>
                <w:lang w:val="en-US" w:eastAsia="zh-CN"/>
              </w:rPr>
              <w:t xml:space="preserve">   </w:t>
            </w:r>
            <w:r>
              <w:rPr>
                <w:rFonts w:hint="default" w:ascii="Times New Roman" w:hAnsi="Times New Roman" w:eastAsia="宋体" w:cs="Times New Roman"/>
                <w:bCs/>
                <w:color w:val="auto"/>
                <w:sz w:val="21"/>
                <w:szCs w:val="21"/>
                <w:highlight w:val="none"/>
                <w:lang w:val="en-US" w:eastAsia="zh-CN"/>
              </w:rPr>
              <w:t xml:space="preserve"> </w:t>
            </w:r>
            <w:r>
              <w:rPr>
                <w:rFonts w:hint="eastAsia" w:ascii="Times New Roman" w:hAnsi="Times New Roman" w:eastAsia="宋体" w:cs="Times New Roman"/>
                <w:b/>
                <w:bCs w:val="0"/>
                <w:color w:val="auto"/>
                <w:sz w:val="21"/>
                <w:szCs w:val="21"/>
                <w:highlight w:val="none"/>
                <w:lang w:val="en-US" w:eastAsia="zh-CN"/>
              </w:rPr>
              <w:t>排放口信息汇总表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0"/>
              <w:gridCol w:w="639"/>
              <w:gridCol w:w="1467"/>
              <w:gridCol w:w="702"/>
              <w:gridCol w:w="644"/>
              <w:gridCol w:w="656"/>
              <w:gridCol w:w="2850"/>
            </w:tblGrid>
            <w:tr w14:paraId="54157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00" w:type="pct"/>
                  <w:tcBorders>
                    <w:tl2br w:val="nil"/>
                    <w:tr2bl w:val="nil"/>
                  </w:tcBorders>
                  <w:vAlign w:val="center"/>
                </w:tcPr>
                <w:p w14:paraId="5C445E1A">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排放口编号</w:t>
                  </w:r>
                </w:p>
              </w:tc>
              <w:tc>
                <w:tcPr>
                  <w:tcW w:w="404" w:type="pct"/>
                  <w:tcBorders>
                    <w:tl2br w:val="nil"/>
                    <w:tr2bl w:val="nil"/>
                  </w:tcBorders>
                  <w:vAlign w:val="center"/>
                </w:tcPr>
                <w:p w14:paraId="2726C2FA">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类型</w:t>
                  </w:r>
                </w:p>
              </w:tc>
              <w:tc>
                <w:tcPr>
                  <w:tcW w:w="927" w:type="pct"/>
                  <w:tcBorders>
                    <w:tl2br w:val="nil"/>
                    <w:tr2bl w:val="nil"/>
                  </w:tcBorders>
                  <w:vAlign w:val="center"/>
                </w:tcPr>
                <w:p w14:paraId="5E0E5951">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地理坐标</w:t>
                  </w:r>
                </w:p>
              </w:tc>
              <w:tc>
                <w:tcPr>
                  <w:tcW w:w="443" w:type="pct"/>
                  <w:tcBorders>
                    <w:tl2br w:val="nil"/>
                    <w:tr2bl w:val="nil"/>
                  </w:tcBorders>
                  <w:vAlign w:val="center"/>
                </w:tcPr>
                <w:p w14:paraId="382F0FFF">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排放方式</w:t>
                  </w:r>
                </w:p>
              </w:tc>
              <w:tc>
                <w:tcPr>
                  <w:tcW w:w="407" w:type="pct"/>
                  <w:tcBorders>
                    <w:tl2br w:val="nil"/>
                    <w:tr2bl w:val="nil"/>
                  </w:tcBorders>
                  <w:vAlign w:val="center"/>
                </w:tcPr>
                <w:p w14:paraId="0A6448F4">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w:t>
                  </w:r>
                </w:p>
                <w:p w14:paraId="517419A0">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去向</w:t>
                  </w:r>
                </w:p>
              </w:tc>
              <w:tc>
                <w:tcPr>
                  <w:tcW w:w="414" w:type="pct"/>
                  <w:tcBorders>
                    <w:tl2br w:val="nil"/>
                    <w:tr2bl w:val="nil"/>
                  </w:tcBorders>
                  <w:vAlign w:val="center"/>
                </w:tcPr>
                <w:p w14:paraId="5D034FA8">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w:t>
                  </w:r>
                </w:p>
                <w:p w14:paraId="5EC0131C">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规律</w:t>
                  </w:r>
                </w:p>
              </w:tc>
              <w:tc>
                <w:tcPr>
                  <w:tcW w:w="1801" w:type="pct"/>
                  <w:tcBorders>
                    <w:tl2br w:val="nil"/>
                    <w:tr2bl w:val="nil"/>
                  </w:tcBorders>
                  <w:vAlign w:val="center"/>
                </w:tcPr>
                <w:p w14:paraId="51581B3C">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排放标准</w:t>
                  </w:r>
                </w:p>
              </w:tc>
            </w:tr>
            <w:tr w14:paraId="1C2A1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00" w:type="pct"/>
                  <w:tcBorders>
                    <w:tl2br w:val="nil"/>
                    <w:tr2bl w:val="nil"/>
                  </w:tcBorders>
                  <w:vAlign w:val="center"/>
                </w:tcPr>
                <w:p w14:paraId="4728D54F">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DW001</w:t>
                  </w:r>
                </w:p>
              </w:tc>
              <w:tc>
                <w:tcPr>
                  <w:tcW w:w="404" w:type="pct"/>
                  <w:tcBorders>
                    <w:tl2br w:val="nil"/>
                    <w:tr2bl w:val="nil"/>
                  </w:tcBorders>
                  <w:vAlign w:val="center"/>
                </w:tcPr>
                <w:p w14:paraId="3D62A31C">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eastAsia="zh-CN"/>
                    </w:rPr>
                  </w:pPr>
                  <w:r>
                    <w:rPr>
                      <w:rFonts w:hint="default" w:ascii="Times New Roman" w:hAnsi="Times New Roman" w:eastAsia="宋体" w:cs="Times New Roman"/>
                      <w:bCs/>
                      <w:color w:val="auto"/>
                      <w:sz w:val="21"/>
                      <w:szCs w:val="21"/>
                      <w:highlight w:val="none"/>
                      <w:vertAlign w:val="baseline"/>
                      <w:lang w:eastAsia="zh-CN"/>
                    </w:rPr>
                    <w:t>生活污水排放口</w:t>
                  </w:r>
                </w:p>
              </w:tc>
              <w:tc>
                <w:tcPr>
                  <w:tcW w:w="927" w:type="pct"/>
                  <w:tcBorders>
                    <w:tl2br w:val="nil"/>
                    <w:tr2bl w:val="nil"/>
                  </w:tcBorders>
                  <w:vAlign w:val="center"/>
                </w:tcPr>
                <w:p w14:paraId="20C363FD">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eastAsia="zh-CN"/>
                    </w:rPr>
                  </w:pPr>
                  <w:r>
                    <w:rPr>
                      <w:rFonts w:hint="default" w:ascii="Times New Roman" w:hAnsi="Times New Roman" w:eastAsia="宋体" w:cs="Times New Roman"/>
                      <w:bCs/>
                      <w:color w:val="auto"/>
                      <w:sz w:val="21"/>
                      <w:szCs w:val="21"/>
                      <w:highlight w:val="none"/>
                      <w:vertAlign w:val="baseline"/>
                      <w:lang w:eastAsia="zh-CN"/>
                    </w:rPr>
                    <w:t>105°15′2.945″,36°56′43.067″</w:t>
                  </w:r>
                </w:p>
              </w:tc>
              <w:tc>
                <w:tcPr>
                  <w:tcW w:w="443" w:type="pct"/>
                  <w:tcBorders>
                    <w:tl2br w:val="nil"/>
                    <w:tr2bl w:val="nil"/>
                  </w:tcBorders>
                  <w:vAlign w:val="center"/>
                </w:tcPr>
                <w:p w14:paraId="2CE089EB">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eastAsia="zh-CN"/>
                    </w:rPr>
                  </w:pPr>
                  <w:r>
                    <w:rPr>
                      <w:rFonts w:hint="default" w:ascii="Times New Roman" w:hAnsi="Times New Roman" w:eastAsia="宋体" w:cs="Times New Roman"/>
                      <w:bCs/>
                      <w:color w:val="auto"/>
                      <w:sz w:val="21"/>
                      <w:szCs w:val="21"/>
                      <w:highlight w:val="none"/>
                      <w:vertAlign w:val="baseline"/>
                      <w:lang w:eastAsia="zh-CN"/>
                    </w:rPr>
                    <w:t>直接排放</w:t>
                  </w:r>
                </w:p>
              </w:tc>
              <w:tc>
                <w:tcPr>
                  <w:tcW w:w="407" w:type="pct"/>
                  <w:tcBorders>
                    <w:tl2br w:val="nil"/>
                    <w:tr2bl w:val="nil"/>
                  </w:tcBorders>
                  <w:vAlign w:val="center"/>
                </w:tcPr>
                <w:p w14:paraId="2315871E">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eastAsia="zh-CN"/>
                    </w:rPr>
                  </w:pPr>
                  <w:r>
                    <w:rPr>
                      <w:rFonts w:hint="eastAsia" w:ascii="Times New Roman" w:hAnsi="Times New Roman" w:eastAsia="宋体" w:cs="Times New Roman"/>
                      <w:bCs/>
                      <w:color w:val="auto"/>
                      <w:sz w:val="21"/>
                      <w:szCs w:val="21"/>
                      <w:highlight w:val="none"/>
                      <w:vertAlign w:val="baseline"/>
                      <w:lang w:eastAsia="zh-CN"/>
                    </w:rPr>
                    <w:t>洪水河</w:t>
                  </w:r>
                </w:p>
              </w:tc>
              <w:tc>
                <w:tcPr>
                  <w:tcW w:w="414" w:type="pct"/>
                  <w:tcBorders>
                    <w:tl2br w:val="nil"/>
                    <w:tr2bl w:val="nil"/>
                  </w:tcBorders>
                  <w:vAlign w:val="center"/>
                </w:tcPr>
                <w:p w14:paraId="010AC8A8">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eastAsia="zh-CN"/>
                    </w:rPr>
                  </w:pPr>
                  <w:r>
                    <w:rPr>
                      <w:rFonts w:hint="default" w:ascii="Times New Roman" w:hAnsi="Times New Roman" w:eastAsia="宋体" w:cs="Times New Roman"/>
                      <w:bCs/>
                      <w:color w:val="auto"/>
                      <w:sz w:val="21"/>
                      <w:szCs w:val="21"/>
                      <w:highlight w:val="none"/>
                      <w:vertAlign w:val="baseline"/>
                      <w:lang w:eastAsia="zh-CN"/>
                    </w:rPr>
                    <w:t>连续排放</w:t>
                  </w:r>
                </w:p>
              </w:tc>
              <w:tc>
                <w:tcPr>
                  <w:tcW w:w="1801" w:type="pct"/>
                  <w:tcBorders>
                    <w:tl2br w:val="nil"/>
                    <w:tr2bl w:val="nil"/>
                  </w:tcBorders>
                  <w:vAlign w:val="center"/>
                </w:tcPr>
                <w:p w14:paraId="1442F102">
                  <w:pPr>
                    <w:pStyle w:val="6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eastAsia="zh-CN"/>
                    </w:rPr>
                  </w:pPr>
                  <w:r>
                    <w:rPr>
                      <w:rFonts w:hint="default" w:ascii="Times New Roman" w:hAnsi="Times New Roman" w:eastAsia="宋体" w:cs="Times New Roman"/>
                      <w:color w:val="auto"/>
                      <w:sz w:val="21"/>
                      <w:szCs w:val="21"/>
                    </w:rPr>
                    <w:t>《城市污水处理厂污染物排放标准》(GB18918-2002)中一级A标准</w:t>
                  </w:r>
                </w:p>
              </w:tc>
            </w:tr>
          </w:tbl>
          <w:p w14:paraId="41D555D5">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仿宋_GB2312" w:cs="Times New Roman"/>
                <w:bCs/>
                <w:color w:val="auto"/>
                <w:sz w:val="24"/>
                <w:szCs w:val="24"/>
                <w:highlight w:val="none"/>
                <w:lang w:val="en-US" w:eastAsia="zh-CN"/>
              </w:rPr>
            </w:pPr>
            <w:r>
              <w:rPr>
                <w:rFonts w:hint="eastAsia" w:ascii="Times New Roman" w:hAnsi="Times New Roman" w:eastAsia="仿宋_GB2312" w:cs="Times New Roman"/>
                <w:b/>
                <w:color w:val="auto"/>
                <w:sz w:val="24"/>
                <w:szCs w:val="24"/>
                <w:highlight w:val="none"/>
                <w:lang w:val="en-US" w:eastAsia="zh-CN"/>
              </w:rPr>
              <w:t>(5)监测要求</w:t>
            </w:r>
          </w:p>
          <w:p w14:paraId="096578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
                <w:color w:val="auto"/>
                <w:spacing w:val="-10"/>
                <w:sz w:val="24"/>
                <w:szCs w:val="24"/>
                <w:highlight w:val="yellow"/>
              </w:rPr>
            </w:pPr>
            <w:r>
              <w:rPr>
                <w:rFonts w:hint="eastAsia" w:ascii="Times New Roman" w:hAnsi="Times New Roman" w:eastAsia="仿宋_GB2312" w:cs="Times New Roman"/>
                <w:bCs/>
                <w:color w:val="auto"/>
                <w:sz w:val="24"/>
                <w:szCs w:val="24"/>
                <w:highlight w:val="none"/>
                <w:lang w:val="en-US" w:eastAsia="zh-CN"/>
              </w:rPr>
              <w:t>根据</w:t>
            </w:r>
            <w:r>
              <w:rPr>
                <w:rFonts w:hint="default" w:ascii="Times New Roman" w:hAnsi="Times New Roman" w:eastAsia="仿宋_GB2312" w:cs="Times New Roman"/>
                <w:bCs/>
                <w:color w:val="auto"/>
                <w:sz w:val="24"/>
                <w:szCs w:val="24"/>
                <w:highlight w:val="none"/>
                <w:lang w:val="en-US" w:eastAsia="zh-CN"/>
              </w:rPr>
              <w:t>《排污单位自行监测技术指南 总则》（HJ819-2017）、</w:t>
            </w:r>
            <w:r>
              <w:rPr>
                <w:rFonts w:hint="eastAsia" w:ascii="Times New Roman" w:hAnsi="Times New Roman" w:eastAsia="仿宋_GB2312" w:cs="Times New Roman"/>
                <w:bCs/>
                <w:color w:val="auto"/>
                <w:sz w:val="24"/>
                <w:szCs w:val="24"/>
                <w:highlight w:val="none"/>
                <w:lang w:val="en-US" w:eastAsia="zh-CN"/>
              </w:rPr>
              <w:t>《排污单位自行监测技术指南 水处理》（HJ1083-2020）及</w:t>
            </w:r>
            <w:r>
              <w:rPr>
                <w:rFonts w:hint="default" w:ascii="Times New Roman" w:hAnsi="Times New Roman" w:eastAsia="仿宋_GB2312" w:cs="Times New Roman"/>
                <w:bCs/>
                <w:color w:val="auto"/>
                <w:sz w:val="24"/>
                <w:szCs w:val="24"/>
                <w:highlight w:val="none"/>
                <w:lang w:val="en-US" w:eastAsia="zh-CN"/>
              </w:rPr>
              <w:t xml:space="preserve">《排污许可证申请与核发技术规范 </w:t>
            </w:r>
            <w:r>
              <w:rPr>
                <w:rFonts w:hint="eastAsia" w:ascii="Times New Roman" w:hAnsi="Times New Roman" w:eastAsia="仿宋_GB2312" w:cs="Times New Roman"/>
                <w:bCs/>
                <w:color w:val="auto"/>
                <w:sz w:val="24"/>
                <w:szCs w:val="24"/>
                <w:highlight w:val="none"/>
                <w:lang w:val="en-US" w:eastAsia="zh-CN"/>
              </w:rPr>
              <w:t>水处理（试行）</w:t>
            </w:r>
            <w:r>
              <w:rPr>
                <w:rFonts w:hint="default" w:ascii="Times New Roman" w:hAnsi="Times New Roman" w:eastAsia="仿宋_GB2312" w:cs="Times New Roman"/>
                <w:bCs/>
                <w:color w:val="auto"/>
                <w:sz w:val="24"/>
                <w:szCs w:val="24"/>
                <w:highlight w:val="none"/>
                <w:lang w:val="en-US" w:eastAsia="zh-CN"/>
              </w:rPr>
              <w:t>》（HJ9</w:t>
            </w:r>
            <w:r>
              <w:rPr>
                <w:rFonts w:hint="eastAsia" w:ascii="Times New Roman" w:hAnsi="Times New Roman" w:eastAsia="仿宋_GB2312" w:cs="Times New Roman"/>
                <w:bCs/>
                <w:color w:val="auto"/>
                <w:sz w:val="24"/>
                <w:szCs w:val="24"/>
                <w:highlight w:val="none"/>
                <w:lang w:val="en-US" w:eastAsia="zh-CN"/>
              </w:rPr>
              <w:t>78</w:t>
            </w:r>
            <w:r>
              <w:rPr>
                <w:rFonts w:hint="default" w:ascii="Times New Roman" w:hAnsi="Times New Roman" w:eastAsia="仿宋_GB2312" w:cs="Times New Roman"/>
                <w:bCs/>
                <w:color w:val="auto"/>
                <w:sz w:val="24"/>
                <w:szCs w:val="24"/>
                <w:highlight w:val="none"/>
                <w:lang w:val="en-US" w:eastAsia="zh-CN"/>
              </w:rPr>
              <w:t>-2018），监测要求及排放标准</w:t>
            </w:r>
            <w:r>
              <w:rPr>
                <w:rFonts w:hint="default" w:ascii="Times New Roman" w:hAnsi="Times New Roman" w:eastAsia="仿宋_GB2312" w:cs="Times New Roman"/>
                <w:color w:val="auto"/>
                <w:sz w:val="24"/>
                <w:szCs w:val="24"/>
                <w:highlight w:val="none"/>
                <w:lang w:val="en-US" w:eastAsia="zh-CN"/>
              </w:rPr>
              <w:t>见表</w:t>
            </w:r>
            <w:r>
              <w:rPr>
                <w:rFonts w:hint="eastAsia" w:ascii="Times New Roman" w:hAnsi="Times New Roman" w:eastAsia="仿宋_GB2312" w:cs="Times New Roman"/>
                <w:color w:val="auto"/>
                <w:sz w:val="24"/>
                <w:szCs w:val="24"/>
                <w:highlight w:val="none"/>
                <w:lang w:val="en-US" w:eastAsia="zh-CN"/>
              </w:rPr>
              <w:t>4-13</w:t>
            </w:r>
            <w:r>
              <w:rPr>
                <w:rFonts w:hint="default" w:ascii="Times New Roman" w:hAnsi="Times New Roman" w:eastAsia="仿宋_GB2312" w:cs="Times New Roman"/>
                <w:color w:val="auto"/>
                <w:sz w:val="24"/>
                <w:szCs w:val="24"/>
                <w:highlight w:val="none"/>
                <w:lang w:val="en-US" w:eastAsia="zh-CN"/>
              </w:rPr>
              <w:t>。</w:t>
            </w:r>
          </w:p>
          <w:p w14:paraId="69C21A10">
            <w:pPr>
              <w:adjustRightInd w:val="0"/>
              <w:snapToGrid w:val="0"/>
              <w:jc w:val="center"/>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 w:val="0"/>
                <w:bCs/>
                <w:color w:val="auto"/>
                <w:spacing w:val="-10"/>
                <w:sz w:val="21"/>
                <w:szCs w:val="21"/>
                <w:highlight w:val="none"/>
              </w:rPr>
              <w:t>表</w:t>
            </w:r>
            <w:r>
              <w:rPr>
                <w:rFonts w:hint="eastAsia" w:ascii="Times New Roman" w:hAnsi="Times New Roman" w:eastAsia="宋体" w:cs="Times New Roman"/>
                <w:b w:val="0"/>
                <w:bCs/>
                <w:color w:val="auto"/>
                <w:spacing w:val="-10"/>
                <w:sz w:val="21"/>
                <w:szCs w:val="21"/>
                <w:highlight w:val="none"/>
                <w:lang w:val="en-US" w:eastAsia="zh-CN"/>
              </w:rPr>
              <w:t>4-13</w:t>
            </w:r>
            <w:r>
              <w:rPr>
                <w:rFonts w:hint="default" w:ascii="Times New Roman" w:hAnsi="Times New Roman" w:eastAsia="宋体" w:cs="Times New Roman"/>
                <w:b/>
                <w:color w:val="auto"/>
                <w:spacing w:val="-10"/>
                <w:szCs w:val="21"/>
                <w:highlight w:val="none"/>
                <w:lang w:val="en-US" w:eastAsia="zh-CN"/>
              </w:rPr>
              <w:t xml:space="preserve">    </w:t>
            </w:r>
            <w:r>
              <w:rPr>
                <w:rFonts w:hint="default" w:ascii="Times New Roman" w:hAnsi="Times New Roman" w:eastAsia="宋体" w:cs="Times New Roman"/>
                <w:b/>
                <w:color w:val="auto"/>
                <w:spacing w:val="-10"/>
                <w:szCs w:val="21"/>
                <w:highlight w:val="none"/>
              </w:rPr>
              <w:t>本项目监测要求及排放标准一览表</w:t>
            </w:r>
          </w:p>
          <w:tbl>
            <w:tblPr>
              <w:tblStyle w:val="26"/>
              <w:tblW w:w="805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70"/>
              <w:gridCol w:w="3325"/>
              <w:gridCol w:w="1288"/>
              <w:gridCol w:w="2267"/>
            </w:tblGrid>
            <w:tr w14:paraId="74603D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6" w:type="pct"/>
                  <w:tcBorders>
                    <w:tl2br w:val="nil"/>
                    <w:tr2bl w:val="nil"/>
                  </w:tcBorders>
                  <w:noWrap w:val="0"/>
                  <w:tcMar>
                    <w:top w:w="12" w:type="dxa"/>
                    <w:left w:w="12" w:type="dxa"/>
                    <w:right w:w="12" w:type="dxa"/>
                  </w:tcMar>
                  <w:vAlign w:val="center"/>
                </w:tcPr>
                <w:p w14:paraId="162BEFC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监测点位</w:t>
                  </w:r>
                </w:p>
              </w:tc>
              <w:tc>
                <w:tcPr>
                  <w:tcW w:w="2065" w:type="pct"/>
                  <w:tcBorders>
                    <w:tl2br w:val="nil"/>
                    <w:tr2bl w:val="nil"/>
                  </w:tcBorders>
                  <w:noWrap w:val="0"/>
                  <w:tcMar>
                    <w:top w:w="12" w:type="dxa"/>
                    <w:left w:w="12" w:type="dxa"/>
                    <w:right w:w="12" w:type="dxa"/>
                  </w:tcMar>
                  <w:vAlign w:val="center"/>
                </w:tcPr>
                <w:p w14:paraId="641303A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监测因子</w:t>
                  </w:r>
                </w:p>
              </w:tc>
              <w:tc>
                <w:tcPr>
                  <w:tcW w:w="800" w:type="pct"/>
                  <w:tcBorders>
                    <w:tl2br w:val="nil"/>
                    <w:tr2bl w:val="nil"/>
                  </w:tcBorders>
                  <w:noWrap w:val="0"/>
                  <w:tcMar>
                    <w:top w:w="12" w:type="dxa"/>
                    <w:left w:w="12" w:type="dxa"/>
                    <w:right w:w="12" w:type="dxa"/>
                  </w:tcMar>
                  <w:vAlign w:val="center"/>
                </w:tcPr>
                <w:p w14:paraId="15642BF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监测频次</w:t>
                  </w:r>
                </w:p>
              </w:tc>
              <w:tc>
                <w:tcPr>
                  <w:tcW w:w="1408" w:type="pct"/>
                  <w:tcBorders>
                    <w:right w:val="single" w:color="000000" w:sz="12" w:space="0"/>
                    <w:tl2br w:val="nil"/>
                    <w:tr2bl w:val="nil"/>
                  </w:tcBorders>
                  <w:noWrap w:val="0"/>
                  <w:tcMar>
                    <w:top w:w="12" w:type="dxa"/>
                    <w:left w:w="12" w:type="dxa"/>
                    <w:right w:w="12" w:type="dxa"/>
                  </w:tcMar>
                  <w:vAlign w:val="center"/>
                </w:tcPr>
                <w:p w14:paraId="34D7D42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执行排放标准</w:t>
                  </w:r>
                </w:p>
              </w:tc>
            </w:tr>
            <w:tr w14:paraId="2A69D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6" w:type="pct"/>
                  <w:vMerge w:val="restart"/>
                  <w:tcBorders>
                    <w:tl2br w:val="nil"/>
                    <w:tr2bl w:val="nil"/>
                  </w:tcBorders>
                  <w:noWrap w:val="0"/>
                  <w:tcMar>
                    <w:top w:w="12" w:type="dxa"/>
                    <w:left w:w="12" w:type="dxa"/>
                    <w:right w:w="12" w:type="dxa"/>
                  </w:tcMar>
                  <w:vAlign w:val="center"/>
                </w:tcPr>
                <w:p w14:paraId="1ECD93E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eastAsia="zh-CN"/>
                    </w:rPr>
                    <w:t>进水总管</w:t>
                  </w:r>
                </w:p>
              </w:tc>
              <w:tc>
                <w:tcPr>
                  <w:tcW w:w="2065" w:type="pct"/>
                  <w:tcBorders>
                    <w:tl2br w:val="nil"/>
                    <w:tr2bl w:val="nil"/>
                  </w:tcBorders>
                  <w:noWrap w:val="0"/>
                  <w:tcMar>
                    <w:top w:w="12" w:type="dxa"/>
                    <w:left w:w="12" w:type="dxa"/>
                    <w:right w:w="12" w:type="dxa"/>
                  </w:tcMar>
                  <w:vAlign w:val="center"/>
                </w:tcPr>
                <w:p w14:paraId="652EDFE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流量、化学需氧量、氨氮</w:t>
                  </w:r>
                </w:p>
              </w:tc>
              <w:tc>
                <w:tcPr>
                  <w:tcW w:w="800" w:type="pct"/>
                  <w:tcBorders>
                    <w:tl2br w:val="nil"/>
                    <w:tr2bl w:val="nil"/>
                  </w:tcBorders>
                  <w:noWrap w:val="0"/>
                  <w:tcMar>
                    <w:top w:w="12" w:type="dxa"/>
                    <w:left w:w="12" w:type="dxa"/>
                    <w:right w:w="12" w:type="dxa"/>
                  </w:tcMar>
                  <w:vAlign w:val="center"/>
                </w:tcPr>
                <w:p w14:paraId="6DE6E0F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自动监测</w:t>
                  </w:r>
                </w:p>
              </w:tc>
              <w:tc>
                <w:tcPr>
                  <w:tcW w:w="1408" w:type="pct"/>
                  <w:vMerge w:val="restart"/>
                  <w:tcBorders>
                    <w:right w:val="single" w:color="000000" w:sz="12" w:space="0"/>
                    <w:tl2br w:val="nil"/>
                    <w:tr2bl w:val="nil"/>
                  </w:tcBorders>
                  <w:noWrap w:val="0"/>
                  <w:tcMar>
                    <w:top w:w="12" w:type="dxa"/>
                    <w:left w:w="12" w:type="dxa"/>
                    <w:right w:w="12" w:type="dxa"/>
                  </w:tcMar>
                  <w:vAlign w:val="center"/>
                </w:tcPr>
                <w:p w14:paraId="30030FA2">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14:paraId="462E07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6" w:type="pct"/>
                  <w:vMerge w:val="continue"/>
                  <w:tcBorders>
                    <w:tl2br w:val="nil"/>
                    <w:tr2bl w:val="nil"/>
                  </w:tcBorders>
                  <w:noWrap w:val="0"/>
                  <w:tcMar>
                    <w:top w:w="12" w:type="dxa"/>
                    <w:left w:w="12" w:type="dxa"/>
                    <w:right w:w="12" w:type="dxa"/>
                  </w:tcMar>
                  <w:vAlign w:val="center"/>
                </w:tcPr>
                <w:p w14:paraId="76595D4A">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eastAsia="zh-CN"/>
                    </w:rPr>
                  </w:pPr>
                </w:p>
              </w:tc>
              <w:tc>
                <w:tcPr>
                  <w:tcW w:w="2065" w:type="pct"/>
                  <w:tcBorders>
                    <w:tl2br w:val="nil"/>
                    <w:tr2bl w:val="nil"/>
                  </w:tcBorders>
                  <w:noWrap w:val="0"/>
                  <w:tcMar>
                    <w:top w:w="12" w:type="dxa"/>
                    <w:left w:w="12" w:type="dxa"/>
                    <w:right w:w="12" w:type="dxa"/>
                  </w:tcMar>
                  <w:vAlign w:val="center"/>
                </w:tcPr>
                <w:p w14:paraId="2761C42F">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总磷、总氮</w:t>
                  </w:r>
                </w:p>
              </w:tc>
              <w:tc>
                <w:tcPr>
                  <w:tcW w:w="800" w:type="pct"/>
                  <w:tcBorders>
                    <w:tl2br w:val="nil"/>
                    <w:tr2bl w:val="nil"/>
                  </w:tcBorders>
                  <w:noWrap w:val="0"/>
                  <w:tcMar>
                    <w:top w:w="12" w:type="dxa"/>
                    <w:left w:w="12" w:type="dxa"/>
                    <w:right w:w="12" w:type="dxa"/>
                  </w:tcMar>
                  <w:vAlign w:val="center"/>
                </w:tcPr>
                <w:p w14:paraId="4DED72C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日</w:t>
                  </w:r>
                </w:p>
              </w:tc>
              <w:tc>
                <w:tcPr>
                  <w:tcW w:w="1408" w:type="pct"/>
                  <w:vMerge w:val="continue"/>
                  <w:tcBorders>
                    <w:right w:val="single" w:color="000000" w:sz="12" w:space="0"/>
                    <w:tl2br w:val="nil"/>
                    <w:tr2bl w:val="nil"/>
                  </w:tcBorders>
                  <w:noWrap w:val="0"/>
                  <w:tcMar>
                    <w:top w:w="12" w:type="dxa"/>
                    <w:left w:w="12" w:type="dxa"/>
                    <w:right w:w="12" w:type="dxa"/>
                  </w:tcMar>
                  <w:vAlign w:val="center"/>
                </w:tcPr>
                <w:p w14:paraId="582CED61">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p>
              </w:tc>
            </w:tr>
            <w:tr w14:paraId="5D3C15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6" w:type="pct"/>
                  <w:vMerge w:val="restart"/>
                  <w:tcBorders>
                    <w:tl2br w:val="nil"/>
                    <w:tr2bl w:val="nil"/>
                  </w:tcBorders>
                  <w:noWrap w:val="0"/>
                  <w:tcMar>
                    <w:top w:w="12" w:type="dxa"/>
                    <w:left w:w="12" w:type="dxa"/>
                    <w:right w:w="12" w:type="dxa"/>
                  </w:tcMar>
                  <w:vAlign w:val="center"/>
                </w:tcPr>
                <w:p w14:paraId="44BAEBC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排放口</w:t>
                  </w:r>
                  <w:r>
                    <w:rPr>
                      <w:rFonts w:hint="eastAsia" w:ascii="Times New Roman" w:hAnsi="Times New Roman" w:eastAsia="宋体" w:cs="Times New Roman"/>
                      <w:color w:val="auto"/>
                      <w:kern w:val="0"/>
                      <w:sz w:val="21"/>
                      <w:szCs w:val="21"/>
                      <w:highlight w:val="none"/>
                      <w:lang w:val="en-US" w:eastAsia="zh-CN"/>
                    </w:rPr>
                    <w:t>DW001</w:t>
                  </w:r>
                </w:p>
              </w:tc>
              <w:tc>
                <w:tcPr>
                  <w:tcW w:w="2065" w:type="pct"/>
                  <w:tcBorders>
                    <w:tl2br w:val="nil"/>
                    <w:tr2bl w:val="nil"/>
                  </w:tcBorders>
                  <w:noWrap w:val="0"/>
                  <w:tcMar>
                    <w:top w:w="12" w:type="dxa"/>
                    <w:left w:w="12" w:type="dxa"/>
                    <w:right w:w="12" w:type="dxa"/>
                  </w:tcMar>
                  <w:vAlign w:val="center"/>
                </w:tcPr>
                <w:p w14:paraId="34D2EA4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流量、pH值、水温、化学需氧量、氨氮、总磷、总氮</w:t>
                  </w:r>
                </w:p>
              </w:tc>
              <w:tc>
                <w:tcPr>
                  <w:tcW w:w="800" w:type="pct"/>
                  <w:tcBorders>
                    <w:tl2br w:val="nil"/>
                    <w:tr2bl w:val="nil"/>
                  </w:tcBorders>
                  <w:noWrap w:val="0"/>
                  <w:tcMar>
                    <w:top w:w="12" w:type="dxa"/>
                    <w:left w:w="12" w:type="dxa"/>
                    <w:right w:w="12" w:type="dxa"/>
                  </w:tcMar>
                  <w:vAlign w:val="center"/>
                </w:tcPr>
                <w:p w14:paraId="1CDBA623">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自动监测</w:t>
                  </w:r>
                </w:p>
              </w:tc>
              <w:tc>
                <w:tcPr>
                  <w:tcW w:w="1408" w:type="pct"/>
                  <w:vMerge w:val="restart"/>
                  <w:tcBorders>
                    <w:right w:val="single" w:color="000000" w:sz="12" w:space="0"/>
                    <w:tl2br w:val="nil"/>
                    <w:tr2bl w:val="nil"/>
                  </w:tcBorders>
                  <w:noWrap w:val="0"/>
                  <w:tcMar>
                    <w:top w:w="12" w:type="dxa"/>
                    <w:left w:w="12" w:type="dxa"/>
                    <w:right w:w="12" w:type="dxa"/>
                  </w:tcMar>
                  <w:vAlign w:val="center"/>
                </w:tcPr>
                <w:p w14:paraId="021140BE">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执行《城镇污水处理厂污染物排放标准》(GB18918-2002)一级A标准</w:t>
                  </w:r>
                  <w:r>
                    <w:rPr>
                      <w:rFonts w:hint="eastAsia" w:ascii="Times New Roman" w:hAnsi="Times New Roman" w:eastAsia="宋体" w:cs="Times New Roman"/>
                      <w:color w:val="auto"/>
                      <w:kern w:val="0"/>
                      <w:sz w:val="21"/>
                      <w:szCs w:val="21"/>
                      <w:highlight w:val="none"/>
                      <w:lang w:eastAsia="zh-CN"/>
                    </w:rPr>
                    <w:t>；《城市污水再生利用 城市杂用水水质》（GB/T18920-2020）表1中城市绿化相关标准。</w:t>
                  </w:r>
                </w:p>
              </w:tc>
            </w:tr>
            <w:tr w14:paraId="72A473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6" w:type="pct"/>
                  <w:vMerge w:val="continue"/>
                  <w:tcBorders>
                    <w:tl2br w:val="nil"/>
                    <w:tr2bl w:val="nil"/>
                  </w:tcBorders>
                  <w:noWrap w:val="0"/>
                  <w:tcMar>
                    <w:top w:w="12" w:type="dxa"/>
                    <w:left w:w="12" w:type="dxa"/>
                    <w:right w:w="12" w:type="dxa"/>
                  </w:tcMar>
                  <w:vAlign w:val="center"/>
                </w:tcPr>
                <w:p w14:paraId="6ACFC07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p>
              </w:tc>
              <w:tc>
                <w:tcPr>
                  <w:tcW w:w="2065" w:type="pct"/>
                  <w:tcBorders>
                    <w:tl2br w:val="nil"/>
                    <w:tr2bl w:val="nil"/>
                  </w:tcBorders>
                  <w:noWrap w:val="0"/>
                  <w:tcMar>
                    <w:top w:w="12" w:type="dxa"/>
                    <w:left w:w="12" w:type="dxa"/>
                    <w:right w:w="12" w:type="dxa"/>
                  </w:tcMar>
                  <w:vAlign w:val="center"/>
                </w:tcPr>
                <w:p w14:paraId="0CE4BB0D">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悬浮物、色度、五日生化需氧量、动植物油、石油类、阴离子表面活性剂、分大肠杆菌群数</w:t>
                  </w:r>
                </w:p>
              </w:tc>
              <w:tc>
                <w:tcPr>
                  <w:tcW w:w="800" w:type="pct"/>
                  <w:tcBorders>
                    <w:tl2br w:val="nil"/>
                    <w:tr2bl w:val="nil"/>
                  </w:tcBorders>
                  <w:noWrap w:val="0"/>
                  <w:tcMar>
                    <w:top w:w="12" w:type="dxa"/>
                    <w:left w:w="12" w:type="dxa"/>
                    <w:right w:w="12" w:type="dxa"/>
                  </w:tcMar>
                  <w:vAlign w:val="center"/>
                </w:tcPr>
                <w:p w14:paraId="513FEF75">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季度</w:t>
                  </w:r>
                </w:p>
              </w:tc>
              <w:tc>
                <w:tcPr>
                  <w:tcW w:w="1408" w:type="pct"/>
                  <w:vMerge w:val="continue"/>
                  <w:tcBorders>
                    <w:right w:val="single" w:color="000000" w:sz="12" w:space="0"/>
                    <w:tl2br w:val="nil"/>
                    <w:tr2bl w:val="nil"/>
                  </w:tcBorders>
                  <w:noWrap w:val="0"/>
                  <w:tcMar>
                    <w:top w:w="12" w:type="dxa"/>
                    <w:left w:w="12" w:type="dxa"/>
                    <w:right w:w="12" w:type="dxa"/>
                  </w:tcMar>
                  <w:vAlign w:val="center"/>
                </w:tcPr>
                <w:p w14:paraId="7E5C0B9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p>
              </w:tc>
            </w:tr>
            <w:tr w14:paraId="5C69DC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6" w:type="pct"/>
                  <w:vMerge w:val="continue"/>
                  <w:tcBorders>
                    <w:tl2br w:val="nil"/>
                    <w:tr2bl w:val="nil"/>
                  </w:tcBorders>
                  <w:noWrap w:val="0"/>
                  <w:tcMar>
                    <w:top w:w="12" w:type="dxa"/>
                    <w:left w:w="12" w:type="dxa"/>
                    <w:right w:w="12" w:type="dxa"/>
                  </w:tcMar>
                  <w:vAlign w:val="center"/>
                </w:tcPr>
                <w:p w14:paraId="0FA1DB6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p>
              </w:tc>
              <w:tc>
                <w:tcPr>
                  <w:tcW w:w="2065" w:type="pct"/>
                  <w:tcBorders>
                    <w:tl2br w:val="nil"/>
                    <w:tr2bl w:val="nil"/>
                  </w:tcBorders>
                  <w:noWrap w:val="0"/>
                  <w:tcMar>
                    <w:top w:w="12" w:type="dxa"/>
                    <w:left w:w="12" w:type="dxa"/>
                    <w:right w:w="12" w:type="dxa"/>
                  </w:tcMar>
                  <w:vAlign w:val="center"/>
                </w:tcPr>
                <w:p w14:paraId="0C924C9D">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总镉、铬、总汞、总铅、总砷、六价铬</w:t>
                  </w:r>
                </w:p>
              </w:tc>
              <w:tc>
                <w:tcPr>
                  <w:tcW w:w="800" w:type="pct"/>
                  <w:tcBorders>
                    <w:tl2br w:val="nil"/>
                    <w:tr2bl w:val="nil"/>
                  </w:tcBorders>
                  <w:noWrap w:val="0"/>
                  <w:tcMar>
                    <w:top w:w="12" w:type="dxa"/>
                    <w:left w:w="12" w:type="dxa"/>
                    <w:right w:w="12" w:type="dxa"/>
                  </w:tcMar>
                  <w:vAlign w:val="center"/>
                </w:tcPr>
                <w:p w14:paraId="17A86AAB">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半年</w:t>
                  </w:r>
                </w:p>
              </w:tc>
              <w:tc>
                <w:tcPr>
                  <w:tcW w:w="1408" w:type="pct"/>
                  <w:vMerge w:val="continue"/>
                  <w:tcBorders>
                    <w:right w:val="single" w:color="000000" w:sz="12" w:space="0"/>
                    <w:tl2br w:val="nil"/>
                    <w:tr2bl w:val="nil"/>
                  </w:tcBorders>
                  <w:noWrap w:val="0"/>
                  <w:tcMar>
                    <w:top w:w="12" w:type="dxa"/>
                    <w:left w:w="12" w:type="dxa"/>
                    <w:right w:w="12" w:type="dxa"/>
                  </w:tcMar>
                  <w:vAlign w:val="center"/>
                </w:tcPr>
                <w:p w14:paraId="0F5C2C4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p>
              </w:tc>
            </w:tr>
            <w:tr w14:paraId="741B2C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6" w:type="pct"/>
                  <w:vMerge w:val="continue"/>
                  <w:tcBorders>
                    <w:tl2br w:val="nil"/>
                    <w:tr2bl w:val="nil"/>
                  </w:tcBorders>
                  <w:noWrap w:val="0"/>
                  <w:tcMar>
                    <w:top w:w="12" w:type="dxa"/>
                    <w:left w:w="12" w:type="dxa"/>
                    <w:right w:w="12" w:type="dxa"/>
                  </w:tcMar>
                  <w:vAlign w:val="center"/>
                </w:tcPr>
                <w:p w14:paraId="67F433C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p>
              </w:tc>
              <w:tc>
                <w:tcPr>
                  <w:tcW w:w="2065" w:type="pct"/>
                  <w:tcBorders>
                    <w:tl2br w:val="nil"/>
                    <w:tr2bl w:val="nil"/>
                  </w:tcBorders>
                  <w:noWrap w:val="0"/>
                  <w:tcMar>
                    <w:top w:w="12" w:type="dxa"/>
                    <w:left w:w="12" w:type="dxa"/>
                    <w:right w:w="12" w:type="dxa"/>
                  </w:tcMar>
                  <w:vAlign w:val="center"/>
                </w:tcPr>
                <w:p w14:paraId="0907281F">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烷基汞</w:t>
                  </w:r>
                </w:p>
              </w:tc>
              <w:tc>
                <w:tcPr>
                  <w:tcW w:w="800" w:type="pct"/>
                  <w:tcBorders>
                    <w:tl2br w:val="nil"/>
                    <w:tr2bl w:val="nil"/>
                  </w:tcBorders>
                  <w:noWrap w:val="0"/>
                  <w:tcMar>
                    <w:top w:w="12" w:type="dxa"/>
                    <w:left w:w="12" w:type="dxa"/>
                    <w:right w:w="12" w:type="dxa"/>
                  </w:tcMar>
                  <w:vAlign w:val="center"/>
                </w:tcPr>
                <w:p w14:paraId="6B89425B">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半年</w:t>
                  </w:r>
                </w:p>
              </w:tc>
              <w:tc>
                <w:tcPr>
                  <w:tcW w:w="1408" w:type="pct"/>
                  <w:vMerge w:val="continue"/>
                  <w:tcBorders>
                    <w:right w:val="single" w:color="000000" w:sz="12" w:space="0"/>
                    <w:tl2br w:val="nil"/>
                    <w:tr2bl w:val="nil"/>
                  </w:tcBorders>
                  <w:noWrap w:val="0"/>
                  <w:tcMar>
                    <w:top w:w="12" w:type="dxa"/>
                    <w:left w:w="12" w:type="dxa"/>
                    <w:right w:w="12" w:type="dxa"/>
                  </w:tcMar>
                  <w:vAlign w:val="center"/>
                </w:tcPr>
                <w:p w14:paraId="7724C4B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p>
              </w:tc>
            </w:tr>
            <w:tr w14:paraId="7355C6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6" w:type="pct"/>
                  <w:tcBorders>
                    <w:tl2br w:val="nil"/>
                    <w:tr2bl w:val="nil"/>
                  </w:tcBorders>
                  <w:noWrap w:val="0"/>
                  <w:tcMar>
                    <w:top w:w="12" w:type="dxa"/>
                    <w:left w:w="12" w:type="dxa"/>
                    <w:right w:w="12" w:type="dxa"/>
                  </w:tcMar>
                  <w:vAlign w:val="center"/>
                </w:tcPr>
                <w:p w14:paraId="398C744D">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雨水排放口</w:t>
                  </w:r>
                </w:p>
              </w:tc>
              <w:tc>
                <w:tcPr>
                  <w:tcW w:w="2065" w:type="pct"/>
                  <w:tcBorders>
                    <w:tl2br w:val="nil"/>
                    <w:tr2bl w:val="nil"/>
                  </w:tcBorders>
                  <w:noWrap w:val="0"/>
                  <w:tcMar>
                    <w:top w:w="12" w:type="dxa"/>
                    <w:left w:w="12" w:type="dxa"/>
                    <w:right w:w="12" w:type="dxa"/>
                  </w:tcMar>
                  <w:vAlign w:val="center"/>
                </w:tcPr>
                <w:p w14:paraId="4193788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pH、化学需氧量、氨氮、悬浮物</w:t>
                  </w:r>
                </w:p>
              </w:tc>
              <w:tc>
                <w:tcPr>
                  <w:tcW w:w="800" w:type="pct"/>
                  <w:tcBorders>
                    <w:tl2br w:val="nil"/>
                    <w:tr2bl w:val="nil"/>
                  </w:tcBorders>
                  <w:noWrap w:val="0"/>
                  <w:tcMar>
                    <w:top w:w="12" w:type="dxa"/>
                    <w:left w:w="12" w:type="dxa"/>
                    <w:right w:w="12" w:type="dxa"/>
                  </w:tcMar>
                  <w:vAlign w:val="center"/>
                </w:tcPr>
                <w:p w14:paraId="015E048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月</w:t>
                  </w:r>
                  <w:r>
                    <w:rPr>
                      <w:rFonts w:hint="eastAsia" w:ascii="Times New Roman" w:hAnsi="Times New Roman" w:eastAsia="宋体" w:cs="Times New Roman"/>
                      <w:color w:val="auto"/>
                      <w:kern w:val="0"/>
                      <w:sz w:val="21"/>
                      <w:szCs w:val="21"/>
                      <w:highlight w:val="none"/>
                      <w:vertAlign w:val="superscript"/>
                      <w:lang w:val="en-US" w:eastAsia="zh-CN"/>
                    </w:rPr>
                    <w:t>a</w:t>
                  </w:r>
                </w:p>
              </w:tc>
              <w:tc>
                <w:tcPr>
                  <w:tcW w:w="1408" w:type="pct"/>
                  <w:vMerge w:val="continue"/>
                  <w:tcBorders>
                    <w:right w:val="single" w:color="000000" w:sz="12" w:space="0"/>
                    <w:tl2br w:val="nil"/>
                    <w:tr2bl w:val="nil"/>
                  </w:tcBorders>
                  <w:noWrap w:val="0"/>
                  <w:tcMar>
                    <w:top w:w="12" w:type="dxa"/>
                    <w:left w:w="12" w:type="dxa"/>
                    <w:right w:w="12" w:type="dxa"/>
                  </w:tcMar>
                  <w:vAlign w:val="center"/>
                </w:tcPr>
                <w:p w14:paraId="3E4A240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p>
              </w:tc>
            </w:tr>
            <w:tr w14:paraId="0C6E6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4"/>
                  <w:tcBorders>
                    <w:right w:val="single" w:color="000000" w:sz="12" w:space="0"/>
                    <w:tl2br w:val="nil"/>
                    <w:tr2bl w:val="nil"/>
                  </w:tcBorders>
                  <w:noWrap w:val="0"/>
                  <w:tcMar>
                    <w:top w:w="12" w:type="dxa"/>
                    <w:left w:w="12" w:type="dxa"/>
                    <w:right w:w="12" w:type="dxa"/>
                  </w:tcMar>
                  <w:vAlign w:val="center"/>
                </w:tcPr>
                <w:p w14:paraId="715D5523">
                  <w:pPr>
                    <w:keepNext w:val="0"/>
                    <w:keepLines w:val="0"/>
                    <w:pageBreakBefore w:val="0"/>
                    <w:widowControl/>
                    <w:kinsoku/>
                    <w:wordWrap/>
                    <w:overflowPunct/>
                    <w:topLinePunct w:val="0"/>
                    <w:autoSpaceDE/>
                    <w:autoSpaceDN/>
                    <w:bidi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A雨水排放口有流动水排放时按月监测。如监测一年无异常情况，可放宽至每季度开展一次监测。</w:t>
                  </w:r>
                </w:p>
              </w:tc>
            </w:tr>
          </w:tbl>
          <w:p w14:paraId="5EA15BF3">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Cs/>
                <w:color w:val="auto"/>
                <w:sz w:val="24"/>
                <w:szCs w:val="24"/>
                <w:highlight w:val="none"/>
                <w:lang w:val="en-US" w:eastAsia="zh-CN"/>
              </w:rPr>
            </w:pPr>
            <w:r>
              <w:rPr>
                <w:rFonts w:hint="eastAsia" w:ascii="Times New Roman" w:hAnsi="Times New Roman" w:eastAsia="仿宋_GB2312" w:cs="Times New Roman"/>
                <w:b/>
                <w:color w:val="auto"/>
                <w:sz w:val="24"/>
                <w:szCs w:val="24"/>
                <w:highlight w:val="none"/>
                <w:lang w:val="en-US" w:eastAsia="zh-CN"/>
              </w:rPr>
              <w:t>(6)废水在线监测</w:t>
            </w:r>
          </w:p>
          <w:p w14:paraId="24963230">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为确保本项目污水处理设施能正常运行，不发生事故排放或偷排，在厂区废水</w:t>
            </w:r>
            <w:r>
              <w:rPr>
                <w:rFonts w:hint="eastAsia" w:ascii="Times New Roman" w:hAnsi="Times New Roman" w:eastAsia="仿宋_GB2312" w:cs="Times New Roman"/>
                <w:color w:val="auto"/>
                <w:sz w:val="24"/>
                <w:szCs w:val="24"/>
                <w:lang w:val="en-US" w:eastAsia="zh-CN"/>
              </w:rPr>
              <w:t>进水口、</w:t>
            </w:r>
            <w:r>
              <w:rPr>
                <w:rFonts w:hint="default" w:ascii="Times New Roman" w:hAnsi="Times New Roman" w:eastAsia="仿宋_GB2312" w:cs="Times New Roman"/>
                <w:color w:val="auto"/>
                <w:sz w:val="24"/>
                <w:szCs w:val="24"/>
              </w:rPr>
              <w:t>排放口安装自动在线监测装置，严密监视出水水质，发现异常情况时，及时调整运行参数，以控制和避免事故的发生。若在线监测显示废水无法达标排放，建设单位应及时将站内污水收集至事故水池，若经调整后仍无法达标排放，则应停止生产。</w:t>
            </w:r>
          </w:p>
          <w:p w14:paraId="4E77D657">
            <w:pPr>
              <w:adjustRightInd w:val="0"/>
              <w:snapToGrid w:val="0"/>
              <w:spacing w:line="360" w:lineRule="auto"/>
              <w:ind w:firstLine="480" w:firstLineChars="200"/>
              <w:rPr>
                <w:rFonts w:hint="eastAsia" w:ascii="Times New Roman" w:hAnsi="Times New Roman" w:eastAsia="仿宋_GB2312" w:cs="Times New Roman"/>
                <w:b/>
                <w:color w:val="auto"/>
                <w:sz w:val="24"/>
                <w:szCs w:val="24"/>
                <w:highlight w:val="none"/>
                <w:lang w:val="en-US" w:eastAsia="zh-CN"/>
              </w:rPr>
            </w:pPr>
            <w:r>
              <w:rPr>
                <w:rFonts w:hint="eastAsia" w:eastAsia="仿宋_GB2312"/>
                <w:color w:val="auto"/>
                <w:sz w:val="24"/>
                <w:lang w:eastAsia="zh-CN"/>
              </w:rPr>
              <w:t>本项目</w:t>
            </w:r>
            <w:r>
              <w:rPr>
                <w:rFonts w:hint="default" w:ascii="Calibri" w:hAnsi="Calibri" w:eastAsia="仿宋_GB2312"/>
                <w:color w:val="auto"/>
                <w:sz w:val="24"/>
              </w:rPr>
              <w:t>污水处理站总排口</w:t>
            </w:r>
            <w:r>
              <w:rPr>
                <w:rFonts w:hint="eastAsia" w:eastAsia="仿宋_GB2312"/>
                <w:color w:val="auto"/>
                <w:sz w:val="24"/>
                <w:lang w:eastAsia="zh-CN"/>
              </w:rPr>
              <w:t>已配置废水在线监测设备，并于主管部门监测网络进行联接，</w:t>
            </w:r>
            <w:r>
              <w:rPr>
                <w:rFonts w:hint="eastAsia" w:eastAsia="仿宋_GB2312"/>
                <w:color w:val="auto"/>
                <w:sz w:val="24"/>
                <w:lang w:val="en-US" w:eastAsia="zh-CN"/>
              </w:rPr>
              <w:t>进水总管</w:t>
            </w:r>
            <w:r>
              <w:rPr>
                <w:rFonts w:hint="default" w:ascii="Calibri" w:hAnsi="Calibri" w:eastAsia="仿宋_GB2312"/>
                <w:color w:val="auto"/>
                <w:sz w:val="24"/>
              </w:rPr>
              <w:t>在线监测因子为流量</w:t>
            </w:r>
            <w:r>
              <w:rPr>
                <w:rFonts w:hint="eastAsia" w:ascii="Calibri" w:hAnsi="Calibri" w:eastAsia="仿宋_GB2312"/>
                <w:color w:val="auto"/>
                <w:sz w:val="24"/>
                <w:lang w:eastAsia="zh-CN"/>
              </w:rPr>
              <w:t>、</w:t>
            </w:r>
            <w:r>
              <w:rPr>
                <w:rFonts w:hint="default" w:ascii="Times New Roman" w:hAnsi="Times New Roman" w:eastAsia="仿宋_GB2312" w:cs="Times New Roman"/>
                <w:color w:val="auto"/>
                <w:sz w:val="24"/>
              </w:rPr>
              <w:t>COD、NH</w:t>
            </w:r>
            <w:r>
              <w:rPr>
                <w:rFonts w:hint="default" w:ascii="Times New Roman" w:hAnsi="Times New Roman" w:eastAsia="仿宋_GB2312" w:cs="Times New Roman"/>
                <w:color w:val="auto"/>
                <w:sz w:val="24"/>
                <w:vertAlign w:val="subscript"/>
              </w:rPr>
              <w:t>3</w:t>
            </w:r>
            <w:r>
              <w:rPr>
                <w:rFonts w:hint="default" w:ascii="Times New Roman" w:hAnsi="Times New Roman" w:eastAsia="仿宋_GB2312" w:cs="Times New Roman"/>
                <w:color w:val="auto"/>
                <w:sz w:val="24"/>
              </w:rPr>
              <w:t>-N</w:t>
            </w:r>
            <w:r>
              <w:rPr>
                <w:rFonts w:hint="eastAsia" w:ascii="Calibri" w:hAnsi="Calibri" w:eastAsia="仿宋_GB2312"/>
                <w:color w:val="auto"/>
                <w:sz w:val="24"/>
                <w:lang w:eastAsia="zh-CN"/>
              </w:rPr>
              <w:t>；</w:t>
            </w:r>
            <w:r>
              <w:rPr>
                <w:rFonts w:hint="eastAsia" w:ascii="Calibri" w:hAnsi="Calibri" w:eastAsia="仿宋_GB2312"/>
                <w:color w:val="auto"/>
                <w:sz w:val="24"/>
                <w:lang w:val="en-US" w:eastAsia="zh-CN"/>
              </w:rPr>
              <w:t>排水口在线监测因子为流量、pH值、水温、化学需氧量、氨氮、总磷、总氮。</w:t>
            </w:r>
          </w:p>
          <w:p w14:paraId="1EFB400F">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仿宋_GB2312" w:cs="Times New Roman"/>
                <w:b/>
                <w:bCs w:val="0"/>
                <w:color w:val="auto"/>
                <w:sz w:val="24"/>
                <w:szCs w:val="24"/>
                <w:highlight w:val="none"/>
                <w:lang w:eastAsia="zh-CN"/>
              </w:rPr>
            </w:pPr>
            <w:r>
              <w:rPr>
                <w:rFonts w:hint="eastAsia" w:ascii="Times New Roman" w:hAnsi="Times New Roman" w:eastAsia="仿宋_GB2312" w:cs="Times New Roman"/>
                <w:b/>
                <w:color w:val="auto"/>
                <w:sz w:val="24"/>
                <w:szCs w:val="24"/>
                <w:highlight w:val="none"/>
                <w:lang w:val="en-US" w:eastAsia="zh-CN"/>
              </w:rPr>
              <w:t>(7)水</w:t>
            </w:r>
            <w:r>
              <w:rPr>
                <w:rFonts w:hint="default" w:ascii="Times New Roman" w:hAnsi="Times New Roman" w:eastAsia="仿宋_GB2312" w:cs="Times New Roman"/>
                <w:b/>
                <w:color w:val="auto"/>
                <w:sz w:val="24"/>
                <w:szCs w:val="24"/>
                <w:highlight w:val="none"/>
                <w:lang w:eastAsia="zh-CN"/>
              </w:rPr>
              <w:t>环境影响分析结论</w:t>
            </w:r>
          </w:p>
          <w:p w14:paraId="28A572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本项目</w:t>
            </w:r>
            <w:r>
              <w:rPr>
                <w:rFonts w:hint="eastAsia" w:ascii="Times New Roman" w:hAnsi="Times New Roman" w:eastAsia="仿宋_GB2312" w:cs="Times New Roman"/>
                <w:color w:val="auto"/>
                <w:sz w:val="24"/>
                <w:szCs w:val="24"/>
                <w:highlight w:val="none"/>
                <w:lang w:eastAsia="zh-CN"/>
              </w:rPr>
              <w:t>废水经污水处理厂处理后</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bCs/>
                <w:color w:val="auto"/>
                <w:sz w:val="24"/>
                <w:szCs w:val="24"/>
                <w:highlight w:val="none"/>
                <w:lang w:val="en-US" w:eastAsia="zh-CN"/>
              </w:rPr>
              <w:t>满足</w:t>
            </w:r>
            <w:r>
              <w:rPr>
                <w:rFonts w:hint="default" w:ascii="Times New Roman" w:hAnsi="Times New Roman" w:eastAsia="仿宋_GB2312" w:cs="Times New Roman"/>
                <w:bCs/>
                <w:color w:val="auto"/>
                <w:sz w:val="24"/>
                <w:szCs w:val="24"/>
                <w:highlight w:val="none"/>
              </w:rPr>
              <w:t>《城镇污水处理厂污染物排放标准（修改单）》(GB18918-2002)一级A标准</w:t>
            </w:r>
            <w:r>
              <w:rPr>
                <w:rFonts w:hint="eastAsia" w:ascii="Times New Roman" w:hAnsi="Times New Roman" w:eastAsia="仿宋_GB2312" w:cs="Times New Roman"/>
                <w:bCs/>
                <w:color w:val="auto"/>
                <w:sz w:val="24"/>
                <w:szCs w:val="24"/>
                <w:highlight w:val="none"/>
                <w:lang w:val="en-US" w:eastAsia="zh-CN"/>
              </w:rPr>
              <w:t>后</w:t>
            </w:r>
            <w:r>
              <w:rPr>
                <w:rFonts w:hint="eastAsia" w:ascii="Times New Roman" w:hAnsi="Times New Roman" w:eastAsia="仿宋_GB2312" w:cs="Times New Roman"/>
                <w:bCs/>
                <w:color w:val="auto"/>
                <w:sz w:val="24"/>
                <w:szCs w:val="24"/>
                <w:highlight w:val="none"/>
                <w:lang w:eastAsia="zh-CN"/>
              </w:rPr>
              <w:t>排入污水处理厂东北侧洪水河。</w:t>
            </w:r>
            <w:r>
              <w:rPr>
                <w:rFonts w:hint="default" w:ascii="Times New Roman" w:hAnsi="Times New Roman" w:eastAsia="仿宋_GB2312" w:cs="Times New Roman"/>
                <w:bCs/>
                <w:color w:val="auto"/>
                <w:sz w:val="24"/>
                <w:szCs w:val="24"/>
                <w:highlight w:val="none"/>
                <w:lang w:val="en-US" w:eastAsia="zh-CN"/>
              </w:rPr>
              <w:t>其</w:t>
            </w:r>
            <w:r>
              <w:rPr>
                <w:rFonts w:hint="eastAsia" w:ascii="Times New Roman" w:hAnsi="Times New Roman" w:eastAsia="仿宋_GB2312" w:cs="Times New Roman"/>
                <w:bCs/>
                <w:color w:val="auto"/>
                <w:sz w:val="24"/>
                <w:szCs w:val="24"/>
                <w:highlight w:val="none"/>
                <w:lang w:val="en-US" w:eastAsia="zh-CN"/>
              </w:rPr>
              <w:t>处理工艺</w:t>
            </w:r>
            <w:r>
              <w:rPr>
                <w:rFonts w:hint="default" w:ascii="Times New Roman" w:hAnsi="Times New Roman" w:eastAsia="仿宋_GB2312" w:cs="Times New Roman"/>
                <w:color w:val="auto"/>
                <w:sz w:val="24"/>
                <w:szCs w:val="24"/>
                <w:highlight w:val="none"/>
                <w:lang w:eastAsia="zh-CN"/>
              </w:rPr>
              <w:t>符合</w:t>
            </w:r>
            <w:r>
              <w:rPr>
                <w:rFonts w:hint="default" w:ascii="Times New Roman" w:hAnsi="Times New Roman" w:eastAsia="仿宋_GB2312" w:cs="Times New Roman"/>
                <w:bCs/>
                <w:color w:val="auto"/>
                <w:sz w:val="24"/>
                <w:szCs w:val="24"/>
                <w:highlight w:val="none"/>
                <w:lang w:val="en-US" w:eastAsia="zh-CN"/>
              </w:rPr>
              <w:t>《排污许可证申请与核发技术规范 水处理（试行）》（HJ978-2018）</w:t>
            </w:r>
            <w:r>
              <w:rPr>
                <w:rFonts w:hint="default" w:ascii="Times New Roman" w:hAnsi="Times New Roman" w:eastAsia="仿宋_GB2312" w:cs="Times New Roman"/>
                <w:bCs/>
                <w:color w:val="auto"/>
                <w:sz w:val="24"/>
                <w:szCs w:val="24"/>
                <w:highlight w:val="none"/>
                <w:lang w:eastAsia="zh-CN"/>
              </w:rPr>
              <w:t>中相关防治技术要求；</w:t>
            </w:r>
            <w:r>
              <w:rPr>
                <w:rFonts w:hint="default" w:ascii="Times New Roman" w:hAnsi="Times New Roman" w:eastAsia="仿宋_GB2312" w:cs="Times New Roman"/>
                <w:bCs/>
                <w:color w:val="auto"/>
                <w:sz w:val="24"/>
                <w:szCs w:val="24"/>
                <w:highlight w:val="none"/>
                <w:lang w:val="en-US" w:eastAsia="zh-CN"/>
              </w:rPr>
              <w:t>因此，项目的建设对周围</w:t>
            </w:r>
            <w:r>
              <w:rPr>
                <w:rFonts w:hint="eastAsia" w:ascii="Times New Roman" w:hAnsi="Times New Roman" w:eastAsia="仿宋_GB2312" w:cs="Times New Roman"/>
                <w:bCs/>
                <w:color w:val="auto"/>
                <w:sz w:val="24"/>
                <w:szCs w:val="24"/>
                <w:highlight w:val="none"/>
                <w:lang w:val="en-US" w:eastAsia="zh-CN"/>
              </w:rPr>
              <w:t>水</w:t>
            </w:r>
            <w:r>
              <w:rPr>
                <w:rFonts w:hint="default" w:ascii="Times New Roman" w:hAnsi="Times New Roman" w:eastAsia="仿宋_GB2312" w:cs="Times New Roman"/>
                <w:bCs/>
                <w:color w:val="auto"/>
                <w:sz w:val="24"/>
                <w:szCs w:val="24"/>
                <w:highlight w:val="none"/>
                <w:lang w:val="en-US" w:eastAsia="zh-CN"/>
              </w:rPr>
              <w:t>环境影响较小。</w:t>
            </w:r>
          </w:p>
          <w:p w14:paraId="7D4A51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b w:val="0"/>
                <w:bCs/>
                <w:color w:val="auto"/>
                <w:sz w:val="24"/>
                <w:szCs w:val="24"/>
              </w:rPr>
              <w:t>根据对项目地表水环境影响</w:t>
            </w:r>
            <w:r>
              <w:rPr>
                <w:rFonts w:hint="eastAsia" w:ascii="Times New Roman" w:hAnsi="Times New Roman" w:eastAsia="仿宋_GB2312" w:cs="Times New Roman"/>
                <w:b w:val="0"/>
                <w:bCs/>
                <w:color w:val="auto"/>
                <w:sz w:val="24"/>
                <w:szCs w:val="24"/>
                <w:lang w:val="en-US" w:eastAsia="zh-CN"/>
              </w:rPr>
              <w:t>专项评价</w:t>
            </w:r>
            <w:r>
              <w:rPr>
                <w:rFonts w:hint="default" w:ascii="Times New Roman" w:hAnsi="Times New Roman" w:eastAsia="仿宋_GB2312" w:cs="Times New Roman"/>
                <w:b w:val="0"/>
                <w:bCs/>
                <w:color w:val="auto"/>
                <w:sz w:val="24"/>
                <w:szCs w:val="24"/>
              </w:rPr>
              <w:t>结果的综合分析，本项目符合国家和地方产业政策；符合相关规划要求；项目建成后通过生态恢复等措施，对周围地表水环境影响处于可接受水平。同时对经济效益、社会效益较好。因此，在建设单位认真落实各项污染治理措施，切实作好日常环保管理工作的基础上，从地表水环境保护的角度而言，本项目的建设是可行的。</w:t>
            </w:r>
          </w:p>
          <w:p w14:paraId="5F9D64F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3、噪声环境影响分析</w:t>
            </w:r>
          </w:p>
          <w:p w14:paraId="3A80D33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contextualSpacing/>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b/>
                <w:color w:val="auto"/>
                <w:sz w:val="24"/>
                <w:szCs w:val="24"/>
                <w:highlight w:val="none"/>
                <w:lang w:val="en-US" w:eastAsia="zh-CN"/>
              </w:rPr>
              <w:t>(1)</w:t>
            </w:r>
            <w:r>
              <w:rPr>
                <w:rFonts w:hint="default" w:ascii="Times New Roman" w:hAnsi="Times New Roman" w:eastAsia="仿宋_GB2312" w:cs="Times New Roman"/>
                <w:color w:val="auto"/>
                <w:sz w:val="24"/>
                <w:szCs w:val="24"/>
              </w:rPr>
              <w:t>噪声源强及建议降噪措施</w:t>
            </w:r>
          </w:p>
          <w:p w14:paraId="13D8C6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color w:val="auto"/>
                <w:sz w:val="24"/>
                <w:szCs w:val="24"/>
              </w:rPr>
              <w:t>本项目运营期噪声主要为搅拌机、风机、运输车辆等产生的机械噪声和交通噪声，噪声强度值在70～90dB(A)之间。项目主要设备噪声值见表</w:t>
            </w:r>
            <w:r>
              <w:rPr>
                <w:rFonts w:hint="eastAsia" w:ascii="Times New Roman" w:hAnsi="Times New Roman" w:eastAsia="仿宋_GB2312" w:cs="Times New Roman"/>
                <w:color w:val="auto"/>
                <w:sz w:val="24"/>
                <w:szCs w:val="24"/>
                <w:lang w:val="en-US" w:eastAsia="zh-CN"/>
              </w:rPr>
              <w:t>4-14</w:t>
            </w:r>
            <w:r>
              <w:rPr>
                <w:rFonts w:hint="default" w:ascii="Times New Roman" w:hAnsi="Times New Roman" w:eastAsia="仿宋_GB2312" w:cs="Times New Roman"/>
                <w:color w:val="auto"/>
                <w:sz w:val="24"/>
                <w:szCs w:val="24"/>
              </w:rPr>
              <w:t>。</w:t>
            </w:r>
          </w:p>
          <w:p w14:paraId="7FCA3E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snapToGrid w:val="0"/>
                <w:color w:val="auto"/>
                <w:sz w:val="32"/>
              </w:rPr>
            </w:pPr>
            <w:r>
              <w:rPr>
                <w:rFonts w:ascii="Times New Roman" w:hAnsi="Times New Roman" w:eastAsia="宋体" w:cs="Times New Roman"/>
                <w:color w:val="auto"/>
                <w:szCs w:val="21"/>
              </w:rPr>
              <w:t>表</w:t>
            </w:r>
            <w:r>
              <w:rPr>
                <w:rFonts w:hint="eastAsia" w:ascii="Times New Roman" w:hAnsi="Times New Roman" w:eastAsia="宋体" w:cs="Times New Roman"/>
                <w:color w:val="auto"/>
                <w:szCs w:val="21"/>
                <w:lang w:val="en-US" w:eastAsia="zh-CN"/>
              </w:rPr>
              <w:t>4-14</w:t>
            </w:r>
            <w:r>
              <w:rPr>
                <w:rFonts w:ascii="Times New Roman" w:hAnsi="Times New Roman" w:eastAsia="宋体" w:cs="Times New Roman"/>
                <w:color w:val="auto"/>
                <w:sz w:val="24"/>
              </w:rPr>
              <w:t xml:space="preserve">  </w:t>
            </w:r>
            <w:r>
              <w:rPr>
                <w:rFonts w:ascii="Times New Roman" w:hAnsi="Times New Roman" w:eastAsia="宋体" w:cs="Times New Roman"/>
                <w:color w:val="auto"/>
                <w:sz w:val="21"/>
                <w:szCs w:val="21"/>
              </w:rPr>
              <w:t xml:space="preserve">  </w:t>
            </w:r>
            <w:r>
              <w:rPr>
                <w:rFonts w:ascii="Times New Roman" w:hAnsi="Times New Roman" w:eastAsia="宋体" w:cs="Times New Roman"/>
                <w:b/>
                <w:bCs/>
                <w:color w:val="auto"/>
                <w:sz w:val="21"/>
                <w:szCs w:val="21"/>
              </w:rPr>
              <w:t>主要设备噪声值一览表</w:t>
            </w:r>
          </w:p>
          <w:tbl>
            <w:tblPr>
              <w:tblStyle w:val="26"/>
              <w:tblW w:w="8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117"/>
              <w:gridCol w:w="1505"/>
              <w:gridCol w:w="3421"/>
              <w:gridCol w:w="2007"/>
            </w:tblGrid>
            <w:tr w14:paraId="254FB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5" w:type="dxa"/>
                  <w:vAlign w:val="center"/>
                </w:tcPr>
                <w:p w14:paraId="0FF8C67D">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snapToGrid w:val="0"/>
                      <w:color w:val="auto"/>
                      <w:szCs w:val="21"/>
                      <w:lang w:bidi="ar"/>
                    </w:rPr>
                    <w:t>种类</w:t>
                  </w:r>
                </w:p>
              </w:tc>
              <w:tc>
                <w:tcPr>
                  <w:tcW w:w="1681" w:type="dxa"/>
                  <w:vAlign w:val="center"/>
                </w:tcPr>
                <w:p w14:paraId="35C2B48C">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snapToGrid w:val="0"/>
                      <w:color w:val="auto"/>
                      <w:szCs w:val="21"/>
                      <w:lang w:bidi="ar"/>
                    </w:rPr>
                    <w:t>源强（dB（A））</w:t>
                  </w:r>
                </w:p>
              </w:tc>
              <w:tc>
                <w:tcPr>
                  <w:tcW w:w="3841" w:type="dxa"/>
                  <w:vAlign w:val="center"/>
                </w:tcPr>
                <w:p w14:paraId="34794830">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snapToGrid w:val="0"/>
                      <w:color w:val="auto"/>
                      <w:szCs w:val="21"/>
                      <w:lang w:bidi="ar"/>
                    </w:rPr>
                    <w:t>治理措施</w:t>
                  </w:r>
                </w:p>
              </w:tc>
              <w:tc>
                <w:tcPr>
                  <w:tcW w:w="2247" w:type="dxa"/>
                </w:tcPr>
                <w:p w14:paraId="39D64797">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snapToGrid w:val="0"/>
                      <w:color w:val="auto"/>
                      <w:szCs w:val="21"/>
                      <w:lang w:bidi="ar"/>
                    </w:rPr>
                    <w:t>降噪后源强（dB（A））</w:t>
                  </w:r>
                </w:p>
              </w:tc>
            </w:tr>
            <w:tr w14:paraId="28107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5" w:type="dxa"/>
                  <w:vAlign w:val="center"/>
                </w:tcPr>
                <w:p w14:paraId="6E9DFD8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szCs w:val="21"/>
                      <w:lang w:bidi="ar"/>
                    </w:rPr>
                    <w:t>提升泵</w:t>
                  </w:r>
                </w:p>
              </w:tc>
              <w:tc>
                <w:tcPr>
                  <w:tcW w:w="1681" w:type="dxa"/>
                  <w:vAlign w:val="center"/>
                </w:tcPr>
                <w:p w14:paraId="1B18A73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szCs w:val="21"/>
                      <w:lang w:bidi="ar"/>
                    </w:rPr>
                    <w:t>80~90</w:t>
                  </w:r>
                </w:p>
              </w:tc>
              <w:tc>
                <w:tcPr>
                  <w:tcW w:w="3841" w:type="dxa"/>
                  <w:vAlign w:val="center"/>
                </w:tcPr>
                <w:p w14:paraId="38F327F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szCs w:val="21"/>
                      <w:lang w:bidi="ar"/>
                    </w:rPr>
                    <w:t>选低噪声设备、</w:t>
                  </w:r>
                  <w:bookmarkStart w:id="7" w:name="OLE_LINK31"/>
                  <w:r>
                    <w:rPr>
                      <w:rFonts w:hint="default" w:ascii="Times New Roman" w:hAnsi="Times New Roman" w:eastAsia="宋体" w:cs="Times New Roman"/>
                      <w:snapToGrid w:val="0"/>
                      <w:color w:val="auto"/>
                      <w:szCs w:val="21"/>
                      <w:lang w:bidi="ar"/>
                    </w:rPr>
                    <w:t>基础减震、消声、隔声</w:t>
                  </w:r>
                  <w:bookmarkEnd w:id="7"/>
                </w:p>
              </w:tc>
              <w:tc>
                <w:tcPr>
                  <w:tcW w:w="2247" w:type="dxa"/>
                  <w:vAlign w:val="center"/>
                </w:tcPr>
                <w:p w14:paraId="7F4AC57E">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snapToGrid w:val="0"/>
                      <w:color w:val="auto"/>
                      <w:kern w:val="0"/>
                      <w:szCs w:val="21"/>
                      <w:lang w:bidi="ar"/>
                    </w:rPr>
                    <w:t>70</w:t>
                  </w:r>
                </w:p>
              </w:tc>
            </w:tr>
            <w:tr w14:paraId="3A5A9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45" w:type="dxa"/>
                  <w:vAlign w:val="center"/>
                </w:tcPr>
                <w:p w14:paraId="2C01734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szCs w:val="21"/>
                      <w:lang w:bidi="ar"/>
                    </w:rPr>
                    <w:t>风机</w:t>
                  </w:r>
                </w:p>
              </w:tc>
              <w:tc>
                <w:tcPr>
                  <w:tcW w:w="1681" w:type="dxa"/>
                  <w:vAlign w:val="center"/>
                </w:tcPr>
                <w:p w14:paraId="71FAB02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szCs w:val="21"/>
                      <w:lang w:bidi="ar"/>
                    </w:rPr>
                    <w:t>80~90</w:t>
                  </w:r>
                </w:p>
              </w:tc>
              <w:tc>
                <w:tcPr>
                  <w:tcW w:w="3841" w:type="dxa"/>
                  <w:vAlign w:val="center"/>
                </w:tcPr>
                <w:p w14:paraId="10EF041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szCs w:val="21"/>
                      <w:lang w:bidi="ar"/>
                    </w:rPr>
                    <w:t>选低噪声设备、基础减震、消声、隔声</w:t>
                  </w:r>
                </w:p>
              </w:tc>
              <w:tc>
                <w:tcPr>
                  <w:tcW w:w="2247" w:type="dxa"/>
                  <w:vAlign w:val="center"/>
                </w:tcPr>
                <w:p w14:paraId="491763A2">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snapToGrid w:val="0"/>
                      <w:color w:val="auto"/>
                      <w:kern w:val="0"/>
                      <w:szCs w:val="21"/>
                      <w:lang w:bidi="ar"/>
                    </w:rPr>
                    <w:t>70</w:t>
                  </w:r>
                </w:p>
              </w:tc>
            </w:tr>
          </w:tbl>
          <w:p w14:paraId="02712CA5">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根据项目实际情况提供以下降噪措施：</w:t>
            </w:r>
          </w:p>
          <w:p w14:paraId="7552F555">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①设备选型上选择环保高效的低噪声设备：选用低噪声风机；所有传动系统均采用品牌减速机，运行平稳，噪音低</w:t>
            </w:r>
            <w:r>
              <w:rPr>
                <w:rFonts w:hint="default" w:ascii="Times New Roman" w:hAnsi="Times New Roman" w:eastAsia="仿宋_GB2312" w:cs="Times New Roman"/>
                <w:color w:val="auto"/>
                <w:sz w:val="24"/>
                <w:szCs w:val="24"/>
                <w:lang w:val="en-US" w:eastAsia="zh-CN"/>
              </w:rPr>
              <w:t>;</w:t>
            </w:r>
          </w:p>
          <w:p w14:paraId="1483D9F4">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②对固定的设备如搅拌机及物料传输装置采取加厚设备基础底板，加强设备基底，加装减振垫圈、消音装置等措施；</w:t>
            </w:r>
          </w:p>
          <w:p w14:paraId="1E87A6CE">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③合理规划运输车辆的运输路线，尽量避开环境敏感路段；</w:t>
            </w:r>
          </w:p>
          <w:p w14:paraId="0A39A8C1">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④加强生产设备的日常管理和维护，定期检查维修设备；</w:t>
            </w:r>
          </w:p>
          <w:p w14:paraId="2D4B5D4E">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⑤加强进出车辆的管理工作，文明生产，采取限速行驶、禁止鸣笛等措施；</w:t>
            </w:r>
          </w:p>
          <w:p w14:paraId="2397542C">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⑥加强厂区四周及道路两侧绿化带的建设，种植适宜区域生长的植被。</w:t>
            </w:r>
          </w:p>
          <w:p w14:paraId="22AAFCCD">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通过采取以上措施，厂界噪声可达到噪声执行《工业企业厂界环境噪声排放标准》（GB12348-2008）中</w:t>
            </w:r>
            <w:r>
              <w:rPr>
                <w:rFonts w:hint="eastAsia"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类标准要求。对周围环境影响较小。</w:t>
            </w:r>
          </w:p>
          <w:p w14:paraId="01659B96">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b/>
                <w:color w:val="auto"/>
                <w:sz w:val="24"/>
                <w:szCs w:val="24"/>
                <w:highlight w:val="none"/>
                <w:lang w:val="en-US" w:eastAsia="zh-CN"/>
              </w:rPr>
              <w:t>(2)</w:t>
            </w:r>
            <w:r>
              <w:rPr>
                <w:rFonts w:hint="default" w:ascii="Times New Roman" w:hAnsi="Times New Roman" w:eastAsia="仿宋_GB2312" w:cs="Times New Roman"/>
                <w:color w:val="auto"/>
                <w:sz w:val="24"/>
                <w:szCs w:val="24"/>
              </w:rPr>
              <w:t>噪声</w:t>
            </w:r>
            <w:r>
              <w:rPr>
                <w:rFonts w:hint="default" w:ascii="Times New Roman" w:hAnsi="Times New Roman" w:eastAsia="仿宋_GB2312" w:cs="Times New Roman"/>
                <w:color w:val="auto"/>
                <w:sz w:val="24"/>
                <w:szCs w:val="24"/>
                <w:lang w:eastAsia="zh-CN"/>
              </w:rPr>
              <w:t>自行</w:t>
            </w:r>
            <w:r>
              <w:rPr>
                <w:rFonts w:hint="default" w:ascii="Times New Roman" w:hAnsi="Times New Roman" w:eastAsia="仿宋_GB2312" w:cs="Times New Roman"/>
                <w:color w:val="auto"/>
                <w:sz w:val="24"/>
                <w:szCs w:val="24"/>
              </w:rPr>
              <w:t>监测计划</w:t>
            </w:r>
          </w:p>
          <w:p w14:paraId="31E4C3B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kern w:val="2"/>
                <w:sz w:val="24"/>
                <w:szCs w:val="24"/>
                <w:lang w:val="en-US" w:eastAsia="zh-CN" w:bidi="ar-SA"/>
              </w:rPr>
              <w:t>本项目厂界噪声监测见表</w:t>
            </w:r>
            <w:r>
              <w:rPr>
                <w:rFonts w:hint="eastAsia" w:ascii="Times New Roman" w:hAnsi="Times New Roman" w:eastAsia="仿宋_GB2312" w:cs="Times New Roman"/>
                <w:color w:val="auto"/>
                <w:kern w:val="2"/>
                <w:sz w:val="24"/>
                <w:szCs w:val="24"/>
                <w:lang w:val="en-US" w:eastAsia="zh-CN" w:bidi="ar-SA"/>
              </w:rPr>
              <w:t>4-15</w:t>
            </w:r>
            <w:r>
              <w:rPr>
                <w:rFonts w:hint="default" w:ascii="Times New Roman" w:hAnsi="Times New Roman" w:eastAsia="仿宋_GB2312" w:cs="Times New Roman"/>
                <w:color w:val="auto"/>
                <w:kern w:val="2"/>
                <w:sz w:val="24"/>
                <w:szCs w:val="24"/>
                <w:lang w:val="en-US" w:eastAsia="zh-CN" w:bidi="ar-SA"/>
              </w:rPr>
              <w:t>。</w:t>
            </w:r>
          </w:p>
          <w:p w14:paraId="2CE11217">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b/>
                <w:color w:val="auto"/>
                <w:sz w:val="24"/>
              </w:rPr>
            </w:pPr>
            <w:r>
              <w:rPr>
                <w:rFonts w:hint="default" w:ascii="Times New Roman" w:hAnsi="Times New Roman" w:cs="Times New Roman"/>
                <w:b w:val="0"/>
                <w:bCs w:val="0"/>
                <w:color w:val="auto"/>
                <w:sz w:val="21"/>
                <w:szCs w:val="21"/>
                <w:lang w:eastAsia="zh-CN"/>
              </w:rPr>
              <w:t>表</w:t>
            </w:r>
            <w:r>
              <w:rPr>
                <w:rFonts w:hint="eastAsia" w:ascii="Times New Roman" w:hAnsi="Times New Roman" w:cs="Times New Roman"/>
                <w:b w:val="0"/>
                <w:bCs w:val="0"/>
                <w:color w:val="auto"/>
                <w:sz w:val="21"/>
                <w:szCs w:val="21"/>
                <w:lang w:val="en-US" w:eastAsia="zh-CN"/>
              </w:rPr>
              <w:t xml:space="preserve">4-15    </w:t>
            </w:r>
            <w:r>
              <w:rPr>
                <w:rFonts w:hint="eastAsia"/>
                <w:color w:val="auto"/>
                <w:sz w:val="21"/>
                <w:szCs w:val="21"/>
                <w:lang w:val="en-US" w:eastAsia="zh-CN"/>
              </w:rPr>
              <w:t>本项目噪声监测计划一览表</w:t>
            </w:r>
          </w:p>
          <w:tbl>
            <w:tblPr>
              <w:tblStyle w:val="26"/>
              <w:tblW w:w="4949"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2025"/>
              <w:gridCol w:w="1429"/>
              <w:gridCol w:w="1399"/>
              <w:gridCol w:w="2978"/>
            </w:tblGrid>
            <w:tr w14:paraId="775A838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1" w:type="dxa"/>
                  <w:noWrap w:val="0"/>
                  <w:vAlign w:val="center"/>
                </w:tcPr>
                <w:p w14:paraId="317E073F">
                  <w:pPr>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440" w:type="dxa"/>
                  <w:noWrap w:val="0"/>
                  <w:vAlign w:val="center"/>
                </w:tcPr>
                <w:p w14:paraId="1EECE101">
                  <w:pPr>
                    <w:bidi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监测指标</w:t>
                  </w:r>
                </w:p>
              </w:tc>
              <w:tc>
                <w:tcPr>
                  <w:tcW w:w="1410" w:type="dxa"/>
                  <w:noWrap w:val="0"/>
                  <w:vAlign w:val="center"/>
                </w:tcPr>
                <w:p w14:paraId="5E5A3151">
                  <w:pPr>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3001" w:type="dxa"/>
                  <w:noWrap w:val="0"/>
                  <w:vAlign w:val="center"/>
                </w:tcPr>
                <w:p w14:paraId="5885190A">
                  <w:pPr>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3EA5660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1" w:type="dxa"/>
                  <w:noWrap w:val="0"/>
                  <w:vAlign w:val="center"/>
                </w:tcPr>
                <w:p w14:paraId="4212FD2A">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项目东边界外1m处</w:t>
                  </w:r>
                </w:p>
              </w:tc>
              <w:tc>
                <w:tcPr>
                  <w:tcW w:w="1440" w:type="dxa"/>
                  <w:vMerge w:val="restart"/>
                  <w:noWrap w:val="0"/>
                  <w:vAlign w:val="center"/>
                </w:tcPr>
                <w:p w14:paraId="7C0597E6">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等效连续</w:t>
                  </w:r>
                </w:p>
                <w:p w14:paraId="102D1B75">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A声级</w:t>
                  </w:r>
                </w:p>
              </w:tc>
              <w:tc>
                <w:tcPr>
                  <w:tcW w:w="1410" w:type="dxa"/>
                  <w:vMerge w:val="restart"/>
                  <w:tcBorders>
                    <w:top w:val="single" w:color="auto" w:sz="4" w:space="0"/>
                  </w:tcBorders>
                  <w:noWrap w:val="0"/>
                  <w:vAlign w:val="center"/>
                </w:tcPr>
                <w:p w14:paraId="5A5CAB1E">
                  <w:pPr>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1次/季，每次2天</w:t>
                  </w:r>
                </w:p>
              </w:tc>
              <w:tc>
                <w:tcPr>
                  <w:tcW w:w="3001" w:type="dxa"/>
                  <w:vMerge w:val="restart"/>
                  <w:noWrap w:val="0"/>
                  <w:vAlign w:val="center"/>
                </w:tcPr>
                <w:p w14:paraId="69B7693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highlight w:val="none"/>
                    </w:rPr>
                    <w:t>《工业企业厂界环境噪声排放标准》（GB</w:t>
                  </w:r>
                  <w:r>
                    <w:rPr>
                      <w:rFonts w:hint="eastAsia" w:ascii="Times New Roman" w:hAnsi="Times New Roman" w:cs="Times New Roman"/>
                      <w:bCs/>
                      <w:color w:val="auto"/>
                      <w:sz w:val="21"/>
                      <w:szCs w:val="21"/>
                      <w:highlight w:val="none"/>
                      <w:lang w:val="en-US" w:eastAsia="zh-CN"/>
                    </w:rPr>
                    <w:t>12348</w:t>
                  </w:r>
                  <w:r>
                    <w:rPr>
                      <w:rFonts w:hint="default" w:ascii="Times New Roman" w:hAnsi="Times New Roman" w:eastAsia="宋体" w:cs="Times New Roman"/>
                      <w:bCs/>
                      <w:color w:val="auto"/>
                      <w:sz w:val="21"/>
                      <w:szCs w:val="21"/>
                      <w:highlight w:val="none"/>
                    </w:rPr>
                    <w:t>-2008）中</w:t>
                  </w:r>
                  <w:r>
                    <w:rPr>
                      <w:rFonts w:hint="eastAsia"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类标准</w:t>
                  </w:r>
                </w:p>
              </w:tc>
            </w:tr>
            <w:tr w14:paraId="0A50202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1" w:type="dxa"/>
                  <w:noWrap w:val="0"/>
                  <w:vAlign w:val="center"/>
                </w:tcPr>
                <w:p w14:paraId="281F3D95">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项目南边界外1m处</w:t>
                  </w:r>
                </w:p>
              </w:tc>
              <w:tc>
                <w:tcPr>
                  <w:tcW w:w="1440" w:type="dxa"/>
                  <w:vMerge w:val="continue"/>
                  <w:noWrap w:val="0"/>
                  <w:vAlign w:val="center"/>
                </w:tcPr>
                <w:p w14:paraId="187C2EEE">
                  <w:pPr>
                    <w:bidi w:val="0"/>
                    <w:jc w:val="center"/>
                    <w:rPr>
                      <w:rFonts w:hint="eastAsia" w:ascii="Times New Roman" w:hAnsi="Times New Roman" w:eastAsia="宋体" w:cs="Times New Roman"/>
                      <w:color w:val="auto"/>
                      <w:sz w:val="21"/>
                      <w:szCs w:val="21"/>
                      <w:lang w:eastAsia="zh-CN"/>
                    </w:rPr>
                  </w:pPr>
                </w:p>
              </w:tc>
              <w:tc>
                <w:tcPr>
                  <w:tcW w:w="1410" w:type="dxa"/>
                  <w:vMerge w:val="continue"/>
                  <w:noWrap w:val="0"/>
                  <w:vAlign w:val="center"/>
                </w:tcPr>
                <w:p w14:paraId="62F83ADE">
                  <w:pPr>
                    <w:bidi w:val="0"/>
                    <w:jc w:val="center"/>
                    <w:rPr>
                      <w:rFonts w:hint="default" w:ascii="Times New Roman" w:hAnsi="Times New Roman" w:cs="Times New Roman"/>
                      <w:bCs/>
                      <w:color w:val="auto"/>
                      <w:szCs w:val="21"/>
                      <w:highlight w:val="none"/>
                    </w:rPr>
                  </w:pPr>
                </w:p>
              </w:tc>
              <w:tc>
                <w:tcPr>
                  <w:tcW w:w="3001" w:type="dxa"/>
                  <w:vMerge w:val="continue"/>
                  <w:noWrap w:val="0"/>
                  <w:vAlign w:val="center"/>
                </w:tcPr>
                <w:p w14:paraId="61A3CDD0">
                  <w:pPr>
                    <w:bidi w:val="0"/>
                    <w:jc w:val="center"/>
                    <w:rPr>
                      <w:rFonts w:hint="default" w:ascii="Times New Roman" w:hAnsi="Times New Roman" w:eastAsia="宋体" w:cs="Times New Roman"/>
                      <w:bCs/>
                      <w:color w:val="auto"/>
                      <w:sz w:val="21"/>
                      <w:szCs w:val="21"/>
                      <w:highlight w:val="none"/>
                    </w:rPr>
                  </w:pPr>
                </w:p>
              </w:tc>
            </w:tr>
            <w:tr w14:paraId="0CBF3D4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1" w:type="dxa"/>
                  <w:noWrap w:val="0"/>
                  <w:vAlign w:val="center"/>
                </w:tcPr>
                <w:p w14:paraId="7B56499D">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项目西边界外1m处</w:t>
                  </w:r>
                </w:p>
              </w:tc>
              <w:tc>
                <w:tcPr>
                  <w:tcW w:w="1440" w:type="dxa"/>
                  <w:vMerge w:val="continue"/>
                  <w:noWrap w:val="0"/>
                  <w:vAlign w:val="center"/>
                </w:tcPr>
                <w:p w14:paraId="7FD01D87">
                  <w:pPr>
                    <w:bidi w:val="0"/>
                    <w:jc w:val="center"/>
                    <w:rPr>
                      <w:rFonts w:hint="eastAsia" w:ascii="Times New Roman" w:hAnsi="Times New Roman" w:eastAsia="宋体" w:cs="Times New Roman"/>
                      <w:color w:val="auto"/>
                      <w:sz w:val="21"/>
                      <w:szCs w:val="21"/>
                      <w:lang w:eastAsia="zh-CN"/>
                    </w:rPr>
                  </w:pPr>
                </w:p>
              </w:tc>
              <w:tc>
                <w:tcPr>
                  <w:tcW w:w="1410" w:type="dxa"/>
                  <w:vMerge w:val="continue"/>
                  <w:noWrap w:val="0"/>
                  <w:vAlign w:val="center"/>
                </w:tcPr>
                <w:p w14:paraId="31F2CA9F">
                  <w:pPr>
                    <w:bidi w:val="0"/>
                    <w:jc w:val="center"/>
                    <w:rPr>
                      <w:rFonts w:hint="default" w:ascii="Times New Roman" w:hAnsi="Times New Roman" w:cs="Times New Roman"/>
                      <w:bCs/>
                      <w:color w:val="auto"/>
                      <w:szCs w:val="21"/>
                      <w:highlight w:val="none"/>
                    </w:rPr>
                  </w:pPr>
                </w:p>
              </w:tc>
              <w:tc>
                <w:tcPr>
                  <w:tcW w:w="3001" w:type="dxa"/>
                  <w:vMerge w:val="continue"/>
                  <w:noWrap w:val="0"/>
                  <w:vAlign w:val="center"/>
                </w:tcPr>
                <w:p w14:paraId="4F6ED3E8">
                  <w:pPr>
                    <w:bidi w:val="0"/>
                    <w:jc w:val="center"/>
                    <w:rPr>
                      <w:rFonts w:hint="default" w:ascii="Times New Roman" w:hAnsi="Times New Roman" w:eastAsia="宋体" w:cs="Times New Roman"/>
                      <w:bCs/>
                      <w:color w:val="auto"/>
                      <w:sz w:val="21"/>
                      <w:szCs w:val="21"/>
                      <w:highlight w:val="none"/>
                    </w:rPr>
                  </w:pPr>
                </w:p>
              </w:tc>
            </w:tr>
            <w:tr w14:paraId="59B4D4B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1" w:type="dxa"/>
                  <w:noWrap w:val="0"/>
                  <w:vAlign w:val="center"/>
                </w:tcPr>
                <w:p w14:paraId="03D38D79">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项目北边界外1m处</w:t>
                  </w:r>
                </w:p>
              </w:tc>
              <w:tc>
                <w:tcPr>
                  <w:tcW w:w="1440" w:type="dxa"/>
                  <w:vMerge w:val="continue"/>
                  <w:noWrap w:val="0"/>
                  <w:vAlign w:val="center"/>
                </w:tcPr>
                <w:p w14:paraId="6BB29848">
                  <w:pPr>
                    <w:bidi w:val="0"/>
                    <w:jc w:val="center"/>
                    <w:rPr>
                      <w:rFonts w:hint="eastAsia" w:ascii="Times New Roman" w:hAnsi="Times New Roman" w:eastAsia="宋体" w:cs="Times New Roman"/>
                      <w:color w:val="auto"/>
                      <w:sz w:val="21"/>
                      <w:szCs w:val="21"/>
                      <w:lang w:eastAsia="zh-CN"/>
                    </w:rPr>
                  </w:pPr>
                </w:p>
              </w:tc>
              <w:tc>
                <w:tcPr>
                  <w:tcW w:w="1410" w:type="dxa"/>
                  <w:vMerge w:val="continue"/>
                  <w:noWrap w:val="0"/>
                  <w:vAlign w:val="center"/>
                </w:tcPr>
                <w:p w14:paraId="4A335443">
                  <w:pPr>
                    <w:bidi w:val="0"/>
                    <w:jc w:val="center"/>
                    <w:rPr>
                      <w:rFonts w:hint="default" w:ascii="Times New Roman" w:hAnsi="Times New Roman" w:cs="Times New Roman"/>
                      <w:bCs/>
                      <w:color w:val="auto"/>
                      <w:szCs w:val="21"/>
                      <w:highlight w:val="none"/>
                    </w:rPr>
                  </w:pPr>
                </w:p>
              </w:tc>
              <w:tc>
                <w:tcPr>
                  <w:tcW w:w="3001" w:type="dxa"/>
                  <w:vMerge w:val="continue"/>
                  <w:noWrap w:val="0"/>
                  <w:vAlign w:val="center"/>
                </w:tcPr>
                <w:p w14:paraId="02B235BC">
                  <w:pPr>
                    <w:bidi w:val="0"/>
                    <w:jc w:val="center"/>
                    <w:rPr>
                      <w:rFonts w:hint="default" w:ascii="Times New Roman" w:hAnsi="Times New Roman" w:eastAsia="宋体" w:cs="Times New Roman"/>
                      <w:bCs/>
                      <w:color w:val="auto"/>
                      <w:sz w:val="21"/>
                      <w:szCs w:val="21"/>
                      <w:highlight w:val="none"/>
                    </w:rPr>
                  </w:pPr>
                </w:p>
              </w:tc>
            </w:tr>
          </w:tbl>
          <w:p w14:paraId="4E1243C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b/>
                <w:bCs/>
                <w:color w:val="auto"/>
                <w:sz w:val="24"/>
                <w:szCs w:val="24"/>
              </w:rPr>
              <w:t>4、固体废物环境影响分析</w:t>
            </w:r>
          </w:p>
          <w:p w14:paraId="2F0DD59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b/>
                <w:bCs/>
                <w:color w:val="auto"/>
                <w:sz w:val="24"/>
                <w:szCs w:val="24"/>
              </w:rPr>
              <w:t>4</w:t>
            </w:r>
            <w:r>
              <w:rPr>
                <w:rFonts w:hint="default" w:ascii="Times New Roman" w:hAnsi="Times New Roman" w:eastAsia="仿宋_GB2312" w:cs="Times New Roman"/>
                <w:b/>
                <w:bCs/>
                <w:color w:val="auto"/>
                <w:sz w:val="24"/>
                <w:szCs w:val="24"/>
                <w:lang w:val="en-US" w:eastAsia="zh-CN"/>
              </w:rPr>
              <w:t>.1</w:t>
            </w:r>
            <w:r>
              <w:rPr>
                <w:rFonts w:hint="default" w:ascii="Times New Roman" w:hAnsi="Times New Roman" w:eastAsia="仿宋_GB2312" w:cs="Times New Roman"/>
                <w:b/>
                <w:bCs/>
                <w:color w:val="auto"/>
                <w:sz w:val="24"/>
                <w:szCs w:val="24"/>
              </w:rPr>
              <w:t>固体废物</w:t>
            </w:r>
            <w:r>
              <w:rPr>
                <w:rFonts w:hint="default" w:ascii="Times New Roman" w:hAnsi="Times New Roman" w:eastAsia="仿宋_GB2312" w:cs="Times New Roman"/>
                <w:b/>
                <w:bCs/>
                <w:color w:val="auto"/>
                <w:sz w:val="24"/>
                <w:szCs w:val="24"/>
                <w:lang w:val="en-US" w:eastAsia="zh-CN"/>
              </w:rPr>
              <w:t>产生及处置情况</w:t>
            </w:r>
          </w:p>
          <w:p w14:paraId="5EA6B63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b/>
                <w:color w:val="auto"/>
                <w:sz w:val="24"/>
                <w:szCs w:val="24"/>
                <w:highlight w:val="none"/>
                <w:lang w:val="en-US" w:eastAsia="zh-CN"/>
              </w:rPr>
              <w:t>(1)固体废物产污环节</w:t>
            </w:r>
          </w:p>
          <w:p w14:paraId="3D38B4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本</w:t>
            </w:r>
            <w:r>
              <w:rPr>
                <w:rFonts w:hint="default" w:ascii="Times New Roman" w:hAnsi="Times New Roman" w:eastAsia="仿宋_GB2312" w:cs="Times New Roman"/>
                <w:color w:val="auto"/>
                <w:sz w:val="24"/>
                <w:szCs w:val="24"/>
              </w:rPr>
              <w:t>项目固体废物分为一般性工业固体废物</w:t>
            </w:r>
            <w:r>
              <w:rPr>
                <w:rFonts w:hint="eastAsia" w:ascii="Times New Roman" w:hAnsi="Times New Roman" w:eastAsia="仿宋_GB2312" w:cs="Times New Roman"/>
                <w:color w:val="auto"/>
                <w:sz w:val="24"/>
                <w:szCs w:val="24"/>
                <w:lang w:eastAsia="zh-CN"/>
              </w:rPr>
              <w:t>、危险废物和</w:t>
            </w:r>
            <w:r>
              <w:rPr>
                <w:rFonts w:hint="default" w:ascii="Times New Roman" w:hAnsi="Times New Roman" w:eastAsia="仿宋_GB2312" w:cs="Times New Roman"/>
                <w:color w:val="auto"/>
                <w:sz w:val="24"/>
                <w:szCs w:val="24"/>
              </w:rPr>
              <w:t>生活垃圾。</w:t>
            </w:r>
          </w:p>
          <w:p w14:paraId="72E79E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仿宋_GB2312"/>
                <w:color w:val="auto"/>
                <w:lang w:val="en-US" w:eastAsia="zh-CN"/>
              </w:rPr>
            </w:pPr>
            <w:r>
              <w:rPr>
                <w:rFonts w:hint="default" w:ascii="Times New Roman" w:hAnsi="Times New Roman" w:eastAsia="仿宋_GB2312" w:cs="Times New Roman"/>
                <w:color w:val="auto"/>
                <w:sz w:val="24"/>
                <w:szCs w:val="24"/>
              </w:rPr>
              <w:t>一般性固体废物包括栅渣、沉渣、剩余污泥等，</w:t>
            </w:r>
            <w:r>
              <w:rPr>
                <w:rFonts w:hint="default" w:ascii="Times New Roman" w:hAnsi="Times New Roman" w:eastAsia="仿宋_GB2312" w:cs="Times New Roman"/>
                <w:color w:val="auto"/>
                <w:sz w:val="24"/>
                <w:szCs w:val="24"/>
                <w:lang w:eastAsia="zh-CN"/>
              </w:rPr>
              <w:t>栅渣主要来自于污水处理厂运行过程中粗、细格栅环节；沉渣主要来自于沉砂池；</w:t>
            </w:r>
            <w:r>
              <w:rPr>
                <w:rFonts w:hint="default" w:ascii="Times New Roman" w:hAnsi="Times New Roman" w:eastAsia="仿宋_GB2312" w:cs="Times New Roman"/>
                <w:color w:val="auto"/>
                <w:sz w:val="24"/>
                <w:szCs w:val="24"/>
              </w:rPr>
              <w:t>生活垃圾来源于员工日常生活和办公</w:t>
            </w:r>
            <w:r>
              <w:rPr>
                <w:rFonts w:hint="eastAsia" w:ascii="Times New Roman" w:hAnsi="Times New Roman" w:eastAsia="仿宋_GB2312" w:cs="Times New Roman"/>
                <w:color w:val="auto"/>
                <w:sz w:val="24"/>
                <w:szCs w:val="24"/>
                <w:lang w:eastAsia="zh-CN"/>
              </w:rPr>
              <w:t>。危险废物主要为污水处理厂运营期间设备检修废矿物油。</w:t>
            </w:r>
          </w:p>
          <w:p w14:paraId="1175BC5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color w:val="auto"/>
                <w:kern w:val="44"/>
                <w:sz w:val="24"/>
                <w:szCs w:val="24"/>
                <w:lang w:val="en-US" w:bidi="ar"/>
              </w:rPr>
            </w:pPr>
            <w:r>
              <w:rPr>
                <w:rFonts w:hint="default" w:ascii="Times New Roman" w:hAnsi="Times New Roman" w:eastAsia="仿宋_GB2312" w:cs="Times New Roman"/>
                <w:b/>
                <w:color w:val="auto"/>
                <w:sz w:val="24"/>
                <w:szCs w:val="24"/>
                <w:highlight w:val="none"/>
                <w:lang w:val="en-US" w:eastAsia="zh-CN"/>
              </w:rPr>
              <w:t>(2)固体废物产生量</w:t>
            </w:r>
          </w:p>
          <w:p w14:paraId="2547E1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44"/>
                <w:sz w:val="24"/>
                <w:szCs w:val="24"/>
                <w:lang w:bidi="ar"/>
              </w:rPr>
            </w:pPr>
            <w:r>
              <w:rPr>
                <w:rFonts w:hint="default" w:ascii="Times New Roman" w:hAnsi="Times New Roman" w:eastAsia="仿宋_GB2312" w:cs="Times New Roman"/>
                <w:color w:val="auto"/>
                <w:kern w:val="44"/>
                <w:sz w:val="24"/>
                <w:szCs w:val="24"/>
                <w:lang w:bidi="ar"/>
              </w:rPr>
              <w:t>①栅渣</w:t>
            </w:r>
          </w:p>
          <w:p w14:paraId="31DCF1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44"/>
                <w:sz w:val="24"/>
                <w:szCs w:val="24"/>
                <w:lang w:bidi="ar"/>
              </w:rPr>
            </w:pPr>
            <w:r>
              <w:rPr>
                <w:rFonts w:hint="default" w:ascii="Times New Roman" w:hAnsi="Times New Roman" w:eastAsia="仿宋_GB2312" w:cs="Times New Roman"/>
                <w:color w:val="auto"/>
                <w:kern w:val="44"/>
                <w:sz w:val="24"/>
                <w:szCs w:val="24"/>
                <w:lang w:bidi="ar"/>
              </w:rPr>
              <w:t>粗格栅拦截的较大块物，树枝、塑料片等，细格栅拦截的细小漂浮杂物。产生系数为0.05-0.1m</w:t>
            </w:r>
            <w:r>
              <w:rPr>
                <w:rFonts w:hint="default" w:ascii="Times New Roman" w:hAnsi="Times New Roman" w:eastAsia="仿宋_GB2312" w:cs="Times New Roman"/>
                <w:color w:val="auto"/>
                <w:kern w:val="44"/>
                <w:sz w:val="24"/>
                <w:szCs w:val="24"/>
                <w:vertAlign w:val="superscript"/>
                <w:lang w:bidi="ar"/>
              </w:rPr>
              <w:t>3</w:t>
            </w:r>
            <w:r>
              <w:rPr>
                <w:rFonts w:hint="default" w:ascii="Times New Roman" w:hAnsi="Times New Roman" w:eastAsia="仿宋_GB2312" w:cs="Times New Roman"/>
                <w:color w:val="auto"/>
                <w:kern w:val="44"/>
                <w:sz w:val="24"/>
                <w:szCs w:val="24"/>
                <w:lang w:bidi="ar"/>
              </w:rPr>
              <w:t>/1000m</w:t>
            </w:r>
            <w:r>
              <w:rPr>
                <w:rFonts w:hint="default" w:ascii="Times New Roman" w:hAnsi="Times New Roman" w:eastAsia="仿宋_GB2312" w:cs="Times New Roman"/>
                <w:color w:val="auto"/>
                <w:kern w:val="44"/>
                <w:sz w:val="24"/>
                <w:szCs w:val="24"/>
                <w:vertAlign w:val="superscript"/>
                <w:lang w:bidi="ar"/>
              </w:rPr>
              <w:t>3</w:t>
            </w:r>
            <w:r>
              <w:rPr>
                <w:rFonts w:hint="default" w:ascii="Times New Roman" w:hAnsi="Times New Roman" w:eastAsia="仿宋_GB2312" w:cs="Times New Roman"/>
                <w:color w:val="auto"/>
                <w:kern w:val="44"/>
                <w:sz w:val="24"/>
                <w:szCs w:val="24"/>
                <w:lang w:bidi="ar"/>
              </w:rPr>
              <w:t>污水，本项目按照最大值选取，每天</w:t>
            </w:r>
            <w:r>
              <w:rPr>
                <w:rFonts w:hint="default" w:ascii="Times New Roman" w:hAnsi="Times New Roman" w:eastAsia="仿宋_GB2312" w:cs="Times New Roman"/>
                <w:color w:val="auto"/>
                <w:kern w:val="44"/>
                <w:sz w:val="24"/>
                <w:szCs w:val="24"/>
                <w:lang w:val="en-US" w:eastAsia="zh-CN" w:bidi="ar"/>
              </w:rPr>
              <w:t>800</w:t>
            </w:r>
            <w:r>
              <w:rPr>
                <w:rFonts w:hint="default" w:ascii="Times New Roman" w:hAnsi="Times New Roman" w:eastAsia="仿宋_GB2312" w:cs="Times New Roman"/>
                <w:color w:val="auto"/>
                <w:kern w:val="44"/>
                <w:sz w:val="24"/>
                <w:szCs w:val="24"/>
                <w:lang w:bidi="ar"/>
              </w:rPr>
              <w:t>m</w:t>
            </w:r>
            <w:r>
              <w:rPr>
                <w:rFonts w:hint="default" w:ascii="Times New Roman" w:hAnsi="Times New Roman" w:eastAsia="仿宋_GB2312" w:cs="Times New Roman"/>
                <w:color w:val="auto"/>
                <w:kern w:val="44"/>
                <w:sz w:val="24"/>
                <w:szCs w:val="24"/>
                <w:vertAlign w:val="superscript"/>
                <w:lang w:bidi="ar"/>
              </w:rPr>
              <w:t>3</w:t>
            </w:r>
            <w:r>
              <w:rPr>
                <w:rFonts w:hint="default" w:ascii="Times New Roman" w:hAnsi="Times New Roman" w:eastAsia="仿宋_GB2312" w:cs="Times New Roman"/>
                <w:color w:val="auto"/>
                <w:kern w:val="44"/>
                <w:sz w:val="24"/>
                <w:szCs w:val="24"/>
                <w:lang w:bidi="ar"/>
              </w:rPr>
              <w:t>污水产生栅渣</w:t>
            </w:r>
            <w:r>
              <w:rPr>
                <w:rFonts w:hint="default" w:ascii="Times New Roman" w:hAnsi="Times New Roman" w:eastAsia="仿宋_GB2312" w:cs="Times New Roman"/>
                <w:color w:val="auto"/>
                <w:kern w:val="44"/>
                <w:sz w:val="24"/>
                <w:szCs w:val="24"/>
                <w:lang w:val="en-US" w:eastAsia="zh-CN" w:bidi="ar"/>
              </w:rPr>
              <w:t>0.08</w:t>
            </w:r>
            <w:r>
              <w:rPr>
                <w:rFonts w:hint="default" w:ascii="Times New Roman" w:hAnsi="Times New Roman" w:eastAsia="仿宋_GB2312" w:cs="Times New Roman"/>
                <w:color w:val="auto"/>
                <w:kern w:val="44"/>
                <w:sz w:val="24"/>
                <w:szCs w:val="24"/>
                <w:lang w:bidi="ar"/>
              </w:rPr>
              <w:t>m</w:t>
            </w:r>
            <w:r>
              <w:rPr>
                <w:rFonts w:hint="default" w:ascii="Times New Roman" w:hAnsi="Times New Roman" w:eastAsia="仿宋_GB2312" w:cs="Times New Roman"/>
                <w:color w:val="auto"/>
                <w:kern w:val="44"/>
                <w:sz w:val="24"/>
                <w:szCs w:val="24"/>
                <w:vertAlign w:val="superscript"/>
                <w:lang w:bidi="ar"/>
              </w:rPr>
              <w:t>3</w:t>
            </w:r>
            <w:r>
              <w:rPr>
                <w:rFonts w:hint="default" w:ascii="Times New Roman" w:hAnsi="Times New Roman" w:eastAsia="仿宋_GB2312" w:cs="Times New Roman"/>
                <w:color w:val="auto"/>
                <w:kern w:val="44"/>
                <w:sz w:val="24"/>
                <w:szCs w:val="24"/>
                <w:lang w:bidi="ar"/>
              </w:rPr>
              <w:t>。栅渣密度为0.8，每天产生栅渣</w:t>
            </w:r>
            <w:r>
              <w:rPr>
                <w:rFonts w:hint="default" w:ascii="Times New Roman" w:hAnsi="Times New Roman" w:eastAsia="仿宋_GB2312" w:cs="Times New Roman"/>
                <w:color w:val="auto"/>
                <w:kern w:val="44"/>
                <w:sz w:val="24"/>
                <w:szCs w:val="24"/>
                <w:lang w:val="en-US" w:eastAsia="zh-CN" w:bidi="ar"/>
              </w:rPr>
              <w:t>0.064</w:t>
            </w:r>
            <w:r>
              <w:rPr>
                <w:rFonts w:hint="default" w:ascii="Times New Roman" w:hAnsi="Times New Roman" w:eastAsia="仿宋_GB2312" w:cs="Times New Roman"/>
                <w:color w:val="auto"/>
                <w:kern w:val="44"/>
                <w:sz w:val="24"/>
                <w:szCs w:val="24"/>
                <w:lang w:bidi="ar"/>
              </w:rPr>
              <w:t>t，每年产生</w:t>
            </w:r>
            <w:r>
              <w:rPr>
                <w:rFonts w:hint="default" w:ascii="Times New Roman" w:hAnsi="Times New Roman" w:eastAsia="仿宋_GB2312" w:cs="Times New Roman"/>
                <w:color w:val="auto"/>
                <w:kern w:val="44"/>
                <w:sz w:val="24"/>
                <w:szCs w:val="24"/>
                <w:lang w:val="en-US" w:eastAsia="zh-CN" w:bidi="ar"/>
              </w:rPr>
              <w:t>23.36</w:t>
            </w:r>
            <w:r>
              <w:rPr>
                <w:rFonts w:hint="default" w:ascii="Times New Roman" w:hAnsi="Times New Roman" w:eastAsia="仿宋_GB2312" w:cs="Times New Roman"/>
                <w:color w:val="auto"/>
                <w:kern w:val="44"/>
                <w:sz w:val="24"/>
                <w:szCs w:val="24"/>
                <w:lang w:bidi="ar"/>
              </w:rPr>
              <w:t>t。栅渣收集后送至垃圾中转站集中处置。</w:t>
            </w:r>
          </w:p>
          <w:p w14:paraId="3CA304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44"/>
                <w:sz w:val="24"/>
                <w:szCs w:val="24"/>
                <w:lang w:bidi="ar"/>
              </w:rPr>
            </w:pPr>
            <w:r>
              <w:rPr>
                <w:rFonts w:hint="default" w:ascii="Times New Roman" w:hAnsi="Times New Roman" w:eastAsia="仿宋_GB2312" w:cs="Times New Roman"/>
                <w:color w:val="auto"/>
                <w:kern w:val="44"/>
                <w:sz w:val="24"/>
                <w:szCs w:val="24"/>
                <w:lang w:bidi="ar"/>
              </w:rPr>
              <w:t>②沉渣</w:t>
            </w:r>
          </w:p>
          <w:p w14:paraId="2A728F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44"/>
                <w:sz w:val="24"/>
                <w:szCs w:val="24"/>
                <w:lang w:bidi="ar"/>
              </w:rPr>
            </w:pPr>
            <w:r>
              <w:rPr>
                <w:rFonts w:hint="default" w:ascii="Times New Roman" w:hAnsi="Times New Roman" w:eastAsia="仿宋_GB2312" w:cs="Times New Roman"/>
                <w:color w:val="auto"/>
                <w:kern w:val="44"/>
                <w:sz w:val="24"/>
                <w:szCs w:val="24"/>
                <w:lang w:bidi="ar"/>
              </w:rPr>
              <w:t>沉渣以无机物为主要成分，颗粒较粗，比重较大，含水量较低，产生系数为0.03m</w:t>
            </w:r>
            <w:r>
              <w:rPr>
                <w:rFonts w:hint="default" w:ascii="Times New Roman" w:hAnsi="Times New Roman" w:eastAsia="仿宋_GB2312" w:cs="Times New Roman"/>
                <w:color w:val="auto"/>
                <w:kern w:val="44"/>
                <w:sz w:val="24"/>
                <w:szCs w:val="24"/>
                <w:vertAlign w:val="superscript"/>
                <w:lang w:bidi="ar"/>
              </w:rPr>
              <w:t>3</w:t>
            </w:r>
            <w:r>
              <w:rPr>
                <w:rFonts w:hint="default" w:ascii="Times New Roman" w:hAnsi="Times New Roman" w:eastAsia="仿宋_GB2312" w:cs="Times New Roman"/>
                <w:color w:val="auto"/>
                <w:kern w:val="44"/>
                <w:sz w:val="24"/>
                <w:szCs w:val="24"/>
                <w:lang w:bidi="ar"/>
              </w:rPr>
              <w:t>/1000m</w:t>
            </w:r>
            <w:r>
              <w:rPr>
                <w:rFonts w:hint="default" w:ascii="Times New Roman" w:hAnsi="Times New Roman" w:eastAsia="仿宋_GB2312" w:cs="Times New Roman"/>
                <w:color w:val="auto"/>
                <w:kern w:val="44"/>
                <w:sz w:val="24"/>
                <w:szCs w:val="24"/>
                <w:vertAlign w:val="superscript"/>
                <w:lang w:bidi="ar"/>
              </w:rPr>
              <w:t>3</w:t>
            </w:r>
            <w:r>
              <w:rPr>
                <w:rFonts w:hint="default" w:ascii="Times New Roman" w:hAnsi="Times New Roman" w:eastAsia="仿宋_GB2312" w:cs="Times New Roman"/>
                <w:color w:val="auto"/>
                <w:kern w:val="44"/>
                <w:sz w:val="24"/>
                <w:szCs w:val="24"/>
                <w:lang w:bidi="ar"/>
              </w:rPr>
              <w:t>污水，密度1.5，每天产生沉渣0.0</w:t>
            </w:r>
            <w:r>
              <w:rPr>
                <w:rFonts w:hint="default" w:ascii="Times New Roman" w:hAnsi="Times New Roman" w:eastAsia="仿宋_GB2312" w:cs="Times New Roman"/>
                <w:color w:val="auto"/>
                <w:kern w:val="44"/>
                <w:sz w:val="24"/>
                <w:szCs w:val="24"/>
                <w:lang w:val="en-US" w:eastAsia="zh-CN" w:bidi="ar"/>
              </w:rPr>
              <w:t>36</w:t>
            </w:r>
            <w:r>
              <w:rPr>
                <w:rFonts w:hint="default" w:ascii="Times New Roman" w:hAnsi="Times New Roman" w:eastAsia="仿宋_GB2312" w:cs="Times New Roman"/>
                <w:color w:val="auto"/>
                <w:kern w:val="44"/>
                <w:sz w:val="24"/>
                <w:szCs w:val="24"/>
                <w:lang w:bidi="ar"/>
              </w:rPr>
              <w:t>t，每年产生</w:t>
            </w:r>
            <w:r>
              <w:rPr>
                <w:rFonts w:hint="default" w:ascii="Times New Roman" w:hAnsi="Times New Roman" w:eastAsia="仿宋_GB2312" w:cs="Times New Roman"/>
                <w:color w:val="auto"/>
                <w:kern w:val="44"/>
                <w:sz w:val="24"/>
                <w:szCs w:val="24"/>
                <w:lang w:val="en-US" w:eastAsia="zh-CN" w:bidi="ar"/>
              </w:rPr>
              <w:t>13.14</w:t>
            </w:r>
            <w:r>
              <w:rPr>
                <w:rFonts w:hint="default" w:ascii="Times New Roman" w:hAnsi="Times New Roman" w:eastAsia="仿宋_GB2312" w:cs="Times New Roman"/>
                <w:color w:val="auto"/>
                <w:kern w:val="44"/>
                <w:sz w:val="24"/>
                <w:szCs w:val="24"/>
                <w:lang w:bidi="ar"/>
              </w:rPr>
              <w:t>t。沉渣收集后送至垃圾中转站集中处置。</w:t>
            </w:r>
          </w:p>
          <w:p w14:paraId="58A35A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44"/>
                <w:sz w:val="24"/>
                <w:szCs w:val="24"/>
                <w:lang w:bidi="ar"/>
              </w:rPr>
            </w:pPr>
            <w:r>
              <w:rPr>
                <w:rFonts w:hint="default" w:ascii="Times New Roman" w:hAnsi="Times New Roman" w:eastAsia="仿宋_GB2312" w:cs="Times New Roman"/>
                <w:color w:val="auto"/>
                <w:kern w:val="44"/>
                <w:sz w:val="24"/>
                <w:szCs w:val="24"/>
                <w:lang w:bidi="ar"/>
              </w:rPr>
              <w:t>③污泥</w:t>
            </w:r>
          </w:p>
          <w:p w14:paraId="36565F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44"/>
                <w:sz w:val="24"/>
                <w:szCs w:val="24"/>
                <w:lang w:bidi="ar"/>
              </w:rPr>
            </w:pPr>
            <w:r>
              <w:rPr>
                <w:rFonts w:hint="default" w:ascii="Times New Roman" w:hAnsi="Times New Roman" w:eastAsia="仿宋_GB2312" w:cs="Times New Roman"/>
                <w:color w:val="auto"/>
                <w:kern w:val="44"/>
                <w:sz w:val="24"/>
                <w:szCs w:val="24"/>
                <w:lang w:bidi="ar"/>
              </w:rPr>
              <w:t>本项目采用生物法处理污水，干污泥产生量为每处理1kgBOD</w:t>
            </w:r>
            <w:r>
              <w:rPr>
                <w:rFonts w:hint="default" w:ascii="Times New Roman" w:hAnsi="Times New Roman" w:eastAsia="仿宋_GB2312" w:cs="Times New Roman"/>
                <w:color w:val="auto"/>
                <w:kern w:val="44"/>
                <w:sz w:val="24"/>
                <w:szCs w:val="24"/>
                <w:vertAlign w:val="subscript"/>
                <w:lang w:bidi="ar"/>
              </w:rPr>
              <w:t>5</w:t>
            </w:r>
            <w:r>
              <w:rPr>
                <w:rFonts w:hint="default" w:ascii="Times New Roman" w:hAnsi="Times New Roman" w:eastAsia="仿宋_GB2312" w:cs="Times New Roman"/>
                <w:color w:val="auto"/>
                <w:kern w:val="44"/>
                <w:sz w:val="24"/>
                <w:szCs w:val="24"/>
                <w:lang w:bidi="ar"/>
              </w:rPr>
              <w:t>的平均产泥量为0.42kg，干污泥产生量0.103t/d（37.6t/a）压滤后含水60%的污泥0.26t/d（93.99t/a）。污泥经脱水处理后含水率达到60%以下外运至中卫市绿能新能源有限公司集中处置。</w:t>
            </w:r>
          </w:p>
          <w:p w14:paraId="29A205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kern w:val="44"/>
                <w:sz w:val="24"/>
                <w:szCs w:val="24"/>
                <w:lang w:bidi="ar"/>
              </w:rPr>
            </w:pPr>
            <w:r>
              <w:rPr>
                <w:rFonts w:hint="default" w:ascii="Times New Roman" w:hAnsi="Times New Roman" w:eastAsia="仿宋_GB2312" w:cs="Times New Roman"/>
                <w:color w:val="auto"/>
                <w:kern w:val="44"/>
                <w:sz w:val="24"/>
                <w:szCs w:val="24"/>
                <w:lang w:bidi="ar"/>
              </w:rPr>
              <w:t>④生活垃圾</w:t>
            </w:r>
          </w:p>
          <w:p w14:paraId="7BC000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kern w:val="44"/>
                <w:sz w:val="24"/>
                <w:szCs w:val="24"/>
                <w:lang w:bidi="ar"/>
              </w:rPr>
              <w:t>本项目劳动定员6人，生活垃圾产生量按0.5kg/人·天计，则生活垃圾产生量为3.0kg/d（1.095t/a）。生活垃圾经垃圾桶集中收集后交由环卫部门处理。</w:t>
            </w:r>
          </w:p>
          <w:p w14:paraId="496732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 w:val="0"/>
                <w:bCs/>
                <w:color w:val="auto"/>
                <w:sz w:val="24"/>
                <w:szCs w:val="24"/>
                <w:highlight w:val="none"/>
                <w:lang w:val="en-US" w:eastAsia="zh-CN"/>
              </w:rPr>
            </w:pPr>
            <w:r>
              <w:rPr>
                <w:rFonts w:hint="eastAsia" w:ascii="Times New Roman" w:hAnsi="Times New Roman" w:eastAsia="仿宋_GB2312" w:cs="Times New Roman"/>
                <w:b w:val="0"/>
                <w:bCs/>
                <w:color w:val="auto"/>
                <w:sz w:val="24"/>
                <w:szCs w:val="24"/>
                <w:highlight w:val="none"/>
                <w:lang w:val="en-US" w:eastAsia="zh-CN"/>
              </w:rPr>
              <w:t>⑤</w:t>
            </w:r>
            <w:r>
              <w:rPr>
                <w:rFonts w:hint="default" w:ascii="Times New Roman" w:hAnsi="Times New Roman" w:eastAsia="仿宋_GB2312" w:cs="Times New Roman"/>
                <w:b w:val="0"/>
                <w:bCs/>
                <w:color w:val="auto"/>
                <w:sz w:val="24"/>
                <w:szCs w:val="24"/>
                <w:highlight w:val="none"/>
                <w:lang w:val="en-US" w:eastAsia="zh-CN"/>
              </w:rPr>
              <w:t>废矿物油</w:t>
            </w:r>
          </w:p>
          <w:p w14:paraId="32424B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_GB2312" w:cs="Times New Roman"/>
                <w:b/>
                <w:color w:val="auto"/>
                <w:sz w:val="24"/>
                <w:szCs w:val="24"/>
                <w:highlight w:val="none"/>
                <w:lang w:val="en-US" w:eastAsia="zh-CN"/>
              </w:rPr>
            </w:pPr>
            <w:r>
              <w:rPr>
                <w:rFonts w:hint="default" w:ascii="Times New Roman" w:hAnsi="Times New Roman" w:eastAsia="仿宋_GB2312" w:cs="Times New Roman"/>
                <w:bCs/>
                <w:snapToGrid w:val="0"/>
                <w:color w:val="auto"/>
                <w:kern w:val="0"/>
                <w:sz w:val="24"/>
              </w:rPr>
              <w:t>本项目机械设备在保养及维修会产生一定量的废机油、废润滑油等废矿物油，预计产生量约0.5t/a，属于</w:t>
            </w:r>
            <w:r>
              <w:rPr>
                <w:rFonts w:hint="default" w:ascii="Times New Roman" w:hAnsi="Times New Roman" w:eastAsia="仿宋_GB2312" w:cs="Times New Roman"/>
                <w:bCs/>
                <w:snapToGrid w:val="0"/>
                <w:color w:val="auto"/>
                <w:kern w:val="0"/>
                <w:sz w:val="24"/>
                <w:lang w:eastAsia="zh-CN"/>
              </w:rPr>
              <w:t>危险废物、危险废物代码为</w:t>
            </w:r>
            <w:r>
              <w:rPr>
                <w:rFonts w:hint="default" w:ascii="Times New Roman" w:hAnsi="Times New Roman" w:eastAsia="仿宋_GB2312" w:cs="Times New Roman"/>
                <w:bCs/>
                <w:snapToGrid w:val="0"/>
                <w:color w:val="auto"/>
                <w:kern w:val="0"/>
                <w:sz w:val="24"/>
                <w:lang w:val="en-US" w:eastAsia="zh-CN"/>
              </w:rPr>
              <w:t>HW08/</w:t>
            </w:r>
            <w:r>
              <w:rPr>
                <w:rFonts w:hint="default" w:ascii="Times New Roman" w:hAnsi="Times New Roman" w:eastAsia="仿宋_GB2312" w:cs="Times New Roman"/>
                <w:bCs/>
                <w:snapToGrid w:val="0"/>
                <w:color w:val="auto"/>
                <w:kern w:val="0"/>
                <w:sz w:val="24"/>
              </w:rPr>
              <w:t>900-249-08，判定类型属于其他生产、销售、使用过程中产生的废矿物油及含矿物油废物，由专用防渗漏容器收集，暂存于危废间内，定期交有资质单位处置。</w:t>
            </w:r>
          </w:p>
          <w:p w14:paraId="71A9BE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b w:val="0"/>
                <w:bCs/>
                <w:color w:val="auto"/>
                <w:sz w:val="24"/>
                <w:szCs w:val="24"/>
                <w:highlight w:val="none"/>
                <w:lang w:val="en-US" w:eastAsia="zh-CN"/>
              </w:rPr>
            </w:pPr>
            <w:r>
              <w:rPr>
                <w:rFonts w:hint="eastAsia" w:ascii="Times New Roman" w:hAnsi="Times New Roman" w:eastAsia="仿宋_GB2312" w:cs="Times New Roman"/>
                <w:b w:val="0"/>
                <w:bCs/>
                <w:color w:val="auto"/>
                <w:sz w:val="24"/>
                <w:szCs w:val="24"/>
                <w:highlight w:val="none"/>
                <w:lang w:val="en-US" w:eastAsia="zh-CN"/>
              </w:rPr>
              <w:t>⑥化验室、在线监测站房废液</w:t>
            </w:r>
          </w:p>
          <w:p w14:paraId="30DD2E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_GB2312" w:cs="Times New Roman"/>
                <w:b w:val="0"/>
                <w:bCs/>
                <w:color w:val="auto"/>
                <w:sz w:val="24"/>
                <w:szCs w:val="24"/>
                <w:highlight w:val="none"/>
                <w:lang w:val="en-US" w:eastAsia="zh-CN"/>
              </w:rPr>
            </w:pPr>
            <w:r>
              <w:rPr>
                <w:rFonts w:hint="eastAsia" w:ascii="Times New Roman" w:hAnsi="Times New Roman" w:eastAsia="仿宋_GB2312" w:cs="Times New Roman"/>
                <w:b w:val="0"/>
                <w:bCs/>
                <w:color w:val="auto"/>
                <w:sz w:val="24"/>
                <w:szCs w:val="24"/>
                <w:highlight w:val="none"/>
                <w:lang w:val="en-US" w:eastAsia="zh-CN"/>
              </w:rPr>
              <w:t>项目设置化验室及在线监测站房，水质检测过程会产生一定量的废液，废液中通常包含有害成分六价铬、汞、银等，根据建设单位提供资料，实验室手工水质检测COD值废液产生量约700ml/次，氨氮值废液产生量约250ml/次；在线监测COD、氨氮值废液产生量均为20ml/次，每天检测1次，则项目化验室及在线监测站房检测废液产生量为0.36t/a，</w:t>
            </w:r>
            <w:r>
              <w:rPr>
                <w:rFonts w:hint="default" w:ascii="Times New Roman" w:hAnsi="Times New Roman" w:eastAsia="仿宋_GB2312" w:cs="Times New Roman"/>
                <w:bCs/>
                <w:snapToGrid w:val="0"/>
                <w:color w:val="auto"/>
                <w:kern w:val="0"/>
                <w:sz w:val="24"/>
              </w:rPr>
              <w:t>属于</w:t>
            </w:r>
            <w:r>
              <w:rPr>
                <w:rFonts w:hint="default" w:ascii="Times New Roman" w:hAnsi="Times New Roman" w:eastAsia="仿宋_GB2312" w:cs="Times New Roman"/>
                <w:bCs/>
                <w:snapToGrid w:val="0"/>
                <w:color w:val="auto"/>
                <w:kern w:val="0"/>
                <w:sz w:val="24"/>
                <w:lang w:eastAsia="zh-CN"/>
              </w:rPr>
              <w:t>危险废物、危险废物代码为</w:t>
            </w:r>
            <w:r>
              <w:rPr>
                <w:rFonts w:hint="default" w:ascii="Times New Roman" w:hAnsi="Times New Roman" w:eastAsia="仿宋_GB2312" w:cs="Times New Roman"/>
                <w:bCs/>
                <w:snapToGrid w:val="0"/>
                <w:color w:val="auto"/>
                <w:kern w:val="0"/>
                <w:sz w:val="24"/>
                <w:lang w:val="en-US" w:eastAsia="zh-CN"/>
              </w:rPr>
              <w:t>HW</w:t>
            </w:r>
            <w:r>
              <w:rPr>
                <w:rFonts w:hint="eastAsia" w:ascii="Times New Roman" w:hAnsi="Times New Roman" w:eastAsia="仿宋_GB2312" w:cs="Times New Roman"/>
                <w:bCs/>
                <w:snapToGrid w:val="0"/>
                <w:color w:val="auto"/>
                <w:kern w:val="0"/>
                <w:sz w:val="24"/>
                <w:lang w:val="en-US" w:eastAsia="zh-CN"/>
              </w:rPr>
              <w:t>49</w:t>
            </w:r>
            <w:r>
              <w:rPr>
                <w:rFonts w:hint="default" w:ascii="Times New Roman" w:hAnsi="Times New Roman" w:eastAsia="仿宋_GB2312" w:cs="Times New Roman"/>
                <w:bCs/>
                <w:snapToGrid w:val="0"/>
                <w:color w:val="auto"/>
                <w:kern w:val="0"/>
                <w:sz w:val="24"/>
                <w:lang w:val="en-US" w:eastAsia="zh-CN"/>
              </w:rPr>
              <w:t>/</w:t>
            </w:r>
            <w:r>
              <w:rPr>
                <w:rFonts w:hint="default" w:ascii="Times New Roman" w:hAnsi="Times New Roman" w:eastAsia="仿宋_GB2312" w:cs="Times New Roman"/>
                <w:bCs/>
                <w:snapToGrid w:val="0"/>
                <w:color w:val="auto"/>
                <w:kern w:val="0"/>
                <w:sz w:val="24"/>
              </w:rPr>
              <w:t>900-</w:t>
            </w:r>
            <w:r>
              <w:rPr>
                <w:rFonts w:hint="eastAsia" w:ascii="Times New Roman" w:hAnsi="Times New Roman" w:eastAsia="仿宋_GB2312" w:cs="Times New Roman"/>
                <w:bCs/>
                <w:snapToGrid w:val="0"/>
                <w:color w:val="auto"/>
                <w:kern w:val="0"/>
                <w:sz w:val="24"/>
                <w:lang w:val="en-US" w:eastAsia="zh-CN"/>
              </w:rPr>
              <w:t>047-49</w:t>
            </w:r>
            <w:r>
              <w:rPr>
                <w:rFonts w:hint="default" w:ascii="Times New Roman" w:hAnsi="Times New Roman" w:eastAsia="仿宋_GB2312" w:cs="Times New Roman"/>
                <w:bCs/>
                <w:snapToGrid w:val="0"/>
                <w:color w:val="auto"/>
                <w:kern w:val="0"/>
                <w:sz w:val="24"/>
              </w:rPr>
              <w:t>，判定类型属于环境检测（监测）活动中，化学和生物实验室（不包含感染性医学实验室及医疗机构化验室）产生的含氰、氟、重金属无机废液等，由专用防渗漏容器收集，暂存于危废间内，定期交有资质单位处置。</w:t>
            </w:r>
          </w:p>
          <w:p w14:paraId="2620852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color w:val="auto"/>
                <w:sz w:val="24"/>
                <w:szCs w:val="24"/>
                <w:highlight w:val="none"/>
                <w:lang w:val="en-US" w:eastAsia="zh-CN"/>
              </w:rPr>
              <w:t>(3)</w:t>
            </w:r>
            <w:r>
              <w:rPr>
                <w:rFonts w:hint="default" w:ascii="Times New Roman" w:hAnsi="Times New Roman" w:eastAsia="仿宋_GB2312" w:cs="Times New Roman"/>
                <w:b/>
                <w:bCs/>
                <w:color w:val="auto"/>
                <w:sz w:val="24"/>
                <w:szCs w:val="24"/>
              </w:rPr>
              <w:t>污泥处置方案的可行性分析：</w:t>
            </w:r>
          </w:p>
          <w:p w14:paraId="6AEA80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中华人民共和国环境保护部，2010年第26号“关于发布《城镇污水处理厂污泥处置污染防治最佳可行技术指南（试行）》的公告”及中华人民共和国住房和城乡建设部第348号公告“关于发布《城镇污水处理厂污泥处理技术规程》的公告”，污泥处理的目的是稳定化、减量化、无害化与资源化。污泥稳定处理时将污水处理过程中产生的污泥，转化为一种不容易腐烂的稳定的产物。污泥稳定可以减少</w:t>
            </w:r>
            <w:r>
              <w:rPr>
                <w:rFonts w:hint="default" w:ascii="Times New Roman" w:hAnsi="Times New Roman" w:eastAsia="仿宋_GB2312" w:cs="Times New Roman"/>
                <w:color w:val="auto"/>
                <w:sz w:val="24"/>
                <w:szCs w:val="24"/>
                <w:highlight w:val="none"/>
              </w:rPr>
              <w:t>病原体，同时改善和减轻污泥视觉、嗅觉感官效果，方便对污泥的进一步处置和利用。本项目主要接纳的污水为排水服务范内的生活污水、物流园及农产品加工产业园废水，且园区废水能达到污水处理厂接管要求，项目污泥不含有害成分，不属于危险废物。根据项目污水处理工艺，本项目污泥主要来源为生物污泥，含水率约99.2％，是整个污水处理厂所产生污泥的主体，污泥含水率较高。但项目采用了生物除磷脱氮+高效沉淀池+</w:t>
            </w:r>
            <w:r>
              <w:rPr>
                <w:rFonts w:hint="default" w:ascii="Times New Roman" w:hAnsi="Times New Roman" w:eastAsia="仿宋_GB2312" w:cs="Times New Roman"/>
                <w:color w:val="auto"/>
                <w:sz w:val="24"/>
                <w:szCs w:val="24"/>
                <w:highlight w:val="none"/>
                <w:lang w:eastAsia="zh-CN"/>
              </w:rPr>
              <w:t>竖片</w:t>
            </w:r>
            <w:r>
              <w:rPr>
                <w:rFonts w:hint="default" w:ascii="Times New Roman" w:hAnsi="Times New Roman" w:eastAsia="仿宋_GB2312" w:cs="Times New Roman"/>
                <w:color w:val="auto"/>
                <w:sz w:val="24"/>
                <w:szCs w:val="24"/>
                <w:highlight w:val="none"/>
              </w:rPr>
              <w:t>滤池工艺，污泥龄较长，污泥性质较为稳定，剩余污泥量相对较少。项目设置了污泥池及污泥脱水间，污水处理过程中产生的污泥采用叠螺式污泥浓缩机+超高压弹性压榨机进行脱水，经脱水处理后含水率达到60%以下。</w:t>
            </w:r>
          </w:p>
          <w:p w14:paraId="0E2B824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工作原理：</w:t>
            </w:r>
          </w:p>
          <w:p w14:paraId="0108E5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叠螺污泥浓缩机：叠螺污泥浓缩机主体是由固定环和游动环相互层叠，螺旋轴贯穿其中形成的过滤装置。污泥在浓缩部经过重力浓缩后，被运输到脱水部，在前进的过程中随着滤缝及螺距的逐渐变小，以及背压板的阻挡作用下，产生极大的内压，容积不断缩小，达到充分脱水的目的。脱水后的污泥含水率约95％。</w:t>
            </w:r>
          </w:p>
          <w:p w14:paraId="36F6C5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超高压弹性压榨机：超高压弹性压榨机的主要由滤板、滤框和滤构成。板与框相间排列而成，在滤板的两侧覆有滤布，用压紧装置把板与框压紧，即在板与框之间构成压滤室。在板与框的上端中间相同部位开有小孔，压紧后成为一条通道，加压到0.2~0.4MPa的污泥，由该通道进入压滤室，滤板的表面刻有沟槽，下端钻有供滤液排出的孔道，滤液在压力下，通过滤布、沿沟槽与孔道排出滤机，使污泥脱水，从而保证泥饼含水率一般低于60%。</w:t>
            </w:r>
          </w:p>
          <w:p w14:paraId="30FC1E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环办【2010】157号《关于加强城镇污水处理厂污泥污染防治工作的通知》，本项目产生的污泥应委托具有相关的道路货物运营资质的单位进行运输，禁止个人和没有获得相关运营资质的单位从事污泥运输。污泥运输车辆应当采取密封、防水、防渗漏和防遗撒等措施。</w:t>
            </w:r>
          </w:p>
          <w:p w14:paraId="1A180D39">
            <w:pPr>
              <w:pStyle w:val="3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污泥运输分析：</w:t>
            </w:r>
          </w:p>
          <w:p w14:paraId="08312E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根据《关于加强城镇污水处理厂污泥防治工作的通知》（环办【2010】157号</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本项目产生的污泥应委托具有相关的道路货物运营资质的单位进行运输，禁止个人和没有获得相关运营资质的单位从事污泥运输，污水处理厂的污泥在运输过程中有可能出露，并引起臭味散逸，对运输沿线的环境带来一定的影响。因此，脱水污泥应采用专用封闭运输车，按规定时间和行驶路线运输，在运输过程中应注意防渗漏、防散落、运输车辆不宜装载过满，应注意遮盖，防止污泥散落影响道路卫生及周围环境。污泥外运利用过程必须符合环保要求，以防止二次污染。采取上述措施后，污泥运输对周围环境影响较小。</w:t>
            </w:r>
          </w:p>
          <w:p w14:paraId="4ADBCFEA">
            <w:pPr>
              <w:pStyle w:val="3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污泥最终处置分析</w:t>
            </w:r>
            <w:r>
              <w:rPr>
                <w:rFonts w:hint="default" w:ascii="Times New Roman" w:hAnsi="Times New Roman" w:eastAsia="仿宋_GB2312" w:cs="Times New Roman"/>
                <w:color w:val="auto"/>
                <w:sz w:val="24"/>
                <w:szCs w:val="24"/>
              </w:rPr>
              <w:t>：</w:t>
            </w:r>
          </w:p>
          <w:p w14:paraId="3183DC46">
            <w:pPr>
              <w:adjustRightInd w:val="0"/>
              <w:snapToGrid w:val="0"/>
              <w:spacing w:line="360" w:lineRule="auto"/>
              <w:ind w:firstLine="480" w:firstLineChars="200"/>
              <w:rPr>
                <w:rFonts w:hint="default" w:ascii="Calibri" w:hAnsi="Calibri" w:eastAsia="仿宋_GB2312" w:cs="Times New Roman"/>
                <w:color w:val="auto"/>
                <w:sz w:val="24"/>
                <w:szCs w:val="24"/>
                <w:lang w:eastAsia="zh-CN"/>
              </w:rPr>
            </w:pPr>
            <w:r>
              <w:rPr>
                <w:rFonts w:hint="default" w:ascii="Times New Roman" w:hAnsi="Times New Roman" w:eastAsia="仿宋_GB2312" w:cs="Times New Roman"/>
                <w:color w:val="auto"/>
                <w:sz w:val="24"/>
                <w:szCs w:val="24"/>
                <w:highlight w:val="none"/>
                <w:lang w:val="en-US" w:eastAsia="zh-CN"/>
              </w:rPr>
              <w:t>中卫市绿能新能源有限公司</w:t>
            </w:r>
            <w:r>
              <w:rPr>
                <w:rFonts w:hint="eastAsia"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lang w:val="en-US" w:eastAsia="zh-CN"/>
              </w:rPr>
              <w:t>中卫</w:t>
            </w:r>
            <w:r>
              <w:rPr>
                <w:rFonts w:hint="eastAsia" w:ascii="Times New Roman" w:hAnsi="Times New Roman" w:eastAsia="仿宋_GB2312" w:cs="Times New Roman"/>
                <w:color w:val="auto"/>
                <w:sz w:val="24"/>
                <w:szCs w:val="24"/>
                <w:highlight w:val="none"/>
                <w:lang w:val="en-US" w:eastAsia="zh-CN"/>
              </w:rPr>
              <w:t>市生活垃圾发电厂）</w:t>
            </w:r>
            <w:r>
              <w:rPr>
                <w:rFonts w:hint="default" w:ascii="Times New Roman" w:hAnsi="Times New Roman" w:eastAsia="仿宋_GB2312" w:cs="Times New Roman"/>
                <w:color w:val="auto"/>
                <w:sz w:val="24"/>
                <w:szCs w:val="24"/>
                <w:highlight w:val="none"/>
                <w:lang w:val="en-US" w:eastAsia="zh-CN"/>
              </w:rPr>
              <w:t>位于</w:t>
            </w:r>
            <w:r>
              <w:rPr>
                <w:rFonts w:hint="default" w:ascii="Times New Roman" w:hAnsi="Times New Roman" w:eastAsia="仿宋_GB2312" w:cs="Times New Roman"/>
                <w:color w:val="auto"/>
                <w:sz w:val="24"/>
                <w:szCs w:val="24"/>
                <w:lang w:val="en-US" w:eastAsia="zh-CN"/>
              </w:rPr>
              <w:t>中卫市沙坡头区宣和镇，占地面积64亩，总规模为日处理生活垃圾1000吨/日（其中一期500吨/日）。目前一期项目已顺利投产，每年可处理18.25万吨生活垃圾</w:t>
            </w:r>
            <w:r>
              <w:rPr>
                <w:rFonts w:hint="eastAsia" w:ascii="Times New Roman" w:hAnsi="Times New Roman" w:eastAsia="仿宋_GB2312" w:cs="Times New Roman"/>
                <w:color w:val="auto"/>
                <w:sz w:val="24"/>
                <w:szCs w:val="24"/>
                <w:lang w:val="en-US" w:eastAsia="zh-CN"/>
              </w:rPr>
              <w:t>，目前该厂</w:t>
            </w:r>
            <w:r>
              <w:rPr>
                <w:rFonts w:hint="default" w:ascii="Times New Roman" w:hAnsi="Times New Roman" w:eastAsia="仿宋_GB2312" w:cs="Times New Roman"/>
                <w:color w:val="auto"/>
                <w:sz w:val="24"/>
                <w:szCs w:val="24"/>
                <w:lang w:val="en-US" w:eastAsia="zh-CN"/>
              </w:rPr>
              <w:t>接纳固体废物约为8.21万t/a，占污水处理厂处理规模的44.99%，目前尚有约50%余量。本项目污泥产生量为93.99t/a，仅占中卫市绿能新能源有限公司已建规模的0.05%，同时，项目污泥满足该公司收纳条件。因此，可接纳处理本项目污泥。</w:t>
            </w:r>
          </w:p>
          <w:p w14:paraId="703F512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_GB2312" w:cs="Times New Roman"/>
                <w:bCs/>
                <w:color w:val="auto"/>
                <w:sz w:val="24"/>
                <w:szCs w:val="24"/>
                <w:lang w:eastAsia="zh-CN"/>
              </w:rPr>
            </w:pPr>
            <w:r>
              <w:rPr>
                <w:rFonts w:hint="default" w:ascii="Times New Roman" w:hAnsi="Times New Roman" w:eastAsia="仿宋_GB2312" w:cs="Times New Roman"/>
                <w:b/>
                <w:color w:val="auto"/>
                <w:sz w:val="24"/>
                <w:szCs w:val="24"/>
                <w:highlight w:val="none"/>
                <w:lang w:val="en-US" w:eastAsia="zh-CN"/>
              </w:rPr>
              <w:t>(3)</w:t>
            </w:r>
            <w:r>
              <w:rPr>
                <w:rFonts w:hint="default" w:ascii="Times New Roman" w:hAnsi="Times New Roman" w:eastAsia="仿宋_GB2312" w:cs="Times New Roman"/>
                <w:b/>
                <w:bCs/>
                <w:color w:val="auto"/>
                <w:sz w:val="24"/>
                <w:szCs w:val="24"/>
                <w:lang w:eastAsia="zh-CN"/>
              </w:rPr>
              <w:t>固废识别</w:t>
            </w:r>
          </w:p>
          <w:p w14:paraId="554600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本项目产生固废识别及产生量见表</w:t>
            </w:r>
            <w:r>
              <w:rPr>
                <w:rFonts w:hint="eastAsia" w:ascii="Times New Roman" w:hAnsi="Times New Roman" w:eastAsia="仿宋_GB2312" w:cs="Times New Roman"/>
                <w:bCs/>
                <w:color w:val="auto"/>
                <w:sz w:val="24"/>
                <w:szCs w:val="24"/>
                <w:lang w:val="en-US" w:eastAsia="zh-CN"/>
              </w:rPr>
              <w:t>4-16</w:t>
            </w:r>
            <w:r>
              <w:rPr>
                <w:rFonts w:hint="default" w:ascii="Times New Roman" w:hAnsi="Times New Roman" w:eastAsia="仿宋_GB2312" w:cs="Times New Roman"/>
                <w:bCs/>
                <w:color w:val="auto"/>
                <w:sz w:val="24"/>
                <w:szCs w:val="24"/>
              </w:rPr>
              <w:t>。</w:t>
            </w:r>
          </w:p>
          <w:p w14:paraId="07A62733">
            <w:pPr>
              <w:adjustRightInd w:val="0"/>
              <w:snapToGrid w:val="0"/>
              <w:jc w:val="center"/>
              <w:rPr>
                <w:rFonts w:ascii="Times New Roman" w:hAnsi="Times New Roman" w:eastAsia="宋体" w:cs="Times New Roman"/>
                <w:b/>
                <w:bCs/>
                <w:color w:val="auto"/>
                <w:sz w:val="21"/>
                <w:szCs w:val="21"/>
              </w:rPr>
            </w:pPr>
            <w:r>
              <w:rPr>
                <w:rFonts w:ascii="Times New Roman" w:hAnsi="Times New Roman" w:eastAsia="宋体" w:cs="Times New Roman"/>
                <w:bCs/>
                <w:color w:val="auto"/>
                <w:szCs w:val="21"/>
              </w:rPr>
              <w:t>表</w:t>
            </w:r>
            <w:r>
              <w:rPr>
                <w:rFonts w:hint="eastAsia" w:ascii="Times New Roman" w:hAnsi="Times New Roman" w:eastAsia="宋体" w:cs="Times New Roman"/>
                <w:bCs/>
                <w:color w:val="auto"/>
                <w:szCs w:val="21"/>
                <w:lang w:val="en-US" w:eastAsia="zh-CN"/>
              </w:rPr>
              <w:t xml:space="preserve">4-16   </w:t>
            </w:r>
            <w:r>
              <w:rPr>
                <w:rFonts w:hint="eastAsia" w:ascii="Times New Roman" w:hAnsi="Times New Roman" w:eastAsia="宋体" w:cs="Times New Roman"/>
                <w:bCs/>
                <w:color w:val="auto"/>
                <w:sz w:val="21"/>
                <w:szCs w:val="21"/>
                <w:lang w:val="en-US" w:eastAsia="zh-CN"/>
              </w:rPr>
              <w:t xml:space="preserve"> </w:t>
            </w:r>
            <w:r>
              <w:rPr>
                <w:rFonts w:ascii="Times New Roman" w:hAnsi="Times New Roman" w:eastAsia="宋体" w:cs="Times New Roman"/>
                <w:b/>
                <w:bCs/>
                <w:color w:val="auto"/>
                <w:sz w:val="21"/>
                <w:szCs w:val="21"/>
              </w:rPr>
              <w:t>本项目产生固废识别及产生量一览表</w:t>
            </w:r>
          </w:p>
          <w:tbl>
            <w:tblPr>
              <w:tblStyle w:val="26"/>
              <w:tblW w:w="495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52"/>
              <w:gridCol w:w="1125"/>
              <w:gridCol w:w="1062"/>
              <w:gridCol w:w="868"/>
              <w:gridCol w:w="1029"/>
              <w:gridCol w:w="947"/>
              <w:gridCol w:w="2250"/>
            </w:tblGrid>
            <w:tr w14:paraId="0BBA71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2" w:type="dxa"/>
                  <w:tcBorders>
                    <w:bottom w:val="single" w:color="auto" w:sz="6" w:space="0"/>
                    <w:right w:val="single" w:color="auto" w:sz="6" w:space="0"/>
                  </w:tcBorders>
                  <w:vAlign w:val="center"/>
                </w:tcPr>
                <w:p w14:paraId="7D3CBEFD">
                  <w:pPr>
                    <w:pStyle w:val="61"/>
                    <w:adjustRightInd/>
                    <w:spacing w:line="240" w:lineRule="auto"/>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125" w:type="dxa"/>
                  <w:tcBorders>
                    <w:left w:val="single" w:color="auto" w:sz="6" w:space="0"/>
                    <w:bottom w:val="single" w:color="auto" w:sz="6" w:space="0"/>
                    <w:right w:val="single" w:color="auto" w:sz="6" w:space="0"/>
                  </w:tcBorders>
                  <w:vAlign w:val="center"/>
                </w:tcPr>
                <w:p w14:paraId="55DB5D55">
                  <w:pPr>
                    <w:pStyle w:val="61"/>
                    <w:adjustRightInd/>
                    <w:spacing w:line="240" w:lineRule="auto"/>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062" w:type="dxa"/>
                  <w:tcBorders>
                    <w:left w:val="single" w:color="auto" w:sz="6" w:space="0"/>
                    <w:bottom w:val="single" w:color="auto" w:sz="6" w:space="0"/>
                    <w:right w:val="single" w:color="auto" w:sz="4" w:space="0"/>
                  </w:tcBorders>
                  <w:vAlign w:val="center"/>
                </w:tcPr>
                <w:p w14:paraId="64CB78A4">
                  <w:pPr>
                    <w:pStyle w:val="61"/>
                    <w:adjustRightInd/>
                    <w:spacing w:line="240" w:lineRule="auto"/>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来源</w:t>
                  </w:r>
                </w:p>
              </w:tc>
              <w:tc>
                <w:tcPr>
                  <w:tcW w:w="868" w:type="dxa"/>
                  <w:tcBorders>
                    <w:left w:val="single" w:color="auto" w:sz="4" w:space="0"/>
                    <w:bottom w:val="single" w:color="auto" w:sz="6" w:space="0"/>
                    <w:right w:val="single" w:color="auto" w:sz="6" w:space="0"/>
                  </w:tcBorders>
                  <w:vAlign w:val="center"/>
                </w:tcPr>
                <w:p w14:paraId="34DFB855">
                  <w:pPr>
                    <w:pStyle w:val="61"/>
                    <w:adjustRightInd/>
                    <w:spacing w:line="240" w:lineRule="auto"/>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w:t>
                  </w:r>
                </w:p>
              </w:tc>
              <w:tc>
                <w:tcPr>
                  <w:tcW w:w="1029" w:type="dxa"/>
                  <w:tcBorders>
                    <w:left w:val="single" w:color="auto" w:sz="6" w:space="0"/>
                    <w:bottom w:val="single" w:color="auto" w:sz="6" w:space="0"/>
                    <w:right w:val="single" w:color="auto" w:sz="6" w:space="0"/>
                  </w:tcBorders>
                  <w:vAlign w:val="center"/>
                </w:tcPr>
                <w:p w14:paraId="62B529B6">
                  <w:pPr>
                    <w:pStyle w:val="61"/>
                    <w:adjustRightInd/>
                    <w:spacing w:line="240" w:lineRule="auto"/>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废物识别</w:t>
                  </w:r>
                </w:p>
              </w:tc>
              <w:tc>
                <w:tcPr>
                  <w:tcW w:w="947" w:type="dxa"/>
                  <w:tcBorders>
                    <w:left w:val="single" w:color="auto" w:sz="6" w:space="0"/>
                    <w:bottom w:val="single" w:color="auto" w:sz="6" w:space="0"/>
                    <w:right w:val="single" w:color="auto" w:sz="6" w:space="0"/>
                  </w:tcBorders>
                  <w:vAlign w:val="center"/>
                </w:tcPr>
                <w:p w14:paraId="105B0609">
                  <w:pPr>
                    <w:pStyle w:val="61"/>
                    <w:adjustRightInd/>
                    <w:spacing w:line="240" w:lineRule="auto"/>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危废代码</w:t>
                  </w:r>
                </w:p>
              </w:tc>
              <w:tc>
                <w:tcPr>
                  <w:tcW w:w="2250" w:type="dxa"/>
                  <w:tcBorders>
                    <w:left w:val="single" w:color="auto" w:sz="6" w:space="0"/>
                    <w:bottom w:val="single" w:color="auto" w:sz="6" w:space="0"/>
                  </w:tcBorders>
                  <w:vAlign w:val="center"/>
                </w:tcPr>
                <w:p w14:paraId="189AD31F">
                  <w:pPr>
                    <w:pStyle w:val="61"/>
                    <w:adjustRightInd/>
                    <w:spacing w:line="240" w:lineRule="auto"/>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处置方法</w:t>
                  </w:r>
                </w:p>
              </w:tc>
            </w:tr>
            <w:tr w14:paraId="6741C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2" w:type="dxa"/>
                  <w:tcBorders>
                    <w:top w:val="single" w:color="auto" w:sz="6" w:space="0"/>
                    <w:bottom w:val="single" w:color="auto" w:sz="6" w:space="0"/>
                    <w:right w:val="single" w:color="auto" w:sz="6" w:space="0"/>
                  </w:tcBorders>
                  <w:vAlign w:val="center"/>
                </w:tcPr>
                <w:p w14:paraId="3D61EB04">
                  <w:pPr>
                    <w:pStyle w:val="61"/>
                    <w:spacing w:line="240" w:lineRule="auto"/>
                    <w:ind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w:t>
                  </w:r>
                </w:p>
              </w:tc>
              <w:tc>
                <w:tcPr>
                  <w:tcW w:w="1125" w:type="dxa"/>
                  <w:tcBorders>
                    <w:top w:val="single" w:color="auto" w:sz="6" w:space="0"/>
                    <w:left w:val="single" w:color="auto" w:sz="6" w:space="0"/>
                    <w:bottom w:val="single" w:color="auto" w:sz="6" w:space="0"/>
                    <w:right w:val="single" w:color="auto" w:sz="6" w:space="0"/>
                  </w:tcBorders>
                  <w:vAlign w:val="center"/>
                </w:tcPr>
                <w:p w14:paraId="780A296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bidi="ar"/>
                    </w:rPr>
                    <w:t>栅渣</w:t>
                  </w:r>
                </w:p>
              </w:tc>
              <w:tc>
                <w:tcPr>
                  <w:tcW w:w="1062" w:type="dxa"/>
                  <w:tcBorders>
                    <w:top w:val="single" w:color="auto" w:sz="6" w:space="0"/>
                    <w:left w:val="single" w:color="auto" w:sz="6" w:space="0"/>
                    <w:bottom w:val="single" w:color="auto" w:sz="6" w:space="0"/>
                    <w:right w:val="single" w:color="auto" w:sz="4" w:space="0"/>
                  </w:tcBorders>
                  <w:vAlign w:val="center"/>
                </w:tcPr>
                <w:p w14:paraId="7852275D">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格栅机</w:t>
                  </w:r>
                </w:p>
              </w:tc>
              <w:tc>
                <w:tcPr>
                  <w:tcW w:w="868" w:type="dxa"/>
                  <w:tcBorders>
                    <w:top w:val="single" w:color="auto" w:sz="6" w:space="0"/>
                    <w:left w:val="single" w:color="auto" w:sz="4" w:space="0"/>
                    <w:bottom w:val="single" w:color="auto" w:sz="6" w:space="0"/>
                    <w:right w:val="single" w:color="auto" w:sz="6" w:space="0"/>
                  </w:tcBorders>
                  <w:vAlign w:val="center"/>
                </w:tcPr>
                <w:p w14:paraId="779B06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2857.45</w:t>
                  </w:r>
                  <w:r>
                    <w:rPr>
                      <w:rFonts w:hint="default" w:ascii="Times New Roman" w:hAnsi="Times New Roman" w:eastAsia="宋体" w:cs="Times New Roman"/>
                      <w:color w:val="auto"/>
                      <w:sz w:val="21"/>
                      <w:szCs w:val="21"/>
                    </w:rPr>
                    <w:t>t/a</w:t>
                  </w:r>
                </w:p>
              </w:tc>
              <w:tc>
                <w:tcPr>
                  <w:tcW w:w="1029" w:type="dxa"/>
                  <w:tcBorders>
                    <w:top w:val="single" w:color="auto" w:sz="6" w:space="0"/>
                    <w:left w:val="single" w:color="auto" w:sz="6" w:space="0"/>
                    <w:bottom w:val="single" w:color="auto" w:sz="6" w:space="0"/>
                    <w:right w:val="single" w:color="auto" w:sz="6" w:space="0"/>
                  </w:tcBorders>
                  <w:vAlign w:val="center"/>
                </w:tcPr>
                <w:p w14:paraId="30AA08D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一般固废</w:t>
                  </w:r>
                </w:p>
              </w:tc>
              <w:tc>
                <w:tcPr>
                  <w:tcW w:w="947" w:type="dxa"/>
                  <w:tcBorders>
                    <w:top w:val="single" w:color="auto" w:sz="6" w:space="0"/>
                    <w:left w:val="single" w:color="auto" w:sz="6" w:space="0"/>
                    <w:bottom w:val="single" w:color="auto" w:sz="6" w:space="0"/>
                    <w:right w:val="single" w:color="auto" w:sz="6" w:space="0"/>
                  </w:tcBorders>
                  <w:vAlign w:val="center"/>
                </w:tcPr>
                <w:p w14:paraId="36F847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2250" w:type="dxa"/>
                  <w:vMerge w:val="restart"/>
                  <w:tcBorders>
                    <w:top w:val="single" w:color="auto" w:sz="6" w:space="0"/>
                    <w:left w:val="single" w:color="auto" w:sz="6" w:space="0"/>
                  </w:tcBorders>
                  <w:vAlign w:val="center"/>
                </w:tcPr>
                <w:p w14:paraId="2099C5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收集后均送至垃圾中转站</w:t>
                  </w:r>
                </w:p>
              </w:tc>
            </w:tr>
            <w:tr w14:paraId="54ED7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2" w:type="dxa"/>
                  <w:tcBorders>
                    <w:top w:val="single" w:color="auto" w:sz="6" w:space="0"/>
                    <w:bottom w:val="single" w:color="auto" w:sz="6" w:space="0"/>
                    <w:right w:val="single" w:color="auto" w:sz="6" w:space="0"/>
                  </w:tcBorders>
                  <w:vAlign w:val="center"/>
                </w:tcPr>
                <w:p w14:paraId="4FC946B4">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w:t>
                  </w:r>
                </w:p>
              </w:tc>
              <w:tc>
                <w:tcPr>
                  <w:tcW w:w="1125" w:type="dxa"/>
                  <w:tcBorders>
                    <w:top w:val="single" w:color="auto" w:sz="6" w:space="0"/>
                    <w:left w:val="single" w:color="auto" w:sz="6" w:space="0"/>
                    <w:bottom w:val="single" w:color="auto" w:sz="6" w:space="0"/>
                    <w:right w:val="single" w:color="auto" w:sz="6" w:space="0"/>
                  </w:tcBorders>
                  <w:vAlign w:val="center"/>
                </w:tcPr>
                <w:p w14:paraId="072AB1C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bidi="ar"/>
                    </w:rPr>
                    <w:t>沉渣</w:t>
                  </w:r>
                </w:p>
              </w:tc>
              <w:tc>
                <w:tcPr>
                  <w:tcW w:w="1062" w:type="dxa"/>
                  <w:tcBorders>
                    <w:top w:val="single" w:color="auto" w:sz="6" w:space="0"/>
                    <w:left w:val="single" w:color="auto" w:sz="6" w:space="0"/>
                    <w:bottom w:val="single" w:color="auto" w:sz="6" w:space="0"/>
                    <w:right w:val="single" w:color="auto" w:sz="4" w:space="0"/>
                  </w:tcBorders>
                  <w:vAlign w:val="center"/>
                </w:tcPr>
                <w:p w14:paraId="41715834">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沉淀池</w:t>
                  </w:r>
                </w:p>
              </w:tc>
              <w:tc>
                <w:tcPr>
                  <w:tcW w:w="868" w:type="dxa"/>
                  <w:tcBorders>
                    <w:top w:val="single" w:color="auto" w:sz="6" w:space="0"/>
                    <w:left w:val="single" w:color="auto" w:sz="4" w:space="0"/>
                    <w:bottom w:val="single" w:color="auto" w:sz="6" w:space="0"/>
                    <w:right w:val="single" w:color="auto" w:sz="6" w:space="0"/>
                  </w:tcBorders>
                  <w:vAlign w:val="center"/>
                </w:tcPr>
                <w:p w14:paraId="6338E4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t/a</w:t>
                  </w:r>
                </w:p>
              </w:tc>
              <w:tc>
                <w:tcPr>
                  <w:tcW w:w="1029" w:type="dxa"/>
                  <w:tcBorders>
                    <w:top w:val="single" w:color="auto" w:sz="6" w:space="0"/>
                    <w:left w:val="single" w:color="auto" w:sz="6" w:space="0"/>
                    <w:bottom w:val="single" w:color="auto" w:sz="6" w:space="0"/>
                    <w:right w:val="single" w:color="auto" w:sz="6" w:space="0"/>
                  </w:tcBorders>
                  <w:vAlign w:val="center"/>
                </w:tcPr>
                <w:p w14:paraId="6E5EB1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947" w:type="dxa"/>
                  <w:tcBorders>
                    <w:top w:val="single" w:color="auto" w:sz="6" w:space="0"/>
                    <w:left w:val="single" w:color="auto" w:sz="6" w:space="0"/>
                    <w:bottom w:val="single" w:color="auto" w:sz="6" w:space="0"/>
                    <w:right w:val="single" w:color="auto" w:sz="6" w:space="0"/>
                  </w:tcBorders>
                  <w:vAlign w:val="center"/>
                </w:tcPr>
                <w:p w14:paraId="45BFAEEA">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w:t>
                  </w:r>
                </w:p>
              </w:tc>
              <w:tc>
                <w:tcPr>
                  <w:tcW w:w="2250" w:type="dxa"/>
                  <w:vMerge w:val="continue"/>
                  <w:tcBorders>
                    <w:left w:val="single" w:color="auto" w:sz="6" w:space="0"/>
                    <w:bottom w:val="single" w:color="auto" w:sz="6" w:space="0"/>
                  </w:tcBorders>
                  <w:vAlign w:val="center"/>
                </w:tcPr>
                <w:p w14:paraId="09E2E78A">
                  <w:pPr>
                    <w:jc w:val="center"/>
                    <w:rPr>
                      <w:rFonts w:hint="default" w:ascii="Times New Roman" w:hAnsi="Times New Roman" w:eastAsia="宋体" w:cs="Times New Roman"/>
                      <w:color w:val="auto"/>
                      <w:sz w:val="21"/>
                      <w:szCs w:val="21"/>
                      <w:lang w:eastAsia="zh-CN"/>
                    </w:rPr>
                  </w:pPr>
                </w:p>
              </w:tc>
            </w:tr>
            <w:tr w14:paraId="63F4CA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2" w:type="dxa"/>
                  <w:tcBorders>
                    <w:top w:val="single" w:color="auto" w:sz="6" w:space="0"/>
                    <w:bottom w:val="single" w:color="auto" w:sz="6" w:space="0"/>
                    <w:right w:val="single" w:color="auto" w:sz="6" w:space="0"/>
                  </w:tcBorders>
                  <w:vAlign w:val="center"/>
                </w:tcPr>
                <w:p w14:paraId="59C0D20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3</w:t>
                  </w:r>
                </w:p>
              </w:tc>
              <w:tc>
                <w:tcPr>
                  <w:tcW w:w="1125" w:type="dxa"/>
                  <w:tcBorders>
                    <w:top w:val="single" w:color="auto" w:sz="6" w:space="0"/>
                    <w:left w:val="single" w:color="auto" w:sz="6" w:space="0"/>
                    <w:bottom w:val="single" w:color="auto" w:sz="6" w:space="0"/>
                    <w:right w:val="single" w:color="auto" w:sz="6" w:space="0"/>
                  </w:tcBorders>
                  <w:vAlign w:val="center"/>
                </w:tcPr>
                <w:p w14:paraId="6CE79AE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bidi="ar"/>
                    </w:rPr>
                    <w:t>剩余污泥(脱水后)</w:t>
                  </w:r>
                </w:p>
              </w:tc>
              <w:tc>
                <w:tcPr>
                  <w:tcW w:w="1062" w:type="dxa"/>
                  <w:tcBorders>
                    <w:top w:val="single" w:color="auto" w:sz="6" w:space="0"/>
                    <w:left w:val="single" w:color="auto" w:sz="6" w:space="0"/>
                    <w:bottom w:val="single" w:color="auto" w:sz="6" w:space="0"/>
                    <w:right w:val="single" w:color="auto" w:sz="4" w:space="0"/>
                  </w:tcBorders>
                  <w:vAlign w:val="center"/>
                </w:tcPr>
                <w:p w14:paraId="75B91ED1">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污泥脱水</w:t>
                  </w:r>
                </w:p>
              </w:tc>
              <w:tc>
                <w:tcPr>
                  <w:tcW w:w="868" w:type="dxa"/>
                  <w:tcBorders>
                    <w:top w:val="single" w:color="auto" w:sz="6" w:space="0"/>
                    <w:left w:val="single" w:color="auto" w:sz="4" w:space="0"/>
                    <w:bottom w:val="single" w:color="auto" w:sz="6" w:space="0"/>
                    <w:right w:val="single" w:color="auto" w:sz="6" w:space="0"/>
                  </w:tcBorders>
                  <w:vAlign w:val="center"/>
                </w:tcPr>
                <w:p w14:paraId="2462821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93.99</w:t>
                  </w:r>
                  <w:r>
                    <w:rPr>
                      <w:rFonts w:hint="default" w:ascii="Times New Roman" w:hAnsi="Times New Roman" w:eastAsia="宋体" w:cs="Times New Roman"/>
                      <w:color w:val="auto"/>
                      <w:sz w:val="21"/>
                      <w:szCs w:val="21"/>
                      <w:lang w:val="en-US" w:eastAsia="zh-CN"/>
                    </w:rPr>
                    <w:t>t/a</w:t>
                  </w:r>
                </w:p>
              </w:tc>
              <w:tc>
                <w:tcPr>
                  <w:tcW w:w="1029" w:type="dxa"/>
                  <w:tcBorders>
                    <w:top w:val="single" w:color="auto" w:sz="6" w:space="0"/>
                    <w:left w:val="single" w:color="auto" w:sz="6" w:space="0"/>
                    <w:bottom w:val="single" w:color="auto" w:sz="6" w:space="0"/>
                    <w:right w:val="single" w:color="auto" w:sz="6" w:space="0"/>
                  </w:tcBorders>
                  <w:vAlign w:val="center"/>
                </w:tcPr>
                <w:p w14:paraId="219643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947" w:type="dxa"/>
                  <w:tcBorders>
                    <w:top w:val="single" w:color="auto" w:sz="6" w:space="0"/>
                    <w:left w:val="single" w:color="auto" w:sz="6" w:space="0"/>
                    <w:bottom w:val="single" w:color="auto" w:sz="6" w:space="0"/>
                    <w:right w:val="single" w:color="auto" w:sz="6" w:space="0"/>
                  </w:tcBorders>
                  <w:vAlign w:val="center"/>
                </w:tcPr>
                <w:p w14:paraId="4A49172B">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w:t>
                  </w:r>
                </w:p>
              </w:tc>
              <w:tc>
                <w:tcPr>
                  <w:tcW w:w="2250" w:type="dxa"/>
                  <w:tcBorders>
                    <w:top w:val="single" w:color="auto" w:sz="6" w:space="0"/>
                    <w:left w:val="single" w:color="auto" w:sz="6" w:space="0"/>
                    <w:bottom w:val="single" w:color="auto" w:sz="6" w:space="0"/>
                  </w:tcBorders>
                  <w:vAlign w:val="center"/>
                </w:tcPr>
                <w:p w14:paraId="7EB908A4">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外运至中卫市绿能新能源有限公司集中处置</w:t>
                  </w:r>
                </w:p>
              </w:tc>
            </w:tr>
            <w:tr w14:paraId="29FD6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2" w:type="dxa"/>
                  <w:tcBorders>
                    <w:top w:val="single" w:color="auto" w:sz="6" w:space="0"/>
                    <w:bottom w:val="single" w:color="auto" w:sz="6" w:space="0"/>
                    <w:right w:val="single" w:color="auto" w:sz="6" w:space="0"/>
                  </w:tcBorders>
                  <w:vAlign w:val="center"/>
                </w:tcPr>
                <w:p w14:paraId="2343193A">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4</w:t>
                  </w:r>
                </w:p>
              </w:tc>
              <w:tc>
                <w:tcPr>
                  <w:tcW w:w="1125" w:type="dxa"/>
                  <w:tcBorders>
                    <w:top w:val="single" w:color="auto" w:sz="6" w:space="0"/>
                    <w:left w:val="single" w:color="auto" w:sz="6" w:space="0"/>
                    <w:bottom w:val="single" w:color="auto" w:sz="6" w:space="0"/>
                    <w:right w:val="single" w:color="auto" w:sz="6" w:space="0"/>
                  </w:tcBorders>
                  <w:vAlign w:val="center"/>
                </w:tcPr>
                <w:p w14:paraId="23B14A6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bidi="ar"/>
                    </w:rPr>
                    <w:t>生活垃圾</w:t>
                  </w:r>
                </w:p>
              </w:tc>
              <w:tc>
                <w:tcPr>
                  <w:tcW w:w="1062" w:type="dxa"/>
                  <w:tcBorders>
                    <w:top w:val="single" w:color="auto" w:sz="6" w:space="0"/>
                    <w:left w:val="single" w:color="auto" w:sz="6" w:space="0"/>
                    <w:bottom w:val="single" w:color="auto" w:sz="6" w:space="0"/>
                    <w:right w:val="single" w:color="auto" w:sz="4" w:space="0"/>
                  </w:tcBorders>
                  <w:vAlign w:val="center"/>
                </w:tcPr>
                <w:p w14:paraId="71EC9A2A">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职工生活</w:t>
                  </w:r>
                </w:p>
              </w:tc>
              <w:tc>
                <w:tcPr>
                  <w:tcW w:w="868" w:type="dxa"/>
                  <w:tcBorders>
                    <w:top w:val="single" w:color="auto" w:sz="6" w:space="0"/>
                    <w:left w:val="single" w:color="auto" w:sz="4" w:space="0"/>
                    <w:bottom w:val="single" w:color="auto" w:sz="6" w:space="0"/>
                    <w:right w:val="single" w:color="auto" w:sz="6" w:space="0"/>
                  </w:tcBorders>
                  <w:vAlign w:val="center"/>
                </w:tcPr>
                <w:p w14:paraId="200E44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0.5t</w:t>
                  </w:r>
                  <w:r>
                    <w:rPr>
                      <w:rFonts w:hint="default" w:ascii="Times New Roman" w:hAnsi="Times New Roman" w:eastAsia="宋体" w:cs="Times New Roman"/>
                      <w:color w:val="auto"/>
                      <w:sz w:val="21"/>
                      <w:szCs w:val="21"/>
                    </w:rPr>
                    <w:t>/a</w:t>
                  </w:r>
                </w:p>
              </w:tc>
              <w:tc>
                <w:tcPr>
                  <w:tcW w:w="1029" w:type="dxa"/>
                  <w:tcBorders>
                    <w:top w:val="single" w:color="auto" w:sz="6" w:space="0"/>
                    <w:left w:val="single" w:color="auto" w:sz="6" w:space="0"/>
                    <w:bottom w:val="single" w:color="auto" w:sz="6" w:space="0"/>
                    <w:right w:val="single" w:color="auto" w:sz="6" w:space="0"/>
                  </w:tcBorders>
                  <w:vAlign w:val="center"/>
                </w:tcPr>
                <w:p w14:paraId="103FB351">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947" w:type="dxa"/>
                  <w:tcBorders>
                    <w:top w:val="single" w:color="auto" w:sz="6" w:space="0"/>
                    <w:left w:val="single" w:color="auto" w:sz="6" w:space="0"/>
                    <w:bottom w:val="single" w:color="auto" w:sz="6" w:space="0"/>
                    <w:right w:val="single" w:color="auto" w:sz="6" w:space="0"/>
                  </w:tcBorders>
                  <w:vAlign w:val="center"/>
                </w:tcPr>
                <w:p w14:paraId="0B3F3D93">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2250" w:type="dxa"/>
                  <w:tcBorders>
                    <w:top w:val="single" w:color="auto" w:sz="6" w:space="0"/>
                    <w:left w:val="single" w:color="auto" w:sz="6" w:space="0"/>
                    <w:bottom w:val="single" w:color="auto" w:sz="6" w:space="0"/>
                  </w:tcBorders>
                  <w:vAlign w:val="center"/>
                </w:tcPr>
                <w:p w14:paraId="22992E8E">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送环卫部门指定地点</w:t>
                  </w:r>
                </w:p>
              </w:tc>
            </w:tr>
            <w:tr w14:paraId="1A8EF8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2" w:type="dxa"/>
                  <w:tcBorders>
                    <w:top w:val="single" w:color="auto" w:sz="6" w:space="0"/>
                    <w:bottom w:val="single" w:color="auto" w:sz="6" w:space="0"/>
                    <w:right w:val="single" w:color="auto" w:sz="6" w:space="0"/>
                  </w:tcBorders>
                  <w:vAlign w:val="center"/>
                </w:tcPr>
                <w:p w14:paraId="2C315C8E">
                  <w:pPr>
                    <w:jc w:val="center"/>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5</w:t>
                  </w:r>
                </w:p>
              </w:tc>
              <w:tc>
                <w:tcPr>
                  <w:tcW w:w="1125" w:type="dxa"/>
                  <w:tcBorders>
                    <w:top w:val="single" w:color="auto" w:sz="6" w:space="0"/>
                    <w:left w:val="single" w:color="auto" w:sz="6" w:space="0"/>
                    <w:bottom w:val="single" w:color="auto" w:sz="6" w:space="0"/>
                    <w:right w:val="single" w:color="auto" w:sz="6" w:space="0"/>
                  </w:tcBorders>
                  <w:vAlign w:val="center"/>
                </w:tcPr>
                <w:p w14:paraId="176B907F">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 w:val="21"/>
                      <w:szCs w:val="21"/>
                      <w:lang w:eastAsia="zh-CN" w:bidi="ar"/>
                    </w:rPr>
                    <w:t>废矿物油</w:t>
                  </w:r>
                </w:p>
              </w:tc>
              <w:tc>
                <w:tcPr>
                  <w:tcW w:w="1062" w:type="dxa"/>
                  <w:tcBorders>
                    <w:top w:val="single" w:color="auto" w:sz="6" w:space="0"/>
                    <w:left w:val="single" w:color="auto" w:sz="6" w:space="0"/>
                    <w:bottom w:val="single" w:color="auto" w:sz="6" w:space="0"/>
                    <w:right w:val="single" w:color="auto" w:sz="4" w:space="0"/>
                  </w:tcBorders>
                  <w:vAlign w:val="center"/>
                </w:tcPr>
                <w:p w14:paraId="1D84806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检修</w:t>
                  </w:r>
                </w:p>
              </w:tc>
              <w:tc>
                <w:tcPr>
                  <w:tcW w:w="868" w:type="dxa"/>
                  <w:tcBorders>
                    <w:top w:val="single" w:color="auto" w:sz="6" w:space="0"/>
                    <w:left w:val="single" w:color="auto" w:sz="4" w:space="0"/>
                    <w:bottom w:val="single" w:color="auto" w:sz="6" w:space="0"/>
                    <w:right w:val="single" w:color="auto" w:sz="6" w:space="0"/>
                  </w:tcBorders>
                  <w:vAlign w:val="center"/>
                </w:tcPr>
                <w:p w14:paraId="42FA48F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0.5t/a</w:t>
                  </w:r>
                </w:p>
              </w:tc>
              <w:tc>
                <w:tcPr>
                  <w:tcW w:w="1029" w:type="dxa"/>
                  <w:tcBorders>
                    <w:top w:val="single" w:color="auto" w:sz="6" w:space="0"/>
                    <w:left w:val="single" w:color="auto" w:sz="6" w:space="0"/>
                    <w:bottom w:val="single" w:color="auto" w:sz="6" w:space="0"/>
                    <w:right w:val="single" w:color="auto" w:sz="6" w:space="0"/>
                  </w:tcBorders>
                  <w:vAlign w:val="center"/>
                </w:tcPr>
                <w:p w14:paraId="16938AE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危险废物</w:t>
                  </w:r>
                </w:p>
              </w:tc>
              <w:tc>
                <w:tcPr>
                  <w:tcW w:w="947" w:type="dxa"/>
                  <w:tcBorders>
                    <w:top w:val="single" w:color="auto" w:sz="6" w:space="0"/>
                    <w:left w:val="single" w:color="auto" w:sz="6" w:space="0"/>
                    <w:bottom w:val="single" w:color="auto" w:sz="6" w:space="0"/>
                    <w:right w:val="single" w:color="auto" w:sz="6" w:space="0"/>
                  </w:tcBorders>
                  <w:vAlign w:val="center"/>
                </w:tcPr>
                <w:p w14:paraId="27A28D0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仿宋_GB2312" w:cs="Times New Roman"/>
                      <w:bCs/>
                      <w:snapToGrid w:val="0"/>
                      <w:color w:val="auto"/>
                      <w:kern w:val="0"/>
                      <w:sz w:val="21"/>
                      <w:szCs w:val="21"/>
                      <w:lang w:val="en-US" w:eastAsia="zh-CN"/>
                    </w:rPr>
                    <w:t>HW08/</w:t>
                  </w:r>
                  <w:r>
                    <w:rPr>
                      <w:rFonts w:ascii="Times New Roman" w:hAnsi="Times New Roman" w:eastAsia="仿宋_GB2312" w:cs="Times New Roman"/>
                      <w:bCs/>
                      <w:snapToGrid w:val="0"/>
                      <w:color w:val="auto"/>
                      <w:kern w:val="0"/>
                      <w:sz w:val="21"/>
                      <w:szCs w:val="21"/>
                    </w:rPr>
                    <w:t>900-249-08</w:t>
                  </w:r>
                </w:p>
              </w:tc>
              <w:tc>
                <w:tcPr>
                  <w:tcW w:w="2250" w:type="dxa"/>
                  <w:vMerge w:val="restart"/>
                  <w:tcBorders>
                    <w:top w:val="single" w:color="auto" w:sz="6" w:space="0"/>
                    <w:left w:val="single" w:color="auto" w:sz="6" w:space="0"/>
                  </w:tcBorders>
                  <w:vAlign w:val="center"/>
                </w:tcPr>
                <w:p w14:paraId="67E32D1A">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暂存于厂区</w:t>
                  </w:r>
                  <w:r>
                    <w:rPr>
                      <w:rFonts w:hint="eastAsia" w:ascii="Times New Roman" w:hAnsi="Times New Roman" w:eastAsia="宋体" w:cs="Times New Roman"/>
                      <w:color w:val="auto"/>
                      <w:sz w:val="21"/>
                      <w:szCs w:val="21"/>
                      <w:lang w:val="en-US" w:eastAsia="zh-CN"/>
                    </w:rPr>
                    <w:t>危险废物贮存库</w:t>
                  </w:r>
                  <w:r>
                    <w:rPr>
                      <w:rFonts w:hint="eastAsia" w:ascii="Times New Roman" w:hAnsi="Times New Roman" w:eastAsia="宋体" w:cs="Times New Roman"/>
                      <w:color w:val="auto"/>
                      <w:sz w:val="21"/>
                      <w:szCs w:val="21"/>
                      <w:lang w:eastAsia="zh-CN"/>
                    </w:rPr>
                    <w:t>，定期交由有资质单位处置</w:t>
                  </w:r>
                </w:p>
              </w:tc>
            </w:tr>
            <w:tr w14:paraId="2EFDC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2" w:type="dxa"/>
                  <w:tcBorders>
                    <w:top w:val="single" w:color="auto" w:sz="6" w:space="0"/>
                    <w:right w:val="single" w:color="auto" w:sz="6" w:space="0"/>
                  </w:tcBorders>
                  <w:vAlign w:val="center"/>
                </w:tcPr>
                <w:p w14:paraId="005EC360">
                  <w:pPr>
                    <w:jc w:val="center"/>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6</w:t>
                  </w:r>
                </w:p>
              </w:tc>
              <w:tc>
                <w:tcPr>
                  <w:tcW w:w="1125" w:type="dxa"/>
                  <w:tcBorders>
                    <w:top w:val="single" w:color="auto" w:sz="6" w:space="0"/>
                    <w:left w:val="single" w:color="auto" w:sz="6" w:space="0"/>
                    <w:right w:val="single" w:color="auto" w:sz="6" w:space="0"/>
                  </w:tcBorders>
                  <w:vAlign w:val="center"/>
                </w:tcPr>
                <w:p w14:paraId="25A1A3CF">
                  <w:pPr>
                    <w:adjustRightInd w:val="0"/>
                    <w:snapToGrid w:val="0"/>
                    <w:jc w:val="center"/>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eastAsia="zh-CN" w:bidi="ar"/>
                    </w:rPr>
                    <w:t>检测废液</w:t>
                  </w:r>
                </w:p>
              </w:tc>
              <w:tc>
                <w:tcPr>
                  <w:tcW w:w="1062" w:type="dxa"/>
                  <w:tcBorders>
                    <w:top w:val="single" w:color="auto" w:sz="6" w:space="0"/>
                    <w:left w:val="single" w:color="auto" w:sz="6" w:space="0"/>
                    <w:right w:val="single" w:color="auto" w:sz="4" w:space="0"/>
                  </w:tcBorders>
                  <w:vAlign w:val="center"/>
                </w:tcPr>
                <w:p w14:paraId="36C051F5">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在线监测、化验室</w:t>
                  </w:r>
                </w:p>
              </w:tc>
              <w:tc>
                <w:tcPr>
                  <w:tcW w:w="868" w:type="dxa"/>
                  <w:tcBorders>
                    <w:top w:val="single" w:color="auto" w:sz="6" w:space="0"/>
                    <w:left w:val="single" w:color="auto" w:sz="4" w:space="0"/>
                    <w:right w:val="single" w:color="auto" w:sz="6" w:space="0"/>
                  </w:tcBorders>
                  <w:vAlign w:val="center"/>
                </w:tcPr>
                <w:p w14:paraId="1AB4B40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0.36</w:t>
                  </w:r>
                </w:p>
              </w:tc>
              <w:tc>
                <w:tcPr>
                  <w:tcW w:w="1029" w:type="dxa"/>
                  <w:tcBorders>
                    <w:top w:val="single" w:color="auto" w:sz="6" w:space="0"/>
                    <w:left w:val="single" w:color="auto" w:sz="6" w:space="0"/>
                    <w:right w:val="single" w:color="auto" w:sz="6" w:space="0"/>
                  </w:tcBorders>
                  <w:vAlign w:val="center"/>
                </w:tcPr>
                <w:p w14:paraId="656086F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p>
              </w:tc>
              <w:tc>
                <w:tcPr>
                  <w:tcW w:w="947" w:type="dxa"/>
                  <w:tcBorders>
                    <w:top w:val="single" w:color="auto" w:sz="6" w:space="0"/>
                    <w:left w:val="single" w:color="auto" w:sz="6" w:space="0"/>
                    <w:right w:val="single" w:color="auto" w:sz="6" w:space="0"/>
                  </w:tcBorders>
                  <w:vAlign w:val="center"/>
                </w:tcPr>
                <w:p w14:paraId="1D9FB990">
                  <w:pPr>
                    <w:adjustRightInd w:val="0"/>
                    <w:snapToGrid w:val="0"/>
                    <w:jc w:val="center"/>
                    <w:rPr>
                      <w:rFonts w:hint="default" w:ascii="Times New Roman" w:hAnsi="Times New Roman" w:eastAsia="仿宋_GB2312" w:cs="Times New Roman"/>
                      <w:bCs/>
                      <w:snapToGrid w:val="0"/>
                      <w:color w:val="auto"/>
                      <w:kern w:val="0"/>
                      <w:sz w:val="21"/>
                      <w:szCs w:val="21"/>
                      <w:lang w:val="en-US" w:eastAsia="zh-CN"/>
                    </w:rPr>
                  </w:pPr>
                  <w:r>
                    <w:rPr>
                      <w:rFonts w:hint="eastAsia" w:ascii="Times New Roman" w:hAnsi="Times New Roman" w:eastAsia="仿宋_GB2312" w:cs="Times New Roman"/>
                      <w:bCs/>
                      <w:snapToGrid w:val="0"/>
                      <w:color w:val="auto"/>
                      <w:kern w:val="0"/>
                      <w:sz w:val="21"/>
                      <w:szCs w:val="21"/>
                      <w:lang w:val="en-US" w:eastAsia="zh-CN"/>
                    </w:rPr>
                    <w:t>HW09/900-047-49</w:t>
                  </w:r>
                </w:p>
              </w:tc>
              <w:tc>
                <w:tcPr>
                  <w:tcW w:w="2250" w:type="dxa"/>
                  <w:vMerge w:val="continue"/>
                  <w:tcBorders>
                    <w:left w:val="single" w:color="auto" w:sz="6" w:space="0"/>
                  </w:tcBorders>
                  <w:vAlign w:val="center"/>
                </w:tcPr>
                <w:p w14:paraId="077EA1D2">
                  <w:pPr>
                    <w:jc w:val="center"/>
                    <w:rPr>
                      <w:rFonts w:hint="eastAsia" w:ascii="Times New Roman" w:hAnsi="Times New Roman" w:eastAsia="宋体" w:cs="Times New Roman"/>
                      <w:color w:val="auto"/>
                      <w:sz w:val="21"/>
                      <w:szCs w:val="21"/>
                      <w:lang w:eastAsia="zh-CN"/>
                    </w:rPr>
                  </w:pPr>
                </w:p>
              </w:tc>
            </w:tr>
          </w:tbl>
          <w:p w14:paraId="30374552">
            <w:pPr>
              <w:pStyle w:val="65"/>
              <w:ind w:firstLine="482"/>
              <w:rPr>
                <w:rFonts w:eastAsia="仿宋"/>
                <w:b/>
                <w:bCs/>
                <w:color w:val="auto"/>
              </w:rPr>
            </w:pPr>
            <w:r>
              <w:rPr>
                <w:rFonts w:eastAsia="仿宋"/>
                <w:b/>
                <w:bCs/>
                <w:color w:val="auto"/>
              </w:rPr>
              <w:t>4.2固废环境管理要求</w:t>
            </w:r>
          </w:p>
          <w:p w14:paraId="71A2FF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项目运营期一般固体废物主要包括</w:t>
            </w:r>
            <w:r>
              <w:rPr>
                <w:rFonts w:hint="default" w:ascii="Times New Roman" w:hAnsi="Times New Roman" w:eastAsia="仿宋_GB2312" w:cs="Times New Roman"/>
                <w:color w:val="auto"/>
                <w:sz w:val="24"/>
                <w:szCs w:val="24"/>
                <w:lang w:val="en-US" w:eastAsia="zh-CN"/>
              </w:rPr>
              <w:t>栅渣、沉渣、污泥、生活垃圾、废矿物油和检测废液</w:t>
            </w:r>
            <w:r>
              <w:rPr>
                <w:rFonts w:hint="default" w:ascii="Times New Roman" w:hAnsi="Times New Roman" w:eastAsia="仿宋_GB2312" w:cs="Times New Roman"/>
                <w:color w:val="auto"/>
                <w:sz w:val="24"/>
                <w:szCs w:val="24"/>
              </w:rPr>
              <w:t>。由于项目一般固废产生量较多，需做到日产日清，及时回填，不得在厂区长时间贮存。</w:t>
            </w:r>
          </w:p>
          <w:p w14:paraId="1F545F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一般工业固体废物按照《中华人民共和国固体废物污染环境防治法》（2020年4月29日修订）中“防渗漏、防雨淋、防扬尘”相关要求进行管理，此外，建设单位须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363DBD85">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lang w:val="en-US" w:eastAsia="zh-CN"/>
              </w:rPr>
            </w:pPr>
            <w:r>
              <w:rPr>
                <w:rFonts w:hint="eastAsia" w:ascii="仿宋_GB2312" w:hAnsi="仿宋_GB2312" w:eastAsia="仿宋_GB2312" w:cs="仿宋_GB2312"/>
                <w:color w:val="auto"/>
                <w:sz w:val="24"/>
                <w:szCs w:val="24"/>
                <w:lang w:val="en-US" w:eastAsia="zh-CN"/>
              </w:rPr>
              <w:t>根据《危险废物贮存污染控制标准》</w:t>
            </w:r>
            <w:r>
              <w:rPr>
                <w:rFonts w:hint="default" w:ascii="Times New Roman" w:hAnsi="Times New Roman" w:eastAsia="仿宋_GB2312" w:cs="Times New Roman"/>
                <w:color w:val="auto"/>
                <w:sz w:val="24"/>
                <w:szCs w:val="24"/>
                <w:lang w:val="en-US" w:eastAsia="zh-CN"/>
              </w:rPr>
              <w:t>（GB18579-2023）</w:t>
            </w:r>
            <w:r>
              <w:rPr>
                <w:rFonts w:hint="eastAsia" w:ascii="Times New Roman" w:hAnsi="Times New Roman" w:eastAsia="仿宋_GB2312" w:cs="Times New Roman"/>
                <w:color w:val="auto"/>
                <w:sz w:val="24"/>
                <w:szCs w:val="24"/>
                <w:lang w:val="en-US" w:eastAsia="zh-CN"/>
              </w:rPr>
              <w:t>，危险废物的管理要求如下：</w:t>
            </w:r>
          </w:p>
          <w:p w14:paraId="487F29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①贮存设施应根据危险废物的形态、物理化学性质、包装形式和污染物迁移途径,采取必要的防风、防晒、防雨、防漏、防渗、防腐以及其他环境污染防治措施，不应露天堆放危险废物:</w:t>
            </w:r>
          </w:p>
          <w:p w14:paraId="36EF37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②贮存设施应根据危险废物的类别、数量、形态、物理化学性质和污染防治等要求设置必要的贮存分区，避免不相容的危险废物接触、混合;</w:t>
            </w:r>
          </w:p>
          <w:p w14:paraId="09ED61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③贮存设施或贮存分区内地面、墙面裙脚、堵截泄漏的围堰、接触危险废物的隔板和墙体等应采用坚固的材料建造，表面无裂缝:</w:t>
            </w:r>
          </w:p>
          <w:p w14:paraId="7B7BB6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防层为至少1m厚黏土层(渗透系数不大于10</w:t>
            </w:r>
            <w:r>
              <w:rPr>
                <w:rFonts w:hint="default" w:ascii="Times New Roman" w:hAnsi="Times New Roman" w:eastAsia="仿宋_GB2312" w:cs="Times New Roman"/>
                <w:color w:val="auto"/>
                <w:sz w:val="24"/>
                <w:szCs w:val="24"/>
                <w:vertAlign w:val="superscript"/>
                <w:lang w:val="en-US" w:eastAsia="zh-CN"/>
              </w:rPr>
              <w:t>-7</w:t>
            </w:r>
            <w:r>
              <w:rPr>
                <w:rFonts w:hint="default" w:ascii="Times New Roman" w:hAnsi="Times New Roman" w:eastAsia="仿宋_GB2312" w:cs="Times New Roman"/>
                <w:color w:val="auto"/>
                <w:sz w:val="24"/>
                <w:szCs w:val="24"/>
                <w:lang w:val="en-US" w:eastAsia="zh-CN"/>
              </w:rPr>
              <w:t>cm/s)，或至少2mm厚高密度聚乙烯膜等人工防渗材料(渗透系数不大于10</w:t>
            </w:r>
            <w:r>
              <w:rPr>
                <w:rFonts w:hint="default" w:ascii="Times New Roman" w:hAnsi="Times New Roman" w:eastAsia="仿宋_GB2312" w:cs="Times New Roman"/>
                <w:color w:val="auto"/>
                <w:sz w:val="24"/>
                <w:szCs w:val="24"/>
                <w:vertAlign w:val="superscript"/>
                <w:lang w:val="en-US" w:eastAsia="zh-CN"/>
              </w:rPr>
              <w:t>-10</w:t>
            </w:r>
            <w:r>
              <w:rPr>
                <w:rFonts w:hint="default" w:ascii="Times New Roman" w:hAnsi="Times New Roman" w:eastAsia="仿宋_GB2312" w:cs="Times New Roman"/>
                <w:color w:val="auto"/>
                <w:sz w:val="24"/>
                <w:szCs w:val="24"/>
                <w:lang w:val="en-US" w:eastAsia="zh-CN"/>
              </w:rPr>
              <w:t>cm/s)，或其他防渗性能等效的材料;</w:t>
            </w:r>
          </w:p>
          <w:p w14:paraId="597072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68351A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⑥贮存库内不同贮存分区之间应采取隔离措施。隔离措施可根据危险废物特性采用过道、隔板或隔墙等方式;</w:t>
            </w:r>
          </w:p>
          <w:p w14:paraId="130EA9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⑦在贮存库内或通过贮存分区方式贮存液态危险废物的，应具有液体泄漏堵截设施，堵截设施最小容积不应低于对应贮存区域最大液态废物容器容积或液态废物总储量的1/10(二者取较大者)</w:t>
            </w:r>
            <w:r>
              <w:rPr>
                <w:rFonts w:hint="eastAsia"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用于贮存可能产生渗滤液的危险废物的贮存库或贮存分区应设计渗滤液收集设施，收集设施容积应满足渗滤液的收集要求;</w:t>
            </w:r>
          </w:p>
          <w:p w14:paraId="498ADD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⑧贮存会挥发VOCs等危险废物须密封贮存</w:t>
            </w:r>
            <w:r>
              <w:rPr>
                <w:rFonts w:hint="eastAsia" w:ascii="Times New Roman" w:hAnsi="Times New Roman" w:eastAsia="仿宋_GB2312" w:cs="Times New Roman"/>
                <w:color w:val="auto"/>
                <w:sz w:val="24"/>
                <w:szCs w:val="24"/>
                <w:lang w:val="en-US" w:eastAsia="zh-CN"/>
              </w:rPr>
              <w:t>；</w:t>
            </w:r>
          </w:p>
          <w:p w14:paraId="7D0330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⑨按照《危险废物识别标志设置技术规范》(HJ1276-2022)规范要求正确粘贴标识标牌;</w:t>
            </w:r>
          </w:p>
          <w:p w14:paraId="60194D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fldChar w:fldCharType="begin"/>
            </w:r>
            <w:r>
              <w:rPr>
                <w:rFonts w:hint="default" w:ascii="Times New Roman" w:hAnsi="Times New Roman" w:eastAsia="仿宋_GB2312" w:cs="Times New Roman"/>
                <w:color w:val="auto"/>
                <w:sz w:val="24"/>
                <w:szCs w:val="24"/>
                <w:lang w:val="en-US" w:eastAsia="zh-CN"/>
              </w:rPr>
              <w:instrText xml:space="preserve"> = 10 \* GB3 \* MERGEFORMAT </w:instrText>
            </w:r>
            <w:r>
              <w:rPr>
                <w:rFonts w:hint="default" w:ascii="Times New Roman" w:hAnsi="Times New Roman" w:eastAsia="仿宋_GB2312" w:cs="Times New Roman"/>
                <w:color w:val="auto"/>
                <w:sz w:val="24"/>
                <w:szCs w:val="24"/>
                <w:lang w:val="en-US" w:eastAsia="zh-CN"/>
              </w:rPr>
              <w:fldChar w:fldCharType="separate"/>
            </w:r>
            <w:r>
              <w:rPr>
                <w:rFonts w:hint="default" w:ascii="Times New Roman" w:hAnsi="Times New Roman" w:eastAsia="仿宋_GB2312" w:cs="Times New Roman"/>
                <w:color w:val="auto"/>
                <w:sz w:val="24"/>
                <w:szCs w:val="24"/>
                <w:lang w:val="en-US" w:eastAsia="zh-CN"/>
              </w:rPr>
              <w:t>⑩</w:t>
            </w:r>
            <w:r>
              <w:rPr>
                <w:rFonts w:hint="default" w:ascii="Times New Roman" w:hAnsi="Times New Roman" w:eastAsia="仿宋_GB2312" w:cs="Times New Roman"/>
                <w:color w:val="auto"/>
                <w:sz w:val="24"/>
                <w:szCs w:val="24"/>
                <w:lang w:val="en-US" w:eastAsia="zh-CN"/>
              </w:rPr>
              <w:fldChar w:fldCharType="end"/>
            </w:r>
            <w:r>
              <w:rPr>
                <w:rFonts w:hint="default" w:ascii="Times New Roman" w:hAnsi="Times New Roman" w:eastAsia="仿宋_GB2312" w:cs="Times New Roman"/>
                <w:color w:val="auto"/>
                <w:sz w:val="24"/>
                <w:szCs w:val="24"/>
                <w:lang w:val="en-US" w:eastAsia="zh-CN"/>
              </w:rPr>
              <w:t>建立台账并悬挂于危废间内，转入及转出(处置、利用)需要填写危废种类、数量、时间及负责人员姓名。</w:t>
            </w:r>
          </w:p>
          <w:p w14:paraId="03985E58">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本</w:t>
            </w:r>
            <w:r>
              <w:rPr>
                <w:rFonts w:hint="eastAsia" w:ascii="Times New Roman" w:hAnsi="Times New Roman" w:eastAsia="仿宋_GB2312" w:cs="Times New Roman"/>
                <w:color w:val="auto"/>
                <w:sz w:val="24"/>
                <w:szCs w:val="24"/>
                <w:lang w:val="en-US" w:eastAsia="zh-CN"/>
              </w:rPr>
              <w:t>项目</w:t>
            </w:r>
            <w:r>
              <w:rPr>
                <w:rFonts w:hint="default" w:ascii="Times New Roman" w:hAnsi="Times New Roman" w:eastAsia="仿宋_GB2312" w:cs="Times New Roman"/>
                <w:color w:val="auto"/>
                <w:sz w:val="24"/>
                <w:szCs w:val="24"/>
                <w:lang w:val="en-US" w:eastAsia="zh-CN"/>
              </w:rPr>
              <w:t>产生的危险废物交由有资质的单位处理。在选择处置单位时，应选择具有危险废物经营许可证，资质许可范围包含本工程产生的危险废物类别，能够提供专业收集、运输、贮存、处理处置及综合利用危险废物的企业，避免危险废物对环境的二次污染风险。</w:t>
            </w:r>
          </w:p>
          <w:p w14:paraId="36DAA1A9">
            <w:pPr>
              <w:adjustRightInd w:val="0"/>
              <w:snapToGrid w:val="0"/>
              <w:spacing w:before="156" w:beforeLines="50" w:after="50" w:line="360" w:lineRule="auto"/>
              <w:rPr>
                <w:rFonts w:ascii="Times New Roman" w:hAnsi="Times New Roman" w:eastAsia="仿宋" w:cs="Times New Roman"/>
                <w:b/>
                <w:color w:val="auto"/>
                <w:sz w:val="24"/>
                <w:szCs w:val="24"/>
              </w:rPr>
            </w:pPr>
            <w:r>
              <w:rPr>
                <w:rFonts w:ascii="Times New Roman" w:hAnsi="Times New Roman" w:eastAsia="仿宋" w:cs="Times New Roman"/>
                <w:b/>
                <w:color w:val="auto"/>
                <w:sz w:val="24"/>
                <w:szCs w:val="24"/>
              </w:rPr>
              <w:t>5、地下水、土壤环境影响分析</w:t>
            </w:r>
          </w:p>
          <w:p w14:paraId="5DEFFA15">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在运行过程中污染物有可能渗入地下，影响地下水环境。针对项目可能发生的地下水污染，本项目按照“源头控制、分区防治、污染监控、应急响应”的地下水污染防治原则，从污染物的产生、排放等环境提出措施。</w:t>
            </w:r>
          </w:p>
          <w:p w14:paraId="0D44855F">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①源头控制措施</w:t>
            </w:r>
          </w:p>
          <w:p w14:paraId="2261A3F6">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A、工程对产生的废污水进行综合利用，从源头上减少废污水的排放量；</w:t>
            </w:r>
          </w:p>
          <w:p w14:paraId="54190ABD">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B对污水收储及处理的设施、建构筑物采取防渗漏措施，避免或减少污水的跑、冒、滴、漏，将废水泄漏的环境风险降低到最低程度；</w:t>
            </w:r>
          </w:p>
          <w:p w14:paraId="7E7829EF">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C定期巡检维护，做到废水泄漏早发现、早处理，确保废污水处理设施和输送管线正常运行；</w:t>
            </w:r>
          </w:p>
          <w:p w14:paraId="722E1ED0">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D建立有关规章制度和岗位责任制，制定风险预警方案，设立应急设施减轻环境污染影响。</w:t>
            </w:r>
          </w:p>
          <w:p w14:paraId="31C2A310">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②分区控制措施</w:t>
            </w:r>
          </w:p>
          <w:p w14:paraId="27C778CF">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防渗处理是防止地下水污染的重要环保保护措施，也是杜绝地下水污染的最后一道防线。根据《环境影响评价技术导则 地下水环境》（HJ610-2016）分区防渗的要求，对项目不同工程单元采取相应的防渗措施。根据本工程的特点，划分为重点污染防治区和一般污染防治区。</w:t>
            </w:r>
          </w:p>
          <w:p w14:paraId="2B06857C">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A重点污染防治区</w:t>
            </w:r>
          </w:p>
          <w:p w14:paraId="6300EDCE">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1 \* GB4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㈠</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污水处理构筑物的防渗</w:t>
            </w:r>
          </w:p>
          <w:p w14:paraId="73813E3E">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池体采用防渗钢筋混凝土，池体内表面刷涂防渗涂料。混凝土中掺入微膨胀剂，掺入量以试配结果为准；混凝土需有良好的级配，严格控制沙石的含泥量，并振捣密实，混凝土浇筑完后应加强养护。</w:t>
            </w:r>
          </w:p>
          <w:p w14:paraId="2A58CD52">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项目采用LJP合成高分子防渗涂料，LJP合成高分子防渗涂料属柔性防渗涂料，是在有机溶剂中混入烯烃系合成树脂和硅氧烷浸透剂，涂于多孔材料（混凝土、水泥灰浆等）的表面，就浸透内部，阻塞了固体，液体和气体的流动通道，防止材料内部的钢筋，棒钢锈蚀，抑制材料的开裂和劣化。</w:t>
            </w:r>
          </w:p>
          <w:p w14:paraId="7E1E90E0">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2 \* GB4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㈡</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污水埋地管网</w:t>
            </w:r>
          </w:p>
          <w:p w14:paraId="2B077B56">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项目污水收集排污管道采用高密度聚乙烯（PE）埋地波纹管，禁止使用钢筋混凝土管。</w:t>
            </w:r>
          </w:p>
          <w:p w14:paraId="35BF3727">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3 \* GB4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㈢</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污泥脱水机房防渗</w:t>
            </w:r>
          </w:p>
          <w:p w14:paraId="1D5A0358">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污泥脱水机房在采取地基防渗处理的前提下，进一步采用HDPE高密度聚乙烯防渗膜进行防渗处理，周边设防渗收集边沟。</w:t>
            </w:r>
          </w:p>
          <w:p w14:paraId="536C9CC9">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HDPE高密度聚乙烯是以97.5%的高密度聚乙烯和2.5%的碳黑、抗老化剂、抗氧化剂、紫外线吸收剂、稳定剂等辅料，采用先进的生产工艺，经三层共挤技术制成。具有耐酸碱、抗腐蚀、抗老化性能优异、防渗系数高等特点，渗透系数为可达到1.0×10</w:t>
            </w:r>
            <w:r>
              <w:rPr>
                <w:rFonts w:hint="default" w:ascii="Times New Roman" w:hAnsi="Times New Roman" w:eastAsia="仿宋_GB2312" w:cs="Times New Roman"/>
                <w:color w:val="auto"/>
                <w:sz w:val="24"/>
                <w:szCs w:val="24"/>
                <w:vertAlign w:val="superscript"/>
              </w:rPr>
              <w:t>-10</w:t>
            </w:r>
            <w:r>
              <w:rPr>
                <w:rFonts w:hint="default" w:ascii="Times New Roman" w:hAnsi="Times New Roman" w:eastAsia="仿宋_GB2312" w:cs="Times New Roman"/>
                <w:color w:val="auto"/>
                <w:sz w:val="24"/>
                <w:szCs w:val="24"/>
              </w:rPr>
              <w:t>cm/s，抗拉强度高，有很强的断裂伸长率对变形有相当的适应能力，适用于各种污水处理及污泥浓缩池的防渗工程。</w:t>
            </w:r>
          </w:p>
          <w:p w14:paraId="709C00F1">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污水处理各构筑物、污水埋地管网、污泥脱水机房为重点防治区，通过采取防渗措施后，确保重点防治区的渗透系数≤10</w:t>
            </w:r>
            <w:r>
              <w:rPr>
                <w:rFonts w:hint="default" w:ascii="Times New Roman" w:hAnsi="Times New Roman" w:eastAsia="仿宋_GB2312" w:cs="Times New Roman"/>
                <w:color w:val="auto"/>
                <w:sz w:val="24"/>
                <w:szCs w:val="24"/>
                <w:vertAlign w:val="superscript"/>
              </w:rPr>
              <w:t>-10</w:t>
            </w:r>
            <w:r>
              <w:rPr>
                <w:rFonts w:hint="default" w:ascii="Times New Roman" w:hAnsi="Times New Roman" w:eastAsia="仿宋_GB2312" w:cs="Times New Roman"/>
                <w:color w:val="auto"/>
                <w:sz w:val="24"/>
                <w:szCs w:val="24"/>
              </w:rPr>
              <w:t>cm/s。</w:t>
            </w:r>
          </w:p>
          <w:p w14:paraId="7568996C">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B一般污染防治区</w:t>
            </w:r>
          </w:p>
          <w:p w14:paraId="29CA120C">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项目一般污染防治区内的办公生活区的主要水污染物为无机盐和SS，污水水质简单，故在施工时在混凝土中掺加微膨胀防渗剂材料，以达到防渗的目的。对于混凝土中间的伸缩缝和实体基础的缝隙，通过填充柔性材料达到防渗目的，确保一般污染防治区的渗透系数≤10</w:t>
            </w:r>
            <w:r>
              <w:rPr>
                <w:rFonts w:hint="default" w:ascii="Times New Roman" w:hAnsi="Times New Roman" w:eastAsia="仿宋_GB2312" w:cs="Times New Roman"/>
                <w:color w:val="auto"/>
                <w:sz w:val="24"/>
                <w:szCs w:val="24"/>
                <w:vertAlign w:val="superscript"/>
              </w:rPr>
              <w:t>-7</w:t>
            </w:r>
            <w:r>
              <w:rPr>
                <w:rFonts w:hint="default" w:ascii="Times New Roman" w:hAnsi="Times New Roman" w:eastAsia="仿宋_GB2312" w:cs="Times New Roman"/>
                <w:color w:val="auto"/>
                <w:sz w:val="24"/>
                <w:szCs w:val="24"/>
              </w:rPr>
              <w:t>cm/s。</w:t>
            </w:r>
          </w:p>
          <w:p w14:paraId="5F351308">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C简单防渗区</w:t>
            </w:r>
          </w:p>
          <w:p w14:paraId="7C76530E">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厂区运输道路、停车场等功能场所可不做防渗处理，按照设计要求进行施工，对主要地面采取硬化措施。</w:t>
            </w:r>
          </w:p>
          <w:p w14:paraId="44AE074C">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厂区污染防渗分区见表</w:t>
            </w:r>
            <w:r>
              <w:rPr>
                <w:rFonts w:hint="eastAsia" w:ascii="Times New Roman" w:hAnsi="Times New Roman" w:eastAsia="仿宋_GB2312" w:cs="Times New Roman"/>
                <w:color w:val="auto"/>
                <w:sz w:val="24"/>
                <w:szCs w:val="24"/>
                <w:lang w:val="en-US" w:eastAsia="zh-CN"/>
              </w:rPr>
              <w:t>4-17</w:t>
            </w:r>
            <w:r>
              <w:rPr>
                <w:rFonts w:hint="default" w:ascii="Times New Roman" w:hAnsi="Times New Roman" w:eastAsia="仿宋_GB2312" w:cs="Times New Roman"/>
                <w:color w:val="auto"/>
                <w:sz w:val="24"/>
                <w:szCs w:val="24"/>
              </w:rPr>
              <w:t>，污染防渗分区图见</w:t>
            </w:r>
            <w:r>
              <w:rPr>
                <w:rFonts w:hint="eastAsia" w:ascii="Times New Roman" w:hAnsi="Times New Roman" w:eastAsia="仿宋_GB2312" w:cs="Times New Roman"/>
                <w:color w:val="auto"/>
                <w:sz w:val="24"/>
                <w:szCs w:val="24"/>
                <w:lang w:eastAsia="zh-CN"/>
              </w:rPr>
              <w:t>附图</w:t>
            </w:r>
            <w:r>
              <w:rPr>
                <w:rFonts w:hint="eastAsia" w:ascii="Times New Roman" w:hAnsi="Times New Roman" w:eastAsia="仿宋_GB2312" w:cs="Times New Roman"/>
                <w:color w:val="auto"/>
                <w:sz w:val="24"/>
                <w:szCs w:val="24"/>
                <w:lang w:val="en-US" w:eastAsia="zh-CN"/>
              </w:rPr>
              <w:t>11</w:t>
            </w:r>
            <w:r>
              <w:rPr>
                <w:rFonts w:hint="default" w:ascii="Times New Roman" w:hAnsi="Times New Roman" w:eastAsia="仿宋_GB2312" w:cs="Times New Roman"/>
                <w:color w:val="auto"/>
                <w:sz w:val="24"/>
                <w:szCs w:val="24"/>
              </w:rPr>
              <w:t>。</w:t>
            </w:r>
          </w:p>
          <w:p w14:paraId="4E6A2203">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Cs w:val="22"/>
              </w:rPr>
              <w:t>表</w:t>
            </w:r>
            <w:r>
              <w:rPr>
                <w:rFonts w:hint="eastAsia" w:ascii="Times New Roman" w:hAnsi="Times New Roman" w:eastAsia="宋体" w:cs="Times New Roman"/>
                <w:color w:val="auto"/>
                <w:szCs w:val="22"/>
                <w:lang w:val="en-US" w:eastAsia="zh-CN"/>
              </w:rPr>
              <w:t xml:space="preserve">4-17    </w:t>
            </w:r>
            <w:r>
              <w:rPr>
                <w:rFonts w:hint="default" w:ascii="Times New Roman" w:hAnsi="Times New Roman" w:eastAsia="宋体" w:cs="Times New Roman"/>
                <w:b/>
                <w:bCs/>
                <w:color w:val="auto"/>
                <w:sz w:val="21"/>
                <w:szCs w:val="21"/>
              </w:rPr>
              <w:t>厂区污染防渗分区一览表</w:t>
            </w:r>
          </w:p>
          <w:tbl>
            <w:tblPr>
              <w:tblStyle w:val="26"/>
              <w:tblW w:w="805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93"/>
              <w:gridCol w:w="1199"/>
              <w:gridCol w:w="2969"/>
              <w:gridCol w:w="2017"/>
              <w:gridCol w:w="1272"/>
            </w:tblGrid>
            <w:tr w14:paraId="545B2A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62" w:type="dxa"/>
                  <w:vAlign w:val="center"/>
                </w:tcPr>
                <w:p w14:paraId="1B563898">
                  <w:pPr>
                    <w:pStyle w:val="25"/>
                    <w:widowControl w:val="0"/>
                    <w:adjustRightInd w:val="0"/>
                    <w:snapToGrid w:val="0"/>
                    <w:spacing w:after="0" w:afterAutospacing="0"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342" w:type="dxa"/>
                  <w:vAlign w:val="center"/>
                </w:tcPr>
                <w:p w14:paraId="74CBD277">
                  <w:pPr>
                    <w:pStyle w:val="25"/>
                    <w:widowControl w:val="0"/>
                    <w:adjustRightInd w:val="0"/>
                    <w:snapToGrid w:val="0"/>
                    <w:spacing w:after="0" w:afterAutospacing="0"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防渗区分布</w:t>
                  </w:r>
                </w:p>
              </w:tc>
              <w:tc>
                <w:tcPr>
                  <w:tcW w:w="3327" w:type="dxa"/>
                  <w:vAlign w:val="center"/>
                </w:tcPr>
                <w:p w14:paraId="36ABE0B8">
                  <w:pPr>
                    <w:pStyle w:val="25"/>
                    <w:widowControl w:val="0"/>
                    <w:adjustRightInd w:val="0"/>
                    <w:snapToGrid w:val="0"/>
                    <w:spacing w:after="0" w:afterAutospacing="0"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装置及设施名称</w:t>
                  </w:r>
                </w:p>
              </w:tc>
              <w:tc>
                <w:tcPr>
                  <w:tcW w:w="2260" w:type="dxa"/>
                  <w:vAlign w:val="center"/>
                </w:tcPr>
                <w:p w14:paraId="37681A06">
                  <w:pPr>
                    <w:pStyle w:val="25"/>
                    <w:widowControl w:val="0"/>
                    <w:adjustRightInd w:val="0"/>
                    <w:snapToGrid w:val="0"/>
                    <w:spacing w:after="0" w:afterAutospacing="0"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防渗措施</w:t>
                  </w:r>
                </w:p>
              </w:tc>
              <w:tc>
                <w:tcPr>
                  <w:tcW w:w="1423" w:type="dxa"/>
                  <w:vAlign w:val="center"/>
                </w:tcPr>
                <w:p w14:paraId="1D533748">
                  <w:pPr>
                    <w:pStyle w:val="25"/>
                    <w:widowControl w:val="0"/>
                    <w:adjustRightInd w:val="0"/>
                    <w:snapToGrid w:val="0"/>
                    <w:spacing w:after="0" w:afterAutospacing="0"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0BC54D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62" w:type="dxa"/>
                  <w:vMerge w:val="restart"/>
                  <w:vAlign w:val="center"/>
                </w:tcPr>
                <w:p w14:paraId="39E51E6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42" w:type="dxa"/>
                  <w:vMerge w:val="restart"/>
                  <w:vAlign w:val="center"/>
                </w:tcPr>
                <w:p w14:paraId="1E6D1A0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重点污染防渗区</w:t>
                  </w:r>
                </w:p>
              </w:tc>
              <w:tc>
                <w:tcPr>
                  <w:tcW w:w="3327" w:type="dxa"/>
                  <w:vAlign w:val="center"/>
                </w:tcPr>
                <w:p w14:paraId="483AADB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污水埋地管道</w:t>
                  </w:r>
                </w:p>
              </w:tc>
              <w:tc>
                <w:tcPr>
                  <w:tcW w:w="2260" w:type="dxa"/>
                  <w:vAlign w:val="center"/>
                </w:tcPr>
                <w:p w14:paraId="50A0A2E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采用高密度聚乙烯（PE）埋地波纹管</w:t>
                  </w:r>
                </w:p>
              </w:tc>
              <w:tc>
                <w:tcPr>
                  <w:tcW w:w="1423" w:type="dxa"/>
                  <w:vAlign w:val="center"/>
                </w:tcPr>
                <w:p w14:paraId="101B40C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D288E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62" w:type="dxa"/>
                  <w:vMerge w:val="continue"/>
                  <w:vAlign w:val="center"/>
                </w:tcPr>
                <w:p w14:paraId="4CF3F47C">
                  <w:pPr>
                    <w:adjustRightInd w:val="0"/>
                    <w:snapToGrid w:val="0"/>
                    <w:jc w:val="center"/>
                    <w:rPr>
                      <w:rFonts w:hint="default" w:ascii="Times New Roman" w:hAnsi="Times New Roman" w:eastAsia="宋体" w:cs="Times New Roman"/>
                      <w:color w:val="auto"/>
                      <w:sz w:val="21"/>
                      <w:szCs w:val="21"/>
                    </w:rPr>
                  </w:pPr>
                </w:p>
              </w:tc>
              <w:tc>
                <w:tcPr>
                  <w:tcW w:w="1342" w:type="dxa"/>
                  <w:vMerge w:val="continue"/>
                  <w:vAlign w:val="center"/>
                </w:tcPr>
                <w:p w14:paraId="20BE5B88">
                  <w:pPr>
                    <w:adjustRightInd w:val="0"/>
                    <w:snapToGrid w:val="0"/>
                    <w:jc w:val="center"/>
                    <w:rPr>
                      <w:rFonts w:hint="default" w:ascii="Times New Roman" w:hAnsi="Times New Roman" w:eastAsia="宋体" w:cs="Times New Roman"/>
                      <w:color w:val="auto"/>
                      <w:sz w:val="21"/>
                      <w:szCs w:val="21"/>
                    </w:rPr>
                  </w:pPr>
                </w:p>
              </w:tc>
              <w:tc>
                <w:tcPr>
                  <w:tcW w:w="3327" w:type="dxa"/>
                  <w:vAlign w:val="center"/>
                </w:tcPr>
                <w:p w14:paraId="5853B24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格栅、沉淀池、生物池、污泥池、接触池、深床滤池</w:t>
                  </w:r>
                </w:p>
              </w:tc>
              <w:tc>
                <w:tcPr>
                  <w:tcW w:w="2260" w:type="dxa"/>
                  <w:vAlign w:val="center"/>
                </w:tcPr>
                <w:p w14:paraId="215AB11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池体采用防渗钢筋混凝土，池体内表面刷涂防渗涂料，采用LJP合成高分子防渗涂料</w:t>
                  </w:r>
                </w:p>
              </w:tc>
              <w:tc>
                <w:tcPr>
                  <w:tcW w:w="1423" w:type="dxa"/>
                  <w:vAlign w:val="center"/>
                </w:tcPr>
                <w:p w14:paraId="136C89E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渗透系数＜10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p>
              </w:tc>
            </w:tr>
            <w:tr w14:paraId="1AFC03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62" w:type="dxa"/>
                  <w:vAlign w:val="center"/>
                </w:tcPr>
                <w:p w14:paraId="1433006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42" w:type="dxa"/>
                  <w:vAlign w:val="center"/>
                </w:tcPr>
                <w:p w14:paraId="02E2353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一般污染防渗区</w:t>
                  </w:r>
                </w:p>
              </w:tc>
              <w:tc>
                <w:tcPr>
                  <w:tcW w:w="3327" w:type="dxa"/>
                  <w:vAlign w:val="center"/>
                </w:tcPr>
                <w:p w14:paraId="41351F9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办公生活区</w:t>
                  </w:r>
                </w:p>
              </w:tc>
              <w:tc>
                <w:tcPr>
                  <w:tcW w:w="2260" w:type="dxa"/>
                  <w:vAlign w:val="center"/>
                </w:tcPr>
                <w:p w14:paraId="034ED06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在混凝土中掺加微膨胀防渗剂材料</w:t>
                  </w:r>
                </w:p>
              </w:tc>
              <w:tc>
                <w:tcPr>
                  <w:tcW w:w="1423" w:type="dxa"/>
                  <w:vAlign w:val="center"/>
                </w:tcPr>
                <w:p w14:paraId="4D00FE2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渗透系数＜10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tc>
            </w:tr>
            <w:tr w14:paraId="756846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62" w:type="dxa"/>
                  <w:vAlign w:val="center"/>
                </w:tcPr>
                <w:p w14:paraId="5591C97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42" w:type="dxa"/>
                  <w:vAlign w:val="center"/>
                </w:tcPr>
                <w:p w14:paraId="2C383F8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简单防渗区</w:t>
                  </w:r>
                </w:p>
              </w:tc>
              <w:tc>
                <w:tcPr>
                  <w:tcW w:w="3327" w:type="dxa"/>
                  <w:vAlign w:val="center"/>
                </w:tcPr>
                <w:p w14:paraId="645259C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运输道路、停车场</w:t>
                  </w:r>
                </w:p>
              </w:tc>
              <w:tc>
                <w:tcPr>
                  <w:tcW w:w="2260" w:type="dxa"/>
                  <w:vAlign w:val="center"/>
                </w:tcPr>
                <w:p w14:paraId="105793B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地面硬化</w:t>
                  </w:r>
                </w:p>
              </w:tc>
              <w:tc>
                <w:tcPr>
                  <w:tcW w:w="1423" w:type="dxa"/>
                  <w:vAlign w:val="center"/>
                </w:tcPr>
                <w:p w14:paraId="66D1EE7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046DC6D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仿宋" w:cs="Times New Roman"/>
                <w:b/>
                <w:color w:val="auto"/>
                <w:sz w:val="24"/>
                <w:szCs w:val="24"/>
              </w:rPr>
            </w:pPr>
            <w:r>
              <w:rPr>
                <w:rFonts w:ascii="Times New Roman" w:hAnsi="Times New Roman" w:eastAsia="仿宋" w:cs="Times New Roman"/>
                <w:b/>
                <w:color w:val="auto"/>
                <w:sz w:val="24"/>
                <w:szCs w:val="24"/>
              </w:rPr>
              <w:t>6、生态环境影响分析</w:t>
            </w:r>
          </w:p>
          <w:p w14:paraId="1F12C7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 w:cs="Times New Roman"/>
                <w:b/>
                <w:color w:val="auto"/>
                <w:sz w:val="24"/>
                <w:szCs w:val="24"/>
              </w:rPr>
            </w:pPr>
            <w:r>
              <w:rPr>
                <w:rFonts w:hint="eastAsia" w:ascii="Times New Roman" w:hAnsi="Times New Roman" w:eastAsia="仿宋_GB2312" w:cs="Times New Roman"/>
                <w:color w:val="auto"/>
                <w:kern w:val="0"/>
                <w:sz w:val="24"/>
                <w:szCs w:val="24"/>
                <w:lang w:eastAsia="zh-CN"/>
              </w:rPr>
              <w:t>本项目位于中卫市沙坡头区兴仁镇，用地为规划建设用地，用地范围内无环境保护目标</w:t>
            </w:r>
            <w:r>
              <w:rPr>
                <w:rFonts w:hint="default" w:ascii="Times New Roman" w:hAnsi="Times New Roman" w:eastAsia="仿宋_GB2312" w:cs="Times New Roman"/>
                <w:color w:val="auto"/>
                <w:kern w:val="0"/>
                <w:sz w:val="24"/>
                <w:szCs w:val="24"/>
              </w:rPr>
              <w:t>。</w:t>
            </w:r>
          </w:p>
          <w:p w14:paraId="750BB94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7、环境风险</w:t>
            </w:r>
          </w:p>
          <w:p w14:paraId="59819322">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textAlignment w:val="auto"/>
              <w:rPr>
                <w:rFonts w:hint="default" w:ascii="Times New Roman" w:hAnsi="Times New Roman" w:eastAsia="仿宋_GB2312" w:cs="Times New Roman"/>
                <w:color w:val="auto"/>
                <w:spacing w:val="6"/>
                <w:sz w:val="24"/>
                <w:szCs w:val="22"/>
                <w:lang w:bidi="ar"/>
              </w:rPr>
            </w:pPr>
            <w:r>
              <w:rPr>
                <w:rFonts w:hint="default" w:ascii="Times New Roman" w:hAnsi="Times New Roman" w:eastAsia="仿宋_GB2312" w:cs="Times New Roman"/>
                <w:color w:val="auto"/>
                <w:spacing w:val="6"/>
                <w:sz w:val="24"/>
                <w:szCs w:val="22"/>
                <w:lang w:bidi="ar"/>
              </w:rPr>
              <w:t>对照《建设项目环境风险评价技术导则》（HJ169-2018）中附录B，本项目涉及的主要危险物质</w:t>
            </w:r>
            <w:r>
              <w:rPr>
                <w:rFonts w:hint="default" w:ascii="Times New Roman" w:hAnsi="Times New Roman" w:eastAsia="仿宋_GB2312" w:cs="Times New Roman"/>
                <w:color w:val="auto"/>
                <w:spacing w:val="6"/>
                <w:sz w:val="24"/>
                <w:szCs w:val="22"/>
                <w:lang w:eastAsia="zh-CN" w:bidi="ar"/>
              </w:rPr>
              <w:t>为次氯酸钠</w:t>
            </w:r>
            <w:r>
              <w:rPr>
                <w:rFonts w:hint="default" w:ascii="Times New Roman" w:hAnsi="Times New Roman" w:eastAsia="仿宋_GB2312" w:cs="Times New Roman"/>
                <w:color w:val="auto"/>
                <w:spacing w:val="6"/>
                <w:sz w:val="24"/>
                <w:szCs w:val="22"/>
                <w:lang w:bidi="ar"/>
              </w:rPr>
              <w:t>。</w:t>
            </w:r>
          </w:p>
          <w:p w14:paraId="4924DA28">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default" w:ascii="Times New Roman" w:hAnsi="Times New Roman" w:eastAsia="仿宋_GB2312" w:cs="Times New Roman"/>
                <w:b/>
                <w:bCs w:val="0"/>
                <w:color w:val="auto"/>
                <w:kern w:val="0"/>
                <w:sz w:val="24"/>
                <w:szCs w:val="24"/>
                <w:highlight w:val="none"/>
                <w:lang w:val="en-US" w:eastAsia="zh-CN" w:bidi="ar-SA"/>
              </w:rPr>
            </w:pPr>
            <w:r>
              <w:rPr>
                <w:rFonts w:hint="default" w:ascii="Times New Roman" w:hAnsi="Times New Roman" w:eastAsia="仿宋_GB2312" w:cs="Times New Roman"/>
                <w:b/>
                <w:bCs w:val="0"/>
                <w:color w:val="auto"/>
                <w:kern w:val="0"/>
                <w:sz w:val="24"/>
                <w:szCs w:val="24"/>
                <w:highlight w:val="none"/>
                <w:lang w:val="en-US" w:eastAsia="zh-CN" w:bidi="ar-SA"/>
              </w:rPr>
              <w:t>7.1危险物质数量与临界值比值（Q）</w:t>
            </w:r>
          </w:p>
          <w:p w14:paraId="39C3FE0F">
            <w:pPr>
              <w:pStyle w:val="95"/>
              <w:keepNext w:val="0"/>
              <w:keepLines w:val="0"/>
              <w:pageBreakBefore w:val="0"/>
              <w:widowControl w:val="0"/>
              <w:kinsoku/>
              <w:wordWrap/>
              <w:overflowPunct/>
              <w:topLinePunct w:val="0"/>
              <w:autoSpaceDE/>
              <w:autoSpaceDN/>
              <w:bidi w:val="0"/>
              <w:adjustRightInd w:val="0"/>
              <w:snapToGrid w:val="0"/>
              <w:spacing w:before="0" w:line="360" w:lineRule="auto"/>
              <w:ind w:left="0" w:firstLine="480" w:firstLineChars="200"/>
              <w:textAlignment w:val="auto"/>
              <w:rPr>
                <w:rFonts w:hint="default" w:ascii="Times New Roman" w:hAnsi="Times New Roman" w:eastAsia="仿宋_GB2312" w:cs="Times New Roman"/>
                <w:color w:val="auto"/>
                <w:spacing w:val="0"/>
                <w:position w:val="0"/>
                <w:sz w:val="24"/>
                <w:szCs w:val="24"/>
              </w:rPr>
            </w:pPr>
            <w:r>
              <w:rPr>
                <w:rFonts w:hint="default" w:ascii="Times New Roman" w:hAnsi="Times New Roman" w:eastAsia="仿宋_GB2312" w:cs="Times New Roman"/>
                <w:color w:val="auto"/>
                <w:spacing w:val="0"/>
                <w:position w:val="0"/>
                <w:sz w:val="24"/>
                <w:szCs w:val="24"/>
              </w:rPr>
              <w:t>当只涉及一种危险物质时，该物质的数量与其临界量比值，即Q；当存</w:t>
            </w:r>
          </w:p>
          <w:p w14:paraId="446E21F2">
            <w:pPr>
              <w:pStyle w:val="95"/>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default" w:ascii="Times New Roman" w:hAnsi="Times New Roman" w:eastAsia="仿宋_GB2312" w:cs="Times New Roman"/>
                <w:color w:val="auto"/>
                <w:spacing w:val="0"/>
                <w:position w:val="0"/>
                <w:sz w:val="24"/>
                <w:szCs w:val="24"/>
              </w:rPr>
            </w:pPr>
            <w:r>
              <w:rPr>
                <w:rFonts w:hint="default" w:ascii="Times New Roman" w:hAnsi="Times New Roman" w:eastAsia="仿宋_GB2312" w:cs="Times New Roman"/>
                <w:color w:val="auto"/>
                <w:spacing w:val="0"/>
                <w:position w:val="0"/>
                <w:sz w:val="24"/>
                <w:szCs w:val="24"/>
              </w:rPr>
              <w:t>在多种危险物质时，则按下式计算物质总量与其临界量比值（Q）：</w:t>
            </w:r>
          </w:p>
          <w:p w14:paraId="486E3625">
            <w:pPr>
              <w:keepNext w:val="0"/>
              <w:keepLines w:val="0"/>
              <w:pageBreakBefore w:val="0"/>
              <w:widowControl w:val="0"/>
              <w:kinsoku/>
              <w:wordWrap/>
              <w:overflowPunct/>
              <w:topLinePunct w:val="0"/>
              <w:autoSpaceDE/>
              <w:autoSpaceDN/>
              <w:bidi w:val="0"/>
              <w:adjustRightInd w:val="0"/>
              <w:snapToGrid w:val="0"/>
              <w:spacing w:before="0" w:line="360" w:lineRule="auto"/>
              <w:ind w:left="0" w:firstLine="480" w:firstLineChars="200"/>
              <w:textAlignment w:val="auto"/>
              <w:rPr>
                <w:rFonts w:hint="default" w:ascii="Times New Roman" w:hAnsi="Times New Roman" w:eastAsia="仿宋_GB2312" w:cs="Times New Roman"/>
                <w:color w:val="auto"/>
                <w:spacing w:val="0"/>
                <w:position w:val="0"/>
                <w:sz w:val="24"/>
                <w:szCs w:val="24"/>
              </w:rPr>
            </w:pPr>
            <w:r>
              <w:rPr>
                <w:rFonts w:hint="default" w:ascii="Times New Roman" w:hAnsi="Times New Roman" w:eastAsia="仿宋_GB2312" w:cs="Times New Roman"/>
                <w:color w:val="auto"/>
                <w:spacing w:val="0"/>
                <w:position w:val="0"/>
                <w:sz w:val="24"/>
                <w:szCs w:val="24"/>
              </w:rPr>
              <w:drawing>
                <wp:inline distT="0" distB="0" distL="114300" distR="114300">
                  <wp:extent cx="1781810" cy="561975"/>
                  <wp:effectExtent l="0" t="0" r="8890" b="9525"/>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24"/>
                          <a:stretch>
                            <a:fillRect/>
                          </a:stretch>
                        </pic:blipFill>
                        <pic:spPr>
                          <a:xfrm>
                            <a:off x="0" y="0"/>
                            <a:ext cx="1781810" cy="561975"/>
                          </a:xfrm>
                          <a:prstGeom prst="rect">
                            <a:avLst/>
                          </a:prstGeom>
                          <a:noFill/>
                          <a:ln>
                            <a:noFill/>
                          </a:ln>
                        </pic:spPr>
                      </pic:pic>
                    </a:graphicData>
                  </a:graphic>
                </wp:inline>
              </w:drawing>
            </w:r>
          </w:p>
          <w:p w14:paraId="655F70F5">
            <w:pPr>
              <w:pStyle w:val="95"/>
              <w:keepNext w:val="0"/>
              <w:keepLines w:val="0"/>
              <w:pageBreakBefore w:val="0"/>
              <w:widowControl w:val="0"/>
              <w:kinsoku/>
              <w:wordWrap/>
              <w:overflowPunct/>
              <w:topLinePunct w:val="0"/>
              <w:autoSpaceDE/>
              <w:autoSpaceDN/>
              <w:bidi w:val="0"/>
              <w:adjustRightInd w:val="0"/>
              <w:snapToGrid w:val="0"/>
              <w:spacing w:before="0" w:line="360" w:lineRule="auto"/>
              <w:ind w:left="0" w:firstLine="480" w:firstLineChars="200"/>
              <w:textAlignment w:val="auto"/>
              <w:rPr>
                <w:rFonts w:hint="default" w:ascii="Times New Roman" w:hAnsi="Times New Roman" w:eastAsia="仿宋_GB2312" w:cs="Times New Roman"/>
                <w:color w:val="auto"/>
                <w:spacing w:val="0"/>
                <w:position w:val="0"/>
                <w:sz w:val="24"/>
                <w:szCs w:val="24"/>
              </w:rPr>
            </w:pPr>
            <w:r>
              <w:rPr>
                <w:rFonts w:hint="default" w:ascii="Times New Roman" w:hAnsi="Times New Roman" w:eastAsia="仿宋_GB2312" w:cs="Times New Roman"/>
                <w:color w:val="auto"/>
                <w:spacing w:val="0"/>
                <w:position w:val="0"/>
                <w:sz w:val="24"/>
                <w:szCs w:val="24"/>
              </w:rPr>
              <w:t>式中：q1…qn—每种危险物质的的最大存在总量，t；</w:t>
            </w:r>
          </w:p>
          <w:p w14:paraId="44A6F0D3">
            <w:pPr>
              <w:pStyle w:val="95"/>
              <w:keepNext w:val="0"/>
              <w:keepLines w:val="0"/>
              <w:pageBreakBefore w:val="0"/>
              <w:widowControl w:val="0"/>
              <w:kinsoku/>
              <w:wordWrap/>
              <w:overflowPunct/>
              <w:topLinePunct w:val="0"/>
              <w:autoSpaceDE/>
              <w:autoSpaceDN/>
              <w:bidi w:val="0"/>
              <w:adjustRightInd w:val="0"/>
              <w:snapToGrid w:val="0"/>
              <w:spacing w:before="0" w:line="360" w:lineRule="auto"/>
              <w:ind w:left="0" w:firstLine="1200" w:firstLineChars="500"/>
              <w:textAlignment w:val="auto"/>
              <w:rPr>
                <w:rFonts w:hint="default" w:ascii="Times New Roman" w:hAnsi="Times New Roman" w:eastAsia="仿宋_GB2312" w:cs="Times New Roman"/>
                <w:color w:val="auto"/>
                <w:spacing w:val="0"/>
                <w:position w:val="0"/>
                <w:sz w:val="24"/>
                <w:szCs w:val="24"/>
              </w:rPr>
            </w:pPr>
            <w:r>
              <w:rPr>
                <w:rFonts w:hint="default" w:ascii="Times New Roman" w:hAnsi="Times New Roman" w:eastAsia="仿宋_GB2312" w:cs="Times New Roman"/>
                <w:color w:val="auto"/>
                <w:spacing w:val="0"/>
                <w:position w:val="0"/>
                <w:sz w:val="24"/>
                <w:szCs w:val="24"/>
              </w:rPr>
              <w:t>Q1…Qn—每种危险物质的临界量，t。</w:t>
            </w:r>
          </w:p>
          <w:p w14:paraId="11C8E89F">
            <w:pPr>
              <w:pStyle w:val="95"/>
              <w:keepNext w:val="0"/>
              <w:keepLines w:val="0"/>
              <w:pageBreakBefore w:val="0"/>
              <w:widowControl w:val="0"/>
              <w:kinsoku/>
              <w:wordWrap/>
              <w:overflowPunct/>
              <w:topLinePunct w:val="0"/>
              <w:autoSpaceDE/>
              <w:autoSpaceDN/>
              <w:bidi w:val="0"/>
              <w:adjustRightInd w:val="0"/>
              <w:snapToGrid w:val="0"/>
              <w:spacing w:before="0" w:line="360" w:lineRule="auto"/>
              <w:ind w:left="0" w:firstLine="1200" w:firstLineChars="500"/>
              <w:textAlignment w:val="auto"/>
              <w:rPr>
                <w:rFonts w:hint="default" w:ascii="Times New Roman" w:hAnsi="Times New Roman" w:eastAsia="仿宋_GB2312" w:cs="Times New Roman"/>
                <w:color w:val="auto"/>
                <w:spacing w:val="0"/>
                <w:position w:val="0"/>
                <w:sz w:val="24"/>
                <w:szCs w:val="24"/>
              </w:rPr>
            </w:pPr>
            <w:r>
              <w:rPr>
                <w:rFonts w:hint="default" w:ascii="Times New Roman" w:hAnsi="Times New Roman" w:eastAsia="仿宋_GB2312" w:cs="Times New Roman"/>
                <w:color w:val="auto"/>
                <w:spacing w:val="0"/>
                <w:position w:val="0"/>
                <w:sz w:val="24"/>
                <w:szCs w:val="24"/>
              </w:rPr>
              <w:t>当Q＜1时，该项目环境风险潜势为Ⅰ。</w:t>
            </w:r>
          </w:p>
          <w:p w14:paraId="2313C39C">
            <w:pPr>
              <w:pStyle w:val="95"/>
              <w:keepNext w:val="0"/>
              <w:keepLines w:val="0"/>
              <w:pageBreakBefore w:val="0"/>
              <w:widowControl w:val="0"/>
              <w:kinsoku/>
              <w:wordWrap/>
              <w:overflowPunct/>
              <w:topLinePunct w:val="0"/>
              <w:autoSpaceDE/>
              <w:autoSpaceDN/>
              <w:bidi w:val="0"/>
              <w:adjustRightInd w:val="0"/>
              <w:snapToGrid w:val="0"/>
              <w:spacing w:before="0" w:line="360" w:lineRule="auto"/>
              <w:ind w:left="0" w:firstLine="1200" w:firstLineChars="500"/>
              <w:textAlignment w:val="auto"/>
              <w:rPr>
                <w:rFonts w:hint="default" w:ascii="Times New Roman" w:hAnsi="Times New Roman" w:eastAsia="仿宋_GB2312" w:cs="Times New Roman"/>
                <w:color w:val="auto"/>
                <w:spacing w:val="0"/>
                <w:position w:val="0"/>
                <w:sz w:val="24"/>
                <w:szCs w:val="24"/>
              </w:rPr>
            </w:pPr>
            <w:r>
              <w:rPr>
                <w:rFonts w:hint="default" w:ascii="Times New Roman" w:hAnsi="Times New Roman" w:eastAsia="仿宋_GB2312" w:cs="Times New Roman"/>
                <w:color w:val="auto"/>
                <w:spacing w:val="0"/>
                <w:position w:val="0"/>
                <w:sz w:val="24"/>
                <w:szCs w:val="24"/>
              </w:rPr>
              <w:t>当Q≥1时，将Q值划分为：（1）1≤Q＜10；（2）10≤Q＜100；（3）Q≥100。</w:t>
            </w:r>
          </w:p>
          <w:p w14:paraId="5917B8E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FangSong_GB2312" w:cs="Times New Roman"/>
                <w:b/>
                <w:bCs w:val="0"/>
                <w:color w:val="auto"/>
                <w:kern w:val="0"/>
                <w:sz w:val="24"/>
                <w:szCs w:val="24"/>
                <w:highlight w:val="none"/>
                <w:lang w:val="en-US" w:eastAsia="zh-CN" w:bidi="ar-SA"/>
              </w:rPr>
            </w:pPr>
            <w:r>
              <w:rPr>
                <w:rFonts w:hint="eastAsia" w:ascii="Times New Roman" w:hAnsi="Times New Roman" w:eastAsia="FangSong_GB2312" w:cs="Times New Roman"/>
                <w:b/>
                <w:bCs w:val="0"/>
                <w:color w:val="auto"/>
                <w:kern w:val="0"/>
                <w:sz w:val="24"/>
                <w:szCs w:val="24"/>
                <w:highlight w:val="none"/>
                <w:lang w:val="en-US" w:eastAsia="zh-CN" w:bidi="ar-SA"/>
              </w:rPr>
              <w:t>7</w:t>
            </w:r>
            <w:r>
              <w:rPr>
                <w:rFonts w:hint="default" w:ascii="Times New Roman" w:hAnsi="Times New Roman" w:eastAsia="FangSong_GB2312" w:cs="Times New Roman"/>
                <w:b/>
                <w:bCs w:val="0"/>
                <w:color w:val="auto"/>
                <w:kern w:val="0"/>
                <w:sz w:val="24"/>
                <w:szCs w:val="24"/>
                <w:highlight w:val="none"/>
                <w:lang w:val="en-US" w:eastAsia="zh-CN" w:bidi="ar-SA"/>
              </w:rPr>
              <w:t>.</w:t>
            </w:r>
            <w:r>
              <w:rPr>
                <w:rFonts w:hint="eastAsia" w:ascii="Times New Roman" w:hAnsi="Times New Roman" w:eastAsia="FangSong_GB2312" w:cs="Times New Roman"/>
                <w:b/>
                <w:bCs w:val="0"/>
                <w:color w:val="auto"/>
                <w:kern w:val="0"/>
                <w:sz w:val="24"/>
                <w:szCs w:val="24"/>
                <w:highlight w:val="none"/>
                <w:lang w:val="en-US" w:eastAsia="zh-CN" w:bidi="ar-SA"/>
              </w:rPr>
              <w:t>2建设项目风险源调查</w:t>
            </w:r>
          </w:p>
          <w:p w14:paraId="0CB83480">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仿宋_GB2312" w:cs="Times New Roman"/>
                <w:color w:val="auto"/>
                <w:spacing w:val="-2"/>
                <w:sz w:val="24"/>
                <w:szCs w:val="24"/>
                <w:lang w:val="en-US" w:eastAsia="zh-CN"/>
              </w:rPr>
            </w:pPr>
            <w:r>
              <w:rPr>
                <w:rFonts w:hint="eastAsia" w:ascii="Times New Roman" w:hAnsi="Times New Roman" w:eastAsia="仿宋_GB2312" w:cs="Times New Roman"/>
                <w:color w:val="auto"/>
                <w:spacing w:val="-2"/>
                <w:sz w:val="24"/>
                <w:szCs w:val="24"/>
                <w:lang w:val="en-US" w:eastAsia="zh-CN"/>
              </w:rPr>
              <w:t>1.危险物质及其分布</w:t>
            </w:r>
          </w:p>
          <w:p w14:paraId="56659793">
            <w:pPr>
              <w:keepNext w:val="0"/>
              <w:keepLines w:val="0"/>
              <w:pageBreakBefore w:val="0"/>
              <w:widowControl w:val="0"/>
              <w:kinsoku/>
              <w:wordWrap/>
              <w:overflowPunct/>
              <w:topLinePunct w:val="0"/>
              <w:autoSpaceDE/>
              <w:autoSpaceDN/>
              <w:bidi w:val="0"/>
              <w:adjustRightInd w:val="0"/>
              <w:snapToGrid w:val="0"/>
              <w:spacing w:before="0" w:line="360" w:lineRule="auto"/>
              <w:ind w:firstLine="472" w:firstLineChars="200"/>
              <w:textAlignment w:val="auto"/>
              <w:rPr>
                <w:rFonts w:hint="default" w:ascii="Times New Roman" w:hAnsi="Times New Roman" w:eastAsia="宋体" w:cs="Times New Roman"/>
                <w:b/>
                <w:bCs/>
                <w:color w:val="auto"/>
                <w:spacing w:val="0"/>
                <w:kern w:val="2"/>
                <w:position w:val="0"/>
                <w:sz w:val="24"/>
                <w:szCs w:val="24"/>
                <w:lang w:val="en-US" w:eastAsia="zh-CN" w:bidi="ar-SA"/>
              </w:rPr>
            </w:pPr>
            <w:r>
              <w:rPr>
                <w:rFonts w:hint="eastAsia" w:ascii="Times New Roman" w:hAnsi="Times New Roman" w:eastAsia="仿宋_GB2312" w:cs="Times New Roman"/>
                <w:color w:val="auto"/>
                <w:spacing w:val="-2"/>
                <w:sz w:val="24"/>
                <w:szCs w:val="24"/>
                <w:lang w:val="en-US" w:eastAsia="zh-CN"/>
              </w:rPr>
              <w:t>根据现场勘查及企业提供的资料，本项目主要危险物质有次氯酸钠。</w:t>
            </w:r>
            <w:r>
              <w:rPr>
                <w:rFonts w:hint="default" w:ascii="Times New Roman" w:hAnsi="Times New Roman" w:eastAsia="仿宋_GB2312" w:cs="Times New Roman"/>
                <w:color w:val="auto"/>
                <w:spacing w:val="-2"/>
                <w:sz w:val="24"/>
                <w:szCs w:val="24"/>
              </w:rPr>
              <w:t>本项目厂区危险物质数量及分布情况见表</w:t>
            </w:r>
            <w:r>
              <w:rPr>
                <w:rFonts w:hint="eastAsia" w:ascii="Times New Roman" w:hAnsi="Times New Roman" w:eastAsia="仿宋_GB2312" w:cs="Times New Roman"/>
                <w:color w:val="auto"/>
                <w:spacing w:val="-2"/>
                <w:sz w:val="24"/>
                <w:szCs w:val="24"/>
                <w:lang w:val="en-US" w:eastAsia="zh-CN"/>
              </w:rPr>
              <w:t>4-18</w:t>
            </w:r>
            <w:r>
              <w:rPr>
                <w:rFonts w:hint="default" w:ascii="Times New Roman" w:hAnsi="Times New Roman" w:eastAsia="仿宋_GB2312" w:cs="Times New Roman"/>
                <w:color w:val="auto"/>
                <w:spacing w:val="-2"/>
                <w:sz w:val="24"/>
                <w:szCs w:val="24"/>
                <w:lang w:val="en-US" w:eastAsia="zh-CN"/>
              </w:rPr>
              <w:t>。</w:t>
            </w:r>
            <w:r>
              <w:rPr>
                <w:rFonts w:hint="default" w:ascii="Times New Roman" w:hAnsi="Times New Roman" w:eastAsia="仿宋_GB2312" w:cs="Times New Roman"/>
                <w:color w:val="auto"/>
                <w:spacing w:val="-53"/>
                <w:sz w:val="24"/>
                <w:szCs w:val="24"/>
              </w:rPr>
              <w:t xml:space="preserve"> </w:t>
            </w:r>
          </w:p>
          <w:p w14:paraId="511285D6">
            <w:pPr>
              <w:pStyle w:val="43"/>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黑体" w:cs="Times New Roman"/>
                <w:b w:val="0"/>
                <w:bCs w:val="0"/>
                <w:color w:val="auto"/>
                <w:sz w:val="21"/>
                <w:szCs w:val="21"/>
              </w:rPr>
            </w:pPr>
            <w:r>
              <w:rPr>
                <w:rFonts w:hint="default" w:ascii="Times New Roman" w:hAnsi="Times New Roman" w:eastAsia="宋体" w:cs="Times New Roman"/>
                <w:b w:val="0"/>
                <w:bCs w:val="0"/>
                <w:color w:val="auto"/>
                <w:spacing w:val="0"/>
                <w:kern w:val="2"/>
                <w:position w:val="0"/>
                <w:sz w:val="21"/>
                <w:szCs w:val="21"/>
                <w:lang w:val="en-US" w:eastAsia="zh-CN" w:bidi="ar-SA"/>
              </w:rPr>
              <w:t>表</w:t>
            </w:r>
            <w:r>
              <w:rPr>
                <w:rFonts w:hint="eastAsia" w:ascii="Times New Roman" w:hAnsi="Times New Roman" w:eastAsia="宋体" w:cs="Times New Roman"/>
                <w:b w:val="0"/>
                <w:bCs w:val="0"/>
                <w:color w:val="auto"/>
                <w:spacing w:val="0"/>
                <w:kern w:val="2"/>
                <w:position w:val="0"/>
                <w:sz w:val="21"/>
                <w:szCs w:val="21"/>
                <w:lang w:val="en-US" w:eastAsia="zh-CN" w:bidi="ar-SA"/>
              </w:rPr>
              <w:t>4-18</w:t>
            </w:r>
            <w:r>
              <w:rPr>
                <w:rFonts w:hint="eastAsia" w:ascii="Times New Roman" w:hAnsi="Times New Roman" w:eastAsia="宋体" w:cs="Times New Roman"/>
                <w:b/>
                <w:bCs/>
                <w:color w:val="auto"/>
                <w:spacing w:val="0"/>
                <w:kern w:val="2"/>
                <w:position w:val="0"/>
                <w:sz w:val="21"/>
                <w:szCs w:val="21"/>
                <w:lang w:val="en-US" w:eastAsia="zh-CN" w:bidi="ar-SA"/>
              </w:rPr>
              <w:t xml:space="preserve">    </w:t>
            </w:r>
            <w:r>
              <w:rPr>
                <w:rFonts w:hint="default" w:ascii="Times New Roman" w:hAnsi="Times New Roman" w:eastAsia="宋体" w:cs="Times New Roman"/>
                <w:b/>
                <w:bCs w:val="0"/>
                <w:color w:val="auto"/>
                <w:spacing w:val="0"/>
                <w:position w:val="0"/>
                <w:sz w:val="21"/>
                <w:szCs w:val="21"/>
              </w:rPr>
              <w:t>本项目危险物质</w:t>
            </w:r>
            <w:r>
              <w:rPr>
                <w:rFonts w:hint="eastAsia" w:ascii="Times New Roman" w:hAnsi="Times New Roman" w:eastAsia="宋体" w:cs="Times New Roman"/>
                <w:b/>
                <w:bCs w:val="0"/>
                <w:color w:val="auto"/>
                <w:spacing w:val="0"/>
                <w:position w:val="0"/>
                <w:sz w:val="21"/>
                <w:szCs w:val="21"/>
                <w:lang w:val="en-US" w:eastAsia="zh-CN"/>
              </w:rPr>
              <w:t>数量及分布</w:t>
            </w:r>
            <w:r>
              <w:rPr>
                <w:rFonts w:hint="default" w:ascii="Times New Roman" w:hAnsi="Times New Roman" w:eastAsia="宋体" w:cs="Times New Roman"/>
                <w:b/>
                <w:bCs/>
                <w:color w:val="auto"/>
                <w:spacing w:val="0"/>
                <w:kern w:val="2"/>
                <w:position w:val="0"/>
                <w:sz w:val="21"/>
                <w:szCs w:val="21"/>
                <w:lang w:val="en-US" w:eastAsia="zh-CN" w:bidi="ar-SA"/>
              </w:rPr>
              <w:t>一览表</w:t>
            </w:r>
          </w:p>
          <w:tbl>
            <w:tblPr>
              <w:tblStyle w:val="26"/>
              <w:tblW w:w="49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54"/>
              <w:gridCol w:w="1469"/>
              <w:gridCol w:w="1388"/>
              <w:gridCol w:w="1968"/>
              <w:gridCol w:w="958"/>
              <w:gridCol w:w="2"/>
              <w:gridCol w:w="1112"/>
              <w:gridCol w:w="3"/>
            </w:tblGrid>
            <w:tr w14:paraId="0AACD3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2" w:type="dxa"/>
                <w:trHeight w:val="255" w:hRule="atLeast"/>
                <w:jc w:val="center"/>
              </w:trPr>
              <w:tc>
                <w:tcPr>
                  <w:tcW w:w="693" w:type="dxa"/>
                  <w:tcBorders>
                    <w:tl2br w:val="nil"/>
                    <w:tr2bl w:val="nil"/>
                  </w:tcBorders>
                  <w:noWrap w:val="0"/>
                  <w:vAlign w:val="center"/>
                </w:tcPr>
                <w:p w14:paraId="10808B63">
                  <w:pPr>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序号</w:t>
                  </w:r>
                </w:p>
              </w:tc>
              <w:tc>
                <w:tcPr>
                  <w:tcW w:w="1192" w:type="dxa"/>
                  <w:tcBorders>
                    <w:tl2br w:val="nil"/>
                    <w:tr2bl w:val="nil"/>
                  </w:tcBorders>
                  <w:noWrap w:val="0"/>
                  <w:vAlign w:val="center"/>
                </w:tcPr>
                <w:p w14:paraId="5E3F0BE0">
                  <w:pPr>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风险单元</w:t>
                  </w:r>
                </w:p>
              </w:tc>
              <w:tc>
                <w:tcPr>
                  <w:tcW w:w="1126" w:type="dxa"/>
                  <w:tcBorders>
                    <w:tl2br w:val="nil"/>
                    <w:tr2bl w:val="nil"/>
                  </w:tcBorders>
                  <w:noWrap w:val="0"/>
                  <w:vAlign w:val="center"/>
                </w:tcPr>
                <w:p w14:paraId="6655D4B0">
                  <w:pPr>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主要危险物质名称</w:t>
                  </w:r>
                </w:p>
              </w:tc>
              <w:tc>
                <w:tcPr>
                  <w:tcW w:w="1597" w:type="dxa"/>
                  <w:tcBorders>
                    <w:tl2br w:val="nil"/>
                    <w:tr2bl w:val="nil"/>
                  </w:tcBorders>
                  <w:noWrap w:val="0"/>
                  <w:vAlign w:val="center"/>
                </w:tcPr>
                <w:p w14:paraId="6A4E0E67">
                  <w:pPr>
                    <w:pStyle w:val="95"/>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单元最大储存量或产生量/t</w:t>
                  </w:r>
                </w:p>
              </w:tc>
              <w:tc>
                <w:tcPr>
                  <w:tcW w:w="777" w:type="dxa"/>
                  <w:tcBorders>
                    <w:tl2br w:val="nil"/>
                    <w:tr2bl w:val="nil"/>
                  </w:tcBorders>
                  <w:noWrap w:val="0"/>
                  <w:vAlign w:val="center"/>
                </w:tcPr>
                <w:p w14:paraId="00189C2E">
                  <w:pPr>
                    <w:keepNext w:val="0"/>
                    <w:keepLines w:val="0"/>
                    <w:pageBreakBefore w:val="0"/>
                    <w:widowControl w:val="0"/>
                    <w:kinsoku/>
                    <w:wordWrap/>
                    <w:overflowPunct/>
                    <w:topLinePunct w:val="0"/>
                    <w:autoSpaceDE/>
                    <w:autoSpaceDN/>
                    <w:bidi w:val="0"/>
                    <w:adjustRightInd w:val="0"/>
                    <w:snapToGrid w:val="0"/>
                    <w:spacing w:before="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rPr>
                    <w:t>临界量t</w:t>
                  </w:r>
                </w:p>
              </w:tc>
              <w:tc>
                <w:tcPr>
                  <w:tcW w:w="904" w:type="dxa"/>
                  <w:gridSpan w:val="2"/>
                  <w:tcBorders>
                    <w:tl2br w:val="nil"/>
                    <w:tr2bl w:val="nil"/>
                  </w:tcBorders>
                  <w:noWrap w:val="0"/>
                  <w:vAlign w:val="center"/>
                </w:tcPr>
                <w:p w14:paraId="3DB5699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rPr>
                    <w:t>Q</w:t>
                  </w:r>
                </w:p>
              </w:tc>
            </w:tr>
            <w:tr w14:paraId="2F683E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2" w:type="dxa"/>
                <w:trHeight w:val="255" w:hRule="atLeast"/>
                <w:jc w:val="center"/>
              </w:trPr>
              <w:tc>
                <w:tcPr>
                  <w:tcW w:w="693" w:type="dxa"/>
                  <w:tcBorders>
                    <w:bottom w:val="single" w:color="auto" w:sz="4" w:space="0"/>
                    <w:tl2br w:val="nil"/>
                    <w:tr2bl w:val="nil"/>
                  </w:tcBorders>
                  <w:noWrap w:val="0"/>
                  <w:vAlign w:val="center"/>
                </w:tcPr>
                <w:p w14:paraId="629A4D05">
                  <w:pPr>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w:t>
                  </w:r>
                </w:p>
              </w:tc>
              <w:tc>
                <w:tcPr>
                  <w:tcW w:w="1192" w:type="dxa"/>
                  <w:tcBorders>
                    <w:bottom w:val="single" w:color="auto" w:sz="4" w:space="0"/>
                    <w:tl2br w:val="nil"/>
                    <w:tr2bl w:val="nil"/>
                  </w:tcBorders>
                  <w:noWrap w:val="0"/>
                  <w:vAlign w:val="center"/>
                </w:tcPr>
                <w:p w14:paraId="313059A5">
                  <w:pPr>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污水处理厂深度处理车间</w:t>
                  </w:r>
                </w:p>
              </w:tc>
              <w:tc>
                <w:tcPr>
                  <w:tcW w:w="1126" w:type="dxa"/>
                  <w:tcBorders>
                    <w:bottom w:val="single" w:color="auto" w:sz="4" w:space="0"/>
                    <w:right w:val="single" w:color="auto" w:sz="4" w:space="0"/>
                    <w:tl2br w:val="nil"/>
                    <w:tr2bl w:val="nil"/>
                  </w:tcBorders>
                  <w:noWrap w:val="0"/>
                  <w:vAlign w:val="center"/>
                </w:tcPr>
                <w:p w14:paraId="1B02731B">
                  <w:pPr>
                    <w:keepNext w:val="0"/>
                    <w:keepLines w:val="0"/>
                    <w:pageBreakBefore w:val="0"/>
                    <w:widowControl w:val="0"/>
                    <w:kinsoku/>
                    <w:wordWrap/>
                    <w:overflowPunct/>
                    <w:topLinePunct w:val="0"/>
                    <w:autoSpaceDE/>
                    <w:autoSpaceDN/>
                    <w:bidi w:val="0"/>
                    <w:adjustRightInd w:val="0"/>
                    <w:snapToGrid w:val="0"/>
                    <w:spacing w:before="0" w:line="195"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次氯酸钠</w:t>
                  </w:r>
                </w:p>
              </w:tc>
              <w:tc>
                <w:tcPr>
                  <w:tcW w:w="1597" w:type="dxa"/>
                  <w:tcBorders>
                    <w:left w:val="single" w:color="auto" w:sz="4" w:space="0"/>
                    <w:bottom w:val="single" w:color="auto" w:sz="4" w:space="0"/>
                    <w:tl2br w:val="nil"/>
                    <w:tr2bl w:val="nil"/>
                  </w:tcBorders>
                  <w:noWrap w:val="0"/>
                  <w:vAlign w:val="center"/>
                </w:tcPr>
                <w:p w14:paraId="5C5BBAFC">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pacing w:val="-3"/>
                      <w:sz w:val="21"/>
                      <w:szCs w:val="21"/>
                      <w:lang w:val="en-US" w:eastAsia="zh-CN"/>
                    </w:rPr>
                    <w:t>1</w:t>
                  </w:r>
                </w:p>
              </w:tc>
              <w:tc>
                <w:tcPr>
                  <w:tcW w:w="777" w:type="dxa"/>
                  <w:tcBorders>
                    <w:bottom w:val="single" w:color="auto" w:sz="4" w:space="0"/>
                    <w:tl2br w:val="nil"/>
                    <w:tr2bl w:val="nil"/>
                  </w:tcBorders>
                  <w:noWrap w:val="0"/>
                  <w:vAlign w:val="center"/>
                </w:tcPr>
                <w:p w14:paraId="0678473D">
                  <w:pPr>
                    <w:keepNext w:val="0"/>
                    <w:keepLines w:val="0"/>
                    <w:pageBreakBefore w:val="0"/>
                    <w:widowControl w:val="0"/>
                    <w:kinsoku/>
                    <w:wordWrap/>
                    <w:overflowPunct/>
                    <w:topLinePunct w:val="0"/>
                    <w:autoSpaceDE/>
                    <w:autoSpaceDN/>
                    <w:bidi w:val="0"/>
                    <w:adjustRightInd w:val="0"/>
                    <w:snapToGrid w:val="0"/>
                    <w:spacing w:before="0"/>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5</w:t>
                  </w:r>
                </w:p>
              </w:tc>
              <w:tc>
                <w:tcPr>
                  <w:tcW w:w="904" w:type="dxa"/>
                  <w:gridSpan w:val="2"/>
                  <w:tcBorders>
                    <w:tl2br w:val="nil"/>
                    <w:tr2bl w:val="nil"/>
                  </w:tcBorders>
                  <w:noWrap w:val="0"/>
                  <w:vAlign w:val="center"/>
                </w:tcPr>
                <w:p w14:paraId="504A072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0.2</w:t>
                  </w:r>
                </w:p>
              </w:tc>
            </w:tr>
            <w:tr w14:paraId="0D0092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5387" w:type="dxa"/>
                  <w:gridSpan w:val="6"/>
                  <w:tcBorders>
                    <w:top w:val="single" w:color="auto" w:sz="4" w:space="0"/>
                    <w:tl2br w:val="nil"/>
                    <w:tr2bl w:val="nil"/>
                  </w:tcBorders>
                  <w:noWrap w:val="0"/>
                  <w:vAlign w:val="center"/>
                </w:tcPr>
                <w:p w14:paraId="1B18076C">
                  <w:pPr>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合计Q</w:t>
                  </w:r>
                </w:p>
              </w:tc>
              <w:tc>
                <w:tcPr>
                  <w:tcW w:w="904" w:type="dxa"/>
                  <w:gridSpan w:val="2"/>
                  <w:tcBorders>
                    <w:tl2br w:val="nil"/>
                    <w:tr2bl w:val="nil"/>
                  </w:tcBorders>
                  <w:noWrap w:val="0"/>
                  <w:vAlign w:val="center"/>
                </w:tcPr>
                <w:p w14:paraId="032373B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0.2</w:t>
                  </w:r>
                </w:p>
              </w:tc>
            </w:tr>
          </w:tbl>
          <w:p w14:paraId="437046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pacing w:val="-2"/>
                <w:sz w:val="24"/>
                <w:szCs w:val="24"/>
                <w:lang w:val="en-US" w:eastAsia="zh-CN"/>
              </w:rPr>
            </w:pPr>
            <w:r>
              <w:rPr>
                <w:rFonts w:hint="default" w:ascii="Times New Roman" w:hAnsi="Times New Roman" w:eastAsia="仿宋_GB2312" w:cs="Times New Roman"/>
                <w:color w:val="auto"/>
                <w:spacing w:val="0"/>
                <w:position w:val="0"/>
                <w:sz w:val="24"/>
                <w:szCs w:val="24"/>
              </w:rPr>
              <w:t>根据《建设项目环境风险评价技术导则》（HJ169-2018）的附录B，计算本项目危险物质Q值为</w:t>
            </w:r>
            <w:r>
              <w:rPr>
                <w:rFonts w:hint="eastAsia" w:ascii="Times New Roman" w:hAnsi="Times New Roman" w:eastAsia="仿宋_GB2312" w:cs="Times New Roman"/>
                <w:color w:val="auto"/>
                <w:spacing w:val="0"/>
                <w:position w:val="0"/>
                <w:sz w:val="24"/>
                <w:szCs w:val="24"/>
                <w:lang w:val="en-US" w:eastAsia="zh-CN"/>
              </w:rPr>
              <w:t>0.2</w:t>
            </w:r>
            <w:r>
              <w:rPr>
                <w:rFonts w:hint="default" w:ascii="Times New Roman" w:hAnsi="Times New Roman" w:eastAsia="仿宋_GB2312" w:cs="Times New Roman"/>
                <w:color w:val="auto"/>
                <w:spacing w:val="0"/>
                <w:position w:val="0"/>
                <w:sz w:val="24"/>
                <w:szCs w:val="24"/>
              </w:rPr>
              <w:t>，小于1，</w:t>
            </w:r>
            <w:r>
              <w:rPr>
                <w:rFonts w:hint="eastAsia" w:ascii="Times New Roman" w:hAnsi="Times New Roman" w:eastAsia="仿宋_GB2312" w:cs="Times New Roman"/>
                <w:color w:val="auto"/>
                <w:spacing w:val="0"/>
                <w:position w:val="0"/>
                <w:sz w:val="24"/>
                <w:szCs w:val="24"/>
                <w:lang w:val="en-US" w:eastAsia="zh-CN"/>
              </w:rPr>
              <w:t>无需进行风险专章</w:t>
            </w:r>
            <w:r>
              <w:rPr>
                <w:rFonts w:hint="default" w:ascii="Times New Roman" w:hAnsi="Times New Roman" w:eastAsia="仿宋_GB2312" w:cs="Times New Roman"/>
                <w:color w:val="auto"/>
                <w:spacing w:val="0"/>
                <w:position w:val="0"/>
                <w:sz w:val="24"/>
                <w:szCs w:val="24"/>
              </w:rPr>
              <w:t>。</w:t>
            </w:r>
          </w:p>
          <w:p w14:paraId="6E060845">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仿宋_GB2312" w:cs="Times New Roman"/>
                <w:color w:val="auto"/>
                <w:spacing w:val="-2"/>
                <w:sz w:val="24"/>
                <w:szCs w:val="24"/>
                <w:lang w:val="en-US" w:eastAsia="zh-CN"/>
              </w:rPr>
            </w:pPr>
            <w:r>
              <w:rPr>
                <w:rFonts w:hint="eastAsia" w:ascii="Times New Roman" w:hAnsi="Times New Roman" w:eastAsia="仿宋_GB2312" w:cs="Times New Roman"/>
                <w:color w:val="auto"/>
                <w:spacing w:val="-2"/>
                <w:sz w:val="24"/>
                <w:szCs w:val="24"/>
                <w:lang w:val="en-US" w:eastAsia="zh-CN"/>
              </w:rPr>
              <w:t>2.风险途径</w:t>
            </w:r>
          </w:p>
          <w:p w14:paraId="5DB0360D">
            <w:pPr>
              <w:keepNext w:val="0"/>
              <w:keepLines w:val="0"/>
              <w:pageBreakBefore w:val="0"/>
              <w:widowControl w:val="0"/>
              <w:kinsoku/>
              <w:wordWrap/>
              <w:overflowPunct/>
              <w:topLinePunct w:val="0"/>
              <w:autoSpaceDE/>
              <w:autoSpaceDN/>
              <w:bidi w:val="0"/>
              <w:adjustRightInd w:val="0"/>
              <w:snapToGrid w:val="0"/>
              <w:spacing w:line="360" w:lineRule="auto"/>
              <w:ind w:firstLine="532" w:firstLineChars="200"/>
              <w:textAlignment w:val="auto"/>
              <w:rPr>
                <w:rFonts w:hint="default" w:ascii="Times New Roman" w:hAnsi="Times New Roman" w:eastAsia="仿宋_GB2312" w:cs="Times New Roman"/>
                <w:color w:val="auto"/>
                <w:spacing w:val="13"/>
                <w:sz w:val="24"/>
                <w:szCs w:val="24"/>
              </w:rPr>
            </w:pPr>
            <w:r>
              <w:rPr>
                <w:rFonts w:hint="default" w:ascii="Times New Roman" w:hAnsi="Times New Roman" w:eastAsia="仿宋_GB2312" w:cs="Times New Roman"/>
                <w:color w:val="auto"/>
                <w:spacing w:val="13"/>
                <w:sz w:val="24"/>
                <w:szCs w:val="24"/>
              </w:rPr>
              <w:t>次氯酸钠是一种广泛使用的消毒剂，其主要作用是杀灭细菌、病毒、真菌等微生物，可用于消毒水、空气、表面等多种场合。然而，如果次氯酸钠的使用不当，可能会对环境产生一定的污染和危害。</w:t>
            </w:r>
          </w:p>
          <w:p w14:paraId="2E0E0C76">
            <w:pPr>
              <w:keepNext w:val="0"/>
              <w:keepLines w:val="0"/>
              <w:pageBreakBefore w:val="0"/>
              <w:widowControl w:val="0"/>
              <w:kinsoku/>
              <w:wordWrap/>
              <w:overflowPunct/>
              <w:topLinePunct w:val="0"/>
              <w:autoSpaceDE/>
              <w:autoSpaceDN/>
              <w:bidi w:val="0"/>
              <w:adjustRightInd w:val="0"/>
              <w:snapToGrid w:val="0"/>
              <w:spacing w:line="360" w:lineRule="auto"/>
              <w:ind w:firstLine="532" w:firstLineChars="200"/>
              <w:textAlignment w:val="auto"/>
              <w:rPr>
                <w:rFonts w:hint="default" w:ascii="Times New Roman" w:hAnsi="Times New Roman" w:eastAsia="仿宋_GB2312" w:cs="Times New Roman"/>
                <w:color w:val="auto"/>
                <w:spacing w:val="13"/>
                <w:sz w:val="24"/>
                <w:szCs w:val="24"/>
              </w:rPr>
            </w:pPr>
            <w:r>
              <w:rPr>
                <w:rFonts w:hint="default" w:ascii="Times New Roman" w:hAnsi="Times New Roman" w:eastAsia="仿宋_GB2312" w:cs="Times New Roman"/>
                <w:color w:val="auto"/>
                <w:spacing w:val="13"/>
                <w:sz w:val="24"/>
                <w:szCs w:val="24"/>
              </w:rPr>
              <w:t>次氯酸钠的</w:t>
            </w:r>
            <w:r>
              <w:rPr>
                <w:rFonts w:hint="eastAsia" w:ascii="Times New Roman" w:hAnsi="Times New Roman" w:eastAsia="仿宋_GB2312" w:cs="Times New Roman"/>
                <w:color w:val="auto"/>
                <w:spacing w:val="13"/>
                <w:sz w:val="24"/>
                <w:szCs w:val="24"/>
                <w:lang w:val="en-US" w:eastAsia="zh-CN"/>
              </w:rPr>
              <w:t>泄露</w:t>
            </w:r>
            <w:r>
              <w:rPr>
                <w:rFonts w:hint="default" w:ascii="Times New Roman" w:hAnsi="Times New Roman" w:eastAsia="仿宋_GB2312" w:cs="Times New Roman"/>
                <w:color w:val="auto"/>
                <w:spacing w:val="13"/>
                <w:sz w:val="24"/>
                <w:szCs w:val="24"/>
              </w:rPr>
              <w:t>，会对水体、土壤等环境产生一定的影响。次氯酸钠在水中的残留会对水质造成影响，影响水生生物的生存和繁殖。如果次氯酸钠大量使用次氯酸钠，可能会导致土壤中微生物的生态平衡被破坏，影响土壤的肥力和植物的生长。</w:t>
            </w:r>
          </w:p>
          <w:p w14:paraId="329D8F8D">
            <w:pPr>
              <w:keepNext w:val="0"/>
              <w:keepLines w:val="0"/>
              <w:pageBreakBefore w:val="0"/>
              <w:widowControl w:val="0"/>
              <w:kinsoku/>
              <w:wordWrap/>
              <w:overflowPunct/>
              <w:topLinePunct w:val="0"/>
              <w:autoSpaceDE/>
              <w:autoSpaceDN/>
              <w:bidi w:val="0"/>
              <w:adjustRightInd w:val="0"/>
              <w:snapToGrid w:val="0"/>
              <w:spacing w:before="0" w:line="360" w:lineRule="auto"/>
              <w:ind w:firstLine="472" w:firstLineChars="200"/>
              <w:textAlignment w:val="auto"/>
              <w:rPr>
                <w:rFonts w:hint="default"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pacing w:val="-2"/>
                <w:sz w:val="24"/>
                <w:szCs w:val="24"/>
                <w:lang w:val="en-US" w:eastAsia="zh-CN"/>
              </w:rPr>
              <w:t>3.防范措施</w:t>
            </w:r>
          </w:p>
          <w:p w14:paraId="6E3116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eastAsia="zh-CN"/>
              </w:rPr>
              <w:t>为防止事故的发生，项目业主已采取以下措施防止事故的发生：</w:t>
            </w:r>
          </w:p>
          <w:p w14:paraId="380A7E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①加强污水处理站加药系统的管理与维修，使整个加药系统处于密闭化、严格防止跑冒滴漏现象发生；</w:t>
            </w:r>
          </w:p>
          <w:p w14:paraId="021DE9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②项目消防安全措施到位，一旦发生泄漏事故，被污染的泥土、泥沙等物品，必须作为危险固废处理，禁止随意丢弃；</w:t>
            </w:r>
          </w:p>
          <w:p w14:paraId="09BC2F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b/>
                <w:bCs w:val="0"/>
                <w:color w:val="auto"/>
                <w:sz w:val="24"/>
                <w:szCs w:val="24"/>
                <w:lang w:val="en-US" w:eastAsia="zh-CN"/>
              </w:rPr>
            </w:pPr>
            <w:r>
              <w:rPr>
                <w:rFonts w:hint="default" w:ascii="Times New Roman" w:hAnsi="Times New Roman" w:eastAsia="仿宋_GB2312" w:cs="Times New Roman"/>
                <w:color w:val="auto"/>
                <w:sz w:val="24"/>
                <w:szCs w:val="24"/>
                <w:lang w:val="en-US" w:eastAsia="zh-CN"/>
              </w:rPr>
              <w:t>③加强操作人员的岗位培训，严格遵守开、停工规程。对事故易发部位地点，按规定时间巡检，发现问题及早解决；把每个工作人员在业务、工作上与消防管理上的职责、责任明确清楚。</w:t>
            </w:r>
          </w:p>
          <w:p w14:paraId="042BDA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eastAsia="仿宋_GB2312" w:cs="Times New Roman"/>
                <w:color w:val="auto"/>
                <w:sz w:val="24"/>
                <w:szCs w:val="24"/>
                <w:lang w:val="en-US" w:eastAsia="zh-CN"/>
              </w:rPr>
            </w:pPr>
          </w:p>
          <w:p w14:paraId="6811F2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eastAsia="仿宋_GB2312" w:cs="Times New Roman"/>
                <w:color w:val="auto"/>
                <w:sz w:val="24"/>
                <w:szCs w:val="24"/>
                <w:lang w:val="en-US" w:eastAsia="zh-CN"/>
              </w:rPr>
            </w:pPr>
          </w:p>
          <w:p w14:paraId="65342E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eastAsia="仿宋_GB2312" w:cs="Times New Roman"/>
                <w:color w:val="auto"/>
                <w:sz w:val="24"/>
                <w:szCs w:val="24"/>
                <w:lang w:val="en-US" w:eastAsia="zh-CN"/>
              </w:rPr>
            </w:pPr>
          </w:p>
          <w:p w14:paraId="6FDA0A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eastAsia="仿宋_GB2312" w:cs="Times New Roman"/>
                <w:color w:val="auto"/>
                <w:sz w:val="24"/>
                <w:szCs w:val="24"/>
                <w:lang w:val="en-US" w:eastAsia="zh-CN"/>
              </w:rPr>
            </w:pPr>
          </w:p>
          <w:p w14:paraId="4B831A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eastAsia="仿宋_GB2312" w:cs="Times New Roman"/>
                <w:color w:val="auto"/>
                <w:sz w:val="24"/>
                <w:szCs w:val="24"/>
                <w:lang w:val="en-US" w:eastAsia="zh-CN"/>
              </w:rPr>
            </w:pPr>
          </w:p>
          <w:p w14:paraId="511725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eastAsia="仿宋_GB2312" w:cs="Times New Roman"/>
                <w:color w:val="auto"/>
                <w:sz w:val="24"/>
                <w:szCs w:val="24"/>
                <w:lang w:val="en-US" w:eastAsia="zh-CN"/>
              </w:rPr>
            </w:pPr>
          </w:p>
          <w:p w14:paraId="5B694E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eastAsia="仿宋_GB2312" w:cs="Times New Roman"/>
                <w:color w:val="auto"/>
                <w:sz w:val="24"/>
                <w:szCs w:val="24"/>
                <w:lang w:val="en-US" w:eastAsia="zh-CN"/>
              </w:rPr>
            </w:pPr>
          </w:p>
          <w:p w14:paraId="37A21F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eastAsia="仿宋_GB2312" w:cs="Times New Roman"/>
                <w:color w:val="auto"/>
                <w:sz w:val="24"/>
                <w:szCs w:val="24"/>
                <w:lang w:val="en-US" w:eastAsia="zh-CN"/>
              </w:rPr>
            </w:pPr>
          </w:p>
          <w:p w14:paraId="2EB899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Calibri" w:hAnsi="Calibri" w:eastAsia="仿宋_GB2312" w:cs="Times New Roman"/>
                <w:color w:val="auto"/>
                <w:sz w:val="24"/>
                <w:szCs w:val="24"/>
                <w:lang w:val="en-US" w:eastAsia="zh-CN"/>
              </w:rPr>
            </w:pPr>
          </w:p>
          <w:p w14:paraId="5A80297D">
            <w:pPr>
              <w:adjustRightInd w:val="0"/>
              <w:snapToGrid w:val="0"/>
              <w:spacing w:before="50" w:after="50" w:line="360" w:lineRule="auto"/>
              <w:rPr>
                <w:rFonts w:ascii="Times New Roman" w:hAnsi="Times New Roman" w:eastAsia="仿宋" w:cs="Times New Roman"/>
                <w:color w:val="auto"/>
                <w:sz w:val="24"/>
                <w:szCs w:val="24"/>
              </w:rPr>
            </w:pPr>
          </w:p>
          <w:p w14:paraId="034DB013">
            <w:pPr>
              <w:pStyle w:val="2"/>
              <w:rPr>
                <w:rFonts w:ascii="Times New Roman" w:hAnsi="Times New Roman" w:eastAsia="仿宋" w:cs="Times New Roman"/>
                <w:color w:val="auto"/>
                <w:sz w:val="24"/>
                <w:szCs w:val="24"/>
              </w:rPr>
            </w:pPr>
          </w:p>
          <w:p w14:paraId="4800C78E">
            <w:pPr>
              <w:rPr>
                <w:rFonts w:ascii="Times New Roman" w:hAnsi="Times New Roman" w:eastAsia="仿宋" w:cs="Times New Roman"/>
                <w:color w:val="auto"/>
                <w:sz w:val="24"/>
                <w:szCs w:val="24"/>
              </w:rPr>
            </w:pPr>
          </w:p>
          <w:p w14:paraId="01A94BF0">
            <w:pPr>
              <w:pStyle w:val="2"/>
              <w:rPr>
                <w:rFonts w:ascii="Times New Roman" w:hAnsi="Times New Roman" w:eastAsia="仿宋" w:cs="Times New Roman"/>
                <w:color w:val="auto"/>
                <w:sz w:val="24"/>
                <w:szCs w:val="24"/>
              </w:rPr>
            </w:pPr>
          </w:p>
          <w:p w14:paraId="68A5ABFA">
            <w:pPr>
              <w:rPr>
                <w:rFonts w:ascii="Times New Roman" w:hAnsi="Times New Roman" w:eastAsia="仿宋" w:cs="Times New Roman"/>
                <w:color w:val="auto"/>
                <w:sz w:val="24"/>
                <w:szCs w:val="24"/>
              </w:rPr>
            </w:pPr>
          </w:p>
          <w:p w14:paraId="07121584">
            <w:pPr>
              <w:pStyle w:val="2"/>
              <w:rPr>
                <w:rFonts w:ascii="Times New Roman" w:hAnsi="Times New Roman" w:eastAsia="仿宋" w:cs="Times New Roman"/>
                <w:color w:val="auto"/>
                <w:sz w:val="24"/>
                <w:szCs w:val="24"/>
              </w:rPr>
            </w:pPr>
          </w:p>
          <w:p w14:paraId="4A68C4FF">
            <w:pPr>
              <w:rPr>
                <w:rFonts w:ascii="Times New Roman" w:hAnsi="Times New Roman" w:eastAsia="仿宋" w:cs="Times New Roman"/>
                <w:color w:val="auto"/>
                <w:sz w:val="24"/>
                <w:szCs w:val="24"/>
              </w:rPr>
            </w:pPr>
          </w:p>
          <w:p w14:paraId="12A6DD0C">
            <w:pPr>
              <w:pStyle w:val="2"/>
              <w:rPr>
                <w:rFonts w:ascii="Times New Roman" w:hAnsi="Times New Roman" w:eastAsia="仿宋" w:cs="Times New Roman"/>
                <w:color w:val="auto"/>
                <w:sz w:val="24"/>
                <w:szCs w:val="24"/>
              </w:rPr>
            </w:pPr>
          </w:p>
          <w:p w14:paraId="1D4F266A">
            <w:pPr>
              <w:rPr>
                <w:rFonts w:ascii="Times New Roman" w:hAnsi="Times New Roman" w:eastAsia="仿宋" w:cs="Times New Roman"/>
                <w:color w:val="auto"/>
                <w:sz w:val="24"/>
                <w:szCs w:val="24"/>
              </w:rPr>
            </w:pPr>
          </w:p>
          <w:p w14:paraId="64FF3DCE">
            <w:pPr>
              <w:rPr>
                <w:color w:val="auto"/>
              </w:rPr>
            </w:pPr>
          </w:p>
        </w:tc>
      </w:tr>
    </w:tbl>
    <w:p w14:paraId="5A97C696">
      <w:pPr>
        <w:widowControl/>
        <w:jc w:val="center"/>
        <w:rPr>
          <w:rFonts w:ascii="Times New Roman" w:hAnsi="Times New Roman" w:eastAsia="黑体" w:cs="Times New Roman"/>
          <w:color w:val="auto"/>
          <w:sz w:val="30"/>
          <w:szCs w:val="30"/>
        </w:rPr>
        <w:sectPr>
          <w:pgSz w:w="11906" w:h="16838"/>
          <w:pgMar w:top="1588" w:right="1361" w:bottom="1588" w:left="136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BD60FFD">
      <w:pPr>
        <w:widowControl/>
        <w:jc w:val="center"/>
        <w:rPr>
          <w:rFonts w:ascii="Times New Roman" w:hAnsi="Times New Roman" w:eastAsia="宋体" w:cs="Times New Roman"/>
          <w:color w:val="auto"/>
        </w:rPr>
      </w:pPr>
      <w:r>
        <w:rPr>
          <w:rFonts w:ascii="Times New Roman" w:hAnsi="Times New Roman" w:eastAsia="黑体" w:cs="Times New Roman"/>
          <w:color w:val="auto"/>
          <w:sz w:val="30"/>
          <w:szCs w:val="30"/>
        </w:rPr>
        <w:t>五、环境保护措施监督检查清单</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814"/>
        <w:gridCol w:w="1459"/>
        <w:gridCol w:w="2169"/>
        <w:gridCol w:w="1815"/>
      </w:tblGrid>
      <w:tr w14:paraId="55FF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5" w:type="dxa"/>
            <w:tcBorders>
              <w:top w:val="single" w:color="auto" w:sz="12" w:space="0"/>
              <w:left w:val="single" w:color="auto" w:sz="12" w:space="0"/>
              <w:tl2br w:val="single" w:color="auto" w:sz="4" w:space="0"/>
            </w:tcBorders>
            <w:vAlign w:val="center"/>
          </w:tcPr>
          <w:p w14:paraId="1344094E">
            <w:pPr>
              <w:keepNext w:val="0"/>
              <w:keepLines w:val="0"/>
              <w:pageBreakBefore w:val="0"/>
              <w:widowControl w:val="0"/>
              <w:kinsoku/>
              <w:wordWrap/>
              <w:overflowPunct/>
              <w:topLinePunct w:val="0"/>
              <w:autoSpaceDE/>
              <w:autoSpaceDN/>
              <w:bidi w:val="0"/>
              <w:spacing w:line="240" w:lineRule="auto"/>
              <w:jc w:val="right"/>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p w14:paraId="34F6E5ED">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要素</w:t>
            </w:r>
          </w:p>
        </w:tc>
        <w:tc>
          <w:tcPr>
            <w:tcW w:w="1814" w:type="dxa"/>
            <w:tcBorders>
              <w:top w:val="single" w:color="auto" w:sz="12" w:space="0"/>
            </w:tcBorders>
            <w:vAlign w:val="center"/>
          </w:tcPr>
          <w:p w14:paraId="2963BA8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排放口（编号、名称）/污染源</w:t>
            </w:r>
          </w:p>
        </w:tc>
        <w:tc>
          <w:tcPr>
            <w:tcW w:w="1459" w:type="dxa"/>
            <w:tcBorders>
              <w:top w:val="single" w:color="auto" w:sz="12" w:space="0"/>
            </w:tcBorders>
            <w:vAlign w:val="center"/>
          </w:tcPr>
          <w:p w14:paraId="1756901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污染物项目</w:t>
            </w:r>
          </w:p>
        </w:tc>
        <w:tc>
          <w:tcPr>
            <w:tcW w:w="2169" w:type="dxa"/>
            <w:tcBorders>
              <w:top w:val="single" w:color="auto" w:sz="12" w:space="0"/>
            </w:tcBorders>
            <w:vAlign w:val="center"/>
          </w:tcPr>
          <w:p w14:paraId="3ACA3AA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环境保护措施</w:t>
            </w:r>
          </w:p>
        </w:tc>
        <w:tc>
          <w:tcPr>
            <w:tcW w:w="1815" w:type="dxa"/>
            <w:tcBorders>
              <w:top w:val="single" w:color="auto" w:sz="12" w:space="0"/>
              <w:right w:val="single" w:color="auto" w:sz="12" w:space="0"/>
            </w:tcBorders>
            <w:vAlign w:val="center"/>
          </w:tcPr>
          <w:p w14:paraId="0CBDE32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r>
      <w:tr w14:paraId="2AF2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5" w:type="dxa"/>
            <w:tcBorders>
              <w:left w:val="single" w:color="auto" w:sz="12" w:space="0"/>
            </w:tcBorders>
            <w:vAlign w:val="center"/>
          </w:tcPr>
          <w:p w14:paraId="28CBD60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大气环境</w:t>
            </w:r>
          </w:p>
        </w:tc>
        <w:tc>
          <w:tcPr>
            <w:tcW w:w="1814" w:type="dxa"/>
            <w:vAlign w:val="center"/>
          </w:tcPr>
          <w:p w14:paraId="4C9707B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排气筒DA001</w:t>
            </w:r>
          </w:p>
        </w:tc>
        <w:tc>
          <w:tcPr>
            <w:tcW w:w="1459" w:type="dxa"/>
            <w:vAlign w:val="center"/>
          </w:tcPr>
          <w:p w14:paraId="3A7B314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氨气、硫化氢</w:t>
            </w:r>
          </w:p>
        </w:tc>
        <w:tc>
          <w:tcPr>
            <w:tcW w:w="2169" w:type="dxa"/>
            <w:vAlign w:val="center"/>
          </w:tcPr>
          <w:p w14:paraId="351E61B3">
            <w:pPr>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通过风管收集后采用生物除臭滤池工艺进行处理达标后进</w:t>
            </w:r>
            <w:r>
              <w:rPr>
                <w:rFonts w:hint="default" w:ascii="Times New Roman" w:hAnsi="Times New Roman" w:eastAsia="宋体" w:cs="Times New Roman"/>
                <w:color w:val="auto"/>
                <w:szCs w:val="21"/>
                <w:lang w:val="en-US" w:eastAsia="zh-CN"/>
              </w:rPr>
              <w:t>15m高排气筒</w:t>
            </w:r>
            <w:r>
              <w:rPr>
                <w:rFonts w:hint="default" w:ascii="Times New Roman" w:hAnsi="Times New Roman" w:eastAsia="宋体" w:cs="Times New Roman"/>
                <w:color w:val="auto"/>
                <w:szCs w:val="21"/>
                <w:lang w:eastAsia="zh-CN"/>
              </w:rPr>
              <w:t>排放</w:t>
            </w:r>
            <w:r>
              <w:rPr>
                <w:rFonts w:hint="default" w:ascii="Times New Roman" w:hAnsi="Times New Roman" w:eastAsia="宋体" w:cs="Times New Roman"/>
                <w:color w:val="auto"/>
                <w:szCs w:val="21"/>
              </w:rPr>
              <w:t>。</w:t>
            </w:r>
          </w:p>
        </w:tc>
        <w:tc>
          <w:tcPr>
            <w:tcW w:w="1815" w:type="dxa"/>
            <w:tcBorders>
              <w:right w:val="single" w:color="auto" w:sz="12" w:space="0"/>
            </w:tcBorders>
            <w:vAlign w:val="center"/>
          </w:tcPr>
          <w:p w14:paraId="0CEABC3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恶臭污染物排放标准》(GB14554-93)中表2标准</w:t>
            </w:r>
            <w:r>
              <w:rPr>
                <w:rFonts w:hint="default" w:ascii="Times New Roman" w:hAnsi="Times New Roman" w:eastAsia="宋体" w:cs="Times New Roman"/>
                <w:color w:val="auto"/>
                <w:szCs w:val="21"/>
              </w:rPr>
              <w:t>限值</w:t>
            </w:r>
          </w:p>
        </w:tc>
      </w:tr>
      <w:tr w14:paraId="63DE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1815" w:type="dxa"/>
            <w:tcBorders>
              <w:left w:val="single" w:color="auto" w:sz="12" w:space="0"/>
            </w:tcBorders>
            <w:vAlign w:val="center"/>
          </w:tcPr>
          <w:p w14:paraId="51A121B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地表水环境</w:t>
            </w:r>
          </w:p>
        </w:tc>
        <w:tc>
          <w:tcPr>
            <w:tcW w:w="1814" w:type="dxa"/>
            <w:vAlign w:val="center"/>
          </w:tcPr>
          <w:p w14:paraId="75EA0DE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排水口</w:t>
            </w:r>
            <w:r>
              <w:rPr>
                <w:rFonts w:hint="default" w:ascii="Times New Roman" w:hAnsi="Times New Roman" w:eastAsia="宋体" w:cs="Times New Roman"/>
                <w:color w:val="auto"/>
                <w:szCs w:val="21"/>
                <w:lang w:val="en-US" w:eastAsia="zh-CN"/>
              </w:rPr>
              <w:t>DW001</w:t>
            </w:r>
          </w:p>
        </w:tc>
        <w:tc>
          <w:tcPr>
            <w:tcW w:w="1459" w:type="dxa"/>
            <w:vAlign w:val="center"/>
          </w:tcPr>
          <w:p w14:paraId="2467C80F">
            <w:pPr>
              <w:keepNext w:val="0"/>
              <w:keepLines w:val="0"/>
              <w:pageBreakBefore w:val="0"/>
              <w:widowControl w:val="0"/>
              <w:kinsoku/>
              <w:wordWrap/>
              <w:overflowPunct/>
              <w:topLinePunct w:val="0"/>
              <w:autoSpaceDE/>
              <w:autoSpaceDN/>
              <w:bidi w:val="0"/>
              <w:spacing w:before="50" w:after="50"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主要污染物为COD、BOD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SS、氨氮</w:t>
            </w:r>
            <w:r>
              <w:rPr>
                <w:rFonts w:hint="default" w:ascii="Times New Roman" w:hAnsi="Times New Roman" w:eastAsia="宋体" w:cs="Times New Roman"/>
                <w:color w:val="auto"/>
                <w:szCs w:val="21"/>
                <w:lang w:eastAsia="zh-CN"/>
              </w:rPr>
              <w:t>、总磷、总氮</w:t>
            </w:r>
            <w:r>
              <w:rPr>
                <w:rFonts w:hint="default" w:ascii="Times New Roman" w:hAnsi="Times New Roman" w:eastAsia="宋体" w:cs="Times New Roman"/>
                <w:color w:val="auto"/>
                <w:szCs w:val="21"/>
              </w:rPr>
              <w:t>等</w:t>
            </w:r>
          </w:p>
        </w:tc>
        <w:tc>
          <w:tcPr>
            <w:tcW w:w="2169" w:type="dxa"/>
            <w:vAlign w:val="center"/>
          </w:tcPr>
          <w:p w14:paraId="0815E76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排入污水处理厂东北侧</w:t>
            </w:r>
            <w:r>
              <w:rPr>
                <w:rFonts w:hint="eastAsia" w:ascii="Times New Roman" w:hAnsi="Times New Roman" w:eastAsia="宋体" w:cs="Times New Roman"/>
                <w:color w:val="auto"/>
                <w:szCs w:val="21"/>
                <w:lang w:eastAsia="zh-CN"/>
              </w:rPr>
              <w:t>洪水河</w:t>
            </w:r>
            <w:r>
              <w:rPr>
                <w:rFonts w:hint="default" w:ascii="Times New Roman" w:hAnsi="Times New Roman" w:eastAsia="宋体" w:cs="Times New Roman"/>
                <w:color w:val="auto"/>
                <w:szCs w:val="21"/>
              </w:rPr>
              <w:t>。</w:t>
            </w:r>
          </w:p>
        </w:tc>
        <w:tc>
          <w:tcPr>
            <w:tcW w:w="1815" w:type="dxa"/>
            <w:tcBorders>
              <w:right w:val="single" w:color="auto" w:sz="12" w:space="0"/>
            </w:tcBorders>
            <w:vAlign w:val="center"/>
          </w:tcPr>
          <w:p w14:paraId="6A367631">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《城市污水处理厂污染物排放标准》(GB18918-2002)中一级A标准</w:t>
            </w:r>
          </w:p>
        </w:tc>
      </w:tr>
      <w:tr w14:paraId="15BE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5" w:type="dxa"/>
            <w:tcBorders>
              <w:left w:val="single" w:color="auto" w:sz="12" w:space="0"/>
            </w:tcBorders>
            <w:vAlign w:val="center"/>
          </w:tcPr>
          <w:p w14:paraId="1EB7F1F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声环境</w:t>
            </w:r>
          </w:p>
        </w:tc>
        <w:tc>
          <w:tcPr>
            <w:tcW w:w="1814" w:type="dxa"/>
            <w:vAlign w:val="center"/>
          </w:tcPr>
          <w:p w14:paraId="1A2E669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生产设备、运输车辆</w:t>
            </w:r>
          </w:p>
        </w:tc>
        <w:tc>
          <w:tcPr>
            <w:tcW w:w="1459" w:type="dxa"/>
            <w:vAlign w:val="center"/>
          </w:tcPr>
          <w:p w14:paraId="11A742A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2169" w:type="dxa"/>
            <w:vAlign w:val="center"/>
          </w:tcPr>
          <w:p w14:paraId="4801666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对于产生的噪声主要采取的措施有采用低噪声设备，采取减振、降噪措施、厂房封闭等措施。</w:t>
            </w:r>
          </w:p>
        </w:tc>
        <w:tc>
          <w:tcPr>
            <w:tcW w:w="1815" w:type="dxa"/>
            <w:tcBorders>
              <w:right w:val="single" w:color="auto" w:sz="12" w:space="0"/>
            </w:tcBorders>
            <w:vAlign w:val="center"/>
          </w:tcPr>
          <w:p w14:paraId="5AD0223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《工业企业厂界环境噪声排放标准》（GB12348-2008）中的</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类标准</w:t>
            </w:r>
          </w:p>
        </w:tc>
      </w:tr>
      <w:tr w14:paraId="7029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5" w:type="dxa"/>
            <w:tcBorders>
              <w:left w:val="single" w:color="auto" w:sz="12" w:space="0"/>
            </w:tcBorders>
            <w:vAlign w:val="center"/>
          </w:tcPr>
          <w:p w14:paraId="499FC30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电磁辐射</w:t>
            </w:r>
          </w:p>
        </w:tc>
        <w:tc>
          <w:tcPr>
            <w:tcW w:w="1814" w:type="dxa"/>
            <w:vAlign w:val="center"/>
          </w:tcPr>
          <w:p w14:paraId="5552D17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459" w:type="dxa"/>
            <w:vAlign w:val="center"/>
          </w:tcPr>
          <w:p w14:paraId="2FA6436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2169" w:type="dxa"/>
            <w:vAlign w:val="center"/>
          </w:tcPr>
          <w:p w14:paraId="2CEE269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1815" w:type="dxa"/>
            <w:tcBorders>
              <w:right w:val="single" w:color="auto" w:sz="12" w:space="0"/>
            </w:tcBorders>
            <w:vAlign w:val="center"/>
          </w:tcPr>
          <w:p w14:paraId="6E2C1D4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r>
      <w:tr w14:paraId="58F5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5" w:type="dxa"/>
            <w:vMerge w:val="restart"/>
            <w:tcBorders>
              <w:left w:val="single" w:color="auto" w:sz="12" w:space="0"/>
              <w:right w:val="single" w:color="auto" w:sz="4" w:space="0"/>
            </w:tcBorders>
            <w:vAlign w:val="center"/>
          </w:tcPr>
          <w:p w14:paraId="2E38AB7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固体废物</w:t>
            </w:r>
          </w:p>
        </w:tc>
        <w:tc>
          <w:tcPr>
            <w:tcW w:w="3273" w:type="dxa"/>
            <w:gridSpan w:val="2"/>
            <w:tcBorders>
              <w:left w:val="single" w:color="auto" w:sz="4" w:space="0"/>
              <w:right w:val="single" w:color="auto" w:sz="4" w:space="0"/>
            </w:tcBorders>
            <w:vAlign w:val="center"/>
          </w:tcPr>
          <w:p w14:paraId="041BBE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bidi="ar"/>
              </w:rPr>
              <w:t>栅渣</w:t>
            </w:r>
          </w:p>
        </w:tc>
        <w:tc>
          <w:tcPr>
            <w:tcW w:w="2169" w:type="dxa"/>
            <w:tcBorders>
              <w:left w:val="single" w:color="auto" w:sz="4" w:space="0"/>
              <w:right w:val="single" w:color="auto" w:sz="4" w:space="0"/>
            </w:tcBorders>
            <w:vAlign w:val="center"/>
          </w:tcPr>
          <w:p w14:paraId="29FD362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收集后均送至垃圾中转站</w:t>
            </w:r>
          </w:p>
        </w:tc>
        <w:tc>
          <w:tcPr>
            <w:tcW w:w="1815" w:type="dxa"/>
            <w:vMerge w:val="restart"/>
            <w:tcBorders>
              <w:left w:val="single" w:color="auto" w:sz="4" w:space="0"/>
              <w:right w:val="single" w:color="auto" w:sz="12" w:space="0"/>
            </w:tcBorders>
            <w:vAlign w:val="center"/>
          </w:tcPr>
          <w:p w14:paraId="5DABFD5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一般工业固体废物贮存及处置应执行《一般工业固体废物贮存</w:t>
            </w:r>
            <w:r>
              <w:rPr>
                <w:rFonts w:hint="default" w:ascii="Times New Roman" w:hAnsi="Times New Roman" w:eastAsia="宋体" w:cs="Times New Roman"/>
                <w:color w:val="auto"/>
                <w:szCs w:val="21"/>
                <w:lang w:eastAsia="zh-CN"/>
              </w:rPr>
              <w:t>和填埋</w:t>
            </w:r>
            <w:r>
              <w:rPr>
                <w:rFonts w:hint="default" w:ascii="Times New Roman" w:hAnsi="Times New Roman" w:eastAsia="宋体" w:cs="Times New Roman"/>
                <w:color w:val="auto"/>
                <w:szCs w:val="21"/>
              </w:rPr>
              <w:t>污染控制标准》</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GB18599-2020</w:t>
            </w:r>
            <w:r>
              <w:rPr>
                <w:rFonts w:hint="default" w:ascii="Times New Roman" w:hAnsi="Times New Roman" w:eastAsia="宋体" w:cs="Times New Roman"/>
                <w:color w:val="auto"/>
                <w:szCs w:val="21"/>
                <w:lang w:eastAsia="zh-CN"/>
              </w:rPr>
              <w:t>）</w:t>
            </w:r>
          </w:p>
        </w:tc>
      </w:tr>
      <w:tr w14:paraId="18B5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5" w:type="dxa"/>
            <w:vMerge w:val="continue"/>
            <w:tcBorders>
              <w:left w:val="single" w:color="auto" w:sz="12" w:space="0"/>
              <w:right w:val="single" w:color="auto" w:sz="4" w:space="0"/>
            </w:tcBorders>
            <w:vAlign w:val="center"/>
          </w:tcPr>
          <w:p w14:paraId="6EF3FD9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p>
        </w:tc>
        <w:tc>
          <w:tcPr>
            <w:tcW w:w="3273" w:type="dxa"/>
            <w:gridSpan w:val="2"/>
            <w:tcBorders>
              <w:left w:val="single" w:color="auto" w:sz="4" w:space="0"/>
              <w:right w:val="single" w:color="auto" w:sz="4" w:space="0"/>
            </w:tcBorders>
            <w:vAlign w:val="center"/>
          </w:tcPr>
          <w:p w14:paraId="2ABC26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bidi="ar"/>
              </w:rPr>
              <w:t>沉渣</w:t>
            </w:r>
          </w:p>
        </w:tc>
        <w:tc>
          <w:tcPr>
            <w:tcW w:w="2169" w:type="dxa"/>
            <w:tcBorders>
              <w:left w:val="single" w:color="auto" w:sz="4" w:space="0"/>
              <w:right w:val="single" w:color="auto" w:sz="4" w:space="0"/>
            </w:tcBorders>
            <w:vAlign w:val="center"/>
          </w:tcPr>
          <w:p w14:paraId="0B51B16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收集后均送至垃圾中转站</w:t>
            </w:r>
          </w:p>
        </w:tc>
        <w:tc>
          <w:tcPr>
            <w:tcW w:w="1815" w:type="dxa"/>
            <w:vMerge w:val="continue"/>
            <w:tcBorders>
              <w:left w:val="single" w:color="auto" w:sz="4" w:space="0"/>
              <w:right w:val="single" w:color="auto" w:sz="12" w:space="0"/>
            </w:tcBorders>
            <w:vAlign w:val="center"/>
          </w:tcPr>
          <w:p w14:paraId="595DC3E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p>
        </w:tc>
      </w:tr>
      <w:tr w14:paraId="42B2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5" w:type="dxa"/>
            <w:vMerge w:val="continue"/>
            <w:tcBorders>
              <w:left w:val="single" w:color="auto" w:sz="12" w:space="0"/>
              <w:right w:val="single" w:color="auto" w:sz="4" w:space="0"/>
            </w:tcBorders>
            <w:vAlign w:val="center"/>
          </w:tcPr>
          <w:p w14:paraId="4BF4A4E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p>
        </w:tc>
        <w:tc>
          <w:tcPr>
            <w:tcW w:w="3273" w:type="dxa"/>
            <w:gridSpan w:val="2"/>
            <w:tcBorders>
              <w:left w:val="single" w:color="auto" w:sz="4" w:space="0"/>
              <w:right w:val="single" w:color="auto" w:sz="4" w:space="0"/>
            </w:tcBorders>
            <w:vAlign w:val="center"/>
          </w:tcPr>
          <w:p w14:paraId="17174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bidi="ar"/>
              </w:rPr>
              <w:t>剩余污泥(脱水后)</w:t>
            </w:r>
          </w:p>
        </w:tc>
        <w:tc>
          <w:tcPr>
            <w:tcW w:w="2169" w:type="dxa"/>
            <w:tcBorders>
              <w:left w:val="single" w:color="auto" w:sz="4" w:space="0"/>
              <w:right w:val="single" w:color="auto" w:sz="4" w:space="0"/>
            </w:tcBorders>
            <w:vAlign w:val="center"/>
          </w:tcPr>
          <w:p w14:paraId="79C92AC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外运至中卫市绿能新能源有限公司集中处置。</w:t>
            </w:r>
          </w:p>
        </w:tc>
        <w:tc>
          <w:tcPr>
            <w:tcW w:w="1815" w:type="dxa"/>
            <w:vMerge w:val="continue"/>
            <w:tcBorders>
              <w:left w:val="single" w:color="auto" w:sz="4" w:space="0"/>
              <w:right w:val="single" w:color="auto" w:sz="12" w:space="0"/>
            </w:tcBorders>
            <w:vAlign w:val="center"/>
          </w:tcPr>
          <w:p w14:paraId="0C6446A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p>
        </w:tc>
      </w:tr>
      <w:tr w14:paraId="2E40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5" w:type="dxa"/>
            <w:vMerge w:val="continue"/>
            <w:tcBorders>
              <w:left w:val="single" w:color="auto" w:sz="12" w:space="0"/>
              <w:right w:val="single" w:color="auto" w:sz="4" w:space="0"/>
            </w:tcBorders>
            <w:vAlign w:val="center"/>
          </w:tcPr>
          <w:p w14:paraId="0702D4F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p>
        </w:tc>
        <w:tc>
          <w:tcPr>
            <w:tcW w:w="3273" w:type="dxa"/>
            <w:gridSpan w:val="2"/>
            <w:tcBorders>
              <w:left w:val="single" w:color="auto" w:sz="4" w:space="0"/>
              <w:right w:val="single" w:color="auto" w:sz="4" w:space="0"/>
            </w:tcBorders>
            <w:vAlign w:val="center"/>
          </w:tcPr>
          <w:p w14:paraId="48EF87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bidi="ar"/>
              </w:rPr>
              <w:t>生活垃圾</w:t>
            </w:r>
          </w:p>
        </w:tc>
        <w:tc>
          <w:tcPr>
            <w:tcW w:w="2169" w:type="dxa"/>
            <w:tcBorders>
              <w:left w:val="single" w:color="auto" w:sz="4" w:space="0"/>
              <w:right w:val="single" w:color="auto" w:sz="4" w:space="0"/>
            </w:tcBorders>
            <w:vAlign w:val="center"/>
          </w:tcPr>
          <w:p w14:paraId="662B121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送环卫部门指定地点</w:t>
            </w:r>
          </w:p>
        </w:tc>
        <w:tc>
          <w:tcPr>
            <w:tcW w:w="1815" w:type="dxa"/>
            <w:vMerge w:val="continue"/>
            <w:tcBorders>
              <w:left w:val="single" w:color="auto" w:sz="4" w:space="0"/>
              <w:right w:val="single" w:color="auto" w:sz="12" w:space="0"/>
            </w:tcBorders>
            <w:vAlign w:val="center"/>
          </w:tcPr>
          <w:p w14:paraId="1FDE64F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p>
        </w:tc>
      </w:tr>
      <w:tr w14:paraId="7992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815" w:type="dxa"/>
            <w:vMerge w:val="continue"/>
            <w:tcBorders>
              <w:left w:val="single" w:color="auto" w:sz="12" w:space="0"/>
              <w:right w:val="single" w:color="auto" w:sz="4" w:space="0"/>
            </w:tcBorders>
            <w:vAlign w:val="center"/>
          </w:tcPr>
          <w:p w14:paraId="715F7B5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p>
        </w:tc>
        <w:tc>
          <w:tcPr>
            <w:tcW w:w="3273" w:type="dxa"/>
            <w:gridSpan w:val="2"/>
            <w:tcBorders>
              <w:left w:val="single" w:color="auto" w:sz="4" w:space="0"/>
              <w:right w:val="single" w:color="auto" w:sz="4" w:space="0"/>
            </w:tcBorders>
            <w:vAlign w:val="center"/>
          </w:tcPr>
          <w:p w14:paraId="6F46A8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废矿物油</w:t>
            </w:r>
          </w:p>
        </w:tc>
        <w:tc>
          <w:tcPr>
            <w:tcW w:w="2169" w:type="dxa"/>
            <w:vMerge w:val="restart"/>
            <w:tcBorders>
              <w:left w:val="single" w:color="auto" w:sz="4" w:space="0"/>
              <w:right w:val="single" w:color="auto" w:sz="4" w:space="0"/>
            </w:tcBorders>
            <w:vAlign w:val="center"/>
          </w:tcPr>
          <w:p w14:paraId="48FCD6C4">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暂存于</w:t>
            </w:r>
            <w:r>
              <w:rPr>
                <w:rFonts w:hint="eastAsia" w:ascii="Times New Roman" w:hAnsi="Times New Roman" w:eastAsia="宋体" w:cs="Times New Roman"/>
                <w:color w:val="auto"/>
                <w:sz w:val="21"/>
                <w:szCs w:val="21"/>
                <w:lang w:val="en-US" w:eastAsia="zh-CN"/>
              </w:rPr>
              <w:t>危险废物贮存库</w:t>
            </w:r>
            <w:r>
              <w:rPr>
                <w:rFonts w:hint="eastAsia" w:ascii="Times New Roman" w:hAnsi="Times New Roman" w:eastAsia="宋体" w:cs="Times New Roman"/>
                <w:color w:val="auto"/>
                <w:sz w:val="21"/>
                <w:szCs w:val="21"/>
                <w:lang w:eastAsia="zh-CN"/>
              </w:rPr>
              <w:t>，定期交有资质单位处置</w:t>
            </w:r>
          </w:p>
        </w:tc>
        <w:tc>
          <w:tcPr>
            <w:tcW w:w="1815" w:type="dxa"/>
            <w:vMerge w:val="restart"/>
            <w:tcBorders>
              <w:left w:val="single" w:color="auto" w:sz="4" w:space="0"/>
              <w:right w:val="single" w:color="auto" w:sz="12" w:space="0"/>
            </w:tcBorders>
            <w:vAlign w:val="center"/>
          </w:tcPr>
          <w:p w14:paraId="3C3531C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《危险废物贮存污染控制标准》（GB18597-2001）及2013年修改单要求</w:t>
            </w:r>
          </w:p>
        </w:tc>
      </w:tr>
      <w:tr w14:paraId="1E3E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atLeast"/>
          <w:jc w:val="center"/>
        </w:trPr>
        <w:tc>
          <w:tcPr>
            <w:tcW w:w="1815" w:type="dxa"/>
            <w:vMerge w:val="continue"/>
            <w:tcBorders>
              <w:left w:val="single" w:color="auto" w:sz="12" w:space="0"/>
              <w:right w:val="single" w:color="auto" w:sz="4" w:space="0"/>
            </w:tcBorders>
            <w:vAlign w:val="center"/>
          </w:tcPr>
          <w:p w14:paraId="79D71F5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p>
        </w:tc>
        <w:tc>
          <w:tcPr>
            <w:tcW w:w="3273" w:type="dxa"/>
            <w:gridSpan w:val="2"/>
            <w:tcBorders>
              <w:left w:val="single" w:color="auto" w:sz="4" w:space="0"/>
              <w:right w:val="single" w:color="auto" w:sz="4" w:space="0"/>
            </w:tcBorders>
            <w:vAlign w:val="center"/>
          </w:tcPr>
          <w:p w14:paraId="0BAE97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化验室、在线监测站房废液</w:t>
            </w:r>
          </w:p>
        </w:tc>
        <w:tc>
          <w:tcPr>
            <w:tcW w:w="2169" w:type="dxa"/>
            <w:vMerge w:val="continue"/>
            <w:tcBorders>
              <w:left w:val="single" w:color="auto" w:sz="4" w:space="0"/>
              <w:right w:val="single" w:color="auto" w:sz="4" w:space="0"/>
            </w:tcBorders>
            <w:vAlign w:val="center"/>
          </w:tcPr>
          <w:p w14:paraId="7E3AAE0A">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lang w:eastAsia="zh-CN"/>
              </w:rPr>
            </w:pPr>
          </w:p>
        </w:tc>
        <w:tc>
          <w:tcPr>
            <w:tcW w:w="1815" w:type="dxa"/>
            <w:vMerge w:val="continue"/>
            <w:tcBorders>
              <w:left w:val="single" w:color="auto" w:sz="4" w:space="0"/>
              <w:right w:val="single" w:color="auto" w:sz="12" w:space="0"/>
            </w:tcBorders>
            <w:vAlign w:val="center"/>
          </w:tcPr>
          <w:p w14:paraId="7F28109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eastAsia="zh-CN"/>
              </w:rPr>
            </w:pPr>
          </w:p>
        </w:tc>
      </w:tr>
      <w:tr w14:paraId="0777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5" w:type="dxa"/>
            <w:tcBorders>
              <w:left w:val="single" w:color="auto" w:sz="12" w:space="0"/>
            </w:tcBorders>
            <w:vAlign w:val="center"/>
          </w:tcPr>
          <w:p w14:paraId="6151135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土壤及地下水污染防治措施</w:t>
            </w:r>
          </w:p>
        </w:tc>
        <w:tc>
          <w:tcPr>
            <w:tcW w:w="7257" w:type="dxa"/>
            <w:gridSpan w:val="4"/>
            <w:tcBorders>
              <w:right w:val="single" w:color="auto" w:sz="12" w:space="0"/>
            </w:tcBorders>
            <w:vAlign w:val="center"/>
          </w:tcPr>
          <w:p w14:paraId="0A4D536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bidi="ar"/>
              </w:rPr>
              <w:t>格栅、沉淀池、生物池、污泥池、接触池、滤池为重点污染防治区，</w:t>
            </w:r>
            <w:r>
              <w:rPr>
                <w:rFonts w:hint="default" w:ascii="Times New Roman" w:hAnsi="Times New Roman" w:eastAsia="宋体" w:cs="Times New Roman"/>
                <w:color w:val="auto"/>
                <w:szCs w:val="21"/>
              </w:rPr>
              <w:t>防治区的渗透系数≤10</w:t>
            </w:r>
            <w:r>
              <w:rPr>
                <w:rFonts w:hint="default" w:ascii="Times New Roman" w:hAnsi="Times New Roman" w:eastAsia="宋体" w:cs="Times New Roman"/>
                <w:color w:val="auto"/>
                <w:szCs w:val="21"/>
                <w:vertAlign w:val="superscript"/>
              </w:rPr>
              <w:t>-10</w:t>
            </w:r>
            <w:r>
              <w:rPr>
                <w:rFonts w:hint="default" w:ascii="Times New Roman" w:hAnsi="Times New Roman" w:eastAsia="宋体" w:cs="Times New Roman"/>
                <w:color w:val="auto"/>
                <w:szCs w:val="21"/>
              </w:rPr>
              <w:t>cm/s；办公生活区为一般污染防治区，渗透系数≤10</w:t>
            </w:r>
            <w:r>
              <w:rPr>
                <w:rFonts w:hint="default" w:ascii="Times New Roman" w:hAnsi="Times New Roman" w:eastAsia="宋体" w:cs="Times New Roman"/>
                <w:color w:val="auto"/>
                <w:szCs w:val="21"/>
                <w:vertAlign w:val="superscript"/>
              </w:rPr>
              <w:t>-7</w:t>
            </w:r>
            <w:r>
              <w:rPr>
                <w:rFonts w:hint="default" w:ascii="Times New Roman" w:hAnsi="Times New Roman" w:eastAsia="宋体" w:cs="Times New Roman"/>
                <w:color w:val="auto"/>
                <w:szCs w:val="21"/>
              </w:rPr>
              <w:t>cm/s。</w:t>
            </w:r>
          </w:p>
        </w:tc>
      </w:tr>
      <w:tr w14:paraId="6D6A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815" w:type="dxa"/>
            <w:tcBorders>
              <w:left w:val="single" w:color="auto" w:sz="12" w:space="0"/>
            </w:tcBorders>
            <w:vAlign w:val="center"/>
          </w:tcPr>
          <w:p w14:paraId="11719CA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生态保护措施</w:t>
            </w:r>
          </w:p>
        </w:tc>
        <w:tc>
          <w:tcPr>
            <w:tcW w:w="7257" w:type="dxa"/>
            <w:gridSpan w:val="4"/>
            <w:tcBorders>
              <w:right w:val="single" w:color="auto" w:sz="12" w:space="0"/>
            </w:tcBorders>
            <w:vAlign w:val="center"/>
          </w:tcPr>
          <w:p w14:paraId="0397EF4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r>
      <w:tr w14:paraId="0D0A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15" w:type="dxa"/>
            <w:tcBorders>
              <w:left w:val="single" w:color="auto" w:sz="12" w:space="0"/>
            </w:tcBorders>
            <w:vAlign w:val="center"/>
          </w:tcPr>
          <w:p w14:paraId="308299B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环境风险</w:t>
            </w:r>
          </w:p>
          <w:p w14:paraId="45C457C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防范措施</w:t>
            </w:r>
          </w:p>
        </w:tc>
        <w:tc>
          <w:tcPr>
            <w:tcW w:w="7257" w:type="dxa"/>
            <w:gridSpan w:val="4"/>
            <w:tcBorders>
              <w:right w:val="single" w:color="auto" w:sz="12" w:space="0"/>
            </w:tcBorders>
            <w:vAlign w:val="center"/>
          </w:tcPr>
          <w:p w14:paraId="3433C4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①</w:t>
            </w:r>
            <w:r>
              <w:rPr>
                <w:rFonts w:hint="default" w:ascii="Times New Roman" w:hAnsi="Times New Roman" w:eastAsia="仿宋_GB2312" w:cs="Times New Roman"/>
                <w:color w:val="auto"/>
                <w:sz w:val="24"/>
                <w:szCs w:val="24"/>
                <w:lang w:val="en-US" w:eastAsia="zh-CN"/>
              </w:rPr>
              <w:t>加强管理和设备维护工作，保持设备的完好率和处理的高效率。</w:t>
            </w:r>
          </w:p>
          <w:p w14:paraId="435839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②</w:t>
            </w:r>
            <w:r>
              <w:rPr>
                <w:rFonts w:hint="default" w:ascii="Times New Roman" w:hAnsi="Times New Roman" w:eastAsia="仿宋_GB2312" w:cs="Times New Roman"/>
                <w:color w:val="auto"/>
                <w:sz w:val="24"/>
                <w:szCs w:val="24"/>
                <w:lang w:val="en-US" w:eastAsia="zh-CN"/>
              </w:rPr>
              <w:t>设计中考虑溢流条件，采用双路供电，防止因突发事件而造成污水处理厂停运。</w:t>
            </w:r>
          </w:p>
          <w:p w14:paraId="3A4EF7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③</w:t>
            </w:r>
            <w:r>
              <w:rPr>
                <w:rFonts w:hint="default" w:ascii="Times New Roman" w:hAnsi="Times New Roman" w:eastAsia="仿宋_GB2312" w:cs="Times New Roman"/>
                <w:color w:val="auto"/>
                <w:sz w:val="24"/>
                <w:szCs w:val="24"/>
                <w:lang w:val="en-US" w:eastAsia="zh-CN"/>
              </w:rPr>
              <w:t>设备的检修时间应安排在水量较小、水质较好的季节或时段进行。</w:t>
            </w:r>
          </w:p>
          <w:p w14:paraId="0E194A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④</w:t>
            </w:r>
            <w:r>
              <w:rPr>
                <w:rFonts w:hint="default" w:ascii="Times New Roman" w:hAnsi="Times New Roman" w:eastAsia="仿宋_GB2312" w:cs="Times New Roman"/>
                <w:color w:val="auto"/>
                <w:sz w:val="24"/>
                <w:szCs w:val="24"/>
                <w:lang w:val="en-US" w:eastAsia="zh-CN"/>
              </w:rPr>
              <w:t>须配备流量、水质自动分析监测仪器。操作人员及时调整运行参数，使设备处于最佳工况，以确保处理效果最佳。</w:t>
            </w:r>
          </w:p>
          <w:p w14:paraId="1E6818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⑤</w:t>
            </w:r>
            <w:r>
              <w:rPr>
                <w:rFonts w:hint="default" w:ascii="Times New Roman" w:hAnsi="Times New Roman" w:eastAsia="仿宋_GB2312" w:cs="Times New Roman"/>
                <w:color w:val="auto"/>
                <w:sz w:val="24"/>
                <w:szCs w:val="24"/>
                <w:lang w:val="en-US" w:eastAsia="zh-CN"/>
              </w:rPr>
              <w:t>须建立可靠的污水处理厂运行监控系统，并设立标准排污口并安装在线监测系统，时刻监控和预防发生事故性排放。</w:t>
            </w:r>
          </w:p>
          <w:p w14:paraId="3700E1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仿宋_GB2312" w:cs="Times New Roman"/>
                <w:color w:val="auto"/>
                <w:sz w:val="24"/>
                <w:szCs w:val="24"/>
                <w:lang w:val="en-US" w:eastAsia="zh-CN"/>
              </w:rPr>
              <w:t>⑥</w:t>
            </w:r>
            <w:r>
              <w:rPr>
                <w:rFonts w:hint="default" w:ascii="Times New Roman" w:hAnsi="Times New Roman" w:eastAsia="仿宋_GB2312" w:cs="Times New Roman"/>
                <w:color w:val="auto"/>
                <w:sz w:val="24"/>
                <w:szCs w:val="24"/>
                <w:lang w:val="en-US" w:eastAsia="zh-CN"/>
              </w:rPr>
              <w:t xml:space="preserve">加强职工操作技能培训，建立和严格执行各部门的运行管理制度和操作责任制度，杜绝操作事故隐患。 </w:t>
            </w:r>
          </w:p>
        </w:tc>
      </w:tr>
      <w:tr w14:paraId="69BB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815" w:type="dxa"/>
            <w:tcBorders>
              <w:left w:val="single" w:color="auto" w:sz="12" w:space="0"/>
              <w:bottom w:val="single" w:color="auto" w:sz="12" w:space="0"/>
            </w:tcBorders>
            <w:vAlign w:val="center"/>
          </w:tcPr>
          <w:p w14:paraId="2439E9F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其他环境</w:t>
            </w:r>
          </w:p>
          <w:p w14:paraId="68136B4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管理要求</w:t>
            </w:r>
          </w:p>
        </w:tc>
        <w:tc>
          <w:tcPr>
            <w:tcW w:w="7257" w:type="dxa"/>
            <w:gridSpan w:val="4"/>
            <w:tcBorders>
              <w:bottom w:val="single" w:color="auto" w:sz="12" w:space="0"/>
              <w:right w:val="single" w:color="auto" w:sz="12" w:space="0"/>
            </w:tcBorders>
            <w:vAlign w:val="center"/>
          </w:tcPr>
          <w:p w14:paraId="6989888D">
            <w:pPr>
              <w:pStyle w:val="39"/>
              <w:adjustRightInd w:val="0"/>
              <w:snapToGrid w:val="0"/>
              <w:spacing w:line="360" w:lineRule="auto"/>
              <w:ind w:firstLine="560"/>
              <w:jc w:val="both"/>
              <w:rPr>
                <w:rFonts w:eastAsia="仿宋_GB2312"/>
                <w:color w:val="auto"/>
                <w:sz w:val="24"/>
                <w:szCs w:val="24"/>
              </w:rPr>
            </w:pPr>
            <w:r>
              <w:rPr>
                <w:rFonts w:hint="eastAsia" w:eastAsia="仿宋_GB2312"/>
                <w:color w:val="auto"/>
                <w:sz w:val="24"/>
                <w:szCs w:val="24"/>
                <w:lang w:eastAsia="zh-CN"/>
              </w:rPr>
              <w:t>①</w:t>
            </w:r>
            <w:r>
              <w:rPr>
                <w:rFonts w:eastAsia="仿宋_GB2312"/>
                <w:color w:val="auto"/>
                <w:sz w:val="24"/>
                <w:szCs w:val="24"/>
              </w:rPr>
              <w:t>环境管理机构设置</w:t>
            </w:r>
          </w:p>
          <w:p w14:paraId="041FFCB3">
            <w:pPr>
              <w:adjustRightInd w:val="0"/>
              <w:snapToGrid w:val="0"/>
              <w:spacing w:line="360" w:lineRule="auto"/>
              <w:ind w:firstLine="480" w:firstLineChars="200"/>
              <w:rPr>
                <w:rFonts w:eastAsia="仿宋_GB2312"/>
                <w:color w:val="auto"/>
                <w:sz w:val="24"/>
                <w:szCs w:val="24"/>
              </w:rPr>
            </w:pPr>
            <w:r>
              <w:rPr>
                <w:rFonts w:eastAsia="仿宋_GB2312"/>
                <w:color w:val="auto"/>
                <w:sz w:val="24"/>
                <w:szCs w:val="24"/>
              </w:rPr>
              <w:t>污水处理厂的环境管理工作应运营机构具体负责，形成企业的环境管理机构系统，设有专职或兼职的环保员。</w:t>
            </w:r>
          </w:p>
          <w:p w14:paraId="7A8C1720">
            <w:pPr>
              <w:pStyle w:val="39"/>
              <w:adjustRightInd w:val="0"/>
              <w:snapToGrid w:val="0"/>
              <w:spacing w:line="360" w:lineRule="auto"/>
              <w:ind w:firstLine="560"/>
              <w:jc w:val="both"/>
              <w:rPr>
                <w:rFonts w:eastAsia="仿宋_GB2312"/>
                <w:color w:val="auto"/>
                <w:sz w:val="24"/>
                <w:szCs w:val="24"/>
              </w:rPr>
            </w:pPr>
            <w:r>
              <w:rPr>
                <w:rFonts w:hint="eastAsia" w:eastAsia="仿宋_GB2312"/>
                <w:color w:val="auto"/>
                <w:sz w:val="24"/>
                <w:szCs w:val="24"/>
                <w:lang w:eastAsia="zh-CN"/>
              </w:rPr>
              <w:t>②</w:t>
            </w:r>
            <w:r>
              <w:rPr>
                <w:rFonts w:eastAsia="仿宋_GB2312"/>
                <w:color w:val="auto"/>
                <w:sz w:val="24"/>
                <w:szCs w:val="24"/>
              </w:rPr>
              <w:t>环境管理机构的职责与作用</w:t>
            </w:r>
          </w:p>
          <w:p w14:paraId="5A282AB8">
            <w:pPr>
              <w:pStyle w:val="39"/>
              <w:adjustRightInd w:val="0"/>
              <w:snapToGrid w:val="0"/>
              <w:spacing w:line="360" w:lineRule="auto"/>
              <w:ind w:firstLine="560"/>
              <w:jc w:val="both"/>
              <w:rPr>
                <w:rFonts w:hint="default" w:ascii="Times New Roman" w:hAnsi="Times New Roman" w:eastAsia="宋体" w:cs="Times New Roman"/>
                <w:color w:val="auto"/>
                <w:szCs w:val="21"/>
              </w:rPr>
            </w:pPr>
            <w:r>
              <w:rPr>
                <w:rFonts w:eastAsia="仿宋_GB2312"/>
                <w:color w:val="auto"/>
                <w:sz w:val="24"/>
                <w:szCs w:val="24"/>
              </w:rPr>
              <w:t>本项目的环境管理专职机构主要负责落实监督、监测污水处理工艺流程中排放污染物的状况，随时掌握污水处理过程中进出水量、水质及处理效果，保障污水处理设施正常运行和污水经处理达标排放。在工作中服从</w:t>
            </w:r>
            <w:r>
              <w:rPr>
                <w:rFonts w:hint="eastAsia" w:eastAsia="仿宋_GB2312"/>
                <w:color w:val="auto"/>
                <w:sz w:val="24"/>
                <w:szCs w:val="24"/>
                <w:lang w:eastAsia="zh-CN"/>
              </w:rPr>
              <w:t>生态环境局</w:t>
            </w:r>
            <w:r>
              <w:rPr>
                <w:rFonts w:eastAsia="仿宋_GB2312"/>
                <w:color w:val="auto"/>
                <w:sz w:val="24"/>
                <w:szCs w:val="24"/>
              </w:rPr>
              <w:t>和企业的统一领导，并且认真达到国家及地方环保方面要求，努力减少对环境可能产生的负面影响。同时根据省、市下达的污染物总量控制指标拟定总量控制计划、总量控制实施方案，核定本污水处理厂污水处理中达标、监测、监督管理和监控计划的完成情况。严格执行国家、省的环保法规和技术操作规范。</w:t>
            </w:r>
          </w:p>
        </w:tc>
      </w:tr>
    </w:tbl>
    <w:p w14:paraId="198187CF">
      <w:pPr>
        <w:jc w:val="center"/>
        <w:rPr>
          <w:rFonts w:ascii="Times New Roman" w:hAnsi="Times New Roman" w:eastAsia="黑体" w:cs="Times New Roman"/>
          <w:color w:val="auto"/>
          <w:sz w:val="30"/>
          <w:szCs w:val="30"/>
        </w:rPr>
        <w:sectPr>
          <w:pgSz w:w="11906" w:h="16838"/>
          <w:pgMar w:top="1588" w:right="1361" w:bottom="1588" w:left="136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65CF39F">
      <w:pPr>
        <w:jc w:val="center"/>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六、结论</w:t>
      </w:r>
    </w:p>
    <w:tbl>
      <w:tblPr>
        <w:tblStyle w:val="27"/>
        <w:tblW w:w="90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2"/>
      </w:tblGrid>
      <w:tr w14:paraId="5937D7B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860" w:hRule="atLeast"/>
          <w:jc w:val="center"/>
        </w:trPr>
        <w:tc>
          <w:tcPr>
            <w:tcW w:w="9072" w:type="dxa"/>
            <w:vAlign w:val="center"/>
          </w:tcPr>
          <w:p w14:paraId="0A539B9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ascii="Times New Roman" w:hAnsi="Times New Roman" w:eastAsia="仿宋" w:cs="Times New Roman"/>
                <w:color w:val="auto"/>
                <w:sz w:val="24"/>
                <w:szCs w:val="24"/>
              </w:rPr>
            </w:pPr>
            <w:r>
              <w:rPr>
                <w:rFonts w:eastAsia="仿宋_GB2312"/>
                <w:bCs/>
                <w:color w:val="auto"/>
                <w:sz w:val="24"/>
              </w:rPr>
              <w:t>项目建设符合国家产业政策，</w:t>
            </w:r>
            <w:r>
              <w:rPr>
                <w:rFonts w:hint="eastAsia" w:eastAsia="仿宋_GB2312"/>
                <w:bCs/>
                <w:color w:val="auto"/>
                <w:sz w:val="24"/>
              </w:rPr>
              <w:t>选址合理，</w:t>
            </w:r>
            <w:r>
              <w:rPr>
                <w:rFonts w:eastAsia="仿宋_GB2312"/>
                <w:bCs/>
                <w:color w:val="auto"/>
                <w:sz w:val="24"/>
              </w:rPr>
              <w:t>项目在运营后将产生废水、废气、噪声及固体废物污染等，在严格采取本报告所提出的各项环境保护措施后，项目对周围环境的影响可以控制在允许的范围以内，在严格执行“三同时”制度、落实本报告</w:t>
            </w:r>
            <w:r>
              <w:rPr>
                <w:rFonts w:hint="eastAsia" w:eastAsia="仿宋_GB2312"/>
                <w:bCs/>
                <w:color w:val="auto"/>
                <w:sz w:val="24"/>
              </w:rPr>
              <w:t>表</w:t>
            </w:r>
            <w:r>
              <w:rPr>
                <w:rFonts w:eastAsia="仿宋_GB2312"/>
                <w:bCs/>
                <w:color w:val="auto"/>
                <w:sz w:val="24"/>
              </w:rPr>
              <w:t>提出的各项环保措施的前提下，从环境保护角度分析，本项目的建设是可行的。</w:t>
            </w:r>
          </w:p>
        </w:tc>
      </w:tr>
    </w:tbl>
    <w:p w14:paraId="50937992">
      <w:pPr>
        <w:widowControl/>
        <w:jc w:val="left"/>
        <w:rPr>
          <w:rFonts w:ascii="Times New Roman" w:hAnsi="Times New Roman" w:eastAsia="宋体" w:cs="Times New Roman"/>
          <w:color w:val="auto"/>
        </w:rPr>
        <w:sectPr>
          <w:pgSz w:w="11906" w:h="16838"/>
          <w:pgMar w:top="1588" w:right="1361" w:bottom="1588" w:left="1361"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Times New Roman" w:hAnsi="Times New Roman" w:eastAsia="宋体" w:cs="Times New Roman"/>
          <w:color w:val="auto"/>
        </w:rPr>
        <w:br w:type="page"/>
      </w:r>
    </w:p>
    <w:p w14:paraId="4303113D">
      <w:pPr>
        <w:jc w:val="left"/>
        <w:rPr>
          <w:rFonts w:ascii="Times New Roman" w:hAnsi="Times New Roman" w:eastAsia="宋体" w:cs="Times New Roman"/>
          <w:b/>
          <w:bCs/>
          <w:color w:val="auto"/>
          <w:sz w:val="30"/>
          <w:szCs w:val="30"/>
        </w:rPr>
      </w:pPr>
      <w:r>
        <w:rPr>
          <w:rFonts w:ascii="Times New Roman" w:hAnsi="Times New Roman" w:eastAsia="宋体" w:cs="Times New Roman"/>
          <w:color w:val="auto"/>
          <w:sz w:val="30"/>
          <w:szCs w:val="30"/>
        </w:rPr>
        <w:t>附表</w:t>
      </w:r>
    </w:p>
    <w:p w14:paraId="11DA125F">
      <w:pPr>
        <w:jc w:val="center"/>
        <w:rPr>
          <w:rFonts w:ascii="Times New Roman" w:hAnsi="Times New Roman" w:eastAsia="宋体" w:cs="Times New Roman"/>
          <w:b/>
          <w:bCs/>
          <w:color w:val="auto"/>
          <w:sz w:val="30"/>
          <w:szCs w:val="30"/>
        </w:rPr>
      </w:pPr>
      <w:r>
        <w:rPr>
          <w:rFonts w:ascii="Times New Roman" w:hAnsi="Times New Roman" w:eastAsia="宋体" w:cs="Times New Roman"/>
          <w:b/>
          <w:bCs/>
          <w:color w:val="auto"/>
          <w:sz w:val="30"/>
          <w:szCs w:val="30"/>
        </w:rPr>
        <w:t>建设项目污染物排放量汇总表</w:t>
      </w:r>
    </w:p>
    <w:tbl>
      <w:tblPr>
        <w:tblStyle w:val="27"/>
        <w:tblW w:w="4949"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557"/>
        <w:gridCol w:w="1559"/>
        <w:gridCol w:w="1559"/>
        <w:gridCol w:w="1560"/>
        <w:gridCol w:w="1560"/>
        <w:gridCol w:w="1560"/>
        <w:gridCol w:w="1560"/>
        <w:gridCol w:w="1560"/>
      </w:tblGrid>
      <w:tr w14:paraId="4B9824F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tcBorders>
              <w:tl2br w:val="single" w:color="auto" w:sz="4" w:space="0"/>
            </w:tcBorders>
            <w:vAlign w:val="center"/>
          </w:tcPr>
          <w:p w14:paraId="06936050">
            <w:pPr>
              <w:jc w:val="right"/>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项目</w:t>
            </w:r>
          </w:p>
          <w:p w14:paraId="13F89A52">
            <w:pPr>
              <w:jc w:val="left"/>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分类</w:t>
            </w:r>
          </w:p>
        </w:tc>
        <w:tc>
          <w:tcPr>
            <w:tcW w:w="1557" w:type="dxa"/>
            <w:vAlign w:val="center"/>
          </w:tcPr>
          <w:p w14:paraId="4F94F90A">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污染物名称</w:t>
            </w:r>
          </w:p>
        </w:tc>
        <w:tc>
          <w:tcPr>
            <w:tcW w:w="1559" w:type="dxa"/>
            <w:vAlign w:val="center"/>
          </w:tcPr>
          <w:p w14:paraId="1F87488D">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现有工程排放量（固体废物产生量）</w:t>
            </w:r>
            <w:r>
              <w:rPr>
                <w:rFonts w:hint="eastAsia" w:ascii="宋体" w:hAnsi="宋体" w:eastAsia="宋体" w:cs="宋体"/>
                <w:b/>
                <w:bCs/>
                <w:color w:val="auto"/>
                <w:szCs w:val="21"/>
              </w:rPr>
              <w:t>①</w:t>
            </w:r>
          </w:p>
        </w:tc>
        <w:tc>
          <w:tcPr>
            <w:tcW w:w="1559" w:type="dxa"/>
            <w:vAlign w:val="center"/>
          </w:tcPr>
          <w:p w14:paraId="6A47427E">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现有工程许可排放量</w:t>
            </w:r>
            <w:r>
              <w:rPr>
                <w:rFonts w:hint="eastAsia" w:ascii="宋体" w:hAnsi="宋体" w:eastAsia="宋体" w:cs="宋体"/>
                <w:b/>
                <w:bCs/>
                <w:color w:val="auto"/>
                <w:szCs w:val="21"/>
              </w:rPr>
              <w:t>②</w:t>
            </w:r>
          </w:p>
        </w:tc>
        <w:tc>
          <w:tcPr>
            <w:tcW w:w="1560" w:type="dxa"/>
            <w:vAlign w:val="center"/>
          </w:tcPr>
          <w:p w14:paraId="6F5B566A">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在建工程排放量（固体废物产生量）</w:t>
            </w:r>
            <w:r>
              <w:rPr>
                <w:rFonts w:hint="eastAsia" w:ascii="宋体" w:hAnsi="宋体" w:eastAsia="宋体" w:cs="宋体"/>
                <w:b/>
                <w:bCs/>
                <w:color w:val="auto"/>
                <w:szCs w:val="21"/>
              </w:rPr>
              <w:t>③</w:t>
            </w:r>
          </w:p>
        </w:tc>
        <w:tc>
          <w:tcPr>
            <w:tcW w:w="1560" w:type="dxa"/>
            <w:vAlign w:val="center"/>
          </w:tcPr>
          <w:p w14:paraId="78679B81">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本项目排放量（固体废物产生量）</w:t>
            </w:r>
            <w:r>
              <w:rPr>
                <w:rFonts w:hint="eastAsia" w:ascii="宋体" w:hAnsi="宋体" w:eastAsia="宋体" w:cs="宋体"/>
                <w:b/>
                <w:bCs/>
                <w:color w:val="auto"/>
                <w:szCs w:val="21"/>
              </w:rPr>
              <w:t>④</w:t>
            </w:r>
          </w:p>
        </w:tc>
        <w:tc>
          <w:tcPr>
            <w:tcW w:w="1560" w:type="dxa"/>
            <w:vAlign w:val="center"/>
          </w:tcPr>
          <w:p w14:paraId="6A392BA5">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以新带老削减量（新建项目不填）</w:t>
            </w:r>
            <w:r>
              <w:rPr>
                <w:rFonts w:hint="eastAsia" w:ascii="宋体" w:hAnsi="宋体" w:eastAsia="宋体" w:cs="宋体"/>
                <w:b/>
                <w:bCs/>
                <w:color w:val="auto"/>
                <w:szCs w:val="21"/>
              </w:rPr>
              <w:t>⑤</w:t>
            </w:r>
          </w:p>
        </w:tc>
        <w:tc>
          <w:tcPr>
            <w:tcW w:w="1560" w:type="dxa"/>
            <w:vAlign w:val="center"/>
          </w:tcPr>
          <w:p w14:paraId="5C91BAAD">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本项目建成后全厂排放量（固体废物产生量）</w:t>
            </w:r>
            <w:r>
              <w:rPr>
                <w:rFonts w:hint="eastAsia" w:ascii="宋体" w:hAnsi="宋体" w:eastAsia="宋体" w:cs="宋体"/>
                <w:b/>
                <w:bCs/>
                <w:color w:val="auto"/>
                <w:szCs w:val="21"/>
              </w:rPr>
              <w:t>⑥</w:t>
            </w:r>
          </w:p>
        </w:tc>
        <w:tc>
          <w:tcPr>
            <w:tcW w:w="1560" w:type="dxa"/>
            <w:vAlign w:val="center"/>
          </w:tcPr>
          <w:p w14:paraId="1337E416">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变化量</w:t>
            </w:r>
            <w:r>
              <w:rPr>
                <w:rFonts w:hint="eastAsia" w:ascii="宋体" w:hAnsi="宋体" w:eastAsia="宋体" w:cs="宋体"/>
                <w:b/>
                <w:bCs/>
                <w:color w:val="auto"/>
                <w:szCs w:val="21"/>
              </w:rPr>
              <w:t>⑦</w:t>
            </w:r>
          </w:p>
        </w:tc>
      </w:tr>
      <w:tr w14:paraId="2A4C500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restart"/>
            <w:vAlign w:val="center"/>
          </w:tcPr>
          <w:p w14:paraId="5314DC6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废气</w:t>
            </w:r>
          </w:p>
        </w:tc>
        <w:tc>
          <w:tcPr>
            <w:tcW w:w="1557" w:type="dxa"/>
            <w:vAlign w:val="center"/>
          </w:tcPr>
          <w:p w14:paraId="20D3D9FB">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NH</w:t>
            </w:r>
            <w:r>
              <w:rPr>
                <w:rFonts w:hint="eastAsia" w:ascii="Times New Roman" w:hAnsi="Times New Roman" w:eastAsia="宋体" w:cs="Times New Roman"/>
                <w:bCs/>
                <w:color w:val="auto"/>
                <w:szCs w:val="21"/>
                <w:vertAlign w:val="subscript"/>
              </w:rPr>
              <w:t>3</w:t>
            </w:r>
          </w:p>
        </w:tc>
        <w:tc>
          <w:tcPr>
            <w:tcW w:w="1559" w:type="dxa"/>
            <w:vAlign w:val="center"/>
          </w:tcPr>
          <w:p w14:paraId="3724283C">
            <w:pPr>
              <w:jc w:val="center"/>
              <w:rPr>
                <w:rFonts w:hint="default" w:ascii="Times New Roman" w:hAnsi="Times New Roman" w:eastAsia="宋体" w:cs="Times New Roman"/>
                <w:color w:val="auto"/>
                <w:szCs w:val="21"/>
                <w:lang w:val="en-US" w:eastAsia="zh-CN"/>
              </w:rPr>
            </w:pPr>
          </w:p>
        </w:tc>
        <w:tc>
          <w:tcPr>
            <w:tcW w:w="1559" w:type="dxa"/>
            <w:vAlign w:val="center"/>
          </w:tcPr>
          <w:p w14:paraId="4CC6A5D8">
            <w:pPr>
              <w:jc w:val="center"/>
              <w:rPr>
                <w:rFonts w:ascii="Times New Roman" w:hAnsi="Times New Roman" w:eastAsia="宋体" w:cs="Times New Roman"/>
                <w:color w:val="auto"/>
                <w:szCs w:val="21"/>
              </w:rPr>
            </w:pPr>
          </w:p>
        </w:tc>
        <w:tc>
          <w:tcPr>
            <w:tcW w:w="1560" w:type="dxa"/>
            <w:vAlign w:val="center"/>
          </w:tcPr>
          <w:p w14:paraId="4DDC77F8">
            <w:pPr>
              <w:jc w:val="center"/>
              <w:rPr>
                <w:rFonts w:ascii="Times New Roman" w:hAnsi="Times New Roman" w:eastAsia="宋体" w:cs="Times New Roman"/>
                <w:color w:val="auto"/>
                <w:szCs w:val="21"/>
              </w:rPr>
            </w:pPr>
          </w:p>
        </w:tc>
        <w:tc>
          <w:tcPr>
            <w:tcW w:w="1560" w:type="dxa"/>
            <w:vAlign w:val="center"/>
          </w:tcPr>
          <w:p w14:paraId="63FF7A9C">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0.338t/a</w:t>
            </w:r>
          </w:p>
        </w:tc>
        <w:tc>
          <w:tcPr>
            <w:tcW w:w="1560" w:type="dxa"/>
            <w:vAlign w:val="center"/>
          </w:tcPr>
          <w:p w14:paraId="572DB336">
            <w:pPr>
              <w:jc w:val="center"/>
              <w:rPr>
                <w:rFonts w:ascii="Times New Roman" w:hAnsi="Times New Roman" w:eastAsia="宋体" w:cs="Times New Roman"/>
                <w:color w:val="auto"/>
                <w:szCs w:val="21"/>
              </w:rPr>
            </w:pPr>
          </w:p>
        </w:tc>
        <w:tc>
          <w:tcPr>
            <w:tcW w:w="1560" w:type="dxa"/>
            <w:vAlign w:val="center"/>
          </w:tcPr>
          <w:p w14:paraId="025DFB27">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rPr>
              <w:t>0.338t/a</w:t>
            </w:r>
          </w:p>
        </w:tc>
        <w:tc>
          <w:tcPr>
            <w:tcW w:w="1560" w:type="dxa"/>
            <w:vAlign w:val="center"/>
          </w:tcPr>
          <w:p w14:paraId="730ECEDB">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rPr>
              <w:t>0.338t/a</w:t>
            </w:r>
          </w:p>
        </w:tc>
      </w:tr>
      <w:tr w14:paraId="5060A52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continue"/>
            <w:vAlign w:val="center"/>
          </w:tcPr>
          <w:p w14:paraId="0A0DA1B5">
            <w:pPr>
              <w:jc w:val="center"/>
              <w:rPr>
                <w:rFonts w:ascii="Times New Roman" w:hAnsi="Times New Roman" w:eastAsia="宋体" w:cs="Times New Roman"/>
                <w:color w:val="auto"/>
                <w:szCs w:val="21"/>
              </w:rPr>
            </w:pPr>
          </w:p>
        </w:tc>
        <w:tc>
          <w:tcPr>
            <w:tcW w:w="1557" w:type="dxa"/>
            <w:vAlign w:val="center"/>
          </w:tcPr>
          <w:p w14:paraId="1D824DA0">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H</w:t>
            </w:r>
            <w:r>
              <w:rPr>
                <w:rFonts w:hint="eastAsia" w:ascii="Times New Roman" w:hAnsi="Times New Roman" w:eastAsia="宋体" w:cs="Times New Roman"/>
                <w:bCs/>
                <w:color w:val="auto"/>
                <w:szCs w:val="21"/>
                <w:vertAlign w:val="subscript"/>
              </w:rPr>
              <w:t>2</w:t>
            </w:r>
            <w:r>
              <w:rPr>
                <w:rFonts w:hint="eastAsia" w:ascii="Times New Roman" w:hAnsi="Times New Roman" w:eastAsia="宋体" w:cs="Times New Roman"/>
                <w:bCs/>
                <w:color w:val="auto"/>
                <w:szCs w:val="21"/>
              </w:rPr>
              <w:t>S</w:t>
            </w:r>
          </w:p>
        </w:tc>
        <w:tc>
          <w:tcPr>
            <w:tcW w:w="1559" w:type="dxa"/>
            <w:vAlign w:val="center"/>
          </w:tcPr>
          <w:p w14:paraId="3F5EB621">
            <w:pPr>
              <w:jc w:val="center"/>
              <w:rPr>
                <w:rFonts w:ascii="Times New Roman" w:hAnsi="Times New Roman" w:eastAsia="宋体" w:cs="Times New Roman"/>
                <w:color w:val="auto"/>
                <w:szCs w:val="21"/>
              </w:rPr>
            </w:pPr>
          </w:p>
        </w:tc>
        <w:tc>
          <w:tcPr>
            <w:tcW w:w="1559" w:type="dxa"/>
            <w:vAlign w:val="center"/>
          </w:tcPr>
          <w:p w14:paraId="4541B029">
            <w:pPr>
              <w:jc w:val="center"/>
              <w:rPr>
                <w:rFonts w:ascii="Times New Roman" w:hAnsi="Times New Roman" w:eastAsia="宋体" w:cs="Times New Roman"/>
                <w:color w:val="auto"/>
                <w:szCs w:val="21"/>
              </w:rPr>
            </w:pPr>
          </w:p>
        </w:tc>
        <w:tc>
          <w:tcPr>
            <w:tcW w:w="1560" w:type="dxa"/>
            <w:vAlign w:val="center"/>
          </w:tcPr>
          <w:p w14:paraId="337F8030">
            <w:pPr>
              <w:jc w:val="center"/>
              <w:rPr>
                <w:rFonts w:ascii="Times New Roman" w:hAnsi="Times New Roman" w:eastAsia="宋体" w:cs="Times New Roman"/>
                <w:color w:val="auto"/>
                <w:szCs w:val="21"/>
              </w:rPr>
            </w:pPr>
          </w:p>
        </w:tc>
        <w:tc>
          <w:tcPr>
            <w:tcW w:w="1560" w:type="dxa"/>
            <w:vAlign w:val="center"/>
          </w:tcPr>
          <w:p w14:paraId="22F42A9C">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0.003t/a</w:t>
            </w:r>
          </w:p>
        </w:tc>
        <w:tc>
          <w:tcPr>
            <w:tcW w:w="1560" w:type="dxa"/>
            <w:vAlign w:val="center"/>
          </w:tcPr>
          <w:p w14:paraId="16CEEA3E">
            <w:pPr>
              <w:jc w:val="center"/>
              <w:rPr>
                <w:rFonts w:ascii="Times New Roman" w:hAnsi="Times New Roman" w:eastAsia="宋体" w:cs="Times New Roman"/>
                <w:color w:val="auto"/>
                <w:szCs w:val="21"/>
              </w:rPr>
            </w:pPr>
          </w:p>
        </w:tc>
        <w:tc>
          <w:tcPr>
            <w:tcW w:w="1560" w:type="dxa"/>
            <w:vAlign w:val="center"/>
          </w:tcPr>
          <w:p w14:paraId="133C0926">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rPr>
              <w:t>0.003t/a</w:t>
            </w:r>
          </w:p>
        </w:tc>
        <w:tc>
          <w:tcPr>
            <w:tcW w:w="1560" w:type="dxa"/>
            <w:vAlign w:val="center"/>
          </w:tcPr>
          <w:p w14:paraId="6DA59AEC">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rPr>
              <w:t>0.003t/a</w:t>
            </w:r>
          </w:p>
        </w:tc>
      </w:tr>
      <w:tr w14:paraId="63812EA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restart"/>
            <w:vAlign w:val="center"/>
          </w:tcPr>
          <w:p w14:paraId="53B68D2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废水</w:t>
            </w:r>
          </w:p>
        </w:tc>
        <w:tc>
          <w:tcPr>
            <w:tcW w:w="1557" w:type="dxa"/>
            <w:vAlign w:val="center"/>
          </w:tcPr>
          <w:p w14:paraId="1FB37D0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COD</w:t>
            </w:r>
          </w:p>
        </w:tc>
        <w:tc>
          <w:tcPr>
            <w:tcW w:w="1559" w:type="dxa"/>
            <w:vAlign w:val="center"/>
          </w:tcPr>
          <w:p w14:paraId="07EFE373">
            <w:pPr>
              <w:jc w:val="center"/>
              <w:rPr>
                <w:rFonts w:ascii="Times New Roman" w:hAnsi="Times New Roman" w:eastAsia="宋体" w:cs="Times New Roman"/>
                <w:color w:val="auto"/>
                <w:szCs w:val="21"/>
              </w:rPr>
            </w:pPr>
          </w:p>
        </w:tc>
        <w:tc>
          <w:tcPr>
            <w:tcW w:w="1559" w:type="dxa"/>
            <w:vAlign w:val="center"/>
          </w:tcPr>
          <w:p w14:paraId="6B67300E">
            <w:pPr>
              <w:jc w:val="center"/>
              <w:rPr>
                <w:rFonts w:ascii="Times New Roman" w:hAnsi="Times New Roman" w:eastAsia="宋体" w:cs="Times New Roman"/>
                <w:color w:val="auto"/>
                <w:szCs w:val="21"/>
              </w:rPr>
            </w:pPr>
          </w:p>
        </w:tc>
        <w:tc>
          <w:tcPr>
            <w:tcW w:w="1560" w:type="dxa"/>
            <w:vAlign w:val="center"/>
          </w:tcPr>
          <w:p w14:paraId="03CBA456">
            <w:pPr>
              <w:jc w:val="center"/>
              <w:rPr>
                <w:rFonts w:ascii="Times New Roman" w:hAnsi="Times New Roman" w:eastAsia="宋体" w:cs="Times New Roman"/>
                <w:color w:val="auto"/>
                <w:szCs w:val="21"/>
              </w:rPr>
            </w:pPr>
          </w:p>
        </w:tc>
        <w:tc>
          <w:tcPr>
            <w:tcW w:w="1560" w:type="dxa"/>
            <w:vAlign w:val="center"/>
          </w:tcPr>
          <w:p w14:paraId="5806DC1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9.12</w:t>
            </w:r>
            <w:r>
              <w:rPr>
                <w:rFonts w:hint="eastAsia" w:ascii="Times New Roman" w:hAnsi="Times New Roman" w:eastAsia="宋体" w:cs="Times New Roman"/>
                <w:bCs/>
                <w:color w:val="auto"/>
                <w:szCs w:val="21"/>
              </w:rPr>
              <w:t>t/a</w:t>
            </w:r>
          </w:p>
        </w:tc>
        <w:tc>
          <w:tcPr>
            <w:tcW w:w="1560" w:type="dxa"/>
            <w:vAlign w:val="center"/>
          </w:tcPr>
          <w:p w14:paraId="5B1FE9D3">
            <w:pPr>
              <w:jc w:val="center"/>
              <w:rPr>
                <w:rFonts w:ascii="Times New Roman" w:hAnsi="Times New Roman" w:eastAsia="宋体" w:cs="Times New Roman"/>
                <w:color w:val="auto"/>
                <w:szCs w:val="21"/>
              </w:rPr>
            </w:pPr>
          </w:p>
        </w:tc>
        <w:tc>
          <w:tcPr>
            <w:tcW w:w="1560" w:type="dxa"/>
            <w:vAlign w:val="center"/>
          </w:tcPr>
          <w:p w14:paraId="5CA9F53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9.12</w:t>
            </w:r>
            <w:r>
              <w:rPr>
                <w:rFonts w:hint="eastAsia" w:ascii="Times New Roman" w:hAnsi="Times New Roman" w:eastAsia="宋体" w:cs="Times New Roman"/>
                <w:bCs/>
                <w:color w:val="auto"/>
                <w:szCs w:val="21"/>
              </w:rPr>
              <w:t>t/a</w:t>
            </w:r>
          </w:p>
        </w:tc>
        <w:tc>
          <w:tcPr>
            <w:tcW w:w="1560" w:type="dxa"/>
            <w:vAlign w:val="center"/>
          </w:tcPr>
          <w:p w14:paraId="7AF1232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+9.12</w:t>
            </w:r>
            <w:r>
              <w:rPr>
                <w:rFonts w:hint="eastAsia" w:ascii="Times New Roman" w:hAnsi="Times New Roman" w:eastAsia="宋体" w:cs="Times New Roman"/>
                <w:bCs/>
                <w:color w:val="auto"/>
                <w:szCs w:val="21"/>
              </w:rPr>
              <w:t>t/a</w:t>
            </w:r>
          </w:p>
        </w:tc>
      </w:tr>
      <w:tr w14:paraId="61ACDD5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continue"/>
            <w:vAlign w:val="center"/>
          </w:tcPr>
          <w:p w14:paraId="75B3CE5F">
            <w:pPr>
              <w:jc w:val="center"/>
              <w:rPr>
                <w:rFonts w:ascii="Times New Roman" w:hAnsi="Times New Roman" w:eastAsia="宋体" w:cs="Times New Roman"/>
                <w:color w:val="auto"/>
                <w:szCs w:val="21"/>
              </w:rPr>
            </w:pPr>
          </w:p>
        </w:tc>
        <w:tc>
          <w:tcPr>
            <w:tcW w:w="1557" w:type="dxa"/>
            <w:vAlign w:val="center"/>
          </w:tcPr>
          <w:p w14:paraId="14B3A77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BOD</w:t>
            </w:r>
            <w:r>
              <w:rPr>
                <w:rFonts w:ascii="Times New Roman" w:hAnsi="Times New Roman" w:eastAsia="宋体" w:cs="Times New Roman"/>
                <w:color w:val="auto"/>
                <w:szCs w:val="21"/>
                <w:vertAlign w:val="subscript"/>
              </w:rPr>
              <w:t>5</w:t>
            </w:r>
          </w:p>
        </w:tc>
        <w:tc>
          <w:tcPr>
            <w:tcW w:w="1559" w:type="dxa"/>
            <w:vAlign w:val="center"/>
          </w:tcPr>
          <w:p w14:paraId="429FE203">
            <w:pPr>
              <w:jc w:val="center"/>
              <w:rPr>
                <w:rFonts w:ascii="Times New Roman" w:hAnsi="Times New Roman" w:eastAsia="宋体" w:cs="Times New Roman"/>
                <w:color w:val="auto"/>
                <w:szCs w:val="21"/>
              </w:rPr>
            </w:pPr>
          </w:p>
        </w:tc>
        <w:tc>
          <w:tcPr>
            <w:tcW w:w="1559" w:type="dxa"/>
            <w:vAlign w:val="center"/>
          </w:tcPr>
          <w:p w14:paraId="74979BE9">
            <w:pPr>
              <w:jc w:val="center"/>
              <w:rPr>
                <w:rFonts w:ascii="Times New Roman" w:hAnsi="Times New Roman" w:eastAsia="宋体" w:cs="Times New Roman"/>
                <w:color w:val="auto"/>
                <w:szCs w:val="21"/>
              </w:rPr>
            </w:pPr>
          </w:p>
        </w:tc>
        <w:tc>
          <w:tcPr>
            <w:tcW w:w="1560" w:type="dxa"/>
            <w:vAlign w:val="center"/>
          </w:tcPr>
          <w:p w14:paraId="14602804">
            <w:pPr>
              <w:jc w:val="center"/>
              <w:rPr>
                <w:rFonts w:ascii="Times New Roman" w:hAnsi="Times New Roman" w:eastAsia="宋体" w:cs="Times New Roman"/>
                <w:color w:val="auto"/>
                <w:szCs w:val="21"/>
              </w:rPr>
            </w:pPr>
          </w:p>
        </w:tc>
        <w:tc>
          <w:tcPr>
            <w:tcW w:w="1560" w:type="dxa"/>
            <w:vAlign w:val="center"/>
          </w:tcPr>
          <w:p w14:paraId="6C022EF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1.83</w:t>
            </w:r>
            <w:r>
              <w:rPr>
                <w:rFonts w:hint="eastAsia" w:ascii="Times New Roman" w:hAnsi="Times New Roman" w:eastAsia="宋体" w:cs="Times New Roman"/>
                <w:bCs/>
                <w:color w:val="auto"/>
                <w:szCs w:val="21"/>
              </w:rPr>
              <w:t>t/a</w:t>
            </w:r>
          </w:p>
        </w:tc>
        <w:tc>
          <w:tcPr>
            <w:tcW w:w="1560" w:type="dxa"/>
            <w:vAlign w:val="center"/>
          </w:tcPr>
          <w:p w14:paraId="0A84FF28">
            <w:pPr>
              <w:jc w:val="center"/>
              <w:rPr>
                <w:rFonts w:ascii="Times New Roman" w:hAnsi="Times New Roman" w:eastAsia="宋体" w:cs="Times New Roman"/>
                <w:color w:val="auto"/>
                <w:szCs w:val="21"/>
              </w:rPr>
            </w:pPr>
          </w:p>
        </w:tc>
        <w:tc>
          <w:tcPr>
            <w:tcW w:w="1560" w:type="dxa"/>
            <w:vAlign w:val="center"/>
          </w:tcPr>
          <w:p w14:paraId="1B87E55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1.83</w:t>
            </w:r>
            <w:r>
              <w:rPr>
                <w:rFonts w:hint="eastAsia" w:ascii="Times New Roman" w:hAnsi="Times New Roman" w:eastAsia="宋体" w:cs="Times New Roman"/>
                <w:bCs/>
                <w:color w:val="auto"/>
                <w:szCs w:val="21"/>
              </w:rPr>
              <w:t>t/a</w:t>
            </w:r>
          </w:p>
        </w:tc>
        <w:tc>
          <w:tcPr>
            <w:tcW w:w="1560" w:type="dxa"/>
            <w:vAlign w:val="center"/>
          </w:tcPr>
          <w:p w14:paraId="7AD8C43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+1.83</w:t>
            </w:r>
            <w:r>
              <w:rPr>
                <w:rFonts w:hint="eastAsia" w:ascii="Times New Roman" w:hAnsi="Times New Roman" w:eastAsia="宋体" w:cs="Times New Roman"/>
                <w:bCs/>
                <w:color w:val="auto"/>
                <w:szCs w:val="21"/>
              </w:rPr>
              <w:t>t/a</w:t>
            </w:r>
          </w:p>
        </w:tc>
      </w:tr>
      <w:tr w14:paraId="5270E2C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continue"/>
            <w:vAlign w:val="center"/>
          </w:tcPr>
          <w:p w14:paraId="7E363C99">
            <w:pPr>
              <w:jc w:val="center"/>
              <w:rPr>
                <w:rFonts w:ascii="Times New Roman" w:hAnsi="Times New Roman" w:eastAsia="宋体" w:cs="Times New Roman"/>
                <w:color w:val="auto"/>
                <w:szCs w:val="21"/>
              </w:rPr>
            </w:pPr>
          </w:p>
        </w:tc>
        <w:tc>
          <w:tcPr>
            <w:tcW w:w="1557" w:type="dxa"/>
            <w:vAlign w:val="center"/>
          </w:tcPr>
          <w:p w14:paraId="1755AD3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SS</w:t>
            </w:r>
          </w:p>
        </w:tc>
        <w:tc>
          <w:tcPr>
            <w:tcW w:w="1559" w:type="dxa"/>
            <w:vAlign w:val="center"/>
          </w:tcPr>
          <w:p w14:paraId="212EEDF2">
            <w:pPr>
              <w:jc w:val="center"/>
              <w:rPr>
                <w:rFonts w:ascii="Times New Roman" w:hAnsi="Times New Roman" w:eastAsia="宋体" w:cs="Times New Roman"/>
                <w:color w:val="auto"/>
                <w:szCs w:val="21"/>
              </w:rPr>
            </w:pPr>
          </w:p>
        </w:tc>
        <w:tc>
          <w:tcPr>
            <w:tcW w:w="1559" w:type="dxa"/>
            <w:vAlign w:val="center"/>
          </w:tcPr>
          <w:p w14:paraId="1B05CC7F">
            <w:pPr>
              <w:jc w:val="center"/>
              <w:rPr>
                <w:rFonts w:ascii="Times New Roman" w:hAnsi="Times New Roman" w:eastAsia="宋体" w:cs="Times New Roman"/>
                <w:color w:val="auto"/>
                <w:szCs w:val="21"/>
              </w:rPr>
            </w:pPr>
          </w:p>
        </w:tc>
        <w:tc>
          <w:tcPr>
            <w:tcW w:w="1560" w:type="dxa"/>
            <w:vAlign w:val="center"/>
          </w:tcPr>
          <w:p w14:paraId="710B7FB1">
            <w:pPr>
              <w:jc w:val="center"/>
              <w:rPr>
                <w:rFonts w:ascii="Times New Roman" w:hAnsi="Times New Roman" w:eastAsia="宋体" w:cs="Times New Roman"/>
                <w:color w:val="auto"/>
                <w:szCs w:val="21"/>
              </w:rPr>
            </w:pPr>
          </w:p>
        </w:tc>
        <w:tc>
          <w:tcPr>
            <w:tcW w:w="1560" w:type="dxa"/>
            <w:vAlign w:val="center"/>
          </w:tcPr>
          <w:p w14:paraId="6FDB862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bCs/>
                <w:color w:val="auto"/>
                <w:szCs w:val="21"/>
                <w:lang w:val="en-US" w:eastAsia="zh-CN"/>
              </w:rPr>
              <w:t>1.67</w:t>
            </w:r>
            <w:r>
              <w:rPr>
                <w:rFonts w:hint="eastAsia" w:ascii="Times New Roman" w:hAnsi="Times New Roman" w:eastAsia="宋体" w:cs="Times New Roman"/>
                <w:bCs/>
                <w:color w:val="auto"/>
                <w:szCs w:val="21"/>
              </w:rPr>
              <w:t>t/a</w:t>
            </w:r>
          </w:p>
        </w:tc>
        <w:tc>
          <w:tcPr>
            <w:tcW w:w="1560" w:type="dxa"/>
            <w:vAlign w:val="center"/>
          </w:tcPr>
          <w:p w14:paraId="49537C9B">
            <w:pPr>
              <w:jc w:val="center"/>
              <w:rPr>
                <w:rFonts w:ascii="Times New Roman" w:hAnsi="Times New Roman" w:eastAsia="宋体" w:cs="Times New Roman"/>
                <w:color w:val="auto"/>
                <w:szCs w:val="21"/>
              </w:rPr>
            </w:pPr>
          </w:p>
        </w:tc>
        <w:tc>
          <w:tcPr>
            <w:tcW w:w="1560" w:type="dxa"/>
            <w:vAlign w:val="center"/>
          </w:tcPr>
          <w:p w14:paraId="27C146F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1.67</w:t>
            </w:r>
            <w:r>
              <w:rPr>
                <w:rFonts w:hint="eastAsia" w:ascii="Times New Roman" w:hAnsi="Times New Roman" w:eastAsia="宋体" w:cs="Times New Roman"/>
                <w:bCs/>
                <w:color w:val="auto"/>
                <w:szCs w:val="21"/>
              </w:rPr>
              <w:t>t/a</w:t>
            </w:r>
          </w:p>
        </w:tc>
        <w:tc>
          <w:tcPr>
            <w:tcW w:w="1560" w:type="dxa"/>
            <w:vAlign w:val="center"/>
          </w:tcPr>
          <w:p w14:paraId="39E8B13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+1.67</w:t>
            </w:r>
            <w:r>
              <w:rPr>
                <w:rFonts w:hint="eastAsia" w:ascii="Times New Roman" w:hAnsi="Times New Roman" w:eastAsia="宋体" w:cs="Times New Roman"/>
                <w:bCs/>
                <w:color w:val="auto"/>
                <w:szCs w:val="21"/>
              </w:rPr>
              <w:t>t/a</w:t>
            </w:r>
          </w:p>
        </w:tc>
      </w:tr>
      <w:tr w14:paraId="03080F5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continue"/>
            <w:vAlign w:val="center"/>
          </w:tcPr>
          <w:p w14:paraId="34E17B57">
            <w:pPr>
              <w:jc w:val="center"/>
              <w:rPr>
                <w:rFonts w:ascii="Times New Roman" w:hAnsi="Times New Roman" w:eastAsia="宋体" w:cs="Times New Roman"/>
                <w:color w:val="auto"/>
                <w:szCs w:val="21"/>
              </w:rPr>
            </w:pPr>
          </w:p>
        </w:tc>
        <w:tc>
          <w:tcPr>
            <w:tcW w:w="1557" w:type="dxa"/>
            <w:vAlign w:val="center"/>
          </w:tcPr>
          <w:p w14:paraId="50DE1AB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氨氮</w:t>
            </w:r>
          </w:p>
        </w:tc>
        <w:tc>
          <w:tcPr>
            <w:tcW w:w="1559" w:type="dxa"/>
            <w:vAlign w:val="center"/>
          </w:tcPr>
          <w:p w14:paraId="1D4CFB18">
            <w:pPr>
              <w:jc w:val="center"/>
              <w:rPr>
                <w:rFonts w:ascii="Times New Roman" w:hAnsi="Times New Roman" w:eastAsia="宋体" w:cs="Times New Roman"/>
                <w:color w:val="auto"/>
                <w:szCs w:val="21"/>
              </w:rPr>
            </w:pPr>
          </w:p>
        </w:tc>
        <w:tc>
          <w:tcPr>
            <w:tcW w:w="1559" w:type="dxa"/>
            <w:vAlign w:val="center"/>
          </w:tcPr>
          <w:p w14:paraId="35108391">
            <w:pPr>
              <w:jc w:val="center"/>
              <w:rPr>
                <w:rFonts w:ascii="Times New Roman" w:hAnsi="Times New Roman" w:eastAsia="宋体" w:cs="Times New Roman"/>
                <w:color w:val="auto"/>
                <w:szCs w:val="21"/>
              </w:rPr>
            </w:pPr>
          </w:p>
        </w:tc>
        <w:tc>
          <w:tcPr>
            <w:tcW w:w="1560" w:type="dxa"/>
            <w:vAlign w:val="center"/>
          </w:tcPr>
          <w:p w14:paraId="397A9047">
            <w:pPr>
              <w:jc w:val="center"/>
              <w:rPr>
                <w:rFonts w:ascii="Times New Roman" w:hAnsi="Times New Roman" w:eastAsia="宋体" w:cs="Times New Roman"/>
                <w:color w:val="auto"/>
                <w:szCs w:val="21"/>
              </w:rPr>
            </w:pPr>
          </w:p>
        </w:tc>
        <w:tc>
          <w:tcPr>
            <w:tcW w:w="1560" w:type="dxa"/>
            <w:vAlign w:val="center"/>
          </w:tcPr>
          <w:p w14:paraId="729E956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bCs/>
                <w:color w:val="auto"/>
                <w:szCs w:val="21"/>
              </w:rPr>
              <w:t>t/a</w:t>
            </w:r>
          </w:p>
        </w:tc>
        <w:tc>
          <w:tcPr>
            <w:tcW w:w="1560" w:type="dxa"/>
            <w:vAlign w:val="center"/>
          </w:tcPr>
          <w:p w14:paraId="43346F4E">
            <w:pPr>
              <w:jc w:val="center"/>
              <w:rPr>
                <w:rFonts w:ascii="Times New Roman" w:hAnsi="Times New Roman" w:eastAsia="宋体" w:cs="Times New Roman"/>
                <w:color w:val="auto"/>
                <w:szCs w:val="21"/>
              </w:rPr>
            </w:pPr>
          </w:p>
        </w:tc>
        <w:tc>
          <w:tcPr>
            <w:tcW w:w="1560" w:type="dxa"/>
            <w:vAlign w:val="center"/>
          </w:tcPr>
          <w:p w14:paraId="146A1A1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bCs/>
                <w:color w:val="auto"/>
                <w:szCs w:val="21"/>
              </w:rPr>
              <w:t>t/a</w:t>
            </w:r>
          </w:p>
        </w:tc>
        <w:tc>
          <w:tcPr>
            <w:tcW w:w="1560" w:type="dxa"/>
            <w:vAlign w:val="center"/>
          </w:tcPr>
          <w:p w14:paraId="6A4FB8E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bCs/>
                <w:color w:val="auto"/>
                <w:szCs w:val="21"/>
              </w:rPr>
              <w:t>t/a</w:t>
            </w:r>
          </w:p>
        </w:tc>
      </w:tr>
      <w:tr w14:paraId="63AC6AB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restart"/>
            <w:vAlign w:val="center"/>
          </w:tcPr>
          <w:p w14:paraId="7234E9F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一般工业固体废物</w:t>
            </w:r>
          </w:p>
        </w:tc>
        <w:tc>
          <w:tcPr>
            <w:tcW w:w="1557" w:type="dxa"/>
            <w:vAlign w:val="center"/>
          </w:tcPr>
          <w:p w14:paraId="7D5B9778">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栅渣</w:t>
            </w:r>
          </w:p>
        </w:tc>
        <w:tc>
          <w:tcPr>
            <w:tcW w:w="1559" w:type="dxa"/>
            <w:vAlign w:val="center"/>
          </w:tcPr>
          <w:p w14:paraId="143AACF8">
            <w:pPr>
              <w:jc w:val="center"/>
              <w:rPr>
                <w:rFonts w:ascii="Times New Roman" w:hAnsi="Times New Roman" w:eastAsia="宋体" w:cs="Times New Roman"/>
                <w:color w:val="auto"/>
                <w:szCs w:val="21"/>
              </w:rPr>
            </w:pPr>
          </w:p>
        </w:tc>
        <w:tc>
          <w:tcPr>
            <w:tcW w:w="1559" w:type="dxa"/>
            <w:vAlign w:val="center"/>
          </w:tcPr>
          <w:p w14:paraId="24C33446">
            <w:pPr>
              <w:jc w:val="center"/>
              <w:rPr>
                <w:rFonts w:ascii="Times New Roman" w:hAnsi="Times New Roman" w:eastAsia="宋体" w:cs="Times New Roman"/>
                <w:color w:val="auto"/>
                <w:szCs w:val="21"/>
              </w:rPr>
            </w:pPr>
          </w:p>
        </w:tc>
        <w:tc>
          <w:tcPr>
            <w:tcW w:w="1560" w:type="dxa"/>
            <w:vAlign w:val="center"/>
          </w:tcPr>
          <w:p w14:paraId="2F345FFC">
            <w:pPr>
              <w:jc w:val="center"/>
              <w:rPr>
                <w:rFonts w:ascii="Times New Roman" w:hAnsi="Times New Roman" w:eastAsia="宋体" w:cs="Times New Roman"/>
                <w:color w:val="auto"/>
                <w:szCs w:val="21"/>
              </w:rPr>
            </w:pPr>
          </w:p>
        </w:tc>
        <w:tc>
          <w:tcPr>
            <w:tcW w:w="1560" w:type="dxa"/>
            <w:vAlign w:val="center"/>
          </w:tcPr>
          <w:p w14:paraId="6016A29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23.36</w:t>
            </w:r>
            <w:r>
              <w:rPr>
                <w:rFonts w:ascii="Times New Roman" w:hAnsi="Times New Roman" w:eastAsia="宋体" w:cs="Times New Roman"/>
                <w:color w:val="auto"/>
                <w:szCs w:val="21"/>
              </w:rPr>
              <w:t>t/a</w:t>
            </w:r>
          </w:p>
        </w:tc>
        <w:tc>
          <w:tcPr>
            <w:tcW w:w="1560" w:type="dxa"/>
            <w:vAlign w:val="center"/>
          </w:tcPr>
          <w:p w14:paraId="7FF3BF4C">
            <w:pPr>
              <w:jc w:val="center"/>
              <w:rPr>
                <w:rFonts w:ascii="Times New Roman" w:hAnsi="Times New Roman" w:eastAsia="宋体" w:cs="Times New Roman"/>
                <w:color w:val="auto"/>
                <w:szCs w:val="21"/>
              </w:rPr>
            </w:pPr>
          </w:p>
        </w:tc>
        <w:tc>
          <w:tcPr>
            <w:tcW w:w="1560" w:type="dxa"/>
            <w:vAlign w:val="center"/>
          </w:tcPr>
          <w:p w14:paraId="63793FD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23.36</w:t>
            </w:r>
            <w:r>
              <w:rPr>
                <w:rFonts w:ascii="Times New Roman" w:hAnsi="Times New Roman" w:eastAsia="宋体" w:cs="Times New Roman"/>
                <w:color w:val="auto"/>
                <w:szCs w:val="21"/>
              </w:rPr>
              <w:t>t/a</w:t>
            </w:r>
          </w:p>
        </w:tc>
        <w:tc>
          <w:tcPr>
            <w:tcW w:w="1560" w:type="dxa"/>
            <w:vAlign w:val="center"/>
          </w:tcPr>
          <w:p w14:paraId="67CC79D6">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23.36</w:t>
            </w:r>
            <w:r>
              <w:rPr>
                <w:rFonts w:ascii="Times New Roman" w:hAnsi="Times New Roman" w:eastAsia="宋体" w:cs="Times New Roman"/>
                <w:color w:val="auto"/>
                <w:szCs w:val="21"/>
              </w:rPr>
              <w:t>t/a</w:t>
            </w:r>
          </w:p>
        </w:tc>
      </w:tr>
      <w:tr w14:paraId="117CA0D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continue"/>
            <w:vAlign w:val="center"/>
          </w:tcPr>
          <w:p w14:paraId="159E6F81">
            <w:pPr>
              <w:jc w:val="center"/>
              <w:rPr>
                <w:rFonts w:ascii="Times New Roman" w:hAnsi="Times New Roman" w:eastAsia="宋体" w:cs="Times New Roman"/>
                <w:color w:val="auto"/>
                <w:szCs w:val="21"/>
              </w:rPr>
            </w:pPr>
          </w:p>
        </w:tc>
        <w:tc>
          <w:tcPr>
            <w:tcW w:w="1557" w:type="dxa"/>
            <w:vAlign w:val="center"/>
          </w:tcPr>
          <w:p w14:paraId="7FA9744E">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沉渣</w:t>
            </w:r>
          </w:p>
        </w:tc>
        <w:tc>
          <w:tcPr>
            <w:tcW w:w="1559" w:type="dxa"/>
            <w:vAlign w:val="center"/>
          </w:tcPr>
          <w:p w14:paraId="7F4889DF">
            <w:pPr>
              <w:jc w:val="center"/>
              <w:rPr>
                <w:rFonts w:ascii="Times New Roman" w:hAnsi="Times New Roman" w:eastAsia="宋体" w:cs="Times New Roman"/>
                <w:color w:val="auto"/>
                <w:szCs w:val="21"/>
              </w:rPr>
            </w:pPr>
          </w:p>
        </w:tc>
        <w:tc>
          <w:tcPr>
            <w:tcW w:w="1559" w:type="dxa"/>
            <w:vAlign w:val="center"/>
          </w:tcPr>
          <w:p w14:paraId="4F963A46">
            <w:pPr>
              <w:jc w:val="center"/>
              <w:rPr>
                <w:rFonts w:ascii="Times New Roman" w:hAnsi="Times New Roman" w:eastAsia="宋体" w:cs="Times New Roman"/>
                <w:color w:val="auto"/>
                <w:szCs w:val="21"/>
              </w:rPr>
            </w:pPr>
          </w:p>
        </w:tc>
        <w:tc>
          <w:tcPr>
            <w:tcW w:w="1560" w:type="dxa"/>
            <w:vAlign w:val="center"/>
          </w:tcPr>
          <w:p w14:paraId="5FD7A558">
            <w:pPr>
              <w:jc w:val="center"/>
              <w:rPr>
                <w:rFonts w:ascii="Times New Roman" w:hAnsi="Times New Roman" w:eastAsia="宋体" w:cs="Times New Roman"/>
                <w:color w:val="auto"/>
                <w:szCs w:val="21"/>
              </w:rPr>
            </w:pPr>
          </w:p>
        </w:tc>
        <w:tc>
          <w:tcPr>
            <w:tcW w:w="1560" w:type="dxa"/>
            <w:vAlign w:val="center"/>
          </w:tcPr>
          <w:p w14:paraId="4F953BB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13.14</w:t>
            </w:r>
            <w:r>
              <w:rPr>
                <w:rFonts w:ascii="Times New Roman" w:hAnsi="Times New Roman" w:eastAsia="宋体" w:cs="Times New Roman"/>
                <w:color w:val="auto"/>
                <w:szCs w:val="21"/>
              </w:rPr>
              <w:t>t/a</w:t>
            </w:r>
          </w:p>
        </w:tc>
        <w:tc>
          <w:tcPr>
            <w:tcW w:w="1560" w:type="dxa"/>
            <w:vAlign w:val="center"/>
          </w:tcPr>
          <w:p w14:paraId="66519322">
            <w:pPr>
              <w:jc w:val="center"/>
              <w:rPr>
                <w:rFonts w:ascii="Times New Roman" w:hAnsi="Times New Roman" w:eastAsia="宋体" w:cs="Times New Roman"/>
                <w:color w:val="auto"/>
                <w:szCs w:val="21"/>
              </w:rPr>
            </w:pPr>
          </w:p>
        </w:tc>
        <w:tc>
          <w:tcPr>
            <w:tcW w:w="1560" w:type="dxa"/>
            <w:vAlign w:val="center"/>
          </w:tcPr>
          <w:p w14:paraId="5785F36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13.14</w:t>
            </w:r>
            <w:r>
              <w:rPr>
                <w:rFonts w:ascii="Times New Roman" w:hAnsi="Times New Roman" w:eastAsia="宋体" w:cs="Times New Roman"/>
                <w:color w:val="auto"/>
                <w:szCs w:val="21"/>
              </w:rPr>
              <w:t>t/a</w:t>
            </w:r>
          </w:p>
        </w:tc>
        <w:tc>
          <w:tcPr>
            <w:tcW w:w="1560" w:type="dxa"/>
            <w:vAlign w:val="center"/>
          </w:tcPr>
          <w:p w14:paraId="67AD8020">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13.14</w:t>
            </w:r>
            <w:r>
              <w:rPr>
                <w:rFonts w:ascii="Times New Roman" w:hAnsi="Times New Roman" w:eastAsia="宋体" w:cs="Times New Roman"/>
                <w:color w:val="auto"/>
                <w:szCs w:val="21"/>
              </w:rPr>
              <w:t>t/a</w:t>
            </w:r>
          </w:p>
        </w:tc>
      </w:tr>
      <w:tr w14:paraId="0FA0144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continue"/>
            <w:vAlign w:val="center"/>
          </w:tcPr>
          <w:p w14:paraId="6E521715">
            <w:pPr>
              <w:jc w:val="center"/>
              <w:rPr>
                <w:rFonts w:ascii="Times New Roman" w:hAnsi="Times New Roman" w:eastAsia="宋体" w:cs="Times New Roman"/>
                <w:color w:val="auto"/>
                <w:szCs w:val="21"/>
              </w:rPr>
            </w:pPr>
          </w:p>
        </w:tc>
        <w:tc>
          <w:tcPr>
            <w:tcW w:w="1557" w:type="dxa"/>
            <w:vAlign w:val="center"/>
          </w:tcPr>
          <w:p w14:paraId="203C58A1">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污泥</w:t>
            </w:r>
          </w:p>
        </w:tc>
        <w:tc>
          <w:tcPr>
            <w:tcW w:w="1559" w:type="dxa"/>
            <w:vAlign w:val="center"/>
          </w:tcPr>
          <w:p w14:paraId="03855066">
            <w:pPr>
              <w:jc w:val="center"/>
              <w:rPr>
                <w:rFonts w:ascii="Times New Roman" w:hAnsi="Times New Roman" w:eastAsia="宋体" w:cs="Times New Roman"/>
                <w:color w:val="auto"/>
                <w:szCs w:val="21"/>
              </w:rPr>
            </w:pPr>
          </w:p>
        </w:tc>
        <w:tc>
          <w:tcPr>
            <w:tcW w:w="1559" w:type="dxa"/>
            <w:vAlign w:val="center"/>
          </w:tcPr>
          <w:p w14:paraId="40EF5926">
            <w:pPr>
              <w:jc w:val="center"/>
              <w:rPr>
                <w:rFonts w:ascii="Times New Roman" w:hAnsi="Times New Roman" w:eastAsia="宋体" w:cs="Times New Roman"/>
                <w:color w:val="auto"/>
                <w:szCs w:val="21"/>
              </w:rPr>
            </w:pPr>
          </w:p>
        </w:tc>
        <w:tc>
          <w:tcPr>
            <w:tcW w:w="1560" w:type="dxa"/>
            <w:vAlign w:val="center"/>
          </w:tcPr>
          <w:p w14:paraId="285C66C2">
            <w:pPr>
              <w:jc w:val="center"/>
              <w:rPr>
                <w:rFonts w:ascii="Times New Roman" w:hAnsi="Times New Roman" w:eastAsia="宋体" w:cs="Times New Roman"/>
                <w:color w:val="auto"/>
                <w:szCs w:val="21"/>
              </w:rPr>
            </w:pPr>
          </w:p>
        </w:tc>
        <w:tc>
          <w:tcPr>
            <w:tcW w:w="1560" w:type="dxa"/>
            <w:vAlign w:val="center"/>
          </w:tcPr>
          <w:p w14:paraId="0693A4D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93.99</w:t>
            </w:r>
            <w:r>
              <w:rPr>
                <w:rFonts w:ascii="Times New Roman" w:hAnsi="Times New Roman" w:eastAsia="宋体" w:cs="Times New Roman"/>
                <w:color w:val="auto"/>
                <w:szCs w:val="21"/>
              </w:rPr>
              <w:t>t/a</w:t>
            </w:r>
          </w:p>
        </w:tc>
        <w:tc>
          <w:tcPr>
            <w:tcW w:w="1560" w:type="dxa"/>
            <w:vAlign w:val="center"/>
          </w:tcPr>
          <w:p w14:paraId="0FBCC4CF">
            <w:pPr>
              <w:jc w:val="center"/>
              <w:rPr>
                <w:rFonts w:ascii="Times New Roman" w:hAnsi="Times New Roman" w:eastAsia="宋体" w:cs="Times New Roman"/>
                <w:color w:val="auto"/>
                <w:szCs w:val="21"/>
              </w:rPr>
            </w:pPr>
          </w:p>
        </w:tc>
        <w:tc>
          <w:tcPr>
            <w:tcW w:w="1560" w:type="dxa"/>
            <w:vAlign w:val="center"/>
          </w:tcPr>
          <w:p w14:paraId="6C44F7D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93.99</w:t>
            </w:r>
            <w:r>
              <w:rPr>
                <w:rFonts w:ascii="Times New Roman" w:hAnsi="Times New Roman" w:eastAsia="宋体" w:cs="Times New Roman"/>
                <w:color w:val="auto"/>
                <w:szCs w:val="21"/>
              </w:rPr>
              <w:t>t/a</w:t>
            </w:r>
          </w:p>
        </w:tc>
        <w:tc>
          <w:tcPr>
            <w:tcW w:w="1560" w:type="dxa"/>
            <w:vAlign w:val="center"/>
          </w:tcPr>
          <w:p w14:paraId="23F9DC8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+93.99</w:t>
            </w:r>
            <w:r>
              <w:rPr>
                <w:rFonts w:ascii="Times New Roman" w:hAnsi="Times New Roman" w:eastAsia="宋体" w:cs="Times New Roman"/>
                <w:color w:val="auto"/>
                <w:szCs w:val="21"/>
              </w:rPr>
              <w:t>t/a</w:t>
            </w:r>
          </w:p>
        </w:tc>
      </w:tr>
      <w:tr w14:paraId="514A393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7" w:type="dxa"/>
            <w:vMerge w:val="continue"/>
            <w:vAlign w:val="center"/>
          </w:tcPr>
          <w:p w14:paraId="0B258C0F">
            <w:pPr>
              <w:jc w:val="center"/>
              <w:rPr>
                <w:rFonts w:ascii="Times New Roman" w:hAnsi="Times New Roman" w:eastAsia="宋体" w:cs="Times New Roman"/>
                <w:color w:val="auto"/>
                <w:szCs w:val="21"/>
              </w:rPr>
            </w:pPr>
          </w:p>
        </w:tc>
        <w:tc>
          <w:tcPr>
            <w:tcW w:w="1557" w:type="dxa"/>
            <w:vAlign w:val="center"/>
          </w:tcPr>
          <w:p w14:paraId="268895BD">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生活垃圾</w:t>
            </w:r>
          </w:p>
        </w:tc>
        <w:tc>
          <w:tcPr>
            <w:tcW w:w="1559" w:type="dxa"/>
            <w:vAlign w:val="center"/>
          </w:tcPr>
          <w:p w14:paraId="5BB1FE4F">
            <w:pPr>
              <w:jc w:val="center"/>
              <w:rPr>
                <w:rFonts w:ascii="Times New Roman" w:hAnsi="Times New Roman" w:eastAsia="宋体" w:cs="Times New Roman"/>
                <w:color w:val="auto"/>
                <w:szCs w:val="21"/>
              </w:rPr>
            </w:pPr>
          </w:p>
        </w:tc>
        <w:tc>
          <w:tcPr>
            <w:tcW w:w="1559" w:type="dxa"/>
            <w:vAlign w:val="center"/>
          </w:tcPr>
          <w:p w14:paraId="2DBE6997">
            <w:pPr>
              <w:jc w:val="center"/>
              <w:rPr>
                <w:rFonts w:ascii="Times New Roman" w:hAnsi="Times New Roman" w:eastAsia="宋体" w:cs="Times New Roman"/>
                <w:color w:val="auto"/>
                <w:szCs w:val="21"/>
              </w:rPr>
            </w:pPr>
          </w:p>
        </w:tc>
        <w:tc>
          <w:tcPr>
            <w:tcW w:w="1560" w:type="dxa"/>
            <w:vAlign w:val="center"/>
          </w:tcPr>
          <w:p w14:paraId="6FE9DDF3">
            <w:pPr>
              <w:jc w:val="center"/>
              <w:rPr>
                <w:rFonts w:ascii="Times New Roman" w:hAnsi="Times New Roman" w:eastAsia="宋体" w:cs="Times New Roman"/>
                <w:color w:val="auto"/>
                <w:szCs w:val="21"/>
              </w:rPr>
            </w:pPr>
          </w:p>
        </w:tc>
        <w:tc>
          <w:tcPr>
            <w:tcW w:w="1560" w:type="dxa"/>
            <w:vAlign w:val="center"/>
          </w:tcPr>
          <w:p w14:paraId="680731A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1.095</w:t>
            </w:r>
            <w:r>
              <w:rPr>
                <w:rFonts w:ascii="Times New Roman" w:hAnsi="Times New Roman" w:eastAsia="宋体" w:cs="Times New Roman"/>
                <w:color w:val="auto"/>
                <w:szCs w:val="21"/>
              </w:rPr>
              <w:t>t/a</w:t>
            </w:r>
          </w:p>
        </w:tc>
        <w:tc>
          <w:tcPr>
            <w:tcW w:w="1560" w:type="dxa"/>
            <w:vAlign w:val="center"/>
          </w:tcPr>
          <w:p w14:paraId="1C9183A2">
            <w:pPr>
              <w:jc w:val="center"/>
              <w:rPr>
                <w:rFonts w:ascii="Times New Roman" w:hAnsi="Times New Roman" w:eastAsia="宋体" w:cs="Times New Roman"/>
                <w:color w:val="auto"/>
                <w:szCs w:val="21"/>
              </w:rPr>
            </w:pPr>
          </w:p>
        </w:tc>
        <w:tc>
          <w:tcPr>
            <w:tcW w:w="1560" w:type="dxa"/>
            <w:vAlign w:val="center"/>
          </w:tcPr>
          <w:p w14:paraId="3B33AC8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1.095</w:t>
            </w:r>
            <w:r>
              <w:rPr>
                <w:rFonts w:ascii="Times New Roman" w:hAnsi="Times New Roman" w:eastAsia="宋体" w:cs="Times New Roman"/>
                <w:color w:val="auto"/>
                <w:szCs w:val="21"/>
              </w:rPr>
              <w:t>t/a</w:t>
            </w:r>
          </w:p>
        </w:tc>
        <w:tc>
          <w:tcPr>
            <w:tcW w:w="1560" w:type="dxa"/>
            <w:vAlign w:val="center"/>
          </w:tcPr>
          <w:p w14:paraId="3C35A4E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+1.095</w:t>
            </w:r>
            <w:r>
              <w:rPr>
                <w:rFonts w:ascii="Times New Roman" w:hAnsi="Times New Roman" w:eastAsia="宋体" w:cs="Times New Roman"/>
                <w:color w:val="auto"/>
                <w:szCs w:val="21"/>
              </w:rPr>
              <w:t>t/a</w:t>
            </w:r>
          </w:p>
        </w:tc>
      </w:tr>
      <w:tr w14:paraId="6D6FF20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restart"/>
            <w:vAlign w:val="center"/>
          </w:tcPr>
          <w:p w14:paraId="098DD5A3">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危险废物</w:t>
            </w:r>
          </w:p>
        </w:tc>
        <w:tc>
          <w:tcPr>
            <w:tcW w:w="1557" w:type="dxa"/>
            <w:vAlign w:val="center"/>
          </w:tcPr>
          <w:p w14:paraId="0017D7F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废矿物油</w:t>
            </w:r>
          </w:p>
        </w:tc>
        <w:tc>
          <w:tcPr>
            <w:tcW w:w="1559" w:type="dxa"/>
            <w:vAlign w:val="center"/>
          </w:tcPr>
          <w:p w14:paraId="3EA68034">
            <w:pPr>
              <w:jc w:val="center"/>
              <w:rPr>
                <w:rFonts w:ascii="Times New Roman" w:hAnsi="Times New Roman" w:eastAsia="宋体" w:cs="Times New Roman"/>
                <w:color w:val="auto"/>
                <w:kern w:val="2"/>
                <w:sz w:val="21"/>
                <w:szCs w:val="21"/>
                <w:lang w:val="en-US" w:eastAsia="zh-CN" w:bidi="ar-SA"/>
              </w:rPr>
            </w:pPr>
          </w:p>
        </w:tc>
        <w:tc>
          <w:tcPr>
            <w:tcW w:w="1559" w:type="dxa"/>
            <w:vAlign w:val="center"/>
          </w:tcPr>
          <w:p w14:paraId="2E199FE0">
            <w:pPr>
              <w:jc w:val="center"/>
              <w:rPr>
                <w:rFonts w:ascii="Times New Roman" w:hAnsi="Times New Roman" w:eastAsia="宋体" w:cs="Times New Roman"/>
                <w:color w:val="auto"/>
                <w:kern w:val="2"/>
                <w:sz w:val="21"/>
                <w:szCs w:val="21"/>
                <w:lang w:val="en-US" w:eastAsia="zh-CN" w:bidi="ar-SA"/>
              </w:rPr>
            </w:pPr>
          </w:p>
        </w:tc>
        <w:tc>
          <w:tcPr>
            <w:tcW w:w="1560" w:type="dxa"/>
            <w:vAlign w:val="center"/>
          </w:tcPr>
          <w:p w14:paraId="57CFB7BF">
            <w:pPr>
              <w:jc w:val="center"/>
              <w:rPr>
                <w:rFonts w:ascii="Times New Roman" w:hAnsi="Times New Roman" w:eastAsia="宋体" w:cs="Times New Roman"/>
                <w:color w:val="auto"/>
                <w:kern w:val="2"/>
                <w:sz w:val="21"/>
                <w:szCs w:val="21"/>
                <w:lang w:val="en-US" w:eastAsia="zh-CN" w:bidi="ar-SA"/>
              </w:rPr>
            </w:pPr>
          </w:p>
        </w:tc>
        <w:tc>
          <w:tcPr>
            <w:tcW w:w="1560" w:type="dxa"/>
            <w:vAlign w:val="center"/>
          </w:tcPr>
          <w:p w14:paraId="21EA7BB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0.5t/a</w:t>
            </w:r>
          </w:p>
        </w:tc>
        <w:tc>
          <w:tcPr>
            <w:tcW w:w="1560" w:type="dxa"/>
            <w:vAlign w:val="center"/>
          </w:tcPr>
          <w:p w14:paraId="00CB9C99">
            <w:pPr>
              <w:jc w:val="center"/>
              <w:rPr>
                <w:rFonts w:ascii="Times New Roman" w:hAnsi="Times New Roman" w:eastAsia="宋体" w:cs="Times New Roman"/>
                <w:color w:val="auto"/>
                <w:kern w:val="2"/>
                <w:sz w:val="21"/>
                <w:szCs w:val="21"/>
                <w:lang w:val="en-US" w:eastAsia="zh-CN" w:bidi="ar-SA"/>
              </w:rPr>
            </w:pPr>
          </w:p>
        </w:tc>
        <w:tc>
          <w:tcPr>
            <w:tcW w:w="1560" w:type="dxa"/>
            <w:vAlign w:val="center"/>
          </w:tcPr>
          <w:p w14:paraId="50125C6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0.5t/a</w:t>
            </w:r>
          </w:p>
        </w:tc>
        <w:tc>
          <w:tcPr>
            <w:tcW w:w="1560" w:type="dxa"/>
            <w:vAlign w:val="center"/>
          </w:tcPr>
          <w:p w14:paraId="3FFFF72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+0.5t/a</w:t>
            </w:r>
          </w:p>
        </w:tc>
      </w:tr>
      <w:tr w14:paraId="56F52BA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7" w:type="dxa"/>
            <w:vMerge w:val="continue"/>
            <w:vAlign w:val="center"/>
          </w:tcPr>
          <w:p w14:paraId="0D261B97">
            <w:pPr>
              <w:jc w:val="center"/>
              <w:rPr>
                <w:rFonts w:hint="eastAsia" w:ascii="Times New Roman" w:hAnsi="Times New Roman" w:eastAsia="宋体" w:cs="Times New Roman"/>
                <w:color w:val="auto"/>
                <w:szCs w:val="21"/>
                <w:lang w:eastAsia="zh-CN"/>
              </w:rPr>
            </w:pPr>
          </w:p>
        </w:tc>
        <w:tc>
          <w:tcPr>
            <w:tcW w:w="1557" w:type="dxa"/>
            <w:vAlign w:val="center"/>
          </w:tcPr>
          <w:p w14:paraId="1312218C">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监测废液</w:t>
            </w:r>
          </w:p>
        </w:tc>
        <w:tc>
          <w:tcPr>
            <w:tcW w:w="1559" w:type="dxa"/>
            <w:vAlign w:val="center"/>
          </w:tcPr>
          <w:p w14:paraId="38373943">
            <w:pPr>
              <w:jc w:val="center"/>
              <w:rPr>
                <w:rFonts w:ascii="Times New Roman" w:hAnsi="Times New Roman" w:eastAsia="宋体" w:cs="Times New Roman"/>
                <w:color w:val="auto"/>
                <w:kern w:val="2"/>
                <w:sz w:val="21"/>
                <w:szCs w:val="21"/>
                <w:lang w:val="en-US" w:eastAsia="zh-CN" w:bidi="ar-SA"/>
              </w:rPr>
            </w:pPr>
          </w:p>
        </w:tc>
        <w:tc>
          <w:tcPr>
            <w:tcW w:w="1559" w:type="dxa"/>
            <w:vAlign w:val="center"/>
          </w:tcPr>
          <w:p w14:paraId="05F7355B">
            <w:pPr>
              <w:jc w:val="center"/>
              <w:rPr>
                <w:rFonts w:ascii="Times New Roman" w:hAnsi="Times New Roman" w:eastAsia="宋体" w:cs="Times New Roman"/>
                <w:color w:val="auto"/>
                <w:kern w:val="2"/>
                <w:sz w:val="21"/>
                <w:szCs w:val="21"/>
                <w:lang w:val="en-US" w:eastAsia="zh-CN" w:bidi="ar-SA"/>
              </w:rPr>
            </w:pPr>
          </w:p>
        </w:tc>
        <w:tc>
          <w:tcPr>
            <w:tcW w:w="1560" w:type="dxa"/>
            <w:vAlign w:val="center"/>
          </w:tcPr>
          <w:p w14:paraId="650FC3C7">
            <w:pPr>
              <w:jc w:val="center"/>
              <w:rPr>
                <w:rFonts w:ascii="Times New Roman" w:hAnsi="Times New Roman" w:eastAsia="宋体" w:cs="Times New Roman"/>
                <w:color w:val="auto"/>
                <w:kern w:val="2"/>
                <w:sz w:val="21"/>
                <w:szCs w:val="21"/>
                <w:lang w:val="en-US" w:eastAsia="zh-CN" w:bidi="ar-SA"/>
              </w:rPr>
            </w:pPr>
          </w:p>
        </w:tc>
        <w:tc>
          <w:tcPr>
            <w:tcW w:w="1560" w:type="dxa"/>
            <w:vAlign w:val="center"/>
          </w:tcPr>
          <w:p w14:paraId="3C37802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0.36t/a</w:t>
            </w:r>
          </w:p>
        </w:tc>
        <w:tc>
          <w:tcPr>
            <w:tcW w:w="1560" w:type="dxa"/>
            <w:vAlign w:val="center"/>
          </w:tcPr>
          <w:p w14:paraId="392954DF">
            <w:pPr>
              <w:jc w:val="center"/>
              <w:rPr>
                <w:rFonts w:ascii="Times New Roman" w:hAnsi="Times New Roman" w:eastAsia="宋体" w:cs="Times New Roman"/>
                <w:color w:val="auto"/>
                <w:kern w:val="2"/>
                <w:sz w:val="21"/>
                <w:szCs w:val="21"/>
                <w:lang w:val="en-US" w:eastAsia="zh-CN" w:bidi="ar-SA"/>
              </w:rPr>
            </w:pPr>
          </w:p>
        </w:tc>
        <w:tc>
          <w:tcPr>
            <w:tcW w:w="1560" w:type="dxa"/>
            <w:vAlign w:val="center"/>
          </w:tcPr>
          <w:p w14:paraId="260A5FA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0.36t/a</w:t>
            </w:r>
          </w:p>
        </w:tc>
        <w:tc>
          <w:tcPr>
            <w:tcW w:w="1560" w:type="dxa"/>
            <w:vAlign w:val="center"/>
          </w:tcPr>
          <w:p w14:paraId="3B2E4D05">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+0.36t/a</w:t>
            </w:r>
          </w:p>
        </w:tc>
      </w:tr>
    </w:tbl>
    <w:p w14:paraId="7EC2BFA1">
      <w:pPr>
        <w:rPr>
          <w:rFonts w:ascii="Times New Roman" w:hAnsi="Times New Roman" w:eastAsia="宋体" w:cs="Times New Roman"/>
          <w:color w:val="auto"/>
          <w:sz w:val="24"/>
          <w:szCs w:val="28"/>
        </w:rPr>
      </w:pPr>
      <w:r>
        <w:rPr>
          <w:rFonts w:ascii="Times New Roman" w:hAnsi="Times New Roman" w:eastAsia="宋体" w:cs="Times New Roman"/>
          <w:color w:val="auto"/>
          <w:sz w:val="24"/>
          <w:szCs w:val="28"/>
        </w:rPr>
        <w:t>注：</w:t>
      </w:r>
      <w:r>
        <w:rPr>
          <w:rFonts w:hint="eastAsia" w:ascii="宋体" w:hAnsi="宋体" w:eastAsia="宋体" w:cs="宋体"/>
          <w:color w:val="auto"/>
          <w:sz w:val="24"/>
          <w:szCs w:val="28"/>
        </w:rPr>
        <w:t>⑥</w:t>
      </w:r>
      <w:r>
        <w:rPr>
          <w:rFonts w:ascii="Times New Roman" w:hAnsi="Times New Roman" w:eastAsia="宋体" w:cs="Times New Roman"/>
          <w:color w:val="auto"/>
          <w:sz w:val="24"/>
          <w:szCs w:val="28"/>
        </w:rPr>
        <w:t>=</w:t>
      </w:r>
      <w:r>
        <w:rPr>
          <w:rFonts w:hint="eastAsia" w:ascii="宋体" w:hAnsi="宋体" w:eastAsia="宋体" w:cs="宋体"/>
          <w:color w:val="auto"/>
          <w:sz w:val="24"/>
          <w:szCs w:val="28"/>
        </w:rPr>
        <w:t>①</w:t>
      </w:r>
      <w:r>
        <w:rPr>
          <w:rFonts w:ascii="Times New Roman" w:hAnsi="Times New Roman" w:eastAsia="宋体" w:cs="Times New Roman"/>
          <w:color w:val="auto"/>
          <w:sz w:val="24"/>
          <w:szCs w:val="28"/>
        </w:rPr>
        <w:t>+</w:t>
      </w:r>
      <w:r>
        <w:rPr>
          <w:rFonts w:hint="eastAsia" w:ascii="宋体" w:hAnsi="宋体" w:eastAsia="宋体" w:cs="宋体"/>
          <w:color w:val="auto"/>
          <w:sz w:val="24"/>
          <w:szCs w:val="28"/>
        </w:rPr>
        <w:t>②</w:t>
      </w:r>
      <w:r>
        <w:rPr>
          <w:rFonts w:ascii="Times New Roman" w:hAnsi="Times New Roman" w:eastAsia="宋体" w:cs="Times New Roman"/>
          <w:color w:val="auto"/>
          <w:sz w:val="24"/>
          <w:szCs w:val="28"/>
        </w:rPr>
        <w:t>+</w:t>
      </w:r>
      <w:r>
        <w:rPr>
          <w:rFonts w:hint="eastAsia" w:ascii="宋体" w:hAnsi="宋体" w:eastAsia="宋体" w:cs="宋体"/>
          <w:color w:val="auto"/>
          <w:sz w:val="24"/>
          <w:szCs w:val="28"/>
        </w:rPr>
        <w:t>③</w:t>
      </w:r>
      <w:r>
        <w:rPr>
          <w:rFonts w:ascii="Times New Roman" w:hAnsi="Times New Roman" w:eastAsia="宋体" w:cs="Times New Roman"/>
          <w:color w:val="auto"/>
          <w:sz w:val="24"/>
          <w:szCs w:val="28"/>
        </w:rPr>
        <w:t>+</w:t>
      </w:r>
      <w:r>
        <w:rPr>
          <w:rFonts w:hint="eastAsia" w:ascii="宋体" w:hAnsi="宋体" w:eastAsia="宋体" w:cs="宋体"/>
          <w:color w:val="auto"/>
          <w:sz w:val="24"/>
          <w:szCs w:val="28"/>
        </w:rPr>
        <w:t>④</w:t>
      </w:r>
      <w:r>
        <w:rPr>
          <w:rFonts w:ascii="Times New Roman" w:hAnsi="Times New Roman" w:eastAsia="宋体" w:cs="Times New Roman"/>
          <w:color w:val="auto"/>
          <w:sz w:val="24"/>
          <w:szCs w:val="28"/>
        </w:rPr>
        <w:t>-</w:t>
      </w:r>
      <w:r>
        <w:rPr>
          <w:rFonts w:hint="eastAsia" w:ascii="宋体" w:hAnsi="宋体" w:eastAsia="宋体" w:cs="宋体"/>
          <w:color w:val="auto"/>
          <w:sz w:val="24"/>
          <w:szCs w:val="28"/>
        </w:rPr>
        <w:t>⑤</w:t>
      </w:r>
      <w:r>
        <w:rPr>
          <w:rFonts w:ascii="Times New Roman" w:hAnsi="Times New Roman" w:eastAsia="宋体" w:cs="Times New Roman"/>
          <w:color w:val="auto"/>
          <w:sz w:val="24"/>
          <w:szCs w:val="28"/>
        </w:rPr>
        <w:t>；</w:t>
      </w:r>
      <w:r>
        <w:rPr>
          <w:rFonts w:hint="eastAsia" w:ascii="宋体" w:hAnsi="宋体" w:eastAsia="宋体" w:cs="宋体"/>
          <w:color w:val="auto"/>
          <w:sz w:val="24"/>
          <w:szCs w:val="28"/>
        </w:rPr>
        <w:t>⑦</w:t>
      </w:r>
      <w:r>
        <w:rPr>
          <w:rFonts w:ascii="Times New Roman" w:hAnsi="Times New Roman" w:eastAsia="宋体" w:cs="Times New Roman"/>
          <w:color w:val="auto"/>
          <w:sz w:val="24"/>
          <w:szCs w:val="28"/>
        </w:rPr>
        <w:t>=</w:t>
      </w:r>
      <w:r>
        <w:rPr>
          <w:rFonts w:hint="eastAsia" w:ascii="宋体" w:hAnsi="宋体" w:eastAsia="宋体" w:cs="宋体"/>
          <w:color w:val="auto"/>
          <w:sz w:val="24"/>
          <w:szCs w:val="28"/>
        </w:rPr>
        <w:t>⑥</w:t>
      </w:r>
      <w:r>
        <w:rPr>
          <w:rFonts w:ascii="Times New Roman" w:hAnsi="Times New Roman" w:eastAsia="宋体" w:cs="Times New Roman"/>
          <w:color w:val="auto"/>
          <w:sz w:val="24"/>
          <w:szCs w:val="28"/>
        </w:rPr>
        <w:t>-</w:t>
      </w:r>
      <w:r>
        <w:rPr>
          <w:rFonts w:hint="eastAsia" w:ascii="宋体" w:hAnsi="宋体" w:eastAsia="宋体" w:cs="宋体"/>
          <w:color w:val="auto"/>
          <w:sz w:val="24"/>
          <w:szCs w:val="28"/>
        </w:rPr>
        <w:t>①</w:t>
      </w:r>
    </w:p>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FangSong_GB2312">
    <w:altName w:val="仿宋_GB2312"/>
    <w:panose1 w:val="02010609030101010101"/>
    <w:charset w:val="86"/>
    <w:family w:val="auto"/>
    <w:pitch w:val="default"/>
    <w:sig w:usb0="00000000" w:usb1="0000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8DAD9">
    <w:pPr>
      <w:pStyle w:val="1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default" w:ascii="Times New Roman" w:hAnsi="Times New Roman" w:cs="Times New Roman"/>
                            </w:rPr>
                            <w:id w:val="460387958"/>
                            <w:docPartObj>
                              <w:docPartGallery w:val="autotext"/>
                            </w:docPartObj>
                          </w:sdtPr>
                          <w:sdtEndPr>
                            <w:rPr>
                              <w:rFonts w:hint="default" w:ascii="Times New Roman" w:hAnsi="Times New Roman" w:cs="Times New Roman"/>
                            </w:rPr>
                          </w:sdtEndPr>
                          <w:sdtContent>
                            <w:p w14:paraId="19911919">
                              <w:pPr>
                                <w:pStyle w:val="19"/>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2</w:t>
                              </w:r>
                              <w:r>
                                <w:rPr>
                                  <w:rFonts w:hint="default" w:ascii="Times New Roman" w:hAnsi="Times New Roman" w:cs="Times New Roman"/>
                                </w:rPr>
                                <w:fldChar w:fldCharType="end"/>
                              </w:r>
                            </w:p>
                          </w:sdtContent>
                        </w:sdt>
                        <w:p w14:paraId="0C7103D0">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rPr>
                        <w:rFonts w:hint="default" w:ascii="Times New Roman" w:hAnsi="Times New Roman" w:cs="Times New Roman"/>
                      </w:rPr>
                      <w:id w:val="460387958"/>
                      <w:docPartObj>
                        <w:docPartGallery w:val="autotext"/>
                      </w:docPartObj>
                    </w:sdtPr>
                    <w:sdtEndPr>
                      <w:rPr>
                        <w:rFonts w:hint="default" w:ascii="Times New Roman" w:hAnsi="Times New Roman" w:cs="Times New Roman"/>
                      </w:rPr>
                    </w:sdtEndPr>
                    <w:sdtContent>
                      <w:p w14:paraId="19911919">
                        <w:pPr>
                          <w:pStyle w:val="19"/>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2</w:t>
                        </w:r>
                        <w:r>
                          <w:rPr>
                            <w:rFonts w:hint="default" w:ascii="Times New Roman" w:hAnsi="Times New Roman" w:cs="Times New Roman"/>
                          </w:rPr>
                          <w:fldChar w:fldCharType="end"/>
                        </w:r>
                      </w:p>
                    </w:sdtContent>
                  </w:sdt>
                  <w:p w14:paraId="0C7103D0">
                    <w:pPr>
                      <w:pStyle w:val="19"/>
                    </w:pPr>
                  </w:p>
                </w:txbxContent>
              </v:textbox>
            </v:shape>
          </w:pict>
        </mc:Fallback>
      </mc:AlternateContent>
    </w:r>
  </w:p>
  <w:p w14:paraId="0F7EC54E">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0C3E2">
    <w:pPr>
      <w:pStyle w:val="1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default" w:ascii="Times New Roman" w:hAnsi="Times New Roman" w:cs="Times New Roman"/>
                            </w:rPr>
                            <w:id w:val="147474262"/>
                            <w:docPartObj>
                              <w:docPartGallery w:val="autotext"/>
                            </w:docPartObj>
                          </w:sdtPr>
                          <w:sdtEndPr>
                            <w:rPr>
                              <w:rFonts w:hint="default" w:ascii="Times New Roman" w:hAnsi="Times New Roman" w:cs="Times New Roman"/>
                            </w:rPr>
                          </w:sdtEndPr>
                          <w:sdtContent>
                            <w:p w14:paraId="69C07A1F">
                              <w:pPr>
                                <w:pStyle w:val="19"/>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2</w:t>
                              </w:r>
                              <w:r>
                                <w:rPr>
                                  <w:rFonts w:hint="default" w:ascii="Times New Roman" w:hAnsi="Times New Roman" w:cs="Times New Roman"/>
                                </w:rPr>
                                <w:fldChar w:fldCharType="end"/>
                              </w:r>
                            </w:p>
                          </w:sdtContent>
                        </w:sdt>
                        <w:p w14:paraId="53BFFF26">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rPr>
                        <w:rFonts w:hint="default" w:ascii="Times New Roman" w:hAnsi="Times New Roman" w:cs="Times New Roman"/>
                      </w:rPr>
                      <w:id w:val="147474262"/>
                      <w:docPartObj>
                        <w:docPartGallery w:val="autotext"/>
                      </w:docPartObj>
                    </w:sdtPr>
                    <w:sdtEndPr>
                      <w:rPr>
                        <w:rFonts w:hint="default" w:ascii="Times New Roman" w:hAnsi="Times New Roman" w:cs="Times New Roman"/>
                      </w:rPr>
                    </w:sdtEndPr>
                    <w:sdtContent>
                      <w:p w14:paraId="69C07A1F">
                        <w:pPr>
                          <w:pStyle w:val="19"/>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2</w:t>
                        </w:r>
                        <w:r>
                          <w:rPr>
                            <w:rFonts w:hint="default" w:ascii="Times New Roman" w:hAnsi="Times New Roman" w:cs="Times New Roman"/>
                          </w:rPr>
                          <w:fldChar w:fldCharType="end"/>
                        </w:r>
                      </w:p>
                    </w:sdtContent>
                  </w:sdt>
                  <w:p w14:paraId="53BFFF26">
                    <w:pPr>
                      <w:pStyle w:val="19"/>
                    </w:pPr>
                  </w:p>
                </w:txbxContent>
              </v:textbox>
            </v:shape>
          </w:pict>
        </mc:Fallback>
      </mc:AlternateContent>
    </w:r>
  </w:p>
  <w:p w14:paraId="547EDCED">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E289C"/>
    <w:multiLevelType w:val="singleLevel"/>
    <w:tmpl w:val="ADAE289C"/>
    <w:lvl w:ilvl="0" w:tentative="0">
      <w:start w:val="3"/>
      <w:numFmt w:val="decimal"/>
      <w:suff w:val="nothing"/>
      <w:lvlText w:val="%1、"/>
      <w:lvlJc w:val="left"/>
    </w:lvl>
  </w:abstractNum>
  <w:abstractNum w:abstractNumId="1">
    <w:nsid w:val="D25223B2"/>
    <w:multiLevelType w:val="singleLevel"/>
    <w:tmpl w:val="D25223B2"/>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2">
    <w:nsid w:val="382EFBBC"/>
    <w:multiLevelType w:val="singleLevel"/>
    <w:tmpl w:val="382EFBBC"/>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5ZTgzOTBmODVjYjc5Mzg4ZTM3MDE2ZDA0NDZlYmIifQ=="/>
    <w:docVar w:name="KSO_WPS_MARK_KEY" w:val="bfa1a22e-5f4b-446d-ae5a-2ddea9c5b402"/>
  </w:docVars>
  <w:rsids>
    <w:rsidRoot w:val="00155EA6"/>
    <w:rsid w:val="00004026"/>
    <w:rsid w:val="00007A09"/>
    <w:rsid w:val="00015E1E"/>
    <w:rsid w:val="000229BE"/>
    <w:rsid w:val="00022B95"/>
    <w:rsid w:val="00026D0C"/>
    <w:rsid w:val="00030616"/>
    <w:rsid w:val="000322C7"/>
    <w:rsid w:val="00033D43"/>
    <w:rsid w:val="00043161"/>
    <w:rsid w:val="00045E48"/>
    <w:rsid w:val="000524BD"/>
    <w:rsid w:val="0005286C"/>
    <w:rsid w:val="00060F62"/>
    <w:rsid w:val="00061AD3"/>
    <w:rsid w:val="00065508"/>
    <w:rsid w:val="00095AAC"/>
    <w:rsid w:val="00097E36"/>
    <w:rsid w:val="000A56A5"/>
    <w:rsid w:val="000B1682"/>
    <w:rsid w:val="000C332A"/>
    <w:rsid w:val="000C6D61"/>
    <w:rsid w:val="000D6D73"/>
    <w:rsid w:val="000F321F"/>
    <w:rsid w:val="0010443F"/>
    <w:rsid w:val="001100E6"/>
    <w:rsid w:val="001239E7"/>
    <w:rsid w:val="001252B8"/>
    <w:rsid w:val="00126284"/>
    <w:rsid w:val="0013351B"/>
    <w:rsid w:val="00133883"/>
    <w:rsid w:val="00140842"/>
    <w:rsid w:val="001420BB"/>
    <w:rsid w:val="00143589"/>
    <w:rsid w:val="0014477C"/>
    <w:rsid w:val="00151326"/>
    <w:rsid w:val="00155EA6"/>
    <w:rsid w:val="001576BE"/>
    <w:rsid w:val="00161BC2"/>
    <w:rsid w:val="00162292"/>
    <w:rsid w:val="0016678C"/>
    <w:rsid w:val="00181F2D"/>
    <w:rsid w:val="0018474E"/>
    <w:rsid w:val="00186FD1"/>
    <w:rsid w:val="001973F7"/>
    <w:rsid w:val="001A0449"/>
    <w:rsid w:val="001A64E5"/>
    <w:rsid w:val="001A6797"/>
    <w:rsid w:val="001B2130"/>
    <w:rsid w:val="001B5688"/>
    <w:rsid w:val="001C11F9"/>
    <w:rsid w:val="001D7804"/>
    <w:rsid w:val="001E206F"/>
    <w:rsid w:val="001E7434"/>
    <w:rsid w:val="001F75BB"/>
    <w:rsid w:val="0020622A"/>
    <w:rsid w:val="002342FB"/>
    <w:rsid w:val="0024684F"/>
    <w:rsid w:val="00246993"/>
    <w:rsid w:val="00247F8F"/>
    <w:rsid w:val="00257A10"/>
    <w:rsid w:val="00277C54"/>
    <w:rsid w:val="00287BC3"/>
    <w:rsid w:val="00290FD3"/>
    <w:rsid w:val="00296276"/>
    <w:rsid w:val="002A5DC8"/>
    <w:rsid w:val="002A74DA"/>
    <w:rsid w:val="002B15CC"/>
    <w:rsid w:val="002B3E4D"/>
    <w:rsid w:val="002C689E"/>
    <w:rsid w:val="002D3B18"/>
    <w:rsid w:val="002E4600"/>
    <w:rsid w:val="002E514A"/>
    <w:rsid w:val="002F0A9F"/>
    <w:rsid w:val="0031030E"/>
    <w:rsid w:val="003244A4"/>
    <w:rsid w:val="00330BBB"/>
    <w:rsid w:val="00333D4D"/>
    <w:rsid w:val="003378CD"/>
    <w:rsid w:val="00340D5C"/>
    <w:rsid w:val="003612F0"/>
    <w:rsid w:val="0039724F"/>
    <w:rsid w:val="003A232B"/>
    <w:rsid w:val="003A5453"/>
    <w:rsid w:val="003B4AD8"/>
    <w:rsid w:val="003D1B4C"/>
    <w:rsid w:val="003E34A9"/>
    <w:rsid w:val="003E4EAE"/>
    <w:rsid w:val="003E6857"/>
    <w:rsid w:val="003E7BA9"/>
    <w:rsid w:val="00403249"/>
    <w:rsid w:val="0040521F"/>
    <w:rsid w:val="00413755"/>
    <w:rsid w:val="00416B23"/>
    <w:rsid w:val="00421A98"/>
    <w:rsid w:val="00424FED"/>
    <w:rsid w:val="00430DCE"/>
    <w:rsid w:val="00437CBE"/>
    <w:rsid w:val="0045327D"/>
    <w:rsid w:val="00454E44"/>
    <w:rsid w:val="004562CB"/>
    <w:rsid w:val="00466053"/>
    <w:rsid w:val="004672C4"/>
    <w:rsid w:val="004718A7"/>
    <w:rsid w:val="0047462E"/>
    <w:rsid w:val="00486B49"/>
    <w:rsid w:val="00494A20"/>
    <w:rsid w:val="004961D2"/>
    <w:rsid w:val="004A347A"/>
    <w:rsid w:val="004A3D00"/>
    <w:rsid w:val="004A5C8D"/>
    <w:rsid w:val="004B1167"/>
    <w:rsid w:val="004B47E6"/>
    <w:rsid w:val="004C470B"/>
    <w:rsid w:val="004D3160"/>
    <w:rsid w:val="004D353B"/>
    <w:rsid w:val="004E6FAC"/>
    <w:rsid w:val="004F38C1"/>
    <w:rsid w:val="0052505A"/>
    <w:rsid w:val="00543711"/>
    <w:rsid w:val="0055574D"/>
    <w:rsid w:val="00557BFA"/>
    <w:rsid w:val="005644E6"/>
    <w:rsid w:val="00566165"/>
    <w:rsid w:val="00572609"/>
    <w:rsid w:val="005771F5"/>
    <w:rsid w:val="005774CB"/>
    <w:rsid w:val="00582376"/>
    <w:rsid w:val="00584904"/>
    <w:rsid w:val="005A1219"/>
    <w:rsid w:val="005A4548"/>
    <w:rsid w:val="005A479B"/>
    <w:rsid w:val="005A6E23"/>
    <w:rsid w:val="005C415F"/>
    <w:rsid w:val="005D30B2"/>
    <w:rsid w:val="005D4E00"/>
    <w:rsid w:val="005D6E38"/>
    <w:rsid w:val="005E399E"/>
    <w:rsid w:val="00600798"/>
    <w:rsid w:val="00604735"/>
    <w:rsid w:val="00605966"/>
    <w:rsid w:val="00613644"/>
    <w:rsid w:val="00614EB9"/>
    <w:rsid w:val="006163EC"/>
    <w:rsid w:val="006267E7"/>
    <w:rsid w:val="006278A9"/>
    <w:rsid w:val="0063698A"/>
    <w:rsid w:val="00647605"/>
    <w:rsid w:val="00652046"/>
    <w:rsid w:val="006609BB"/>
    <w:rsid w:val="006639E2"/>
    <w:rsid w:val="0067651B"/>
    <w:rsid w:val="00680081"/>
    <w:rsid w:val="00681342"/>
    <w:rsid w:val="0068753A"/>
    <w:rsid w:val="0069725D"/>
    <w:rsid w:val="006A0DCB"/>
    <w:rsid w:val="006A25A2"/>
    <w:rsid w:val="006A2792"/>
    <w:rsid w:val="006B04F0"/>
    <w:rsid w:val="006B4197"/>
    <w:rsid w:val="006C125D"/>
    <w:rsid w:val="006C4A5C"/>
    <w:rsid w:val="006C5464"/>
    <w:rsid w:val="006D102E"/>
    <w:rsid w:val="006F0BB5"/>
    <w:rsid w:val="006F45A6"/>
    <w:rsid w:val="00702016"/>
    <w:rsid w:val="00706B59"/>
    <w:rsid w:val="00713C05"/>
    <w:rsid w:val="00713C71"/>
    <w:rsid w:val="00714AF5"/>
    <w:rsid w:val="00715F84"/>
    <w:rsid w:val="00726B3F"/>
    <w:rsid w:val="00740A0C"/>
    <w:rsid w:val="007425E2"/>
    <w:rsid w:val="007456B0"/>
    <w:rsid w:val="00760E08"/>
    <w:rsid w:val="00771AE9"/>
    <w:rsid w:val="00776B4A"/>
    <w:rsid w:val="007842F0"/>
    <w:rsid w:val="007859A7"/>
    <w:rsid w:val="00795BD7"/>
    <w:rsid w:val="007A77C3"/>
    <w:rsid w:val="007D13D8"/>
    <w:rsid w:val="007E7F5F"/>
    <w:rsid w:val="007F3142"/>
    <w:rsid w:val="0081018E"/>
    <w:rsid w:val="0081096A"/>
    <w:rsid w:val="00813C21"/>
    <w:rsid w:val="00815803"/>
    <w:rsid w:val="00816460"/>
    <w:rsid w:val="00820433"/>
    <w:rsid w:val="008217AC"/>
    <w:rsid w:val="00821B60"/>
    <w:rsid w:val="00821B64"/>
    <w:rsid w:val="0083398A"/>
    <w:rsid w:val="008405A5"/>
    <w:rsid w:val="0084111E"/>
    <w:rsid w:val="00843730"/>
    <w:rsid w:val="00843D56"/>
    <w:rsid w:val="00846474"/>
    <w:rsid w:val="0085386D"/>
    <w:rsid w:val="00855CF5"/>
    <w:rsid w:val="00856E6C"/>
    <w:rsid w:val="00871968"/>
    <w:rsid w:val="00873992"/>
    <w:rsid w:val="008A415F"/>
    <w:rsid w:val="008B599C"/>
    <w:rsid w:val="008C2072"/>
    <w:rsid w:val="008F0D58"/>
    <w:rsid w:val="00911539"/>
    <w:rsid w:val="00913114"/>
    <w:rsid w:val="00917847"/>
    <w:rsid w:val="009216B6"/>
    <w:rsid w:val="00922C44"/>
    <w:rsid w:val="00924D8B"/>
    <w:rsid w:val="00926D6D"/>
    <w:rsid w:val="0093200D"/>
    <w:rsid w:val="009334F1"/>
    <w:rsid w:val="00944804"/>
    <w:rsid w:val="00945DBA"/>
    <w:rsid w:val="00982C98"/>
    <w:rsid w:val="0098386E"/>
    <w:rsid w:val="00995DC3"/>
    <w:rsid w:val="00996B7E"/>
    <w:rsid w:val="009A59E3"/>
    <w:rsid w:val="009B0135"/>
    <w:rsid w:val="009B28B7"/>
    <w:rsid w:val="009B481C"/>
    <w:rsid w:val="009B57C2"/>
    <w:rsid w:val="009C4637"/>
    <w:rsid w:val="009D3DF9"/>
    <w:rsid w:val="009D553B"/>
    <w:rsid w:val="009D6812"/>
    <w:rsid w:val="009E2374"/>
    <w:rsid w:val="009E3A3C"/>
    <w:rsid w:val="00A142AA"/>
    <w:rsid w:val="00A21DBE"/>
    <w:rsid w:val="00A3001B"/>
    <w:rsid w:val="00A324C4"/>
    <w:rsid w:val="00A41BF7"/>
    <w:rsid w:val="00A618BD"/>
    <w:rsid w:val="00A629CD"/>
    <w:rsid w:val="00A65037"/>
    <w:rsid w:val="00A658C7"/>
    <w:rsid w:val="00A743A6"/>
    <w:rsid w:val="00A96E25"/>
    <w:rsid w:val="00AB2371"/>
    <w:rsid w:val="00AB2A14"/>
    <w:rsid w:val="00AC5CC5"/>
    <w:rsid w:val="00AD7A62"/>
    <w:rsid w:val="00AE481E"/>
    <w:rsid w:val="00AF06E4"/>
    <w:rsid w:val="00AF6696"/>
    <w:rsid w:val="00B015A3"/>
    <w:rsid w:val="00B02016"/>
    <w:rsid w:val="00B04959"/>
    <w:rsid w:val="00B101FB"/>
    <w:rsid w:val="00B114D5"/>
    <w:rsid w:val="00B1286C"/>
    <w:rsid w:val="00B15934"/>
    <w:rsid w:val="00B248EC"/>
    <w:rsid w:val="00B27646"/>
    <w:rsid w:val="00B53F69"/>
    <w:rsid w:val="00B57045"/>
    <w:rsid w:val="00B61795"/>
    <w:rsid w:val="00B6455C"/>
    <w:rsid w:val="00B66D3F"/>
    <w:rsid w:val="00B672CE"/>
    <w:rsid w:val="00B70042"/>
    <w:rsid w:val="00B722DF"/>
    <w:rsid w:val="00B75BC7"/>
    <w:rsid w:val="00B80DFB"/>
    <w:rsid w:val="00B81FE4"/>
    <w:rsid w:val="00BA038E"/>
    <w:rsid w:val="00BC4F71"/>
    <w:rsid w:val="00BE5739"/>
    <w:rsid w:val="00BF12A3"/>
    <w:rsid w:val="00BF6EBD"/>
    <w:rsid w:val="00BF7F29"/>
    <w:rsid w:val="00C10746"/>
    <w:rsid w:val="00C141ED"/>
    <w:rsid w:val="00C3676D"/>
    <w:rsid w:val="00C4753D"/>
    <w:rsid w:val="00C530F2"/>
    <w:rsid w:val="00C55BB1"/>
    <w:rsid w:val="00C677B2"/>
    <w:rsid w:val="00C75137"/>
    <w:rsid w:val="00C77D51"/>
    <w:rsid w:val="00C86929"/>
    <w:rsid w:val="00CB2430"/>
    <w:rsid w:val="00CB7A6E"/>
    <w:rsid w:val="00CD09DE"/>
    <w:rsid w:val="00CD4908"/>
    <w:rsid w:val="00CD654C"/>
    <w:rsid w:val="00CE1CB5"/>
    <w:rsid w:val="00CE634B"/>
    <w:rsid w:val="00CE707E"/>
    <w:rsid w:val="00CE7A18"/>
    <w:rsid w:val="00CF387A"/>
    <w:rsid w:val="00D132F4"/>
    <w:rsid w:val="00D2208E"/>
    <w:rsid w:val="00D37B5A"/>
    <w:rsid w:val="00D42B5E"/>
    <w:rsid w:val="00D43AEF"/>
    <w:rsid w:val="00D558B3"/>
    <w:rsid w:val="00D619DA"/>
    <w:rsid w:val="00D63D7F"/>
    <w:rsid w:val="00D7120E"/>
    <w:rsid w:val="00D75101"/>
    <w:rsid w:val="00D83CD0"/>
    <w:rsid w:val="00D85A1B"/>
    <w:rsid w:val="00D92DDF"/>
    <w:rsid w:val="00DA183D"/>
    <w:rsid w:val="00DA632B"/>
    <w:rsid w:val="00DB5732"/>
    <w:rsid w:val="00DC5E50"/>
    <w:rsid w:val="00DE146B"/>
    <w:rsid w:val="00DF14C6"/>
    <w:rsid w:val="00DF31E4"/>
    <w:rsid w:val="00DF5D1D"/>
    <w:rsid w:val="00E0111B"/>
    <w:rsid w:val="00E13325"/>
    <w:rsid w:val="00E15158"/>
    <w:rsid w:val="00E21A17"/>
    <w:rsid w:val="00E30FF2"/>
    <w:rsid w:val="00E320BD"/>
    <w:rsid w:val="00E502BD"/>
    <w:rsid w:val="00E51B00"/>
    <w:rsid w:val="00E552EA"/>
    <w:rsid w:val="00E56C21"/>
    <w:rsid w:val="00E60F46"/>
    <w:rsid w:val="00E62588"/>
    <w:rsid w:val="00E702BE"/>
    <w:rsid w:val="00E81C9E"/>
    <w:rsid w:val="00E845A6"/>
    <w:rsid w:val="00E854B1"/>
    <w:rsid w:val="00E862DB"/>
    <w:rsid w:val="00E8761E"/>
    <w:rsid w:val="00EB3D13"/>
    <w:rsid w:val="00EB41F2"/>
    <w:rsid w:val="00EB6BF0"/>
    <w:rsid w:val="00EC3D94"/>
    <w:rsid w:val="00ED1BB9"/>
    <w:rsid w:val="00EE05D5"/>
    <w:rsid w:val="00EE21B9"/>
    <w:rsid w:val="00EE5253"/>
    <w:rsid w:val="00EE7C24"/>
    <w:rsid w:val="00F14521"/>
    <w:rsid w:val="00F1649A"/>
    <w:rsid w:val="00F3141A"/>
    <w:rsid w:val="00F33E3F"/>
    <w:rsid w:val="00F35687"/>
    <w:rsid w:val="00F410B9"/>
    <w:rsid w:val="00F419C0"/>
    <w:rsid w:val="00F41B7E"/>
    <w:rsid w:val="00F425B2"/>
    <w:rsid w:val="00F433C6"/>
    <w:rsid w:val="00F4738B"/>
    <w:rsid w:val="00F674E8"/>
    <w:rsid w:val="00F71E6D"/>
    <w:rsid w:val="00F72285"/>
    <w:rsid w:val="00F73317"/>
    <w:rsid w:val="00F77337"/>
    <w:rsid w:val="00F80AAE"/>
    <w:rsid w:val="00F86799"/>
    <w:rsid w:val="00FA15A4"/>
    <w:rsid w:val="00FB51AE"/>
    <w:rsid w:val="00FC13B2"/>
    <w:rsid w:val="00FD4E16"/>
    <w:rsid w:val="00FE6D64"/>
    <w:rsid w:val="00FE7B73"/>
    <w:rsid w:val="00FE7F3A"/>
    <w:rsid w:val="00FF19D8"/>
    <w:rsid w:val="00FF319A"/>
    <w:rsid w:val="017651A2"/>
    <w:rsid w:val="02A45B87"/>
    <w:rsid w:val="031343CC"/>
    <w:rsid w:val="034F1378"/>
    <w:rsid w:val="0414147C"/>
    <w:rsid w:val="05956F53"/>
    <w:rsid w:val="07C61566"/>
    <w:rsid w:val="089C3D38"/>
    <w:rsid w:val="0A1D1BF4"/>
    <w:rsid w:val="0D366907"/>
    <w:rsid w:val="0E9852CC"/>
    <w:rsid w:val="0F077A30"/>
    <w:rsid w:val="10F16579"/>
    <w:rsid w:val="11482086"/>
    <w:rsid w:val="11785740"/>
    <w:rsid w:val="130F2A5F"/>
    <w:rsid w:val="134C29E0"/>
    <w:rsid w:val="13966D4E"/>
    <w:rsid w:val="140C1F24"/>
    <w:rsid w:val="165F2997"/>
    <w:rsid w:val="176878C0"/>
    <w:rsid w:val="18E20509"/>
    <w:rsid w:val="19075F1D"/>
    <w:rsid w:val="1912356F"/>
    <w:rsid w:val="1990114D"/>
    <w:rsid w:val="19F17730"/>
    <w:rsid w:val="1AD042E0"/>
    <w:rsid w:val="1ADF0508"/>
    <w:rsid w:val="1DE66B99"/>
    <w:rsid w:val="1F38650F"/>
    <w:rsid w:val="212A1E87"/>
    <w:rsid w:val="21A332B0"/>
    <w:rsid w:val="229574BE"/>
    <w:rsid w:val="248C4220"/>
    <w:rsid w:val="24F467BC"/>
    <w:rsid w:val="25172F64"/>
    <w:rsid w:val="251F61A7"/>
    <w:rsid w:val="25474CB6"/>
    <w:rsid w:val="25A71CF8"/>
    <w:rsid w:val="2A1F5E7D"/>
    <w:rsid w:val="2B40661B"/>
    <w:rsid w:val="2E1A2386"/>
    <w:rsid w:val="2F7C7849"/>
    <w:rsid w:val="2FEA7509"/>
    <w:rsid w:val="31082A4D"/>
    <w:rsid w:val="31453F94"/>
    <w:rsid w:val="3184282F"/>
    <w:rsid w:val="32835698"/>
    <w:rsid w:val="33182487"/>
    <w:rsid w:val="335732D2"/>
    <w:rsid w:val="355A2295"/>
    <w:rsid w:val="35A55C22"/>
    <w:rsid w:val="371C4CB0"/>
    <w:rsid w:val="37E92BBD"/>
    <w:rsid w:val="380769BB"/>
    <w:rsid w:val="398443D3"/>
    <w:rsid w:val="39E84126"/>
    <w:rsid w:val="3B252B5B"/>
    <w:rsid w:val="3C2459F9"/>
    <w:rsid w:val="3C5A3D43"/>
    <w:rsid w:val="3D07045E"/>
    <w:rsid w:val="402C0291"/>
    <w:rsid w:val="403F1846"/>
    <w:rsid w:val="41346A8E"/>
    <w:rsid w:val="419A091D"/>
    <w:rsid w:val="424F1149"/>
    <w:rsid w:val="430E6427"/>
    <w:rsid w:val="431132E0"/>
    <w:rsid w:val="43FB56A7"/>
    <w:rsid w:val="453749EF"/>
    <w:rsid w:val="47555600"/>
    <w:rsid w:val="483F6E4E"/>
    <w:rsid w:val="4AFC64BF"/>
    <w:rsid w:val="4BE86413"/>
    <w:rsid w:val="4C1271D5"/>
    <w:rsid w:val="4D4316BA"/>
    <w:rsid w:val="4D8E7176"/>
    <w:rsid w:val="4D9C1893"/>
    <w:rsid w:val="4ED65279"/>
    <w:rsid w:val="4F0E056F"/>
    <w:rsid w:val="509F55CD"/>
    <w:rsid w:val="524B50FE"/>
    <w:rsid w:val="53B025A2"/>
    <w:rsid w:val="543D3B88"/>
    <w:rsid w:val="553E56A3"/>
    <w:rsid w:val="560B2664"/>
    <w:rsid w:val="56305F20"/>
    <w:rsid w:val="56D7349C"/>
    <w:rsid w:val="578F06BB"/>
    <w:rsid w:val="579A3131"/>
    <w:rsid w:val="5D105298"/>
    <w:rsid w:val="5E914C00"/>
    <w:rsid w:val="5E955FA5"/>
    <w:rsid w:val="5FE83143"/>
    <w:rsid w:val="60162B85"/>
    <w:rsid w:val="612C7BCA"/>
    <w:rsid w:val="64470DD8"/>
    <w:rsid w:val="654D21A2"/>
    <w:rsid w:val="66410DD2"/>
    <w:rsid w:val="66664CDC"/>
    <w:rsid w:val="688F628B"/>
    <w:rsid w:val="68925915"/>
    <w:rsid w:val="68BA4FFB"/>
    <w:rsid w:val="68EC20BB"/>
    <w:rsid w:val="6C07239D"/>
    <w:rsid w:val="6D366ABD"/>
    <w:rsid w:val="6EAE4262"/>
    <w:rsid w:val="6FA022A6"/>
    <w:rsid w:val="71A9600E"/>
    <w:rsid w:val="720A69CE"/>
    <w:rsid w:val="735B321C"/>
    <w:rsid w:val="76D417EE"/>
    <w:rsid w:val="7A5910FC"/>
    <w:rsid w:val="7AA132D0"/>
    <w:rsid w:val="7BA94365"/>
    <w:rsid w:val="7C3945CD"/>
    <w:rsid w:val="7CC832EA"/>
    <w:rsid w:val="7FF62498"/>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iPriority="99" w:name="Body Text Indent 3"/>
    <w:lsdException w:uiPriority="99" w:name="Block Text"/>
    <w:lsdException w:qFormat="1" w:uiPriority="99"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1"/>
    <w:pPr>
      <w:ind w:left="716"/>
      <w:outlineLvl w:val="2"/>
    </w:pPr>
    <w:rPr>
      <w:rFonts w:ascii="宋体" w:hAnsi="宋体" w:eastAsia="宋体" w:cs="宋体"/>
      <w:b/>
      <w:bCs/>
      <w:sz w:val="24"/>
      <w:szCs w:val="24"/>
      <w:lang w:val="zh-CN" w:eastAsia="zh-CN" w:bidi="zh-CN"/>
    </w:rPr>
  </w:style>
  <w:style w:type="paragraph" w:styleId="4">
    <w:name w:val="heading 3"/>
    <w:basedOn w:val="1"/>
    <w:next w:val="1"/>
    <w:link w:val="63"/>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unhideWhenUsed/>
    <w:qFormat/>
    <w:uiPriority w:val="0"/>
    <w:pPr>
      <w:spacing w:beforeLines="50" w:afterLines="50"/>
      <w:ind w:firstLine="0" w:firstLineChars="0"/>
      <w:outlineLvl w:val="3"/>
    </w:pPr>
    <w:rPr>
      <w:rFonts w:eastAsia="黑体" w:cstheme="majorBidi"/>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link w:val="52"/>
    <w:semiHidden/>
    <w:unhideWhenUsed/>
    <w:qFormat/>
    <w:uiPriority w:val="99"/>
    <w:pPr>
      <w:ind w:firstLine="420" w:firstLineChars="100"/>
    </w:pPr>
    <w:rPr>
      <w:rFonts w:ascii="Times New Roman" w:hAnsi="Times New Roman" w:eastAsia="宋体" w:cs="Times New Roman"/>
      <w:szCs w:val="24"/>
    </w:rPr>
  </w:style>
  <w:style w:type="paragraph" w:styleId="6">
    <w:name w:val="Normal Indent"/>
    <w:basedOn w:val="1"/>
    <w:next w:val="7"/>
    <w:qFormat/>
    <w:uiPriority w:val="0"/>
    <w:pPr>
      <w:ind w:firstLine="420"/>
    </w:pPr>
    <w:rPr>
      <w:sz w:val="24"/>
      <w:szCs w:val="20"/>
    </w:rPr>
  </w:style>
  <w:style w:type="paragraph" w:customStyle="1" w:styleId="7">
    <w:name w:val="表头"/>
    <w:basedOn w:val="8"/>
    <w:next w:val="1"/>
    <w:link w:val="57"/>
    <w:qFormat/>
    <w:uiPriority w:val="0"/>
    <w:pPr>
      <w:adjustRightInd w:val="0"/>
      <w:snapToGrid w:val="0"/>
      <w:spacing w:beforeLines="25"/>
      <w:jc w:val="center"/>
    </w:pPr>
    <w:rPr>
      <w:rFonts w:ascii="宋体" w:hAnsi="宋体" w:eastAsia="仿宋_GB2312"/>
      <w:b/>
      <w:sz w:val="28"/>
    </w:rPr>
  </w:style>
  <w:style w:type="paragraph" w:styleId="8">
    <w:name w:val="Plain Text"/>
    <w:basedOn w:val="1"/>
    <w:next w:val="9"/>
    <w:link w:val="53"/>
    <w:semiHidden/>
    <w:unhideWhenUsed/>
    <w:qFormat/>
    <w:uiPriority w:val="0"/>
    <w:rPr>
      <w:rFonts w:ascii="宋体" w:hAnsi="Courier New" w:eastAsia="宋体"/>
    </w:rPr>
  </w:style>
  <w:style w:type="paragraph" w:styleId="9">
    <w:name w:val="toc 1"/>
    <w:basedOn w:val="1"/>
    <w:next w:val="1"/>
    <w:qFormat/>
    <w:uiPriority w:val="39"/>
    <w:rPr>
      <w:rFonts w:ascii="宋体" w:hAnsi="宋体"/>
      <w:bCs/>
      <w:caps/>
      <w:szCs w:val="21"/>
    </w:rPr>
  </w:style>
  <w:style w:type="paragraph" w:styleId="10">
    <w:name w:val="caption"/>
    <w:basedOn w:val="1"/>
    <w:next w:val="1"/>
    <w:qFormat/>
    <w:uiPriority w:val="0"/>
    <w:pPr>
      <w:jc w:val="center"/>
    </w:pPr>
    <w:rPr>
      <w:rFonts w:eastAsia="黑体"/>
      <w:szCs w:val="21"/>
    </w:rPr>
  </w:style>
  <w:style w:type="paragraph" w:styleId="11">
    <w:name w:val="annotation text"/>
    <w:basedOn w:val="1"/>
    <w:link w:val="60"/>
    <w:unhideWhenUsed/>
    <w:qFormat/>
    <w:uiPriority w:val="0"/>
    <w:pPr>
      <w:jc w:val="left"/>
    </w:pPr>
    <w:rPr>
      <w:rFonts w:ascii="Times New Roman" w:hAnsi="Times New Roman" w:eastAsia="宋体" w:cs="Times New Roman"/>
      <w:szCs w:val="20"/>
    </w:rPr>
  </w:style>
  <w:style w:type="paragraph" w:styleId="12">
    <w:name w:val="Body Text"/>
    <w:basedOn w:val="1"/>
    <w:next w:val="13"/>
    <w:link w:val="51"/>
    <w:semiHidden/>
    <w:unhideWhenUsed/>
    <w:qFormat/>
    <w:uiPriority w:val="99"/>
    <w:pPr>
      <w:spacing w:after="120"/>
    </w:pPr>
  </w:style>
  <w:style w:type="paragraph" w:customStyle="1" w:styleId="13">
    <w:name w:val="Date1"/>
    <w:basedOn w:val="1"/>
    <w:next w:val="1"/>
    <w:qFormat/>
    <w:uiPriority w:val="0"/>
    <w:pPr>
      <w:adjustRightInd w:val="0"/>
      <w:jc w:val="left"/>
      <w:textAlignment w:val="baseline"/>
    </w:pPr>
    <w:rPr>
      <w:rFonts w:ascii="宋体" w:hAnsi="宋体"/>
      <w:sz w:val="28"/>
      <w:szCs w:val="20"/>
    </w:rPr>
  </w:style>
  <w:style w:type="paragraph" w:styleId="14">
    <w:name w:val="Body Text Indent"/>
    <w:basedOn w:val="1"/>
    <w:next w:val="15"/>
    <w:link w:val="54"/>
    <w:semiHidden/>
    <w:unhideWhenUsed/>
    <w:qFormat/>
    <w:uiPriority w:val="99"/>
    <w:pPr>
      <w:spacing w:after="120"/>
      <w:ind w:left="420" w:leftChars="200"/>
    </w:pPr>
  </w:style>
  <w:style w:type="paragraph" w:styleId="15">
    <w:name w:val="Body Text First Indent 2"/>
    <w:basedOn w:val="14"/>
    <w:next w:val="1"/>
    <w:qFormat/>
    <w:uiPriority w:val="0"/>
    <w:pPr>
      <w:spacing w:after="120"/>
      <w:ind w:left="420" w:leftChars="200" w:firstLine="420"/>
    </w:pPr>
    <w:rPr>
      <w:spacing w:val="0"/>
      <w:kern w:val="0"/>
      <w:sz w:val="20"/>
      <w:szCs w:val="20"/>
    </w:rPr>
  </w:style>
  <w:style w:type="paragraph" w:styleId="16">
    <w:name w:val="List Bullet 5"/>
    <w:basedOn w:val="1"/>
    <w:semiHidden/>
    <w:unhideWhenUsed/>
    <w:qFormat/>
    <w:uiPriority w:val="99"/>
    <w:pPr>
      <w:numPr>
        <w:ilvl w:val="0"/>
        <w:numId w:val="1"/>
      </w:numPr>
    </w:pPr>
  </w:style>
  <w:style w:type="paragraph" w:styleId="17">
    <w:name w:val="Date"/>
    <w:basedOn w:val="1"/>
    <w:next w:val="1"/>
    <w:qFormat/>
    <w:uiPriority w:val="0"/>
    <w:rPr>
      <w:szCs w:val="21"/>
    </w:rPr>
  </w:style>
  <w:style w:type="paragraph" w:styleId="18">
    <w:name w:val="Body Text Indent 2"/>
    <w:basedOn w:val="1"/>
    <w:qFormat/>
    <w:uiPriority w:val="0"/>
    <w:pPr>
      <w:ind w:left="-108" w:firstLine="556"/>
    </w:pPr>
    <w:rPr>
      <w:rFonts w:ascii="楷体_GB2312" w:eastAsia="楷体_GB2312"/>
      <w:sz w:val="28"/>
    </w:rPr>
  </w:style>
  <w:style w:type="paragraph" w:styleId="19">
    <w:name w:val="footer"/>
    <w:basedOn w:val="1"/>
    <w:link w:val="45"/>
    <w:unhideWhenUsed/>
    <w:qFormat/>
    <w:uiPriority w:val="99"/>
    <w:pPr>
      <w:tabs>
        <w:tab w:val="center" w:pos="4153"/>
        <w:tab w:val="right" w:pos="8306"/>
      </w:tabs>
      <w:snapToGrid w:val="0"/>
      <w:jc w:val="left"/>
    </w:pPr>
    <w:rPr>
      <w:sz w:val="18"/>
      <w:szCs w:val="18"/>
    </w:rPr>
  </w:style>
  <w:style w:type="paragraph" w:styleId="20">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List"/>
    <w:basedOn w:val="1"/>
    <w:next w:val="1"/>
    <w:qFormat/>
    <w:uiPriority w:val="0"/>
    <w:pPr>
      <w:spacing w:line="320" w:lineRule="exact"/>
      <w:jc w:val="center"/>
    </w:pPr>
    <w:rPr>
      <w:sz w:val="22"/>
    </w:rPr>
  </w:style>
  <w:style w:type="paragraph" w:styleId="22">
    <w:name w:val="Body Text Indent 3"/>
    <w:basedOn w:val="1"/>
    <w:link w:val="55"/>
    <w:semiHidden/>
    <w:unhideWhenUsed/>
    <w:qFormat/>
    <w:uiPriority w:val="99"/>
    <w:pPr>
      <w:spacing w:after="120"/>
      <w:ind w:left="420" w:leftChars="200"/>
    </w:pPr>
    <w:rPr>
      <w:sz w:val="16"/>
      <w:szCs w:val="16"/>
    </w:rPr>
  </w:style>
  <w:style w:type="paragraph" w:styleId="23">
    <w:name w:val="toc 2"/>
    <w:basedOn w:val="1"/>
    <w:next w:val="1"/>
    <w:qFormat/>
    <w:uiPriority w:val="0"/>
    <w:pPr>
      <w:spacing w:line="288" w:lineRule="auto"/>
      <w:ind w:firstLine="106" w:firstLineChars="44"/>
    </w:pPr>
    <w:rPr>
      <w:rFonts w:ascii="宋体" w:hAnsi="宋体"/>
      <w:sz w:val="24"/>
    </w:rPr>
  </w:style>
  <w:style w:type="paragraph" w:styleId="24">
    <w:name w:val="Body Text 2"/>
    <w:basedOn w:val="1"/>
    <w:qFormat/>
    <w:uiPriority w:val="0"/>
    <w:pPr>
      <w:snapToGrid w:val="0"/>
      <w:jc w:val="center"/>
    </w:pPr>
    <w:rPr>
      <w:sz w:val="28"/>
      <w:szCs w:val="20"/>
    </w:rPr>
  </w:style>
  <w:style w:type="paragraph" w:styleId="25">
    <w:name w:val="Normal (Web)"/>
    <w:basedOn w:val="1"/>
    <w:qFormat/>
    <w:uiPriority w:val="0"/>
    <w:pPr>
      <w:widowControl/>
      <w:spacing w:before="100" w:beforeAutospacing="1" w:after="100" w:afterAutospacing="1"/>
      <w:jc w:val="left"/>
    </w:pPr>
    <w:rPr>
      <w:rFonts w:ascii="宋体" w:hAnsi="宋体"/>
      <w:kern w:val="0"/>
      <w:sz w:val="24"/>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sz w:val="24"/>
    </w:rPr>
  </w:style>
  <w:style w:type="character" w:styleId="30">
    <w:name w:val="page number"/>
    <w:basedOn w:val="28"/>
    <w:qFormat/>
    <w:uiPriority w:val="0"/>
  </w:style>
  <w:style w:type="character" w:styleId="31">
    <w:name w:val="FollowedHyperlink"/>
    <w:basedOn w:val="28"/>
    <w:semiHidden/>
    <w:unhideWhenUsed/>
    <w:qFormat/>
    <w:uiPriority w:val="99"/>
    <w:rPr>
      <w:color w:val="0033CC"/>
      <w:u w:val="single"/>
    </w:rPr>
  </w:style>
  <w:style w:type="character" w:styleId="32">
    <w:name w:val="Emphasis"/>
    <w:basedOn w:val="28"/>
    <w:qFormat/>
    <w:uiPriority w:val="20"/>
  </w:style>
  <w:style w:type="character" w:styleId="33">
    <w:name w:val="HTML Definition"/>
    <w:basedOn w:val="28"/>
    <w:semiHidden/>
    <w:unhideWhenUsed/>
    <w:qFormat/>
    <w:uiPriority w:val="99"/>
    <w:rPr>
      <w:i/>
      <w:iCs/>
    </w:rPr>
  </w:style>
  <w:style w:type="character" w:styleId="34">
    <w:name w:val="Hyperlink"/>
    <w:basedOn w:val="28"/>
    <w:semiHidden/>
    <w:unhideWhenUsed/>
    <w:qFormat/>
    <w:uiPriority w:val="99"/>
    <w:rPr>
      <w:color w:val="0033CC"/>
      <w:u w:val="single"/>
    </w:rPr>
  </w:style>
  <w:style w:type="character" w:styleId="35">
    <w:name w:val="HTML Code"/>
    <w:basedOn w:val="28"/>
    <w:semiHidden/>
    <w:unhideWhenUsed/>
    <w:qFormat/>
    <w:uiPriority w:val="99"/>
    <w:rPr>
      <w:rFonts w:hint="default" w:ascii="monospace" w:hAnsi="monospace" w:eastAsia="monospace" w:cs="monospace"/>
      <w:sz w:val="21"/>
      <w:szCs w:val="21"/>
    </w:rPr>
  </w:style>
  <w:style w:type="character" w:styleId="36">
    <w:name w:val="annotation reference"/>
    <w:basedOn w:val="28"/>
    <w:semiHidden/>
    <w:unhideWhenUsed/>
    <w:qFormat/>
    <w:uiPriority w:val="99"/>
    <w:rPr>
      <w:sz w:val="21"/>
      <w:szCs w:val="21"/>
    </w:rPr>
  </w:style>
  <w:style w:type="character" w:styleId="37">
    <w:name w:val="HTML Keyboard"/>
    <w:basedOn w:val="28"/>
    <w:semiHidden/>
    <w:unhideWhenUsed/>
    <w:qFormat/>
    <w:uiPriority w:val="99"/>
    <w:rPr>
      <w:rFonts w:ascii="monospace" w:hAnsi="monospace" w:eastAsia="monospace" w:cs="monospace"/>
      <w:sz w:val="21"/>
      <w:szCs w:val="21"/>
    </w:rPr>
  </w:style>
  <w:style w:type="character" w:styleId="38">
    <w:name w:val="HTML Sample"/>
    <w:basedOn w:val="28"/>
    <w:semiHidden/>
    <w:unhideWhenUsed/>
    <w:qFormat/>
    <w:uiPriority w:val="99"/>
    <w:rPr>
      <w:rFonts w:hint="default" w:ascii="monospace" w:hAnsi="monospace" w:eastAsia="monospace" w:cs="monospace"/>
      <w:sz w:val="21"/>
      <w:szCs w:val="21"/>
    </w:rPr>
  </w:style>
  <w:style w:type="paragraph" w:customStyle="1" w:styleId="39">
    <w:name w:val="表格"/>
    <w:basedOn w:val="6"/>
    <w:next w:val="1"/>
    <w:qFormat/>
    <w:uiPriority w:val="0"/>
    <w:pPr>
      <w:jc w:val="center"/>
    </w:pPr>
    <w:rPr>
      <w:rFonts w:ascii="Times New Roman" w:hAnsi="Times New Roman" w:eastAsia="宋体" w:cs="Times New Roman"/>
      <w:sz w:val="24"/>
      <w:szCs w:val="20"/>
    </w:rPr>
  </w:style>
  <w:style w:type="paragraph" w:customStyle="1" w:styleId="40">
    <w:name w:val="Default"/>
    <w:basedOn w:val="4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纯文本1"/>
    <w:basedOn w:val="1"/>
    <w:next w:val="1"/>
    <w:qFormat/>
    <w:uiPriority w:val="0"/>
    <w:rPr>
      <w:rFonts w:ascii="宋体" w:hAnsi="Courier New" w:eastAsia="宋体" w:cs="Times New Roman"/>
      <w:szCs w:val="20"/>
    </w:rPr>
  </w:style>
  <w:style w:type="paragraph" w:customStyle="1" w:styleId="42">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3">
    <w:name w:val="环评正文"/>
    <w:basedOn w:val="17"/>
    <w:next w:val="1"/>
    <w:qFormat/>
    <w:uiPriority w:val="0"/>
    <w:pPr>
      <w:widowControl/>
      <w:spacing w:line="360" w:lineRule="auto"/>
      <w:ind w:firstLine="200" w:firstLineChars="200"/>
      <w:jc w:val="left"/>
    </w:pPr>
    <w:rPr>
      <w:rFonts w:ascii="仿宋_GB2312" w:eastAsia="仿宋_GB2312" w:cs="宋体"/>
      <w:sz w:val="20"/>
      <w:szCs w:val="20"/>
    </w:rPr>
  </w:style>
  <w:style w:type="character" w:customStyle="1" w:styleId="44">
    <w:name w:val="页眉 字符"/>
    <w:basedOn w:val="28"/>
    <w:link w:val="20"/>
    <w:qFormat/>
    <w:uiPriority w:val="99"/>
    <w:rPr>
      <w:sz w:val="18"/>
      <w:szCs w:val="18"/>
    </w:rPr>
  </w:style>
  <w:style w:type="character" w:customStyle="1" w:styleId="45">
    <w:name w:val="页脚 字符"/>
    <w:basedOn w:val="28"/>
    <w:link w:val="19"/>
    <w:qFormat/>
    <w:uiPriority w:val="99"/>
    <w:rPr>
      <w:sz w:val="18"/>
      <w:szCs w:val="18"/>
    </w:rPr>
  </w:style>
  <w:style w:type="character" w:customStyle="1" w:styleId="46">
    <w:name w:val="表 正文 Char"/>
    <w:link w:val="47"/>
    <w:qFormat/>
    <w:locked/>
    <w:uiPriority w:val="0"/>
    <w:rPr>
      <w:rFonts w:ascii="仿宋_GB2312" w:eastAsia="仿宋_GB2312"/>
      <w:kern w:val="44"/>
      <w:sz w:val="28"/>
      <w:szCs w:val="21"/>
    </w:rPr>
  </w:style>
  <w:style w:type="paragraph" w:customStyle="1" w:styleId="47">
    <w:name w:val="表 正文"/>
    <w:basedOn w:val="1"/>
    <w:link w:val="46"/>
    <w:qFormat/>
    <w:uiPriority w:val="0"/>
    <w:pPr>
      <w:snapToGrid w:val="0"/>
      <w:spacing w:line="360" w:lineRule="auto"/>
      <w:ind w:firstLine="200"/>
    </w:pPr>
    <w:rPr>
      <w:rFonts w:ascii="仿宋_GB2312" w:eastAsia="仿宋_GB2312"/>
      <w:kern w:val="44"/>
      <w:sz w:val="28"/>
      <w:szCs w:val="21"/>
    </w:rPr>
  </w:style>
  <w:style w:type="paragraph" w:customStyle="1" w:styleId="48">
    <w:name w:val="报告表正文"/>
    <w:basedOn w:val="1"/>
    <w:qFormat/>
    <w:uiPriority w:val="0"/>
    <w:pPr>
      <w:adjustRightInd w:val="0"/>
      <w:spacing w:line="312" w:lineRule="auto"/>
      <w:ind w:left="113" w:right="113" w:firstLine="482"/>
      <w:jc w:val="left"/>
    </w:pPr>
    <w:rPr>
      <w:rFonts w:ascii="Times New Roman" w:hAnsi="Times New Roman" w:eastAsia="宋体" w:cs="Times New Roman"/>
      <w:kern w:val="0"/>
      <w:sz w:val="24"/>
      <w:szCs w:val="20"/>
    </w:rPr>
  </w:style>
  <w:style w:type="character" w:customStyle="1" w:styleId="49">
    <w:name w:val="书 正文 Char"/>
    <w:link w:val="50"/>
    <w:qFormat/>
    <w:locked/>
    <w:uiPriority w:val="0"/>
    <w:rPr>
      <w:kern w:val="24"/>
      <w:sz w:val="24"/>
      <w:szCs w:val="24"/>
    </w:rPr>
  </w:style>
  <w:style w:type="paragraph" w:customStyle="1" w:styleId="50">
    <w:name w:val="书 正文"/>
    <w:basedOn w:val="1"/>
    <w:link w:val="49"/>
    <w:qFormat/>
    <w:uiPriority w:val="0"/>
    <w:pPr>
      <w:ind w:firstLine="514" w:firstLineChars="200"/>
    </w:pPr>
    <w:rPr>
      <w:kern w:val="24"/>
      <w:sz w:val="24"/>
      <w:szCs w:val="24"/>
    </w:rPr>
  </w:style>
  <w:style w:type="character" w:customStyle="1" w:styleId="51">
    <w:name w:val="正文文本 字符"/>
    <w:basedOn w:val="28"/>
    <w:link w:val="12"/>
    <w:semiHidden/>
    <w:qFormat/>
    <w:uiPriority w:val="99"/>
  </w:style>
  <w:style w:type="character" w:customStyle="1" w:styleId="52">
    <w:name w:val="正文文本首行缩进 字符"/>
    <w:basedOn w:val="51"/>
    <w:link w:val="2"/>
    <w:semiHidden/>
    <w:qFormat/>
    <w:uiPriority w:val="99"/>
    <w:rPr>
      <w:rFonts w:ascii="Times New Roman" w:hAnsi="Times New Roman" w:eastAsia="宋体" w:cs="Times New Roman"/>
      <w:szCs w:val="24"/>
    </w:rPr>
  </w:style>
  <w:style w:type="character" w:customStyle="1" w:styleId="53">
    <w:name w:val="纯文本 字符"/>
    <w:basedOn w:val="28"/>
    <w:link w:val="8"/>
    <w:semiHidden/>
    <w:qFormat/>
    <w:uiPriority w:val="0"/>
    <w:rPr>
      <w:rFonts w:ascii="宋体" w:hAnsi="Courier New" w:eastAsia="宋体"/>
    </w:rPr>
  </w:style>
  <w:style w:type="character" w:customStyle="1" w:styleId="54">
    <w:name w:val="正文文本缩进 字符"/>
    <w:basedOn w:val="28"/>
    <w:link w:val="14"/>
    <w:semiHidden/>
    <w:qFormat/>
    <w:uiPriority w:val="99"/>
  </w:style>
  <w:style w:type="character" w:customStyle="1" w:styleId="55">
    <w:name w:val="正文文本缩进 3 字符"/>
    <w:basedOn w:val="28"/>
    <w:link w:val="22"/>
    <w:semiHidden/>
    <w:qFormat/>
    <w:uiPriority w:val="99"/>
    <w:rPr>
      <w:sz w:val="16"/>
      <w:szCs w:val="16"/>
    </w:rPr>
  </w:style>
  <w:style w:type="paragraph" w:customStyle="1" w:styleId="56">
    <w:name w:val="样式1"/>
    <w:basedOn w:val="1"/>
    <w:qFormat/>
    <w:uiPriority w:val="0"/>
    <w:pPr>
      <w:spacing w:line="360" w:lineRule="auto"/>
      <w:ind w:firstLine="510"/>
    </w:pPr>
    <w:rPr>
      <w:rFonts w:ascii="Times New Roman" w:hAnsi="Times New Roman" w:eastAsia="宋体" w:cs="Times New Roman"/>
      <w:sz w:val="24"/>
      <w:szCs w:val="20"/>
    </w:rPr>
  </w:style>
  <w:style w:type="character" w:customStyle="1" w:styleId="57">
    <w:name w:val="表头 Char Char"/>
    <w:link w:val="7"/>
    <w:qFormat/>
    <w:locked/>
    <w:uiPriority w:val="0"/>
    <w:rPr>
      <w:rFonts w:ascii="宋体" w:hAnsi="宋体" w:eastAsia="仿宋_GB2312"/>
      <w:b/>
      <w:sz w:val="28"/>
    </w:rPr>
  </w:style>
  <w:style w:type="paragraph" w:customStyle="1" w:styleId="58">
    <w:name w:val="default"/>
    <w:basedOn w:val="1"/>
    <w:qFormat/>
    <w:uiPriority w:val="0"/>
    <w:pPr>
      <w:widowControl/>
      <w:spacing w:before="100" w:beforeAutospacing="1" w:after="100" w:afterAutospacing="1" w:line="408" w:lineRule="auto"/>
      <w:jc w:val="left"/>
    </w:pPr>
    <w:rPr>
      <w:rFonts w:ascii="宋体" w:hAnsi="宋体" w:eastAsia="宋体" w:cs="Times New Roman"/>
      <w:kern w:val="0"/>
      <w:szCs w:val="24"/>
    </w:rPr>
  </w:style>
  <w:style w:type="paragraph" w:customStyle="1" w:styleId="59">
    <w:name w:val="报告表小标题"/>
    <w:basedOn w:val="1"/>
    <w:qFormat/>
    <w:uiPriority w:val="0"/>
    <w:pPr>
      <w:spacing w:line="360" w:lineRule="auto"/>
    </w:pPr>
    <w:rPr>
      <w:rFonts w:ascii="Calibri" w:hAnsi="Calibri" w:eastAsia="宋体" w:cs="Times New Roman"/>
      <w:b/>
      <w:sz w:val="24"/>
      <w:szCs w:val="24"/>
    </w:rPr>
  </w:style>
  <w:style w:type="character" w:customStyle="1" w:styleId="60">
    <w:name w:val="批注文字 字符"/>
    <w:basedOn w:val="28"/>
    <w:link w:val="11"/>
    <w:semiHidden/>
    <w:qFormat/>
    <w:uiPriority w:val="0"/>
    <w:rPr>
      <w:rFonts w:ascii="Times New Roman" w:hAnsi="Times New Roman" w:eastAsia="宋体" w:cs="Times New Roman"/>
      <w:szCs w:val="20"/>
    </w:rPr>
  </w:style>
  <w:style w:type="paragraph" w:customStyle="1" w:styleId="61">
    <w:name w:val="中文报告书样式"/>
    <w:basedOn w:val="1"/>
    <w:qFormat/>
    <w:uiPriority w:val="0"/>
    <w:pPr>
      <w:adjustRightInd w:val="0"/>
      <w:spacing w:line="480" w:lineRule="atLeast"/>
      <w:ind w:firstLine="482"/>
    </w:pPr>
    <w:rPr>
      <w:rFonts w:ascii="Calibri" w:hAnsi="Calibri" w:eastAsia="宋体" w:cs="Times New Roman"/>
      <w:kern w:val="24"/>
      <w:sz w:val="24"/>
      <w:szCs w:val="20"/>
    </w:rPr>
  </w:style>
  <w:style w:type="paragraph" w:customStyle="1" w:styleId="62">
    <w:name w:val="表格1"/>
    <w:basedOn w:val="1"/>
    <w:next w:val="1"/>
    <w:qFormat/>
    <w:uiPriority w:val="0"/>
    <w:pPr>
      <w:widowControl/>
      <w:jc w:val="center"/>
    </w:pPr>
    <w:rPr>
      <w:rFonts w:ascii="宋体" w:hAnsi="宋体" w:eastAsia="仿宋_GB2312" w:cs="Times New Roman"/>
      <w:bCs/>
      <w:szCs w:val="24"/>
    </w:rPr>
  </w:style>
  <w:style w:type="character" w:customStyle="1" w:styleId="63">
    <w:name w:val="标题 3 字符"/>
    <w:basedOn w:val="28"/>
    <w:link w:val="4"/>
    <w:qFormat/>
    <w:uiPriority w:val="0"/>
    <w:rPr>
      <w:rFonts w:ascii="Times New Roman" w:hAnsi="Times New Roman" w:eastAsia="宋体" w:cs="Times New Roman"/>
      <w:b/>
      <w:bCs/>
      <w:sz w:val="32"/>
      <w:szCs w:val="32"/>
    </w:rPr>
  </w:style>
  <w:style w:type="paragraph" w:styleId="64">
    <w:name w:val="List Paragraph"/>
    <w:basedOn w:val="1"/>
    <w:qFormat/>
    <w:uiPriority w:val="34"/>
    <w:pPr>
      <w:ind w:firstLine="420" w:firstLineChars="200"/>
    </w:pPr>
  </w:style>
  <w:style w:type="paragraph" w:customStyle="1" w:styleId="65">
    <w:name w:val="正文（缩进）"/>
    <w:basedOn w:val="66"/>
    <w:next w:val="1"/>
    <w:qFormat/>
    <w:uiPriority w:val="99"/>
    <w:pPr>
      <w:spacing w:line="360" w:lineRule="auto"/>
      <w:ind w:firstLine="480" w:firstLineChars="200"/>
    </w:pPr>
    <w:rPr>
      <w:rFonts w:ascii="Times New Roman" w:hAnsi="Times New Roman" w:cs="Times New Roman"/>
      <w:sz w:val="24"/>
      <w:szCs w:val="24"/>
    </w:rPr>
  </w:style>
  <w:style w:type="paragraph" w:customStyle="1" w:styleId="66">
    <w:name w:val="正文(首行缩进)"/>
    <w:basedOn w:val="1"/>
    <w:qFormat/>
    <w:uiPriority w:val="0"/>
    <w:pPr>
      <w:widowControl w:val="0"/>
      <w:jc w:val="both"/>
    </w:pPr>
    <w:rPr>
      <w:rFonts w:ascii="Times New Roman" w:hAnsi="Times New Roman" w:cs="Times New Roman"/>
      <w:kern w:val="0"/>
      <w:sz w:val="24"/>
      <w:szCs w:val="24"/>
    </w:rPr>
  </w:style>
  <w:style w:type="paragraph" w:customStyle="1" w:styleId="67">
    <w:name w:val="Table Paragraph"/>
    <w:basedOn w:val="1"/>
    <w:qFormat/>
    <w:uiPriority w:val="1"/>
    <w:pPr>
      <w:spacing w:before="24"/>
      <w:jc w:val="center"/>
    </w:pPr>
    <w:rPr>
      <w:rFonts w:ascii="宋体" w:hAnsi="宋体" w:eastAsia="宋体" w:cs="宋体"/>
      <w:lang w:val="zh-CN" w:eastAsia="zh-CN" w:bidi="zh-CN"/>
    </w:rPr>
  </w:style>
  <w:style w:type="paragraph" w:customStyle="1" w:styleId="68">
    <w:name w:val="主要内容"/>
    <w:basedOn w:val="1"/>
    <w:qFormat/>
    <w:uiPriority w:val="0"/>
    <w:pPr>
      <w:spacing w:line="360" w:lineRule="auto"/>
      <w:ind w:firstLine="643" w:firstLineChars="200"/>
      <w:jc w:val="left"/>
    </w:pPr>
    <w:rPr>
      <w:rFonts w:ascii="Times New Roman" w:hAnsi="Times New Roman" w:eastAsia="仿宋" w:cs="Times New Roman"/>
      <w:spacing w:val="6"/>
      <w:sz w:val="24"/>
    </w:rPr>
  </w:style>
  <w:style w:type="paragraph" w:customStyle="1" w:styleId="69">
    <w:name w:val="新格式表"/>
    <w:basedOn w:val="1"/>
    <w:qFormat/>
    <w:uiPriority w:val="0"/>
    <w:pPr>
      <w:adjustRightInd w:val="0"/>
      <w:snapToGrid w:val="0"/>
      <w:spacing w:line="0" w:lineRule="atLeast"/>
      <w:jc w:val="center"/>
    </w:pPr>
    <w:rPr>
      <w:color w:val="000000"/>
      <w:kern w:val="0"/>
      <w:szCs w:val="21"/>
    </w:rPr>
  </w:style>
  <w:style w:type="paragraph" w:customStyle="1" w:styleId="70">
    <w:name w:val="【正文】"/>
    <w:basedOn w:val="1"/>
    <w:qFormat/>
    <w:uiPriority w:val="0"/>
    <w:pPr>
      <w:spacing w:line="240" w:lineRule="auto"/>
      <w:ind w:firstLine="200"/>
      <w:jc w:val="left"/>
    </w:pPr>
    <w:rPr>
      <w:rFonts w:ascii="Times New Roman" w:hAnsi="Times New Roman" w:eastAsia="宋体" w:cs="宋体"/>
      <w:szCs w:val="20"/>
    </w:rPr>
  </w:style>
  <w:style w:type="paragraph" w:customStyle="1" w:styleId="71">
    <w:name w:val="表一级标题"/>
    <w:basedOn w:val="1"/>
    <w:qFormat/>
    <w:uiPriority w:val="0"/>
    <w:pPr>
      <w:adjustRightInd w:val="0"/>
      <w:snapToGrid w:val="0"/>
      <w:spacing w:before="50" w:beforeLines="50" w:after="50" w:afterLines="50" w:line="240" w:lineRule="auto"/>
      <w:ind w:firstLine="0" w:firstLineChars="0"/>
      <w:jc w:val="left"/>
      <w:textAlignment w:val="baseline"/>
    </w:pPr>
    <w:rPr>
      <w:rFonts w:ascii="Times New Roman" w:hAnsi="Times New Roman" w:eastAsia="宋体"/>
      <w:b/>
      <w:sz w:val="24"/>
    </w:rPr>
  </w:style>
  <w:style w:type="paragraph" w:customStyle="1" w:styleId="72">
    <w:name w:val="表头111"/>
    <w:basedOn w:val="1"/>
    <w:qFormat/>
    <w:uiPriority w:val="0"/>
    <w:pPr>
      <w:jc w:val="center"/>
    </w:pPr>
    <w:rPr>
      <w:b/>
      <w:szCs w:val="21"/>
    </w:rPr>
  </w:style>
  <w:style w:type="paragraph" w:customStyle="1" w:styleId="73">
    <w:name w:val="表中"/>
    <w:qFormat/>
    <w:uiPriority w:val="0"/>
    <w:pPr>
      <w:spacing w:line="280" w:lineRule="exact"/>
      <w:jc w:val="center"/>
    </w:pPr>
    <w:rPr>
      <w:rFonts w:ascii="Times New Roman" w:hAnsi="Times New Roman" w:eastAsia="宋体" w:cs="Times New Roman"/>
      <w:kern w:val="44"/>
      <w:sz w:val="18"/>
      <w:lang w:val="en-US" w:eastAsia="zh-CN" w:bidi="ar-SA"/>
    </w:rPr>
  </w:style>
  <w:style w:type="paragraph" w:customStyle="1" w:styleId="74">
    <w:name w:val="正文+小四，黑色"/>
    <w:basedOn w:val="1"/>
    <w:qFormat/>
    <w:uiPriority w:val="0"/>
    <w:pPr>
      <w:snapToGrid w:val="0"/>
      <w:spacing w:line="300" w:lineRule="auto"/>
      <w:ind w:firstLine="492" w:firstLineChars="205"/>
    </w:pPr>
    <w:rPr>
      <w:rFonts w:ascii="宋体" w:hAnsi="宋体"/>
      <w:sz w:val="24"/>
    </w:rPr>
  </w:style>
  <w:style w:type="paragraph" w:customStyle="1" w:styleId="75">
    <w:name w:val="表格正文"/>
    <w:basedOn w:val="1"/>
    <w:qFormat/>
    <w:uiPriority w:val="0"/>
    <w:rPr>
      <w:rFonts w:ascii="仿宋_GB2312" w:eastAsia="仿宋_GB2312"/>
      <w:snapToGrid w:val="0"/>
      <w:kern w:val="0"/>
      <w:sz w:val="24"/>
    </w:rPr>
  </w:style>
  <w:style w:type="paragraph" w:customStyle="1" w:styleId="76">
    <w:name w:val="表内文字"/>
    <w:basedOn w:val="77"/>
    <w:qFormat/>
    <w:uiPriority w:val="0"/>
    <w:pPr>
      <w:widowControl w:val="0"/>
      <w:snapToGrid w:val="0"/>
      <w:spacing w:line="320" w:lineRule="exact"/>
      <w:jc w:val="center"/>
    </w:pPr>
    <w:rPr>
      <w:rFonts w:eastAsia="仿宋_GB2312"/>
      <w:szCs w:val="21"/>
    </w:rPr>
  </w:style>
  <w:style w:type="paragraph" w:customStyle="1" w:styleId="77">
    <w:name w:val="图"/>
    <w:basedOn w:val="1"/>
    <w:next w:val="1"/>
    <w:semiHidden/>
    <w:qFormat/>
    <w:uiPriority w:val="0"/>
    <w:pPr>
      <w:widowControl w:val="0"/>
      <w:jc w:val="center"/>
    </w:pPr>
    <w:rPr>
      <w:rFonts w:ascii="仿宋_GB2312" w:hAnsi="宋体" w:eastAsia="仿宋_GB2312" w:cs="宋体"/>
      <w:bCs/>
      <w:sz w:val="24"/>
      <w:szCs w:val="28"/>
    </w:rPr>
  </w:style>
  <w:style w:type="paragraph" w:customStyle="1" w:styleId="78">
    <w:name w:val="+正文"/>
    <w:basedOn w:val="1"/>
    <w:qFormat/>
    <w:uiPriority w:val="0"/>
    <w:pPr>
      <w:spacing w:beforeLines="0" w:afterLines="0"/>
    </w:pPr>
    <w:rPr>
      <w:b/>
      <w:szCs w:val="20"/>
    </w:rPr>
  </w:style>
  <w:style w:type="character" w:customStyle="1" w:styleId="79">
    <w:name w:val="disabled"/>
    <w:basedOn w:val="28"/>
    <w:qFormat/>
    <w:uiPriority w:val="0"/>
    <w:rPr>
      <w:color w:val="757575"/>
    </w:rPr>
  </w:style>
  <w:style w:type="character" w:customStyle="1" w:styleId="80">
    <w:name w:val="disabled1"/>
    <w:basedOn w:val="28"/>
    <w:qFormat/>
    <w:uiPriority w:val="0"/>
    <w:rPr>
      <w:color w:val="757575"/>
    </w:rPr>
  </w:style>
  <w:style w:type="character" w:customStyle="1" w:styleId="81">
    <w:name w:val="after"/>
    <w:basedOn w:val="28"/>
    <w:qFormat/>
    <w:uiPriority w:val="0"/>
    <w:rPr>
      <w:bdr w:val="single" w:color="E3E7ED" w:sz="6" w:space="0"/>
    </w:rPr>
  </w:style>
  <w:style w:type="character" w:customStyle="1" w:styleId="82">
    <w:name w:val="after1"/>
    <w:basedOn w:val="28"/>
    <w:qFormat/>
    <w:uiPriority w:val="0"/>
    <w:rPr>
      <w:bdr w:val="single" w:color="E3E7ED" w:sz="6" w:space="0"/>
    </w:rPr>
  </w:style>
  <w:style w:type="character" w:customStyle="1" w:styleId="83">
    <w:name w:val="last-child"/>
    <w:basedOn w:val="28"/>
    <w:qFormat/>
    <w:uiPriority w:val="0"/>
  </w:style>
  <w:style w:type="character" w:customStyle="1" w:styleId="84">
    <w:name w:val="active1"/>
    <w:basedOn w:val="28"/>
    <w:qFormat/>
    <w:uiPriority w:val="0"/>
    <w:rPr>
      <w:color w:val="333333"/>
    </w:rPr>
  </w:style>
  <w:style w:type="character" w:customStyle="1" w:styleId="85">
    <w:name w:val="active2"/>
    <w:basedOn w:val="28"/>
    <w:qFormat/>
    <w:uiPriority w:val="0"/>
    <w:rPr>
      <w:color w:val="1565C0"/>
    </w:rPr>
  </w:style>
  <w:style w:type="character" w:customStyle="1" w:styleId="86">
    <w:name w:val="active3"/>
    <w:basedOn w:val="28"/>
    <w:qFormat/>
    <w:uiPriority w:val="0"/>
    <w:rPr>
      <w:color w:val="1565C0"/>
    </w:rPr>
  </w:style>
  <w:style w:type="character" w:customStyle="1" w:styleId="87">
    <w:name w:val="active4"/>
    <w:basedOn w:val="28"/>
    <w:qFormat/>
    <w:uiPriority w:val="0"/>
    <w:rPr>
      <w:color w:val="1565C0"/>
    </w:rPr>
  </w:style>
  <w:style w:type="character" w:customStyle="1" w:styleId="88">
    <w:name w:val="active5"/>
    <w:basedOn w:val="28"/>
    <w:qFormat/>
    <w:uiPriority w:val="0"/>
    <w:rPr>
      <w:color w:val="1565C0"/>
    </w:rPr>
  </w:style>
  <w:style w:type="character" w:customStyle="1" w:styleId="89">
    <w:name w:val="active6"/>
    <w:basedOn w:val="28"/>
    <w:qFormat/>
    <w:uiPriority w:val="0"/>
    <w:rPr>
      <w:color w:val="333333"/>
    </w:rPr>
  </w:style>
  <w:style w:type="character" w:customStyle="1" w:styleId="90">
    <w:name w:val="active7"/>
    <w:basedOn w:val="28"/>
    <w:qFormat/>
    <w:uiPriority w:val="0"/>
    <w:rPr>
      <w:color w:val="333333"/>
    </w:rPr>
  </w:style>
  <w:style w:type="character" w:customStyle="1" w:styleId="91">
    <w:name w:val="first-child"/>
    <w:basedOn w:val="28"/>
    <w:qFormat/>
    <w:uiPriority w:val="0"/>
  </w:style>
  <w:style w:type="character" w:customStyle="1" w:styleId="92">
    <w:name w:val="hover9"/>
    <w:basedOn w:val="28"/>
    <w:qFormat/>
    <w:uiPriority w:val="0"/>
    <w:rPr>
      <w:color w:val="1565C0"/>
    </w:rPr>
  </w:style>
  <w:style w:type="character" w:customStyle="1" w:styleId="93">
    <w:name w:val="active"/>
    <w:basedOn w:val="28"/>
    <w:qFormat/>
    <w:uiPriority w:val="0"/>
    <w:rPr>
      <w:color w:val="1565C0"/>
    </w:rPr>
  </w:style>
  <w:style w:type="character" w:customStyle="1" w:styleId="94">
    <w:name w:val="hover8"/>
    <w:basedOn w:val="28"/>
    <w:qFormat/>
    <w:uiPriority w:val="0"/>
    <w:rPr>
      <w:color w:val="1565C0"/>
    </w:rPr>
  </w:style>
  <w:style w:type="paragraph" w:customStyle="1" w:styleId="95">
    <w:name w:val="Table Text"/>
    <w:basedOn w:val="1"/>
    <w:semiHidden/>
    <w:qFormat/>
    <w:uiPriority w:val="0"/>
    <w:rPr>
      <w:rFonts w:ascii="宋体" w:hAnsi="宋体" w:eastAsia="宋体" w:cs="宋体"/>
      <w:sz w:val="24"/>
      <w:szCs w:val="24"/>
      <w:lang w:val="en-US" w:eastAsia="en-US" w:bidi="ar-SA"/>
    </w:rPr>
  </w:style>
  <w:style w:type="character" w:customStyle="1" w:styleId="96">
    <w:name w:val="nth-child(1)"/>
    <w:basedOn w:val="28"/>
    <w:qFormat/>
    <w:uiPriority w:val="0"/>
  </w:style>
  <w:style w:type="character" w:customStyle="1" w:styleId="97">
    <w:name w:val="nth-child(1)1"/>
    <w:basedOn w:val="28"/>
    <w:qFormat/>
    <w:uiPriority w:val="0"/>
  </w:style>
  <w:style w:type="character" w:customStyle="1" w:styleId="98">
    <w:name w:val="nth-child(5)"/>
    <w:basedOn w:val="28"/>
    <w:qFormat/>
    <w:uiPriority w:val="0"/>
  </w:style>
  <w:style w:type="character" w:customStyle="1" w:styleId="99">
    <w:name w:val="hover6"/>
    <w:basedOn w:val="28"/>
    <w:qFormat/>
    <w:uiPriority w:val="0"/>
  </w:style>
  <w:style w:type="character" w:customStyle="1" w:styleId="100">
    <w:name w:val="nth-child(2)"/>
    <w:basedOn w:val="28"/>
    <w:qFormat/>
    <w:uiPriority w:val="0"/>
  </w:style>
  <w:style w:type="character" w:customStyle="1" w:styleId="101">
    <w:name w:val="nth-child(4)"/>
    <w:basedOn w:val="28"/>
    <w:qFormat/>
    <w:uiPriority w:val="0"/>
  </w:style>
  <w:style w:type="paragraph" w:customStyle="1" w:styleId="102">
    <w:name w:val="表格标题"/>
    <w:basedOn w:val="103"/>
    <w:next w:val="1"/>
    <w:autoRedefine/>
    <w:qFormat/>
    <w:uiPriority w:val="0"/>
    <w:pPr>
      <w:spacing w:line="240" w:lineRule="auto"/>
      <w:ind w:firstLine="0" w:firstLineChars="0"/>
      <w:jc w:val="center"/>
    </w:pPr>
    <w:rPr>
      <w:rFonts w:ascii="Times New Roman" w:hAnsi="Times New Roman"/>
      <w:szCs w:val="21"/>
    </w:rPr>
  </w:style>
  <w:style w:type="paragraph" w:customStyle="1" w:styleId="103">
    <w:name w:val="表头 + 行距: 1.5 倍行距"/>
    <w:basedOn w:val="10"/>
    <w:autoRedefine/>
    <w:qFormat/>
    <w:uiPriority w:val="0"/>
    <w:pPr>
      <w:spacing w:line="360" w:lineRule="auto"/>
      <w:jc w:val="center"/>
    </w:pPr>
    <w:rPr>
      <w:rFonts w:ascii="Arial" w:hAnsi="Arial"/>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E5NzQ0OTM0OTIxIiwKCSJHcm91cElkIiA6ICIzNTY1NzI5NzEiLAoJIkltYWdlIiA6ICJpVkJPUncwS0dnb0FBQUFOU1VoRVVnQUFBdXNBQUFOakNBWUFBQUFUYlZROEFBQUFDWEJJV1hNQUFBc1RBQUFMRXdFQW1wd1lBQUFnQUVsRVFWUjRuT3pkZVh4VFZmNy84ZmROMmdKVlVIWkhaZ2JCWFVkb1V3RkJRRUR4QzUyNmdXeUNqTGdnaTZQaUFvSWlnNmlqb3FLQUFrSVpGQVJFUktESVBpeUNJa3MzRm44cXFFVlJSbGFCdG5SSjd2bjlVUnViTnQwUW1wUzhubzhIRDNQUFBTZjNrd3JKTzZmbjNpc0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RkL0Q4SXBQelg2azJUb1FBQUFBQkpSVTVFcmtKZ2dnPT0iLAoJIlRoZW1lIiA6ICIiLAoJIlR5cGUiIDogImZsb3ciLAoJIlZlcnNpb24iIDogIjYw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C0A3DA-D5BC-4CF9-B054-CAFFCCF2C823}">
  <ds:schemaRefs/>
</ds:datastoreItem>
</file>

<file path=docProps/app.xml><?xml version="1.0" encoding="utf-8"?>
<Properties xmlns="http://schemas.openxmlformats.org/officeDocument/2006/extended-properties" xmlns:vt="http://schemas.openxmlformats.org/officeDocument/2006/docPropsVTypes">
  <Template>Normal</Template>
  <Pages>65</Pages>
  <Words>5517</Words>
  <Characters>5823</Characters>
  <Lines>201</Lines>
  <Paragraphs>56</Paragraphs>
  <TotalTime>18</TotalTime>
  <ScaleCrop>false</ScaleCrop>
  <LinksUpToDate>false</LinksUpToDate>
  <CharactersWithSpaces>5906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2021-03-29T02:11:00Z</dcterms:created>
  <dc:creator>demepol@163.com</dc:creator>
  <cp:lastModifiedBy>鱼儿</cp:lastModifiedBy>
  <dcterms:modified xsi:type="dcterms:W3CDTF">2025-03-24T07:15:32Z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58388AE0C46F436FB10EA9C60495EC62_13</vt:lpwstr>
  </property>
  <property fmtid="{D5CDD505-2E9C-101B-9397-08002B2CF9AE}" pid="4" name="KSOTemplateDocerSaveRecord">
    <vt:lpwstr>eyJoZGlkIjoiZTY5MGFlNTdlZjkzNjdlYzUyMzQ3OTY0OTRlZmU5N2IiLCJ1c2VySWQiOiI0NjI0MTY4NzQifQ==</vt:lpwstr>
  </property>
</Properties>
</file>