
<file path=[Content_Types].xml><?xml version="1.0" encoding="utf-8"?>
<Types xmlns="http://schemas.openxmlformats.org/package/2006/content-types">
  <Default Extension="xml" ContentType="application/xml"/>
  <Default Extension="emf" ContentType="image/x-emf"/>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6"/>
        <w:rPr>
          <w:color w:val="FF0000"/>
        </w:rPr>
      </w:pPr>
    </w:p>
    <w:p>
      <w:pPr>
        <w:pStyle w:val="19"/>
      </w:pPr>
    </w:p>
    <w:p>
      <w:pPr>
        <w:pStyle w:val="19"/>
        <w:rPr>
          <w:color w:val="FF0000"/>
        </w:rPr>
      </w:pPr>
    </w:p>
    <w:p>
      <w:pPr>
        <w:pStyle w:val="19"/>
        <w:rPr>
          <w:color w:val="000000" w:themeColor="text1"/>
          <w14:textFill>
            <w14:solidFill>
              <w14:schemeClr w14:val="tx1"/>
            </w14:solidFill>
          </w14:textFill>
        </w:rPr>
      </w:pPr>
    </w:p>
    <w:p>
      <w:pPr>
        <w:adjustRightInd w:val="0"/>
        <w:snapToGrid w:val="0"/>
        <w:jc w:val="center"/>
        <w:outlineLvl w:val="0"/>
        <w:rPr>
          <w:rFonts w:hint="eastAsia" w:ascii="方正小标宋_GBK" w:eastAsia="方正小标宋_GBK"/>
          <w:bCs/>
          <w:color w:val="000000" w:themeColor="text1"/>
          <w:sz w:val="72"/>
          <w:szCs w:val="72"/>
          <w14:textFill>
            <w14:solidFill>
              <w14:schemeClr w14:val="tx1"/>
            </w14:solidFill>
          </w14:textFill>
        </w:rPr>
      </w:pPr>
      <w:r>
        <w:rPr>
          <w:rFonts w:hint="eastAsia" w:ascii="方正小标宋_GBK" w:eastAsia="方正小标宋_GBK"/>
          <w:bCs/>
          <w:color w:val="000000" w:themeColor="text1"/>
          <w:sz w:val="72"/>
          <w:szCs w:val="72"/>
          <w14:textFill>
            <w14:solidFill>
              <w14:schemeClr w14:val="tx1"/>
            </w14:solidFill>
          </w14:textFill>
        </w:rPr>
        <w:t>建设项目环境影响报告表</w:t>
      </w:r>
    </w:p>
    <w:p>
      <w:pPr>
        <w:pStyle w:val="6"/>
      </w:pPr>
    </w:p>
    <w:p>
      <w:pPr>
        <w:adjustRightInd w:val="0"/>
        <w:snapToGrid w:val="0"/>
        <w:spacing w:before="192" w:beforeLines="80"/>
        <w:jc w:val="center"/>
        <w:rPr>
          <w:rFonts w:ascii="楷体_GB2312" w:eastAsia="楷体_GB2312"/>
          <w:bCs/>
          <w:color w:val="000000" w:themeColor="text1"/>
          <w:sz w:val="48"/>
          <w:szCs w:val="48"/>
          <w14:textFill>
            <w14:solidFill>
              <w14:schemeClr w14:val="tx1"/>
            </w14:solidFill>
          </w14:textFill>
        </w:rPr>
      </w:pPr>
      <w:r>
        <w:rPr>
          <w:rFonts w:hint="eastAsia" w:ascii="楷体_GB2312" w:eastAsia="楷体_GB2312"/>
          <w:bCs/>
          <w:color w:val="000000" w:themeColor="text1"/>
          <w:sz w:val="48"/>
          <w:szCs w:val="48"/>
          <w14:textFill>
            <w14:solidFill>
              <w14:schemeClr w14:val="tx1"/>
            </w14:solidFill>
          </w14:textFill>
        </w:rPr>
        <w:t>（污染影响类）</w:t>
      </w:r>
    </w:p>
    <w:p>
      <w:pPr>
        <w:rPr>
          <w:color w:val="000000" w:themeColor="text1"/>
          <w14:textFill>
            <w14:solidFill>
              <w14:schemeClr w14:val="tx1"/>
            </w14:solidFill>
          </w14:textFill>
        </w:rPr>
      </w:pPr>
      <w:bookmarkStart w:id="0" w:name="_Hlk57883728"/>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bookmarkEnd w:id="0"/>
    <w:p>
      <w:pPr>
        <w:adjustRightInd w:val="0"/>
        <w:snapToGrid w:val="0"/>
        <w:spacing w:line="288" w:lineRule="auto"/>
        <w:jc w:val="center"/>
        <w:rPr>
          <w:rFonts w:eastAsia="仿宋_GB2312"/>
          <w:color w:val="000000" w:themeColor="text1"/>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项目名称：</w:t>
      </w:r>
      <w:r>
        <w:rPr>
          <w:rFonts w:hint="eastAsia" w:ascii="仿宋_GB2312" w:eastAsia="仿宋_GB2312"/>
          <w:color w:val="000000" w:themeColor="text1"/>
          <w:sz w:val="36"/>
          <w:szCs w:val="36"/>
          <w:u w:val="single"/>
          <w:lang w:val="en-US" w:eastAsia="zh-CN"/>
          <w14:textFill>
            <w14:solidFill>
              <w14:schemeClr w14:val="tx1"/>
            </w14:solidFill>
          </w14:textFill>
        </w:rPr>
        <w:t>黄河宁夏段河道治理工程(中卫段)—</w:t>
      </w:r>
      <w:r>
        <w:rPr>
          <w:rFonts w:hint="eastAsia" w:ascii="仿宋_GB2312" w:eastAsia="仿宋_GB2312"/>
          <w:color w:val="000000" w:themeColor="text1"/>
          <w:sz w:val="36"/>
          <w:szCs w:val="36"/>
          <w:u w:val="single"/>
          <w14:textFill>
            <w14:solidFill>
              <w14:schemeClr w14:val="tx1"/>
            </w14:solidFill>
          </w14:textFill>
        </w:rPr>
        <w:t>中宁县鑫力砼业制品有限公司临时拌合站项目</w:t>
      </w:r>
    </w:p>
    <w:p>
      <w:pPr>
        <w:adjustRightInd w:val="0"/>
        <w:snapToGrid w:val="0"/>
        <w:spacing w:line="288" w:lineRule="auto"/>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建设单位（盖章）：</w:t>
      </w:r>
      <w:r>
        <w:rPr>
          <w:rFonts w:hint="eastAsia" w:eastAsia="仿宋_GB2312"/>
          <w:color w:val="000000" w:themeColor="text1"/>
          <w:sz w:val="36"/>
          <w:szCs w:val="36"/>
          <w:u w:val="single"/>
          <w14:textFill>
            <w14:solidFill>
              <w14:schemeClr w14:val="tx1"/>
            </w14:solidFill>
          </w14:textFill>
        </w:rPr>
        <w:t>中宁县鑫力砼业制品有限公司</w:t>
      </w:r>
      <w:r>
        <w:rPr>
          <w:rFonts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14:textFill>
            <w14:solidFill>
              <w14:schemeClr w14:val="tx1"/>
            </w14:solidFill>
          </w14:textFill>
        </w:rPr>
        <w:t xml:space="preserve">     </w:t>
      </w:r>
    </w:p>
    <w:p>
      <w:pPr>
        <w:adjustRightInd w:val="0"/>
        <w:snapToGrid w:val="0"/>
        <w:spacing w:line="288" w:lineRule="auto"/>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编制日期：</w:t>
      </w:r>
      <w:r>
        <w:rPr>
          <w:rFonts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14:textFill>
            <w14:solidFill>
              <w14:schemeClr w14:val="tx1"/>
            </w14:solidFill>
          </w14:textFill>
        </w:rPr>
        <w:t xml:space="preserve"> </w:t>
      </w:r>
      <w:r>
        <w:rPr>
          <w:rFonts w:eastAsia="仿宋_GB2312"/>
          <w:color w:val="000000" w:themeColor="text1"/>
          <w:sz w:val="36"/>
          <w:szCs w:val="36"/>
          <w:u w:val="single"/>
          <w14:textFill>
            <w14:solidFill>
              <w14:schemeClr w14:val="tx1"/>
            </w14:solidFill>
          </w14:textFill>
        </w:rPr>
        <w:t xml:space="preserve">  202</w:t>
      </w:r>
      <w:r>
        <w:rPr>
          <w:rFonts w:hint="eastAsia" w:eastAsia="仿宋_GB2312"/>
          <w:color w:val="000000" w:themeColor="text1"/>
          <w:sz w:val="36"/>
          <w:szCs w:val="36"/>
          <w:u w:val="single"/>
          <w14:textFill>
            <w14:solidFill>
              <w14:schemeClr w14:val="tx1"/>
            </w14:solidFill>
          </w14:textFill>
        </w:rPr>
        <w:t>4</w:t>
      </w:r>
      <w:r>
        <w:rPr>
          <w:rFonts w:eastAsia="仿宋_GB2312"/>
          <w:color w:val="000000" w:themeColor="text1"/>
          <w:sz w:val="36"/>
          <w:szCs w:val="36"/>
          <w:u w:val="single"/>
          <w14:textFill>
            <w14:solidFill>
              <w14:schemeClr w14:val="tx1"/>
            </w14:solidFill>
          </w14:textFill>
        </w:rPr>
        <w:t>年</w:t>
      </w:r>
      <w:r>
        <w:rPr>
          <w:rFonts w:hint="eastAsia" w:eastAsia="仿宋_GB2312"/>
          <w:color w:val="000000" w:themeColor="text1"/>
          <w:sz w:val="36"/>
          <w:szCs w:val="36"/>
          <w:u w:val="single"/>
          <w:lang w:val="en-US" w:eastAsia="zh-CN"/>
          <w14:textFill>
            <w14:solidFill>
              <w14:schemeClr w14:val="tx1"/>
            </w14:solidFill>
          </w14:textFill>
        </w:rPr>
        <w:t>11</w:t>
      </w:r>
      <w:r>
        <w:rPr>
          <w:rFonts w:eastAsia="仿宋_GB2312"/>
          <w:color w:val="000000" w:themeColor="text1"/>
          <w:sz w:val="36"/>
          <w:szCs w:val="36"/>
          <w:u w:val="single"/>
          <w14:textFill>
            <w14:solidFill>
              <w14:schemeClr w14:val="tx1"/>
            </w14:solidFill>
          </w14:textFill>
        </w:rPr>
        <w:t xml:space="preserve">月              </w:t>
      </w:r>
      <w:r>
        <w:rPr>
          <w:rFonts w:hint="eastAsia" w:eastAsia="仿宋_GB2312"/>
          <w:color w:val="000000" w:themeColor="text1"/>
          <w:sz w:val="36"/>
          <w:szCs w:val="36"/>
          <w:u w:val="single"/>
          <w14:textFill>
            <w14:solidFill>
              <w14:schemeClr w14:val="tx1"/>
            </w14:solidFill>
          </w14:textFill>
        </w:rPr>
        <w:t xml:space="preserve">   </w:t>
      </w:r>
    </w:p>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pPr>
        <w:pStyle w:val="6"/>
        <w:ind w:firstLine="480"/>
        <w:rPr>
          <w:color w:val="000000" w:themeColor="text1"/>
          <w14:textFill>
            <w14:solidFill>
              <w14:schemeClr w14:val="tx1"/>
            </w14:solidFill>
          </w14:textFill>
        </w:rPr>
      </w:pPr>
    </w:p>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pPr>
        <w:adjustRightInd w:val="0"/>
        <w:snapToGrid w:val="0"/>
        <w:spacing w:line="288" w:lineRule="auto"/>
        <w:jc w:val="center"/>
        <w:rPr>
          <w:rFonts w:eastAsia="楷体_GB2312"/>
          <w:color w:val="000000" w:themeColor="text1"/>
          <w:sz w:val="36"/>
          <w:szCs w:val="36"/>
          <w14:textFill>
            <w14:solidFill>
              <w14:schemeClr w14:val="tx1"/>
            </w14:solidFill>
          </w14:textFill>
        </w:rPr>
        <w:sectPr>
          <w:footerReference r:id="rId3" w:type="default"/>
          <w:pgSz w:w="11906" w:h="16838"/>
          <w:pgMar w:top="1587" w:right="1361" w:bottom="1587" w:left="1361" w:header="851" w:footer="1077" w:gutter="0"/>
          <w:pgBorders>
            <w:top w:val="none" w:sz="0" w:space="0"/>
            <w:left w:val="none" w:sz="0" w:space="0"/>
            <w:bottom w:val="none" w:sz="0" w:space="0"/>
            <w:right w:val="none" w:sz="0" w:space="0"/>
          </w:pgBorders>
          <w:pgNumType w:start="1"/>
          <w:cols w:space="720" w:num="1"/>
          <w:docGrid w:linePitch="312" w:charSpace="0"/>
        </w:sectPr>
      </w:pPr>
      <w:r>
        <w:rPr>
          <w:rFonts w:eastAsia="楷体_GB2312"/>
          <w:color w:val="000000" w:themeColor="text1"/>
          <w:sz w:val="36"/>
          <w:szCs w:val="36"/>
          <w14:textFill>
            <w14:solidFill>
              <w14:schemeClr w14:val="tx1"/>
            </w14:solidFill>
          </w14:textFill>
        </w:rPr>
        <w:t>中华人民共和国生态环境部制</w:t>
      </w:r>
    </w:p>
    <w:p>
      <w:pPr>
        <w:pStyle w:val="2"/>
        <w:adjustRightInd w:val="0"/>
        <w:spacing w:before="0" w:after="0" w:line="240" w:lineRule="auto"/>
        <w:ind w:left="0" w:firstLine="0"/>
        <w:jc w:val="center"/>
        <w:rPr>
          <w:color w:val="000000" w:themeColor="text1"/>
          <w14:textFill>
            <w14:solidFill>
              <w14:schemeClr w14:val="tx1"/>
            </w14:solidFill>
          </w14:textFill>
        </w:rPr>
      </w:pPr>
      <w:r>
        <w:rPr>
          <w:color w:val="000000" w:themeColor="text1"/>
          <w14:textFill>
            <w14:solidFill>
              <w14:schemeClr w14:val="tx1"/>
            </w14:solidFill>
          </w14:textFill>
        </w:rPr>
        <w:t>一、建设项目基本情况</w:t>
      </w:r>
    </w:p>
    <w:tbl>
      <w:tblPr>
        <w:tblStyle w:val="24"/>
        <w:tblW w:w="530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1629"/>
        <w:gridCol w:w="2720"/>
        <w:gridCol w:w="1591"/>
        <w:gridCol w:w="34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1612" w:type="dxa"/>
            <w:tcMar>
              <w:top w:w="16" w:type="dxa"/>
              <w:left w:w="16" w:type="dxa"/>
              <w:right w:w="16" w:type="dxa"/>
            </w:tcMar>
            <w:vAlign w:val="center"/>
          </w:tcPr>
          <w:p>
            <w:pPr>
              <w:pStyle w:val="7"/>
              <w:adjustRightInd w:val="0"/>
              <w:snapToGrid w:val="0"/>
              <w:spacing w:after="0"/>
              <w:ind w:left="0" w:leftChars="0"/>
              <w:jc w:val="center"/>
              <w:rPr>
                <w:b/>
                <w:bCs/>
                <w:color w:val="auto"/>
                <w:szCs w:val="24"/>
              </w:rPr>
            </w:pPr>
            <w:r>
              <w:rPr>
                <w:b/>
                <w:bCs/>
                <w:color w:val="auto"/>
                <w:szCs w:val="24"/>
              </w:rPr>
              <w:t>建设项目</w:t>
            </w:r>
          </w:p>
          <w:p>
            <w:pPr>
              <w:pStyle w:val="7"/>
              <w:adjustRightInd w:val="0"/>
              <w:snapToGrid w:val="0"/>
              <w:spacing w:after="0"/>
              <w:ind w:left="0" w:leftChars="0"/>
              <w:jc w:val="center"/>
              <w:rPr>
                <w:b/>
                <w:bCs/>
                <w:color w:val="auto"/>
                <w:szCs w:val="24"/>
              </w:rPr>
            </w:pPr>
            <w:r>
              <w:rPr>
                <w:b/>
                <w:bCs/>
                <w:color w:val="auto"/>
                <w:szCs w:val="24"/>
              </w:rPr>
              <w:t>名称</w:t>
            </w:r>
          </w:p>
        </w:tc>
        <w:tc>
          <w:tcPr>
            <w:tcW w:w="7680" w:type="dxa"/>
            <w:gridSpan w:val="3"/>
            <w:vAlign w:val="center"/>
          </w:tcPr>
          <w:p>
            <w:pPr>
              <w:adjustRightInd w:val="0"/>
              <w:snapToGrid w:val="0"/>
              <w:jc w:val="center"/>
              <w:rPr>
                <w:color w:val="auto"/>
                <w:sz w:val="24"/>
              </w:rPr>
            </w:pPr>
            <w:r>
              <w:rPr>
                <w:rFonts w:hint="eastAsia"/>
                <w:color w:val="auto"/>
                <w:sz w:val="24"/>
                <w:lang w:val="en-US" w:eastAsia="zh-CN"/>
              </w:rPr>
              <w:t>黄河宁夏段河道治理工程(中卫段)—</w:t>
            </w:r>
            <w:r>
              <w:rPr>
                <w:rFonts w:hint="eastAsia"/>
                <w:color w:val="auto"/>
                <w:sz w:val="24"/>
              </w:rPr>
              <w:t>中宁县鑫力砼业制品有限公司临时拌合站项目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82" w:hRule="atLeast"/>
          <w:jc w:val="center"/>
        </w:trPr>
        <w:tc>
          <w:tcPr>
            <w:tcW w:w="1612" w:type="dxa"/>
            <w:tcMar>
              <w:top w:w="16" w:type="dxa"/>
              <w:left w:w="16" w:type="dxa"/>
              <w:right w:w="16" w:type="dxa"/>
            </w:tcMar>
            <w:vAlign w:val="center"/>
          </w:tcPr>
          <w:p>
            <w:pPr>
              <w:pStyle w:val="7"/>
              <w:adjustRightInd w:val="0"/>
              <w:snapToGrid w:val="0"/>
              <w:spacing w:after="0"/>
              <w:ind w:left="0" w:left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项目代码</w:t>
            </w:r>
          </w:p>
        </w:tc>
        <w:tc>
          <w:tcPr>
            <w:tcW w:w="7680" w:type="dxa"/>
            <w:gridSpan w:val="3"/>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1612" w:type="dxa"/>
            <w:tcMar>
              <w:top w:w="16" w:type="dxa"/>
              <w:left w:w="16" w:type="dxa"/>
              <w:right w:w="16" w:type="dxa"/>
            </w:tcMar>
            <w:vAlign w:val="center"/>
          </w:tcPr>
          <w:p>
            <w:pPr>
              <w:pStyle w:val="7"/>
              <w:adjustRightInd w:val="0"/>
              <w:snapToGrid w:val="0"/>
              <w:spacing w:after="0"/>
              <w:ind w:left="0" w:leftChars="0"/>
              <w:jc w:val="center"/>
              <w:rPr>
                <w:b/>
                <w:bCs/>
                <w:color w:val="auto"/>
                <w:szCs w:val="24"/>
              </w:rPr>
            </w:pPr>
            <w:r>
              <w:rPr>
                <w:b/>
                <w:bCs/>
                <w:color w:val="auto"/>
                <w:szCs w:val="24"/>
              </w:rPr>
              <w:t>建设单位</w:t>
            </w:r>
          </w:p>
          <w:p>
            <w:pPr>
              <w:pStyle w:val="7"/>
              <w:adjustRightInd w:val="0"/>
              <w:snapToGrid w:val="0"/>
              <w:spacing w:after="0"/>
              <w:ind w:left="0" w:leftChars="0"/>
              <w:jc w:val="center"/>
              <w:rPr>
                <w:b/>
                <w:bCs/>
                <w:color w:val="auto"/>
                <w:szCs w:val="24"/>
              </w:rPr>
            </w:pPr>
            <w:r>
              <w:rPr>
                <w:b/>
                <w:bCs/>
                <w:color w:val="auto"/>
                <w:szCs w:val="24"/>
              </w:rPr>
              <w:t>联系人</w:t>
            </w:r>
          </w:p>
        </w:tc>
        <w:tc>
          <w:tcPr>
            <w:tcW w:w="2692" w:type="dxa"/>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张伟</w:t>
            </w:r>
          </w:p>
        </w:tc>
        <w:tc>
          <w:tcPr>
            <w:tcW w:w="1575" w:type="dxa"/>
            <w:vAlign w:val="center"/>
          </w:tcPr>
          <w:p>
            <w:pPr>
              <w:adjustRightInd w:val="0"/>
              <w:snapToGrid w:val="0"/>
              <w:jc w:val="center"/>
              <w:rPr>
                <w:color w:val="auto"/>
                <w:sz w:val="24"/>
              </w:rPr>
            </w:pPr>
            <w:r>
              <w:rPr>
                <w:b/>
                <w:bCs/>
                <w:color w:val="auto"/>
                <w:sz w:val="24"/>
              </w:rPr>
              <w:t>联系方式</w:t>
            </w:r>
          </w:p>
        </w:tc>
        <w:tc>
          <w:tcPr>
            <w:tcW w:w="3413" w:type="dxa"/>
            <w:vAlign w:val="center"/>
          </w:tcPr>
          <w:p>
            <w:pPr>
              <w:adjustRightInd w:val="0"/>
              <w:snapToGrid w:val="0"/>
              <w:jc w:val="center"/>
              <w:rPr>
                <w:rFonts w:hint="eastAsia" w:eastAsia="宋体"/>
                <w:color w:val="auto"/>
                <w:sz w:val="24"/>
                <w:lang w:eastAsia="zh-CN"/>
              </w:rPr>
            </w:pPr>
            <w:r>
              <w:rPr>
                <w:rFonts w:hint="eastAsia"/>
                <w:color w:val="auto"/>
                <w:sz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82" w:hRule="atLeast"/>
          <w:jc w:val="center"/>
        </w:trPr>
        <w:tc>
          <w:tcPr>
            <w:tcW w:w="1612" w:type="dxa"/>
            <w:tcMar>
              <w:top w:w="16" w:type="dxa"/>
              <w:left w:w="16" w:type="dxa"/>
              <w:right w:w="16" w:type="dxa"/>
            </w:tcMar>
            <w:vAlign w:val="center"/>
          </w:tcPr>
          <w:p>
            <w:pPr>
              <w:pStyle w:val="7"/>
              <w:adjustRightInd w:val="0"/>
              <w:snapToGrid w:val="0"/>
              <w:spacing w:after="0"/>
              <w:ind w:left="0" w:left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建设地点</w:t>
            </w:r>
          </w:p>
        </w:tc>
        <w:tc>
          <w:tcPr>
            <w:tcW w:w="7680" w:type="dxa"/>
            <w:gridSpan w:val="3"/>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宁夏回族自治区中卫市</w:t>
            </w:r>
            <w:r>
              <w:rPr>
                <w:rFonts w:hint="eastAsia"/>
                <w:color w:val="000000" w:themeColor="text1"/>
                <w:sz w:val="24"/>
                <w:lang w:val="en-US" w:eastAsia="zh-CN"/>
                <w14:textFill>
                  <w14:solidFill>
                    <w14:schemeClr w14:val="tx1"/>
                  </w14:solidFill>
                </w14:textFill>
              </w:rPr>
              <w:t>沙坡头区东园镇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82" w:hRule="atLeast"/>
          <w:jc w:val="center"/>
        </w:trPr>
        <w:tc>
          <w:tcPr>
            <w:tcW w:w="1612" w:type="dxa"/>
            <w:tcMar>
              <w:top w:w="16" w:type="dxa"/>
              <w:left w:w="16" w:type="dxa"/>
              <w:right w:w="16" w:type="dxa"/>
            </w:tcMar>
            <w:vAlign w:val="center"/>
          </w:tcPr>
          <w:p>
            <w:pPr>
              <w:pStyle w:val="7"/>
              <w:adjustRightInd w:val="0"/>
              <w:snapToGrid w:val="0"/>
              <w:spacing w:after="0"/>
              <w:ind w:left="0" w:left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地理坐标</w:t>
            </w:r>
          </w:p>
        </w:tc>
        <w:tc>
          <w:tcPr>
            <w:tcW w:w="7680" w:type="dxa"/>
            <w:gridSpan w:val="3"/>
            <w:vAlign w:val="center"/>
          </w:tcPr>
          <w:p>
            <w:pPr>
              <w:adjustRightInd w:val="0"/>
              <w:snapToGrid w:val="0"/>
              <w:jc w:val="center"/>
              <w:rPr>
                <w:color w:val="000000" w:themeColor="text1"/>
                <w:sz w:val="24"/>
                <w14:textFill>
                  <w14:solidFill>
                    <w14:schemeClr w14:val="tx1"/>
                  </w14:solidFill>
                </w14:textFill>
              </w:rPr>
            </w:pPr>
            <w:r>
              <w:rPr>
                <w:rFonts w:hint="eastAsia"/>
                <w:color w:val="auto"/>
                <w:sz w:val="24"/>
              </w:rPr>
              <w:t>项目厂区中心坐标：</w:t>
            </w:r>
            <w:r>
              <w:rPr>
                <w:rFonts w:hint="default" w:ascii="Times New Roman" w:hAnsi="Times New Roman" w:eastAsia="宋体" w:cs="Times New Roman"/>
                <w:color w:val="auto"/>
                <w:sz w:val="24"/>
                <w:szCs w:val="24"/>
                <w:lang w:val="en-US" w:eastAsia="zh-CN"/>
              </w:rPr>
              <w:t>E105°16′48.779″，N37°35′8.277″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1612" w:type="dxa"/>
            <w:tcMar>
              <w:top w:w="16" w:type="dxa"/>
              <w:left w:w="16" w:type="dxa"/>
              <w:right w:w="16" w:type="dxa"/>
            </w:tcMar>
            <w:vAlign w:val="center"/>
          </w:tcPr>
          <w:p>
            <w:pPr>
              <w:pStyle w:val="7"/>
              <w:adjustRightInd w:val="0"/>
              <w:snapToGrid w:val="0"/>
              <w:spacing w:after="0"/>
              <w:ind w:left="0" w:left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国民经济</w:t>
            </w:r>
          </w:p>
          <w:p>
            <w:pPr>
              <w:pStyle w:val="7"/>
              <w:adjustRightInd w:val="0"/>
              <w:snapToGrid w:val="0"/>
              <w:spacing w:after="0"/>
              <w:ind w:left="0" w:left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行业类别</w:t>
            </w:r>
          </w:p>
        </w:tc>
        <w:tc>
          <w:tcPr>
            <w:tcW w:w="2692"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C3021水泥制品制造</w:t>
            </w:r>
          </w:p>
        </w:tc>
        <w:tc>
          <w:tcPr>
            <w:tcW w:w="1575" w:type="dxa"/>
            <w:vAlign w:val="center"/>
          </w:tcPr>
          <w:p>
            <w:pPr>
              <w:adjustRightInd w:val="0"/>
              <w:snapToGrid w:val="0"/>
              <w:jc w:val="center"/>
              <w:rPr>
                <w:b/>
                <w:bCs/>
                <w:color w:val="000000" w:themeColor="text1"/>
                <w:sz w:val="24"/>
                <w14:textFill>
                  <w14:solidFill>
                    <w14:schemeClr w14:val="tx1"/>
                  </w14:solidFill>
                </w14:textFill>
              </w:rPr>
            </w:pPr>
            <w:bookmarkStart w:id="1" w:name="_Hlk49843745"/>
            <w:r>
              <w:rPr>
                <w:b/>
                <w:bCs/>
                <w:color w:val="000000" w:themeColor="text1"/>
                <w:sz w:val="24"/>
                <w14:textFill>
                  <w14:solidFill>
                    <w14:schemeClr w14:val="tx1"/>
                  </w14:solidFill>
                </w14:textFill>
              </w:rPr>
              <w:t>建设项目</w:t>
            </w:r>
          </w:p>
          <w:p>
            <w:pPr>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行业类别</w:t>
            </w:r>
            <w:bookmarkEnd w:id="1"/>
          </w:p>
        </w:tc>
        <w:tc>
          <w:tcPr>
            <w:tcW w:w="3413"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二十七、非金属矿物制品业30</w:t>
            </w:r>
          </w:p>
          <w:p>
            <w:pPr>
              <w:pStyle w:val="6"/>
              <w:ind w:left="0" w:leftChars="0" w:firstLine="0" w:firstLineChars="0"/>
              <w:rPr>
                <w:color w:val="000000" w:themeColor="text1"/>
                <w:szCs w:val="24"/>
                <w14:textFill>
                  <w14:solidFill>
                    <w14:schemeClr w14:val="tx1"/>
                  </w14:solidFill>
                </w14:textFill>
              </w:rPr>
            </w:pPr>
            <w:r>
              <w:rPr>
                <w:color w:val="000000" w:themeColor="text1"/>
                <w:szCs w:val="24"/>
                <w14:textFill>
                  <w14:solidFill>
                    <w14:schemeClr w14:val="tx1"/>
                  </w14:solidFill>
                </w14:textFill>
              </w:rPr>
              <w:t>55.石膏、水泥制品及类似制品制造</w:t>
            </w:r>
            <w:r>
              <w:rPr>
                <w:rFonts w:hint="eastAsia"/>
                <w:color w:val="000000" w:themeColor="text1"/>
                <w:szCs w:val="24"/>
                <w14:textFill>
                  <w14:solidFill>
                    <w14:schemeClr w14:val="tx1"/>
                  </w14:solidFill>
                </w14:textFill>
              </w:rPr>
              <w:t>302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1612" w:type="dxa"/>
            <w:tcMar>
              <w:top w:w="16" w:type="dxa"/>
              <w:left w:w="16" w:type="dxa"/>
              <w:right w:w="16" w:type="dxa"/>
            </w:tcMar>
            <w:vAlign w:val="center"/>
          </w:tcPr>
          <w:p>
            <w:pPr>
              <w:pStyle w:val="7"/>
              <w:adjustRightInd w:val="0"/>
              <w:snapToGrid w:val="0"/>
              <w:spacing w:after="0"/>
              <w:ind w:left="0" w:left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建设性质</w:t>
            </w:r>
          </w:p>
        </w:tc>
        <w:tc>
          <w:tcPr>
            <w:tcW w:w="2692" w:type="dxa"/>
            <w:vAlign w:val="center"/>
          </w:tcPr>
          <w:p>
            <w:pPr>
              <w:adjustRightInd w:val="0"/>
              <w:snapToGrid w:val="0"/>
              <w:jc w:val="left"/>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sym w:font="Wingdings 2" w:char="0052"/>
            </w:r>
            <w:r>
              <w:rPr>
                <w:color w:val="000000" w:themeColor="text1"/>
                <w:sz w:val="24"/>
                <w14:textFill>
                  <w14:solidFill>
                    <w14:schemeClr w14:val="tx1"/>
                  </w14:solidFill>
                </w14:textFill>
              </w:rPr>
              <w:t>新建</w:t>
            </w:r>
          </w:p>
          <w:p>
            <w:pPr>
              <w:adjustRightInd w:val="0"/>
              <w:snapToGrid w:val="0"/>
              <w:jc w:val="left"/>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sym w:font="Wingdings 2" w:char="00A3"/>
            </w:r>
            <w:r>
              <w:rPr>
                <w:color w:val="000000" w:themeColor="text1"/>
                <w:sz w:val="24"/>
                <w14:textFill>
                  <w14:solidFill>
                    <w14:schemeClr w14:val="tx1"/>
                  </w14:solidFill>
                </w14:textFill>
              </w:rPr>
              <w:t>改建</w:t>
            </w:r>
          </w:p>
          <w:p>
            <w:pPr>
              <w:adjustRightInd w:val="0"/>
              <w:snapToGrid w:val="0"/>
              <w:jc w:val="left"/>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sym w:font="Wingdings 2" w:char="00A3"/>
            </w:r>
            <w:r>
              <w:rPr>
                <w:color w:val="000000" w:themeColor="text1"/>
                <w:sz w:val="24"/>
                <w14:textFill>
                  <w14:solidFill>
                    <w14:schemeClr w14:val="tx1"/>
                  </w14:solidFill>
                </w14:textFill>
              </w:rPr>
              <w:t>扩建</w:t>
            </w:r>
          </w:p>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技术改造</w:t>
            </w:r>
          </w:p>
        </w:tc>
        <w:tc>
          <w:tcPr>
            <w:tcW w:w="1575" w:type="dxa"/>
            <w:vAlign w:val="center"/>
          </w:tcPr>
          <w:p>
            <w:pPr>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建设项目</w:t>
            </w:r>
          </w:p>
          <w:p>
            <w:pPr>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申报情形</w:t>
            </w:r>
          </w:p>
        </w:tc>
        <w:tc>
          <w:tcPr>
            <w:tcW w:w="3413" w:type="dxa"/>
            <w:vAlign w:val="center"/>
          </w:tcPr>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首次申报项目</w:t>
            </w:r>
          </w:p>
          <w:p>
            <w:pPr>
              <w:adjustRightInd w:val="0"/>
              <w:snapToGrid w:val="0"/>
              <w:jc w:val="left"/>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sym w:font="Wingdings 2" w:char="00A3"/>
            </w:r>
            <w:r>
              <w:rPr>
                <w:color w:val="000000" w:themeColor="text1"/>
                <w:sz w:val="24"/>
                <w14:textFill>
                  <w14:solidFill>
                    <w14:schemeClr w14:val="tx1"/>
                  </w14:solidFill>
                </w14:textFill>
              </w:rPr>
              <w:t>不予批准后再次申报项目</w:t>
            </w:r>
          </w:p>
          <w:p>
            <w:pPr>
              <w:adjustRightInd w:val="0"/>
              <w:snapToGrid w:val="0"/>
              <w:jc w:val="left"/>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sym w:font="Wingdings 2" w:char="00A3"/>
            </w:r>
            <w:r>
              <w:rPr>
                <w:color w:val="000000" w:themeColor="text1"/>
                <w:sz w:val="24"/>
                <w14:textFill>
                  <w14:solidFill>
                    <w14:schemeClr w14:val="tx1"/>
                  </w14:solidFill>
                </w14:textFill>
              </w:rPr>
              <w:t>超五年重新审核项目</w:t>
            </w:r>
          </w:p>
          <w:p>
            <w:pPr>
              <w:adjustRightInd w:val="0"/>
              <w:snapToGrid w:val="0"/>
              <w:jc w:val="left"/>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sym w:font="Wingdings 2" w:char="00A3"/>
            </w:r>
            <w:r>
              <w:rPr>
                <w:color w:val="000000" w:themeColor="text1"/>
                <w:sz w:val="24"/>
                <w14:textFill>
                  <w14:solidFill>
                    <w14:schemeClr w14:val="tx1"/>
                  </w14:solidFill>
                </w14:textFill>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1612" w:type="dxa"/>
            <w:tcMar>
              <w:top w:w="16" w:type="dxa"/>
              <w:left w:w="16" w:type="dxa"/>
              <w:right w:w="16" w:type="dxa"/>
            </w:tcMar>
            <w:vAlign w:val="center"/>
          </w:tcPr>
          <w:p>
            <w:pPr>
              <w:pStyle w:val="7"/>
              <w:adjustRightInd w:val="0"/>
              <w:snapToGrid w:val="0"/>
              <w:spacing w:after="0"/>
              <w:ind w:left="0" w:leftChars="0"/>
              <w:jc w:val="center"/>
              <w:rPr>
                <w:b/>
                <w:bCs/>
                <w:color w:val="auto"/>
                <w:szCs w:val="24"/>
              </w:rPr>
            </w:pPr>
            <w:r>
              <w:rPr>
                <w:b/>
                <w:bCs/>
                <w:color w:val="auto"/>
                <w:szCs w:val="24"/>
              </w:rPr>
              <w:t>项目审批（核准/备案）部门（选填）</w:t>
            </w:r>
          </w:p>
        </w:tc>
        <w:tc>
          <w:tcPr>
            <w:tcW w:w="2692" w:type="dxa"/>
            <w:vAlign w:val="center"/>
          </w:tcPr>
          <w:p>
            <w:pPr>
              <w:adjustRightInd w:val="0"/>
              <w:snapToGrid w:val="0"/>
              <w:jc w:val="center"/>
              <w:rPr>
                <w:color w:val="auto"/>
                <w:sz w:val="24"/>
              </w:rPr>
            </w:pPr>
            <w:r>
              <w:rPr>
                <w:color w:val="auto"/>
                <w:sz w:val="24"/>
              </w:rPr>
              <w:t>/</w:t>
            </w:r>
          </w:p>
        </w:tc>
        <w:tc>
          <w:tcPr>
            <w:tcW w:w="1575" w:type="dxa"/>
            <w:vAlign w:val="center"/>
          </w:tcPr>
          <w:p>
            <w:pPr>
              <w:adjustRightInd w:val="0"/>
              <w:snapToGrid w:val="0"/>
              <w:jc w:val="center"/>
              <w:rPr>
                <w:b/>
                <w:bCs/>
                <w:color w:val="auto"/>
                <w:sz w:val="24"/>
              </w:rPr>
            </w:pPr>
            <w:r>
              <w:rPr>
                <w:b/>
                <w:bCs/>
                <w:color w:val="auto"/>
                <w:sz w:val="24"/>
              </w:rPr>
              <w:t>项目审批（核准/备案）文号（选填）</w:t>
            </w:r>
          </w:p>
        </w:tc>
        <w:tc>
          <w:tcPr>
            <w:tcW w:w="3413" w:type="dxa"/>
            <w:vAlign w:val="center"/>
          </w:tcPr>
          <w:p>
            <w:pPr>
              <w:adjustRightInd w:val="0"/>
              <w:snapToGrid w:val="0"/>
              <w:jc w:val="center"/>
              <w:rPr>
                <w:color w:val="auto"/>
                <w:sz w:val="24"/>
              </w:rPr>
            </w:pPr>
            <w:r>
              <w:rPr>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1612" w:type="dxa"/>
            <w:tcMar>
              <w:top w:w="16" w:type="dxa"/>
              <w:left w:w="16" w:type="dxa"/>
              <w:right w:w="16" w:type="dxa"/>
            </w:tcMar>
            <w:vAlign w:val="center"/>
          </w:tcPr>
          <w:p>
            <w:pPr>
              <w:pStyle w:val="7"/>
              <w:adjustRightInd w:val="0"/>
              <w:snapToGrid w:val="0"/>
              <w:spacing w:after="0"/>
              <w:ind w:left="0" w:leftChars="0"/>
              <w:jc w:val="center"/>
              <w:rPr>
                <w:b/>
                <w:bCs/>
                <w:color w:val="auto"/>
                <w:szCs w:val="24"/>
              </w:rPr>
            </w:pPr>
            <w:r>
              <w:rPr>
                <w:b/>
                <w:bCs/>
                <w:color w:val="auto"/>
                <w:szCs w:val="24"/>
              </w:rPr>
              <w:t>总投资</w:t>
            </w:r>
          </w:p>
          <w:p>
            <w:pPr>
              <w:pStyle w:val="7"/>
              <w:adjustRightInd w:val="0"/>
              <w:snapToGrid w:val="0"/>
              <w:spacing w:after="0"/>
              <w:ind w:left="0" w:leftChars="0"/>
              <w:jc w:val="center"/>
              <w:rPr>
                <w:b/>
                <w:bCs/>
                <w:color w:val="auto"/>
                <w:szCs w:val="24"/>
              </w:rPr>
            </w:pPr>
            <w:r>
              <w:rPr>
                <w:b/>
                <w:bCs/>
                <w:color w:val="auto"/>
                <w:szCs w:val="24"/>
              </w:rPr>
              <w:t>（万元）</w:t>
            </w:r>
          </w:p>
        </w:tc>
        <w:tc>
          <w:tcPr>
            <w:tcW w:w="2692" w:type="dxa"/>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62.5</w:t>
            </w:r>
          </w:p>
        </w:tc>
        <w:tc>
          <w:tcPr>
            <w:tcW w:w="1575" w:type="dxa"/>
            <w:tcMar>
              <w:top w:w="16" w:type="dxa"/>
              <w:left w:w="16" w:type="dxa"/>
              <w:right w:w="16" w:type="dxa"/>
            </w:tcMar>
            <w:vAlign w:val="center"/>
          </w:tcPr>
          <w:p>
            <w:pPr>
              <w:adjustRightInd w:val="0"/>
              <w:snapToGrid w:val="0"/>
              <w:jc w:val="center"/>
              <w:rPr>
                <w:b/>
                <w:bCs/>
                <w:color w:val="auto"/>
                <w:sz w:val="24"/>
              </w:rPr>
            </w:pPr>
            <w:r>
              <w:rPr>
                <w:b/>
                <w:bCs/>
                <w:color w:val="auto"/>
                <w:sz w:val="24"/>
              </w:rPr>
              <w:t>环保投资</w:t>
            </w:r>
          </w:p>
          <w:p>
            <w:pPr>
              <w:adjustRightInd w:val="0"/>
              <w:snapToGrid w:val="0"/>
              <w:jc w:val="center"/>
              <w:rPr>
                <w:b/>
                <w:bCs/>
                <w:color w:val="auto"/>
                <w:sz w:val="24"/>
              </w:rPr>
            </w:pPr>
            <w:r>
              <w:rPr>
                <w:b/>
                <w:bCs/>
                <w:color w:val="auto"/>
                <w:sz w:val="24"/>
              </w:rPr>
              <w:t>（万元）</w:t>
            </w:r>
          </w:p>
        </w:tc>
        <w:tc>
          <w:tcPr>
            <w:tcW w:w="3413" w:type="dxa"/>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14.4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1612" w:type="dxa"/>
            <w:tcMar>
              <w:top w:w="16" w:type="dxa"/>
              <w:left w:w="16" w:type="dxa"/>
              <w:right w:w="16" w:type="dxa"/>
            </w:tcMar>
            <w:vAlign w:val="center"/>
          </w:tcPr>
          <w:p>
            <w:pPr>
              <w:pStyle w:val="7"/>
              <w:adjustRightInd w:val="0"/>
              <w:snapToGrid w:val="0"/>
              <w:spacing w:after="0"/>
              <w:ind w:left="0" w:leftChars="0"/>
              <w:jc w:val="center"/>
              <w:rPr>
                <w:b/>
                <w:bCs/>
                <w:color w:val="auto"/>
                <w:szCs w:val="24"/>
              </w:rPr>
            </w:pPr>
            <w:r>
              <w:rPr>
                <w:b/>
                <w:bCs/>
                <w:color w:val="auto"/>
                <w:szCs w:val="24"/>
              </w:rPr>
              <w:t>环保投资占比（%）</w:t>
            </w:r>
          </w:p>
        </w:tc>
        <w:tc>
          <w:tcPr>
            <w:tcW w:w="2692" w:type="dxa"/>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23.04%</w:t>
            </w:r>
          </w:p>
        </w:tc>
        <w:tc>
          <w:tcPr>
            <w:tcW w:w="1575" w:type="dxa"/>
            <w:tcMar>
              <w:top w:w="16" w:type="dxa"/>
              <w:left w:w="16" w:type="dxa"/>
              <w:right w:w="16" w:type="dxa"/>
            </w:tcMar>
            <w:vAlign w:val="center"/>
          </w:tcPr>
          <w:p>
            <w:pPr>
              <w:adjustRightInd w:val="0"/>
              <w:snapToGrid w:val="0"/>
              <w:jc w:val="center"/>
              <w:rPr>
                <w:b/>
                <w:bCs/>
                <w:color w:val="auto"/>
                <w:sz w:val="24"/>
              </w:rPr>
            </w:pPr>
            <w:r>
              <w:rPr>
                <w:b/>
                <w:bCs/>
                <w:color w:val="auto"/>
                <w:sz w:val="24"/>
              </w:rPr>
              <w:t>施工工期</w:t>
            </w:r>
          </w:p>
        </w:tc>
        <w:tc>
          <w:tcPr>
            <w:tcW w:w="3413" w:type="dxa"/>
            <w:vAlign w:val="center"/>
          </w:tcPr>
          <w:p>
            <w:pPr>
              <w:adjustRightInd w:val="0"/>
              <w:snapToGrid w:val="0"/>
              <w:jc w:val="center"/>
              <w:rPr>
                <w:color w:val="auto"/>
                <w:sz w:val="24"/>
              </w:rPr>
            </w:pPr>
            <w:r>
              <w:rPr>
                <w:rFonts w:hint="eastAsia"/>
                <w:color w:val="auto"/>
                <w:sz w:val="24"/>
                <w:lang w:val="en-US" w:eastAsia="zh-CN"/>
              </w:rPr>
              <w:t>25</w:t>
            </w:r>
            <w:r>
              <w:rPr>
                <w:color w:val="auto"/>
                <w:sz w:val="24"/>
              </w:rPr>
              <w:t>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1612" w:type="dxa"/>
            <w:tcMar>
              <w:top w:w="16" w:type="dxa"/>
              <w:left w:w="16" w:type="dxa"/>
              <w:right w:w="16" w:type="dxa"/>
            </w:tcMar>
            <w:vAlign w:val="center"/>
          </w:tcPr>
          <w:p>
            <w:pPr>
              <w:pStyle w:val="7"/>
              <w:adjustRightInd w:val="0"/>
              <w:snapToGrid w:val="0"/>
              <w:spacing w:after="0"/>
              <w:ind w:left="0" w:leftChars="0"/>
              <w:jc w:val="center"/>
              <w:rPr>
                <w:b/>
                <w:bCs/>
                <w:color w:val="auto"/>
                <w:szCs w:val="24"/>
              </w:rPr>
            </w:pPr>
            <w:r>
              <w:rPr>
                <w:b/>
                <w:bCs/>
                <w:color w:val="auto"/>
                <w:szCs w:val="24"/>
              </w:rPr>
              <w:t>是否开工</w:t>
            </w:r>
          </w:p>
          <w:p>
            <w:pPr>
              <w:pStyle w:val="7"/>
              <w:adjustRightInd w:val="0"/>
              <w:snapToGrid w:val="0"/>
              <w:spacing w:after="0"/>
              <w:ind w:left="0" w:leftChars="0"/>
              <w:jc w:val="center"/>
              <w:rPr>
                <w:b/>
                <w:bCs/>
                <w:color w:val="auto"/>
                <w:szCs w:val="24"/>
                <w:highlight w:val="yellow"/>
              </w:rPr>
            </w:pPr>
            <w:r>
              <w:rPr>
                <w:b/>
                <w:bCs/>
                <w:color w:val="auto"/>
                <w:szCs w:val="24"/>
              </w:rPr>
              <w:t>建设</w:t>
            </w:r>
          </w:p>
        </w:tc>
        <w:tc>
          <w:tcPr>
            <w:tcW w:w="2692" w:type="dxa"/>
            <w:vAlign w:val="center"/>
          </w:tcPr>
          <w:p>
            <w:pPr>
              <w:adjustRightInd w:val="0"/>
              <w:snapToGrid w:val="0"/>
              <w:jc w:val="left"/>
              <w:rPr>
                <w:color w:val="auto"/>
                <w:kern w:val="0"/>
                <w:sz w:val="24"/>
              </w:rPr>
            </w:pPr>
            <w:r>
              <w:rPr>
                <w:color w:val="auto"/>
                <w:kern w:val="0"/>
                <w:sz w:val="24"/>
              </w:rPr>
              <w:sym w:font="Wingdings 2" w:char="0052"/>
            </w:r>
            <w:r>
              <w:rPr>
                <w:color w:val="auto"/>
                <w:kern w:val="0"/>
                <w:sz w:val="24"/>
              </w:rPr>
              <w:t>否</w:t>
            </w:r>
          </w:p>
          <w:p>
            <w:pPr>
              <w:widowControl/>
              <w:adjustRightInd w:val="0"/>
              <w:snapToGrid w:val="0"/>
              <w:jc w:val="left"/>
              <w:rPr>
                <w:color w:val="auto"/>
                <w:sz w:val="24"/>
                <w:highlight w:val="yellow"/>
              </w:rPr>
            </w:pPr>
            <w:r>
              <w:rPr>
                <w:color w:val="auto"/>
                <w:kern w:val="0"/>
                <w:sz w:val="24"/>
              </w:rPr>
              <w:sym w:font="Wingdings 2" w:char="00A3"/>
            </w:r>
            <w:r>
              <w:rPr>
                <w:color w:val="auto"/>
                <w:kern w:val="0"/>
                <w:sz w:val="24"/>
              </w:rPr>
              <w:t>是：</w:t>
            </w:r>
          </w:p>
        </w:tc>
        <w:tc>
          <w:tcPr>
            <w:tcW w:w="1575" w:type="dxa"/>
            <w:tcMar>
              <w:top w:w="16" w:type="dxa"/>
              <w:left w:w="16" w:type="dxa"/>
              <w:right w:w="16" w:type="dxa"/>
            </w:tcMar>
            <w:vAlign w:val="center"/>
          </w:tcPr>
          <w:p>
            <w:pPr>
              <w:adjustRightInd w:val="0"/>
              <w:snapToGrid w:val="0"/>
              <w:jc w:val="center"/>
              <w:rPr>
                <w:b/>
                <w:bCs/>
                <w:color w:val="auto"/>
                <w:spacing w:val="-6"/>
                <w:sz w:val="24"/>
              </w:rPr>
            </w:pPr>
            <w:r>
              <w:rPr>
                <w:b/>
                <w:bCs/>
                <w:color w:val="auto"/>
                <w:spacing w:val="-6"/>
                <w:sz w:val="24"/>
              </w:rPr>
              <w:t>用地（用海）</w:t>
            </w:r>
          </w:p>
          <w:p>
            <w:pPr>
              <w:adjustRightInd w:val="0"/>
              <w:snapToGrid w:val="0"/>
              <w:jc w:val="center"/>
              <w:rPr>
                <w:b/>
                <w:bCs/>
                <w:color w:val="auto"/>
                <w:sz w:val="24"/>
              </w:rPr>
            </w:pPr>
            <w:r>
              <w:rPr>
                <w:b/>
                <w:bCs/>
                <w:color w:val="auto"/>
                <w:spacing w:val="-6"/>
                <w:sz w:val="24"/>
              </w:rPr>
              <w:t>面积（m</w:t>
            </w:r>
            <w:r>
              <w:rPr>
                <w:b/>
                <w:bCs/>
                <w:color w:val="auto"/>
                <w:spacing w:val="-6"/>
                <w:sz w:val="24"/>
                <w:vertAlign w:val="superscript"/>
              </w:rPr>
              <w:t>2</w:t>
            </w:r>
            <w:r>
              <w:rPr>
                <w:b/>
                <w:bCs/>
                <w:color w:val="auto"/>
                <w:spacing w:val="-6"/>
                <w:sz w:val="24"/>
              </w:rPr>
              <w:t>）</w:t>
            </w:r>
          </w:p>
        </w:tc>
        <w:tc>
          <w:tcPr>
            <w:tcW w:w="3413" w:type="dxa"/>
            <w:vAlign w:val="center"/>
          </w:tcPr>
          <w:p>
            <w:pPr>
              <w:adjustRightInd w:val="0"/>
              <w:snapToGrid w:val="0"/>
              <w:jc w:val="center"/>
              <w:rPr>
                <w:color w:val="auto"/>
                <w:sz w:val="24"/>
              </w:rPr>
            </w:pPr>
            <w:r>
              <w:rPr>
                <w:rFonts w:hint="eastAsia"/>
                <w:color w:val="auto"/>
                <w:sz w:val="24"/>
              </w:rPr>
              <w:t>临时用地：</w:t>
            </w:r>
            <w:r>
              <w:rPr>
                <w:rFonts w:hint="eastAsia"/>
                <w:color w:val="auto"/>
                <w:sz w:val="24"/>
                <w:lang w:val="en-US" w:eastAsia="zh-CN"/>
              </w:rPr>
              <w:t>88992.22</w:t>
            </w:r>
            <w:r>
              <w:rPr>
                <w:color w:val="auto"/>
                <w:sz w:val="24"/>
              </w:rPr>
              <w:t>m</w:t>
            </w:r>
            <w:r>
              <w:rPr>
                <w:color w:val="auto"/>
                <w:sz w:val="24"/>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52" w:hRule="atLeast"/>
          <w:jc w:val="center"/>
        </w:trPr>
        <w:tc>
          <w:tcPr>
            <w:tcW w:w="1612" w:type="dxa"/>
            <w:vAlign w:val="center"/>
          </w:tcPr>
          <w:p>
            <w:pPr>
              <w:pStyle w:val="7"/>
              <w:adjustRightInd w:val="0"/>
              <w:snapToGrid w:val="0"/>
              <w:spacing w:after="0"/>
              <w:ind w:left="0" w:left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专项评价设置情况</w:t>
            </w:r>
          </w:p>
        </w:tc>
        <w:tc>
          <w:tcPr>
            <w:tcW w:w="7680" w:type="dxa"/>
            <w:gridSpan w:val="3"/>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52" w:hRule="atLeast"/>
          <w:jc w:val="center"/>
        </w:trPr>
        <w:tc>
          <w:tcPr>
            <w:tcW w:w="1612" w:type="dxa"/>
            <w:vAlign w:val="center"/>
          </w:tcPr>
          <w:p>
            <w:pPr>
              <w:pStyle w:val="7"/>
              <w:adjustRightInd w:val="0"/>
              <w:snapToGrid w:val="0"/>
              <w:spacing w:after="0"/>
              <w:ind w:left="0" w:left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规划情况</w:t>
            </w:r>
          </w:p>
        </w:tc>
        <w:tc>
          <w:tcPr>
            <w:tcW w:w="7680" w:type="dxa"/>
            <w:gridSpan w:val="3"/>
            <w:vAlign w:val="center"/>
          </w:tcPr>
          <w:p>
            <w:pPr>
              <w:pStyle w:val="31"/>
              <w:adjustRightInd w:val="0"/>
              <w:snapToGrid w:val="0"/>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52" w:hRule="atLeast"/>
          <w:jc w:val="center"/>
        </w:trPr>
        <w:tc>
          <w:tcPr>
            <w:tcW w:w="1612" w:type="dxa"/>
            <w:vAlign w:val="center"/>
          </w:tcPr>
          <w:p>
            <w:pPr>
              <w:pStyle w:val="7"/>
              <w:adjustRightInd w:val="0"/>
              <w:snapToGrid w:val="0"/>
              <w:spacing w:after="0"/>
              <w:ind w:left="0" w:leftChars="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规划环境影响评价情况</w:t>
            </w:r>
          </w:p>
        </w:tc>
        <w:tc>
          <w:tcPr>
            <w:tcW w:w="7680" w:type="dxa"/>
            <w:gridSpan w:val="3"/>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无</w:t>
            </w:r>
          </w:p>
        </w:tc>
      </w:tr>
    </w:tbl>
    <w:p>
      <w:pPr>
        <w:rPr>
          <w:color w:val="FF0000"/>
        </w:rPr>
        <w:sectPr>
          <w:headerReference r:id="rId4" w:type="default"/>
          <w:footerReference r:id="rId5" w:type="default"/>
          <w:pgSz w:w="11906" w:h="16838"/>
          <w:pgMar w:top="1587" w:right="1587" w:bottom="1587" w:left="1587" w:header="1304" w:footer="1020" w:gutter="0"/>
          <w:pgBorders>
            <w:top w:val="none" w:sz="0" w:space="0"/>
            <w:left w:val="none" w:sz="0" w:space="0"/>
            <w:bottom w:val="none" w:sz="0" w:space="0"/>
            <w:right w:val="none" w:sz="0" w:space="0"/>
          </w:pgBorders>
          <w:pgNumType w:start="1"/>
          <w:cols w:space="720" w:num="1"/>
          <w:docGrid w:type="lines" w:linePitch="312" w:charSpace="0"/>
        </w:sectPr>
      </w:pP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08" w:type="dxa"/>
          <w:left w:w="108" w:type="dxa"/>
          <w:bottom w:w="57" w:type="dxa"/>
          <w:right w:w="108" w:type="dxa"/>
        </w:tblCellMar>
      </w:tblPr>
      <w:tblGrid>
        <w:gridCol w:w="576"/>
        <w:gridCol w:w="83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08" w:type="dxa"/>
            <w:left w:w="108" w:type="dxa"/>
            <w:bottom w:w="57" w:type="dxa"/>
            <w:right w:w="108" w:type="dxa"/>
          </w:tblCellMar>
        </w:tblPrEx>
        <w:trPr>
          <w:trHeight w:val="13487" w:hRule="atLeast"/>
          <w:jc w:val="center"/>
        </w:trPr>
        <w:tc>
          <w:tcPr>
            <w:tcW w:w="576" w:type="dxa"/>
            <w:vAlign w:val="center"/>
          </w:tcPr>
          <w:p>
            <w:pPr>
              <w:pStyle w:val="7"/>
              <w:adjustRightInd w:val="0"/>
              <w:snapToGrid w:val="0"/>
              <w:spacing w:after="0"/>
              <w:ind w:left="0" w:leftChars="0"/>
              <w:jc w:val="center"/>
              <w:rPr>
                <w:b/>
                <w:bCs/>
                <w:color w:val="FF0000"/>
                <w:szCs w:val="24"/>
              </w:rPr>
            </w:pPr>
            <w:r>
              <w:rPr>
                <w:b/>
                <w:bCs/>
                <w:color w:val="000000" w:themeColor="text1"/>
                <w:szCs w:val="24"/>
                <w14:textFill>
                  <w14:solidFill>
                    <w14:schemeClr w14:val="tx1"/>
                  </w14:solidFill>
                </w14:textFill>
              </w:rPr>
              <w:t>其他符合性分析</w:t>
            </w:r>
          </w:p>
        </w:tc>
        <w:tc>
          <w:tcPr>
            <w:tcW w:w="8372" w:type="dxa"/>
            <w:vAlign w:val="center"/>
          </w:tcPr>
          <w:p>
            <w:pPr>
              <w:autoSpaceDE w:val="0"/>
              <w:autoSpaceDN w:val="0"/>
              <w:adjustRightInd w:val="0"/>
              <w:snapToGrid w:val="0"/>
              <w:spacing w:line="360" w:lineRule="auto"/>
              <w:ind w:firstLine="481" w:firstLineChars="200"/>
              <w:rPr>
                <w:b/>
                <w:bCs/>
                <w:color w:val="auto"/>
                <w:sz w:val="24"/>
              </w:rPr>
            </w:pPr>
            <w:r>
              <w:rPr>
                <w:b/>
                <w:bCs/>
                <w:color w:val="auto"/>
                <w:sz w:val="24"/>
              </w:rPr>
              <w:t>1、产业政策符合性分析</w:t>
            </w:r>
          </w:p>
          <w:p>
            <w:pPr>
              <w:pStyle w:val="33"/>
              <w:adjustRightInd w:val="0"/>
              <w:snapToGrid w:val="0"/>
              <w:ind w:firstLine="480"/>
              <w:jc w:val="both"/>
              <w:rPr>
                <w:rFonts w:ascii="Times New Roman" w:eastAsia="宋体"/>
                <w:color w:val="auto"/>
                <w:kern w:val="0"/>
                <w:sz w:val="24"/>
                <w:szCs w:val="24"/>
                <w:lang w:bidi="ar"/>
              </w:rPr>
            </w:pPr>
            <w:r>
              <w:rPr>
                <w:rFonts w:ascii="Times New Roman" w:eastAsia="宋体"/>
                <w:color w:val="auto"/>
                <w:kern w:val="0"/>
                <w:sz w:val="24"/>
                <w:szCs w:val="24"/>
                <w:lang w:bidi="ar"/>
              </w:rPr>
              <w:t>（1）根据《产业结构调整指导目录（2024年本）》（中华人民共和国国家发展和改革委员会令第7号）中的规定，本项目不属于其中鼓励类、限制类及淘汰类行业，为允许类。</w:t>
            </w:r>
          </w:p>
          <w:p>
            <w:pPr>
              <w:adjustRightInd w:val="0"/>
              <w:snapToGrid w:val="0"/>
              <w:spacing w:line="360" w:lineRule="auto"/>
              <w:ind w:firstLine="480" w:firstLineChars="200"/>
              <w:jc w:val="both"/>
              <w:rPr>
                <w:color w:val="auto"/>
                <w:kern w:val="0"/>
                <w:sz w:val="24"/>
              </w:rPr>
            </w:pPr>
            <w:r>
              <w:rPr>
                <w:color w:val="auto"/>
                <w:kern w:val="0"/>
                <w:sz w:val="24"/>
              </w:rPr>
              <w:t>（2）对照宁夏回族自治区发展改革委工业和信息化厅关于印发《宁夏回族自治区能耗双控产业结构调整指导目录（试行）》的通知（宁发改环资〔2021〕809号），本项目不属于该《目录》中列出的禁止类、限制类和淘汰类项目。</w:t>
            </w:r>
          </w:p>
          <w:p>
            <w:pPr>
              <w:pStyle w:val="33"/>
              <w:adjustRightInd w:val="0"/>
              <w:snapToGrid w:val="0"/>
              <w:ind w:firstLine="480"/>
              <w:jc w:val="both"/>
              <w:rPr>
                <w:rFonts w:ascii="Times New Roman" w:eastAsia="宋体"/>
                <w:color w:val="auto"/>
                <w:sz w:val="24"/>
                <w:szCs w:val="24"/>
              </w:rPr>
            </w:pPr>
            <w:r>
              <w:rPr>
                <w:rFonts w:ascii="Times New Roman" w:eastAsia="宋体"/>
                <w:color w:val="auto"/>
                <w:sz w:val="24"/>
                <w:szCs w:val="24"/>
              </w:rPr>
              <w:t>综上所述，本项目建设符合国家及地方产业政策要求。</w:t>
            </w:r>
          </w:p>
          <w:p>
            <w:pPr>
              <w:pStyle w:val="33"/>
              <w:numPr>
                <w:ilvl w:val="0"/>
                <w:numId w:val="2"/>
              </w:numPr>
              <w:adjustRightInd w:val="0"/>
              <w:snapToGrid w:val="0"/>
              <w:ind w:firstLine="480"/>
              <w:rPr>
                <w:rFonts w:hint="eastAsia" w:asci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与</w:t>
            </w:r>
            <w:r>
              <w:rPr>
                <w:rFonts w:hint="eastAsia" w:ascii="Times New Roman" w:eastAsia="宋体" w:cs="Times New Roman"/>
                <w:b/>
                <w:bCs/>
                <w:color w:val="auto"/>
                <w:kern w:val="0"/>
                <w:sz w:val="24"/>
                <w:szCs w:val="24"/>
                <w:lang w:val="en-US" w:eastAsia="zh-CN" w:bidi="ar"/>
              </w:rPr>
              <w:t>相关政府规章及技术规范的符合性分析</w:t>
            </w:r>
          </w:p>
          <w:p>
            <w:pPr>
              <w:pStyle w:val="23"/>
              <w:widowControl/>
              <w:adjustRightInd w:val="0"/>
              <w:snapToGrid w:val="0"/>
              <w:jc w:val="center"/>
              <w:rPr>
                <w:rFonts w:hint="eastAsia"/>
                <w:color w:val="auto"/>
                <w:lang w:val="en-US" w:eastAsia="zh-CN"/>
              </w:rPr>
            </w:pPr>
            <w:r>
              <w:rPr>
                <w:b/>
                <w:bCs/>
                <w:color w:val="auto"/>
                <w:sz w:val="21"/>
                <w:szCs w:val="21"/>
              </w:rPr>
              <w:t>表</w:t>
            </w:r>
            <w:r>
              <w:rPr>
                <w:rFonts w:hint="eastAsia"/>
                <w:b/>
                <w:bCs/>
                <w:color w:val="auto"/>
                <w:sz w:val="21"/>
                <w:szCs w:val="21"/>
                <w:lang w:val="en-US" w:eastAsia="zh-CN"/>
              </w:rPr>
              <w:t>1</w:t>
            </w:r>
            <w:r>
              <w:rPr>
                <w:b/>
                <w:bCs/>
                <w:color w:val="auto"/>
                <w:sz w:val="21"/>
                <w:szCs w:val="21"/>
              </w:rPr>
              <w:t>-</w:t>
            </w:r>
            <w:r>
              <w:rPr>
                <w:rFonts w:hint="eastAsia"/>
                <w:b/>
                <w:bCs/>
                <w:color w:val="auto"/>
                <w:sz w:val="21"/>
                <w:szCs w:val="21"/>
              </w:rPr>
              <w:t>1</w:t>
            </w:r>
            <w:r>
              <w:rPr>
                <w:b/>
                <w:bCs/>
                <w:color w:val="auto"/>
                <w:sz w:val="21"/>
                <w:szCs w:val="21"/>
              </w:rPr>
              <w:t xml:space="preserve"> </w:t>
            </w:r>
            <w:r>
              <w:rPr>
                <w:rFonts w:hint="eastAsia"/>
                <w:b/>
                <w:bCs/>
                <w:color w:val="auto"/>
                <w:sz w:val="21"/>
                <w:szCs w:val="21"/>
              </w:rPr>
              <w:t xml:space="preserve"> </w:t>
            </w:r>
            <w:r>
              <w:rPr>
                <w:b/>
                <w:bCs/>
                <w:color w:val="auto"/>
                <w:sz w:val="21"/>
                <w:szCs w:val="21"/>
              </w:rPr>
              <w:t xml:space="preserve"> </w:t>
            </w:r>
            <w:r>
              <w:rPr>
                <w:rFonts w:hint="eastAsia"/>
                <w:b/>
                <w:bCs/>
                <w:color w:val="auto"/>
                <w:sz w:val="21"/>
                <w:szCs w:val="21"/>
                <w:lang w:val="en-US" w:eastAsia="zh-CN"/>
              </w:rPr>
              <w:t>与相关政府规章及技术规范的符合性分析</w:t>
            </w:r>
          </w:p>
          <w:tbl>
            <w:tblPr>
              <w:tblStyle w:val="25"/>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06"/>
              <w:gridCol w:w="4336"/>
              <w:gridCol w:w="2074"/>
              <w:gridCol w:w="70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blHeader/>
                <w:jc w:val="center"/>
              </w:trPr>
              <w:tc>
                <w:tcPr>
                  <w:tcW w:w="1106" w:type="dxa"/>
                  <w:tcBorders>
                    <w:tl2br w:val="nil"/>
                    <w:tr2bl w:val="nil"/>
                  </w:tcBorders>
                  <w:vAlign w:val="center"/>
                </w:tcPr>
                <w:p>
                  <w:pPr>
                    <w:pStyle w:val="16"/>
                    <w:adjustRightInd w:val="0"/>
                    <w:jc w:val="center"/>
                    <w:rPr>
                      <w:rFonts w:hint="default" w:ascii="Times New Roman" w:hAnsi="Times New Roman" w:eastAsia="宋体" w:cs="Times New Roman"/>
                      <w:b/>
                      <w:bCs/>
                      <w:color w:val="auto"/>
                      <w:sz w:val="21"/>
                      <w:szCs w:val="21"/>
                      <w:lang w:val="en-US" w:eastAsia="zh-CN" w:bidi="ar"/>
                    </w:rPr>
                  </w:pPr>
                  <w:r>
                    <w:rPr>
                      <w:rFonts w:hint="default" w:ascii="Times New Roman" w:hAnsi="Times New Roman" w:eastAsia="宋体" w:cs="Times New Roman"/>
                      <w:b/>
                      <w:bCs/>
                      <w:color w:val="auto"/>
                      <w:sz w:val="21"/>
                      <w:szCs w:val="21"/>
                      <w:lang w:val="en-US" w:eastAsia="zh-CN" w:bidi="ar"/>
                    </w:rPr>
                    <w:t>相关政策文件</w:t>
                  </w:r>
                </w:p>
              </w:tc>
              <w:tc>
                <w:tcPr>
                  <w:tcW w:w="4336" w:type="dxa"/>
                  <w:tcBorders>
                    <w:tl2br w:val="nil"/>
                    <w:tr2bl w:val="nil"/>
                  </w:tcBorders>
                  <w:vAlign w:val="center"/>
                </w:tcPr>
                <w:p>
                  <w:pPr>
                    <w:pStyle w:val="16"/>
                    <w:adjustRightInd w:val="0"/>
                    <w:jc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要求</w:t>
                  </w:r>
                </w:p>
              </w:tc>
              <w:tc>
                <w:tcPr>
                  <w:tcW w:w="2074" w:type="dxa"/>
                  <w:tcBorders>
                    <w:tl2br w:val="nil"/>
                    <w:tr2bl w:val="nil"/>
                  </w:tcBorders>
                  <w:vAlign w:val="center"/>
                </w:tcPr>
                <w:p>
                  <w:pPr>
                    <w:pStyle w:val="16"/>
                    <w:adjustRightInd w:val="0"/>
                    <w:jc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本项目情况</w:t>
                  </w:r>
                </w:p>
              </w:tc>
              <w:tc>
                <w:tcPr>
                  <w:tcW w:w="704" w:type="dxa"/>
                  <w:tcBorders>
                    <w:tl2br w:val="nil"/>
                    <w:tr2bl w:val="nil"/>
                  </w:tcBorders>
                  <w:vAlign w:val="center"/>
                </w:tcPr>
                <w:p>
                  <w:pPr>
                    <w:pStyle w:val="16"/>
                    <w:adjustRightInd w:val="0"/>
                    <w:jc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06" w:type="dxa"/>
                  <w:tcBorders>
                    <w:tl2br w:val="nil"/>
                    <w:tr2bl w:val="nil"/>
                  </w:tcBorders>
                  <w:vAlign w:val="center"/>
                </w:tcPr>
                <w:p>
                  <w:pPr>
                    <w:pStyle w:val="16"/>
                    <w:adjustRightInd w:val="0"/>
                    <w:jc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val="en-US" w:eastAsia="zh-CN" w:bidi="ar"/>
                    </w:rPr>
                    <w:t>《建材工业“十四五”发展实施意见》（中建材联行发【2022】70号）</w:t>
                  </w:r>
                </w:p>
              </w:tc>
              <w:tc>
                <w:tcPr>
                  <w:tcW w:w="4336" w:type="dxa"/>
                  <w:tcBorders>
                    <w:tl2br w:val="nil"/>
                    <w:tr2bl w:val="nil"/>
                  </w:tcBorders>
                  <w:vAlign w:val="center"/>
                </w:tcPr>
                <w:p>
                  <w:pPr>
                    <w:widowControl/>
                    <w:adjustRightInd w:val="0"/>
                    <w:snapToGrid w:val="0"/>
                    <w:ind w:firstLine="420" w:firstLineChars="200"/>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建材工业“十四五”发展实施意见》中材料保障重点方向指出，水泥与混凝土行业重点发展低钙水泥熟料、低熟料系数水泥、硫（铁）铝酸盐等特种水泥、新型固碳胶凝材料等新型低碳水泥、超高性能混凝土、低胶凝材料自密实混凝土、高抗蚀高耐久混凝土、自修复混凝土、智能功能混凝土、固碳混凝土与水泥制品，加快发展专用水泥、低碳水泥、混凝土掺合料、预拌混凝土、预拌砂浆、高耐久水泥制品和部品部件、水泥基复合制品。</w:t>
                  </w:r>
                </w:p>
              </w:tc>
              <w:tc>
                <w:tcPr>
                  <w:tcW w:w="2074" w:type="dxa"/>
                  <w:tcBorders>
                    <w:tl2br w:val="nil"/>
                    <w:tr2bl w:val="nil"/>
                  </w:tcBorders>
                  <w:vAlign w:val="center"/>
                </w:tcPr>
                <w:p>
                  <w:pPr>
                    <w:adjustRightInd w:val="0"/>
                    <w:snapToGrid w:val="0"/>
                    <w:ind w:firstLine="420" w:firstLineChars="200"/>
                    <w:jc w:val="both"/>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本项目建设的临时混凝土拌合站服务于黄河宁夏段河道治理工程(中卫段)2024年第一批建设项目一标段（砼四脚体预制1）工程，属于预拌混凝土行业，符合《建材工业“十四五”发展实施意见》中重点发展方向。</w:t>
                  </w:r>
                </w:p>
              </w:tc>
              <w:tc>
                <w:tcPr>
                  <w:tcW w:w="704" w:type="dxa"/>
                  <w:tcBorders>
                    <w:tl2br w:val="nil"/>
                    <w:tr2bl w:val="nil"/>
                  </w:tcBorders>
                  <w:vAlign w:val="center"/>
                </w:tcPr>
                <w:p>
                  <w:pPr>
                    <w:pStyle w:val="16"/>
                    <w:adjustRightInd w:val="0"/>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06" w:type="dxa"/>
                  <w:tcBorders>
                    <w:tl2br w:val="nil"/>
                    <w:tr2bl w:val="nil"/>
                  </w:tcBorders>
                  <w:vAlign w:val="center"/>
                </w:tcPr>
                <w:p>
                  <w:pPr>
                    <w:pStyle w:val="16"/>
                    <w:adjustRightInd w:val="0"/>
                    <w:jc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val="en-US" w:eastAsia="zh-CN" w:bidi="ar"/>
                    </w:rPr>
                    <w:t>《关于加快水泥工业结构调整的若干意见的通知》（发改运行【2006】609号）</w:t>
                  </w:r>
                </w:p>
              </w:tc>
              <w:tc>
                <w:tcPr>
                  <w:tcW w:w="4336" w:type="dxa"/>
                  <w:tcBorders>
                    <w:tl2br w:val="nil"/>
                    <w:tr2bl w:val="nil"/>
                  </w:tcBorders>
                  <w:vAlign w:val="center"/>
                </w:tcPr>
                <w:p>
                  <w:pPr>
                    <w:widowControl/>
                    <w:adjustRightInd w:val="0"/>
                    <w:snapToGrid w:val="0"/>
                    <w:ind w:firstLine="420" w:firstLineChars="200"/>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在制定和完善政策，严格市场准入中提到：</w:t>
                  </w:r>
                  <w:r>
                    <w:rPr>
                      <w:rFonts w:hint="default" w:ascii="Times New Roman" w:hAnsi="Times New Roman" w:eastAsia="宋体" w:cs="Times New Roman"/>
                      <w:color w:val="auto"/>
                      <w:kern w:val="0"/>
                      <w:sz w:val="21"/>
                      <w:szCs w:val="21"/>
                      <w:lang w:bidi="ar"/>
                    </w:rPr>
                    <w:t>（二）制定水泥熟料国家标准，提高水泥熟料强度允许的最低等级，提升水泥质量。在满足社会需要的前提下，努力做到水泥实物用量不增或少增，以减少对能源、资源的消耗。</w:t>
                  </w:r>
                </w:p>
                <w:p>
                  <w:pPr>
                    <w:widowControl/>
                    <w:adjustRightInd w:val="0"/>
                    <w:snapToGrid w:val="0"/>
                    <w:ind w:firstLine="420" w:firstLineChars="200"/>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三）完善混凝土结构设计标准和规范，提高建设、建筑工程应用水泥的准入标准，依据不同工程的需求选择水泥类型和品种。禁止立窑水泥进入高速公路、机场、港口、桥梁、涵洞等重点建设工程和建筑物结构工程。推广高性能混凝土的应用，提高建筑物使用年限。大力发展预拌砂浆和商品混凝土，大中型城市要禁止现场搅拌混凝土，条件成熟的地区应限制现场搅拌砂浆，禁止商品混凝土搅拌站使用立窑水泥。</w:t>
                  </w:r>
                </w:p>
              </w:tc>
              <w:tc>
                <w:tcPr>
                  <w:tcW w:w="2074" w:type="dxa"/>
                  <w:tcBorders>
                    <w:tl2br w:val="nil"/>
                    <w:tr2bl w:val="nil"/>
                  </w:tcBorders>
                  <w:vAlign w:val="center"/>
                </w:tcPr>
                <w:p>
                  <w:pPr>
                    <w:adjustRightInd w:val="0"/>
                    <w:snapToGrid w:val="0"/>
                    <w:ind w:firstLine="420" w:firstLineChars="20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本项目建设的临时混凝土拌合站生产</w:t>
                  </w:r>
                  <w:r>
                    <w:rPr>
                      <w:rFonts w:hint="default" w:ascii="Times New Roman" w:hAnsi="Times New Roman" w:eastAsia="宋体" w:cs="Times New Roman"/>
                      <w:color w:val="auto"/>
                      <w:kern w:val="0"/>
                      <w:sz w:val="21"/>
                      <w:szCs w:val="21"/>
                      <w:lang w:bidi="ar"/>
                    </w:rPr>
                    <w:t>配制强度</w:t>
                  </w:r>
                  <w:r>
                    <w:rPr>
                      <w:rFonts w:hint="default" w:ascii="Times New Roman" w:hAnsi="Times New Roman" w:eastAsia="宋体" w:cs="Times New Roman"/>
                      <w:color w:val="auto"/>
                      <w:kern w:val="0"/>
                      <w:sz w:val="21"/>
                      <w:szCs w:val="21"/>
                      <w:lang w:val="en-US" w:eastAsia="zh-CN" w:bidi="ar"/>
                    </w:rPr>
                    <w:t>为</w:t>
                  </w:r>
                  <w:r>
                    <w:rPr>
                      <w:rFonts w:hint="default" w:ascii="Times New Roman" w:hAnsi="Times New Roman" w:eastAsia="宋体" w:cs="Times New Roman"/>
                      <w:color w:val="auto"/>
                      <w:kern w:val="0"/>
                      <w:sz w:val="21"/>
                      <w:szCs w:val="21"/>
                    </w:rPr>
                    <w:t>C25</w:t>
                  </w:r>
                  <w:r>
                    <w:rPr>
                      <w:rFonts w:hint="default" w:ascii="Times New Roman" w:hAnsi="Times New Roman" w:eastAsia="宋体" w:cs="Times New Roman"/>
                      <w:color w:val="auto"/>
                      <w:kern w:val="0"/>
                      <w:sz w:val="21"/>
                      <w:szCs w:val="21"/>
                      <w:lang w:val="en-US" w:eastAsia="zh-CN"/>
                    </w:rPr>
                    <w:t xml:space="preserve"> </w:t>
                  </w:r>
                  <w:r>
                    <w:rPr>
                      <w:rFonts w:hint="default" w:ascii="Times New Roman" w:hAnsi="Times New Roman" w:eastAsia="宋体" w:cs="Times New Roman"/>
                      <w:color w:val="auto"/>
                      <w:kern w:val="0"/>
                      <w:sz w:val="21"/>
                      <w:szCs w:val="21"/>
                    </w:rPr>
                    <w:t>F150</w:t>
                  </w:r>
                  <w:r>
                    <w:rPr>
                      <w:rFonts w:hint="default" w:ascii="Times New Roman" w:hAnsi="Times New Roman" w:eastAsia="宋体" w:cs="Times New Roman"/>
                      <w:color w:val="auto"/>
                      <w:kern w:val="0"/>
                      <w:sz w:val="21"/>
                      <w:szCs w:val="21"/>
                      <w:lang w:val="en-US" w:eastAsia="zh-CN"/>
                    </w:rPr>
                    <w:t>的</w:t>
                  </w:r>
                  <w:r>
                    <w:rPr>
                      <w:rFonts w:hint="default" w:ascii="Times New Roman" w:hAnsi="Times New Roman" w:eastAsia="宋体" w:cs="Times New Roman"/>
                      <w:color w:val="auto"/>
                      <w:kern w:val="0"/>
                      <w:sz w:val="21"/>
                      <w:szCs w:val="21"/>
                      <w:lang w:val="en-US" w:eastAsia="zh-CN" w:bidi="ar"/>
                    </w:rPr>
                    <w:t>混凝土，符合黄河河道治理工程的建设需求。</w:t>
                  </w:r>
                </w:p>
              </w:tc>
              <w:tc>
                <w:tcPr>
                  <w:tcW w:w="704" w:type="dxa"/>
                  <w:tcBorders>
                    <w:tl2br w:val="nil"/>
                    <w:tr2bl w:val="nil"/>
                  </w:tcBorders>
                  <w:vAlign w:val="center"/>
                </w:tcPr>
                <w:p>
                  <w:pPr>
                    <w:pStyle w:val="16"/>
                    <w:adjustRightInd w:val="0"/>
                    <w:jc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06" w:type="dxa"/>
                  <w:tcBorders>
                    <w:tl2br w:val="nil"/>
                    <w:tr2bl w:val="nil"/>
                  </w:tcBorders>
                  <w:vAlign w:val="center"/>
                </w:tcPr>
                <w:p>
                  <w:pPr>
                    <w:pStyle w:val="16"/>
                    <w:adjustRightInd w:val="0"/>
                    <w:jc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bidi="ar"/>
                    </w:rPr>
                    <w:t>《预拌混凝土绿色生产及管理技术规程》</w:t>
                  </w:r>
                  <w:r>
                    <w:rPr>
                      <w:rFonts w:hint="default" w:ascii="Times New Roman" w:hAnsi="Times New Roman" w:eastAsia="宋体" w:cs="Times New Roman"/>
                      <w:b/>
                      <w:bCs/>
                      <w:color w:val="auto"/>
                      <w:sz w:val="21"/>
                      <w:szCs w:val="21"/>
                      <w:lang w:eastAsia="zh-CN" w:bidi="ar"/>
                    </w:rPr>
                    <w:t>（</w:t>
                  </w:r>
                  <w:r>
                    <w:rPr>
                      <w:rFonts w:hint="default" w:ascii="Times New Roman" w:hAnsi="Times New Roman" w:eastAsia="宋体" w:cs="Times New Roman"/>
                      <w:b/>
                      <w:bCs/>
                      <w:color w:val="auto"/>
                      <w:sz w:val="21"/>
                      <w:szCs w:val="21"/>
                      <w:lang w:bidi="ar"/>
                    </w:rPr>
                    <w:t>JGJ/T 328-2014</w:t>
                  </w:r>
                  <w:r>
                    <w:rPr>
                      <w:rFonts w:hint="default" w:ascii="Times New Roman" w:hAnsi="Times New Roman" w:eastAsia="宋体" w:cs="Times New Roman"/>
                      <w:b/>
                      <w:bCs/>
                      <w:color w:val="auto"/>
                      <w:sz w:val="21"/>
                      <w:szCs w:val="21"/>
                      <w:lang w:eastAsia="zh-CN" w:bidi="ar"/>
                    </w:rPr>
                    <w:t>）</w:t>
                  </w:r>
                </w:p>
              </w:tc>
              <w:tc>
                <w:tcPr>
                  <w:tcW w:w="4336" w:type="dxa"/>
                  <w:tcBorders>
                    <w:tl2br w:val="nil"/>
                    <w:tr2bl w:val="nil"/>
                  </w:tcBorders>
                  <w:vAlign w:val="center"/>
                </w:tcPr>
                <w:p>
                  <w:pPr>
                    <w:widowControl/>
                    <w:adjustRightInd w:val="0"/>
                    <w:snapToGrid w:val="0"/>
                    <w:ind w:firstLine="421" w:firstLineChars="20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控制要求</w:t>
                  </w:r>
                  <w:r>
                    <w:rPr>
                      <w:rFonts w:hint="default" w:ascii="Times New Roman" w:hAnsi="Times New Roman" w:eastAsia="宋体" w:cs="Times New Roman"/>
                      <w:color w:val="auto"/>
                      <w:kern w:val="0"/>
                      <w:sz w:val="21"/>
                      <w:szCs w:val="21"/>
                      <w:lang w:val="en-US" w:eastAsia="zh-CN" w:bidi="ar"/>
                    </w:rPr>
                    <w:t>中对原材料、生产废水和废浆、废弃混凝土、噪声、生产性粉尘和运输过程均作出要求：</w:t>
                  </w:r>
                </w:p>
                <w:p>
                  <w:pPr>
                    <w:widowControl/>
                    <w:adjustRightInd w:val="0"/>
                    <w:snapToGrid w:val="0"/>
                    <w:ind w:firstLine="420" w:firstLineChars="20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5.1.1原材料：原材料的运输、装卸和存放应采取降低噪声和粉尘的措施。</w:t>
                  </w:r>
                </w:p>
                <w:p>
                  <w:pPr>
                    <w:widowControl/>
                    <w:adjustRightInd w:val="0"/>
                    <w:snapToGrid w:val="0"/>
                    <w:ind w:firstLine="420" w:firstLineChars="20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5.2.6生产废水和废浆：经沉淀或压滤处理的生产废水也可用于硬化地面降尘和生产设备冲洗。</w:t>
                  </w:r>
                </w:p>
                <w:p>
                  <w:pPr>
                    <w:widowControl/>
                    <w:adjustRightInd w:val="0"/>
                    <w:snapToGrid w:val="0"/>
                    <w:ind w:firstLine="420" w:firstLineChars="20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5.4.3噪声：对产生噪声的主要设备设施应进行降噪处理。</w:t>
                  </w:r>
                </w:p>
                <w:p>
                  <w:pPr>
                    <w:widowControl/>
                    <w:adjustRightInd w:val="0"/>
                    <w:snapToGrid w:val="0"/>
                    <w:ind w:firstLine="420" w:firstLineChars="20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5.5.1生产性粉尘：预拌混凝土绿色生产应根据现行国家标准《环境空气质量标准》GB 3095和《水泥工业大气污染物排放标准》GB4915的规定以及环境保护要求，确定厂界和厂区内环境空气功能区类别，制定厂区生产性粉尘监测点平面图，建立环境空气监测网络与制度，评价和控制厂区和厂界的环境空气质量。</w:t>
                  </w:r>
                </w:p>
                <w:p>
                  <w:pPr>
                    <w:widowControl/>
                    <w:adjustRightInd w:val="0"/>
                    <w:snapToGrid w:val="0"/>
                    <w:ind w:firstLine="420" w:firstLineChars="20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5.6运输管理：运输车应达到当地机动车污染物排放标准要求，并应定期保养；原材料和产品运输过程应保持清洁卫生，符合环境卫生要求；预拌混凝土绿色生产应制定运输管理制度，并应合理指挥调度车辆，且宜采用定位系统监控车辆运行；冲洗运输车辆宜使用循环水，冲洗运输车产生的废水可进入废水回收利用设施。</w:t>
                  </w:r>
                </w:p>
              </w:tc>
              <w:tc>
                <w:tcPr>
                  <w:tcW w:w="2074" w:type="dxa"/>
                  <w:tcBorders>
                    <w:tl2br w:val="nil"/>
                    <w:tr2bl w:val="nil"/>
                  </w:tcBorders>
                  <w:vAlign w:val="center"/>
                </w:tcPr>
                <w:p>
                  <w:pPr>
                    <w:adjustRightInd w:val="0"/>
                    <w:snapToGrid w:val="0"/>
                    <w:ind w:firstLine="420" w:firstLineChars="20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本项目建设临时混凝土拌合站服务于黄河河道治理工程，项目运行3个月。项目使用的水洗砂、碎石、水泥等原材料在运输、装卸和存放过程均采用降噪措施，运输及存放过程实现密闭或苫盖措施减少粉尘产生；场区设置沉淀池，生产废水经沉淀后，用于厂区道路洒水抑尘；项目运行过程中通过采取封闭式原料仓及密闭式输送带、配料机顶部配置防静电挡尘帘、水泥筒仓和搅拌机配套布袋除尘器等措施减少生产性粉尘排放。</w:t>
                  </w:r>
                </w:p>
              </w:tc>
              <w:tc>
                <w:tcPr>
                  <w:tcW w:w="704" w:type="dxa"/>
                  <w:tcBorders>
                    <w:tl2br w:val="nil"/>
                    <w:tr2bl w:val="nil"/>
                  </w:tcBorders>
                  <w:vAlign w:val="center"/>
                </w:tcPr>
                <w:p>
                  <w:pPr>
                    <w:pStyle w:val="16"/>
                    <w:adjustRightInd w:val="0"/>
                    <w:jc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106" w:type="dxa"/>
                  <w:tcBorders>
                    <w:tl2br w:val="nil"/>
                    <w:tr2bl w:val="nil"/>
                  </w:tcBorders>
                  <w:vAlign w:val="center"/>
                </w:tcPr>
                <w:p>
                  <w:pPr>
                    <w:pStyle w:val="16"/>
                    <w:adjustRightInd w:val="0"/>
                    <w:jc w:val="center"/>
                    <w:rPr>
                      <w:rFonts w:hint="default" w:ascii="Times New Roman" w:hAnsi="Times New Roman" w:eastAsia="宋体" w:cs="Times New Roman"/>
                      <w:b/>
                      <w:bCs/>
                      <w:color w:val="auto"/>
                      <w:sz w:val="21"/>
                      <w:szCs w:val="21"/>
                      <w:lang w:bidi="ar"/>
                    </w:rPr>
                  </w:pPr>
                  <w:r>
                    <w:rPr>
                      <w:rFonts w:hint="default" w:ascii="Times New Roman" w:hAnsi="Times New Roman" w:eastAsia="宋体" w:cs="Times New Roman"/>
                      <w:b/>
                      <w:bCs/>
                      <w:color w:val="auto"/>
                      <w:sz w:val="21"/>
                      <w:szCs w:val="21"/>
                      <w:lang w:val="en-US" w:eastAsia="zh-CN" w:bidi="ar"/>
                    </w:rPr>
                    <w:t>《宁夏回族自治区预拌商品混凝土管理办法》（宁建发【2011】142号）</w:t>
                  </w:r>
                </w:p>
              </w:tc>
              <w:tc>
                <w:tcPr>
                  <w:tcW w:w="4336" w:type="dxa"/>
                  <w:tcBorders>
                    <w:tl2br w:val="nil"/>
                    <w:tr2bl w:val="nil"/>
                  </w:tcBorders>
                  <w:vAlign w:val="center"/>
                </w:tcPr>
                <w:p>
                  <w:pPr>
                    <w:widowControl/>
                    <w:numPr>
                      <w:ilvl w:val="0"/>
                      <w:numId w:val="0"/>
                    </w:numPr>
                    <w:adjustRightInd w:val="0"/>
                    <w:snapToGrid w:val="0"/>
                    <w:ind w:firstLine="421" w:firstLineChars="200"/>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第十三条</w:t>
                  </w:r>
                  <w:r>
                    <w:rPr>
                      <w:rFonts w:hint="default" w:ascii="Times New Roman" w:hAnsi="Times New Roman" w:eastAsia="宋体" w:cs="Times New Roman"/>
                      <w:color w:val="auto"/>
                      <w:kern w:val="0"/>
                      <w:sz w:val="21"/>
                      <w:szCs w:val="21"/>
                      <w:lang w:val="en-US" w:eastAsia="zh-CN" w:bidi="ar"/>
                    </w:rPr>
                    <w:t xml:space="preserve"> </w:t>
                  </w:r>
                  <w:r>
                    <w:rPr>
                      <w:rFonts w:hint="default" w:ascii="Times New Roman" w:hAnsi="Times New Roman" w:eastAsia="宋体" w:cs="Times New Roman"/>
                      <w:color w:val="auto"/>
                      <w:kern w:val="0"/>
                      <w:sz w:val="21"/>
                      <w:szCs w:val="21"/>
                      <w:lang w:bidi="ar"/>
                    </w:rPr>
                    <w:t>预拌商品混凝土生产企业，应当符合国家和自治区有关资源节约、清洁生产、安全文明生产的规定，做到搅拌站(厂)场地全硬化，绿化达标，配置相应的混凝土运输车排污水处理和砂石料分离设施以及生产过程的除尘、降噪等设施。积极支持预拌商品混凝土生产企业开展资源综合利用工作。</w:t>
                  </w:r>
                </w:p>
                <w:p>
                  <w:pPr>
                    <w:widowControl/>
                    <w:numPr>
                      <w:ilvl w:val="0"/>
                      <w:numId w:val="0"/>
                    </w:numPr>
                    <w:adjustRightInd w:val="0"/>
                    <w:snapToGrid w:val="0"/>
                    <w:ind w:firstLine="421" w:firstLineChars="200"/>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b/>
                      <w:bCs/>
                      <w:color w:val="auto"/>
                      <w:kern w:val="0"/>
                      <w:sz w:val="21"/>
                      <w:szCs w:val="21"/>
                      <w:lang w:bidi="ar"/>
                    </w:rPr>
                    <w:t>第二十五条</w:t>
                  </w:r>
                  <w:r>
                    <w:rPr>
                      <w:rFonts w:hint="default" w:ascii="Times New Roman" w:hAnsi="Times New Roman" w:eastAsia="宋体" w:cs="Times New Roman"/>
                      <w:color w:val="auto"/>
                      <w:kern w:val="0"/>
                      <w:sz w:val="21"/>
                      <w:szCs w:val="21"/>
                      <w:lang w:bidi="ar"/>
                    </w:rPr>
                    <w:t xml:space="preserve"> 预拌商品混凝土原材料储存和使用应按照先进先出的原则，合理设计原材料储存位置和仓位及时调整原材料的使用日期,防止材料因堆放时间过长而影响质量。</w:t>
                  </w:r>
                </w:p>
                <w:p>
                  <w:pPr>
                    <w:widowControl/>
                    <w:numPr>
                      <w:ilvl w:val="0"/>
                      <w:numId w:val="0"/>
                    </w:numPr>
                    <w:adjustRightInd w:val="0"/>
                    <w:snapToGrid w:val="0"/>
                    <w:ind w:firstLine="420" w:firstLineChars="200"/>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一)水泥、矿物掺合料、外加剂等原材料应采用密封的储料仓，按照不同的品种、规格、生产厂家分别存储。不同生产厂家、不同品种的水泥和掺合料严禁混仓，材料简仓应加锁管理;简仓外应有醒目的指示铭牌标识内容应有:材料名称、品种规格、生产厂家、批号、检验状态等信息。</w:t>
                  </w:r>
                </w:p>
                <w:p>
                  <w:pPr>
                    <w:widowControl/>
                    <w:numPr>
                      <w:ilvl w:val="0"/>
                      <w:numId w:val="0"/>
                    </w:numPr>
                    <w:adjustRightInd w:val="0"/>
                    <w:snapToGrid w:val="0"/>
                    <w:ind w:firstLine="420" w:firstLineChars="200"/>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二)原材料堆场应采用全封闭管理，场地应进行硬化处理，混凝土用砂、石料必须按照不同的品种、规格分仓堆放并设永久性隔离墙，场地的周围不得堆放杂物，堆料仓口应有醒目的指示铭牌,标明材料的名称、品种规格，检验状态等信息。</w:t>
                  </w:r>
                </w:p>
              </w:tc>
              <w:tc>
                <w:tcPr>
                  <w:tcW w:w="2074" w:type="dxa"/>
                  <w:tcBorders>
                    <w:tl2br w:val="nil"/>
                    <w:tr2bl w:val="nil"/>
                  </w:tcBorders>
                  <w:vAlign w:val="center"/>
                </w:tcPr>
                <w:p>
                  <w:pPr>
                    <w:adjustRightInd w:val="0"/>
                    <w:snapToGrid w:val="0"/>
                    <w:ind w:firstLine="420" w:firstLineChars="200"/>
                    <w:jc w:val="both"/>
                    <w:rPr>
                      <w:rFonts w:hint="default" w:ascii="Times New Roman" w:hAnsi="Times New Roman" w:eastAsia="宋体" w:cs="Times New Roman"/>
                      <w:color w:val="auto"/>
                      <w:sz w:val="21"/>
                      <w:szCs w:val="21"/>
                      <w:lang w:val="en-US" w:bidi="ar"/>
                    </w:rPr>
                  </w:pPr>
                  <w:r>
                    <w:rPr>
                      <w:rFonts w:hint="default" w:ascii="Times New Roman" w:hAnsi="Times New Roman" w:eastAsia="宋体" w:cs="Times New Roman"/>
                      <w:color w:val="auto"/>
                      <w:kern w:val="0"/>
                      <w:sz w:val="21"/>
                      <w:szCs w:val="21"/>
                      <w:lang w:val="en-US" w:eastAsia="zh-CN" w:bidi="ar"/>
                    </w:rPr>
                    <w:t>本项目建设的临时混凝土拌合站服务于黄河宁夏段河道治理工程(中卫段)2024年第一批建设项目一标段（砼四脚体预制1）工程，生产的混凝土不进行外售；项目生产过程中储料仓库、搅拌机及输送廊道均进行封闭建设，运输车辆控制装载量并遮盖篷布，场区外围进行纤维网苫盖，道路定期洒水抑尘；设置原料仓、外加剂罐、水泥罐等分别储存原料，并设置醒目标牌公开信息。</w:t>
                  </w:r>
                </w:p>
              </w:tc>
              <w:tc>
                <w:tcPr>
                  <w:tcW w:w="704" w:type="dxa"/>
                  <w:tcBorders>
                    <w:tl2br w:val="nil"/>
                    <w:tr2bl w:val="nil"/>
                  </w:tcBorders>
                  <w:vAlign w:val="center"/>
                </w:tcPr>
                <w:p>
                  <w:pPr>
                    <w:pStyle w:val="16"/>
                    <w:adjustRightInd w:val="0"/>
                    <w:jc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符合</w:t>
                  </w:r>
                </w:p>
              </w:tc>
            </w:tr>
          </w:tbl>
          <w:p>
            <w:pPr>
              <w:keepNext w:val="0"/>
              <w:keepLines w:val="0"/>
              <w:pageBreakBefore w:val="0"/>
              <w:kinsoku/>
              <w:wordWrap/>
              <w:overflowPunct/>
              <w:topLinePunct w:val="0"/>
              <w:autoSpaceDE w:val="0"/>
              <w:autoSpaceDN w:val="0"/>
              <w:bidi w:val="0"/>
              <w:adjustRightInd w:val="0"/>
              <w:snapToGrid w:val="0"/>
              <w:spacing w:line="360" w:lineRule="auto"/>
              <w:ind w:firstLine="481" w:firstLineChars="200"/>
              <w:jc w:val="left"/>
              <w:textAlignment w:val="auto"/>
              <w:rPr>
                <w:color w:val="auto"/>
                <w:sz w:val="24"/>
              </w:rPr>
            </w:pPr>
            <w:r>
              <w:rPr>
                <w:rFonts w:hint="eastAsia"/>
                <w:b/>
                <w:bCs/>
                <w:color w:val="auto"/>
                <w:sz w:val="24"/>
                <w:lang w:val="en-US" w:eastAsia="zh-CN"/>
              </w:rPr>
              <w:t>3</w:t>
            </w:r>
            <w:r>
              <w:rPr>
                <w:b/>
                <w:bCs/>
                <w:color w:val="auto"/>
                <w:sz w:val="24"/>
              </w:rPr>
              <w:t>、</w:t>
            </w:r>
            <w:r>
              <w:rPr>
                <w:rFonts w:hint="eastAsia"/>
                <w:b/>
                <w:bCs/>
                <w:color w:val="auto"/>
                <w:sz w:val="24"/>
                <w:lang w:val="en-US" w:eastAsia="zh-CN"/>
              </w:rPr>
              <w:t>项目选址</w:t>
            </w:r>
            <w:r>
              <w:rPr>
                <w:b/>
                <w:bCs/>
                <w:color w:val="auto"/>
                <w:sz w:val="24"/>
              </w:rPr>
              <w:t>符合性分析</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b w:val="0"/>
                <w:bCs w:val="0"/>
                <w:color w:val="auto"/>
                <w:sz w:val="24"/>
                <w:lang w:val="en-US" w:eastAsia="zh-CN"/>
              </w:rPr>
            </w:pPr>
            <w:r>
              <w:rPr>
                <w:rFonts w:hint="eastAsia"/>
                <w:b w:val="0"/>
                <w:bCs w:val="0"/>
                <w:color w:val="auto"/>
                <w:sz w:val="24"/>
                <w:lang w:val="en-US" w:eastAsia="zh-CN"/>
              </w:rPr>
              <w:t>本项目建设地点位于中卫市沙坡头区东园镇新北山区，属于临时占地，用地类型为天然牧草地，项目已取得临时用地手续，运营期结束后进行土地复垦恢复。项目为建设临时混凝土拌合站，运营期3个月，</w:t>
            </w:r>
            <w:r>
              <w:rPr>
                <w:rFonts w:hint="eastAsia"/>
                <w:bCs/>
                <w:snapToGrid w:val="0"/>
                <w:color w:val="auto"/>
                <w:kern w:val="0"/>
                <w:sz w:val="24"/>
                <w:lang w:val="en-US" w:eastAsia="zh-CN"/>
              </w:rPr>
              <w:t>生产的混凝土</w:t>
            </w:r>
            <w:r>
              <w:rPr>
                <w:rFonts w:hint="eastAsia"/>
                <w:b w:val="0"/>
                <w:bCs w:val="0"/>
                <w:color w:val="auto"/>
                <w:sz w:val="24"/>
                <w:lang w:val="en-US" w:eastAsia="zh-CN"/>
              </w:rPr>
              <w:t>配套满足</w:t>
            </w:r>
            <w:r>
              <w:rPr>
                <w:rFonts w:hint="eastAsia"/>
                <w:bCs/>
                <w:snapToGrid w:val="0"/>
                <w:color w:val="auto"/>
                <w:kern w:val="0"/>
                <w:sz w:val="24"/>
                <w:lang w:val="en-US" w:eastAsia="zh-CN"/>
              </w:rPr>
              <w:t>黄河宁夏段河道治理工程(中卫段)2024年第一批建设项目一标段（砼四脚体预制1）项目的混凝土使用需求。</w:t>
            </w:r>
            <w:r>
              <w:rPr>
                <w:rFonts w:hint="eastAsia"/>
                <w:b w:val="0"/>
                <w:bCs w:val="0"/>
                <w:color w:val="auto"/>
                <w:sz w:val="24"/>
                <w:lang w:val="en-US" w:eastAsia="zh-CN"/>
              </w:rPr>
              <w:t>因此，综合考虑项目建设性质、产品需求及相关法律法规要求，项目选址合理。</w:t>
            </w:r>
          </w:p>
          <w:p>
            <w:pPr>
              <w:keepNext w:val="0"/>
              <w:keepLines w:val="0"/>
              <w:pageBreakBefore w:val="0"/>
              <w:kinsoku/>
              <w:wordWrap/>
              <w:overflowPunct/>
              <w:topLinePunct w:val="0"/>
              <w:autoSpaceDE w:val="0"/>
              <w:autoSpaceDN w:val="0"/>
              <w:bidi w:val="0"/>
              <w:adjustRightInd w:val="0"/>
              <w:snapToGrid w:val="0"/>
              <w:spacing w:line="360" w:lineRule="auto"/>
              <w:ind w:firstLine="481" w:firstLineChars="200"/>
              <w:jc w:val="left"/>
              <w:textAlignment w:val="auto"/>
              <w:rPr>
                <w:color w:val="auto"/>
                <w:sz w:val="24"/>
              </w:rPr>
            </w:pPr>
            <w:r>
              <w:rPr>
                <w:rFonts w:hint="eastAsia"/>
                <w:b/>
                <w:bCs/>
                <w:color w:val="auto"/>
                <w:sz w:val="24"/>
                <w:lang w:val="en-US" w:eastAsia="zh-CN"/>
              </w:rPr>
              <w:t>4</w:t>
            </w:r>
            <w:r>
              <w:rPr>
                <w:b/>
                <w:bCs/>
                <w:color w:val="auto"/>
                <w:sz w:val="24"/>
              </w:rPr>
              <w:t>、“三线一单”符合性分析</w:t>
            </w:r>
          </w:p>
          <w:p>
            <w:pPr>
              <w:keepNext w:val="0"/>
              <w:keepLines w:val="0"/>
              <w:pageBreakBefore w:val="0"/>
              <w:kinsoku/>
              <w:wordWrap/>
              <w:overflowPunct/>
              <w:topLinePunct w:val="0"/>
              <w:autoSpaceDE w:val="0"/>
              <w:autoSpaceDN w:val="0"/>
              <w:bidi w:val="0"/>
              <w:adjustRightInd w:val="0"/>
              <w:snapToGrid w:val="0"/>
              <w:spacing w:line="360" w:lineRule="auto"/>
              <w:ind w:firstLine="481" w:firstLineChars="200"/>
              <w:jc w:val="left"/>
              <w:textAlignment w:val="auto"/>
              <w:rPr>
                <w:color w:val="auto"/>
                <w:sz w:val="24"/>
              </w:rPr>
            </w:pPr>
            <w:r>
              <w:rPr>
                <w:b/>
                <w:bCs/>
                <w:color w:val="auto"/>
                <w:kern w:val="0"/>
                <w:sz w:val="24"/>
              </w:rPr>
              <w:t>（1）生态保护红线及生态分区管控</w:t>
            </w:r>
          </w:p>
          <w:p>
            <w:pPr>
              <w:pStyle w:val="16"/>
              <w:keepNext w:val="0"/>
              <w:keepLines w:val="0"/>
              <w:pageBreakBefore w:val="0"/>
              <w:kinsoku/>
              <w:wordWrap/>
              <w:overflowPunct/>
              <w:topLinePunct w:val="0"/>
              <w:bidi w:val="0"/>
              <w:adjustRightInd w:val="0"/>
              <w:snapToGrid w:val="0"/>
              <w:spacing w:line="360" w:lineRule="auto"/>
              <w:ind w:firstLine="481" w:firstLineChars="200"/>
              <w:textAlignment w:val="auto"/>
              <w:rPr>
                <w:b/>
                <w:bCs/>
                <w:color w:val="auto"/>
                <w:sz w:val="24"/>
                <w:szCs w:val="24"/>
              </w:rPr>
            </w:pPr>
            <w:r>
              <w:rPr>
                <w:b/>
                <w:bCs/>
                <w:color w:val="auto"/>
                <w:sz w:val="24"/>
                <w:szCs w:val="24"/>
              </w:rPr>
              <w:t>①生态保护红线</w:t>
            </w:r>
          </w:p>
          <w:p>
            <w:pPr>
              <w:keepNext w:val="0"/>
              <w:keepLines w:val="0"/>
              <w:pageBreakBefore w:val="0"/>
              <w:widowControl/>
              <w:kinsoku/>
              <w:wordWrap/>
              <w:overflowPunct/>
              <w:topLinePunct w:val="0"/>
              <w:bidi w:val="0"/>
              <w:adjustRightInd w:val="0"/>
              <w:snapToGrid w:val="0"/>
              <w:spacing w:line="360" w:lineRule="auto"/>
              <w:ind w:firstLine="480" w:firstLineChars="200"/>
              <w:jc w:val="both"/>
              <w:textAlignment w:val="auto"/>
              <w:rPr>
                <w:color w:val="auto"/>
                <w:sz w:val="24"/>
              </w:rPr>
            </w:pPr>
            <w:r>
              <w:rPr>
                <w:color w:val="auto"/>
                <w:kern w:val="0"/>
                <w:sz w:val="24"/>
                <w:lang w:bidi="ar"/>
              </w:rPr>
              <w:t>中卫市人民政府衔接落实《宁夏回族自治区生态保护红线》（宁政发〔2018〕23号），基于生态保护红线划定评估工作，以生态系统功能极重要区和重要区、生态环境极敏感区和敏感区为重点，衔接自治区级及以上自然保护区</w:t>
            </w:r>
            <w:r>
              <w:rPr>
                <w:rFonts w:hint="eastAsia"/>
                <w:color w:val="auto"/>
                <w:kern w:val="0"/>
                <w:sz w:val="24"/>
                <w:lang w:eastAsia="zh-CN" w:bidi="ar"/>
              </w:rPr>
              <w:t>、</w:t>
            </w:r>
            <w:r>
              <w:rPr>
                <w:color w:val="auto"/>
                <w:kern w:val="0"/>
                <w:sz w:val="24"/>
                <w:lang w:bidi="ar"/>
              </w:rPr>
              <w:t>森林公园、湿地公园、</w:t>
            </w:r>
            <w:r>
              <w:rPr>
                <w:rFonts w:hint="eastAsia"/>
                <w:color w:val="auto"/>
                <w:kern w:val="0"/>
                <w:sz w:val="24"/>
                <w:lang w:val="en-US" w:eastAsia="zh-CN" w:bidi="ar"/>
              </w:rPr>
              <w:t>草原公园、地质公园、沙漠公园等各类自然保护地，以及</w:t>
            </w:r>
            <w:r>
              <w:rPr>
                <w:color w:val="auto"/>
                <w:kern w:val="0"/>
                <w:sz w:val="24"/>
                <w:lang w:bidi="ar"/>
              </w:rPr>
              <w:t>国家级生态公益林</w:t>
            </w:r>
            <w:r>
              <w:rPr>
                <w:rFonts w:hint="eastAsia"/>
                <w:color w:val="auto"/>
                <w:kern w:val="0"/>
                <w:sz w:val="24"/>
                <w:lang w:eastAsia="zh-CN" w:bidi="ar"/>
              </w:rPr>
              <w:t>、</w:t>
            </w:r>
            <w:r>
              <w:rPr>
                <w:rFonts w:hint="eastAsia"/>
                <w:color w:val="auto"/>
                <w:kern w:val="0"/>
                <w:sz w:val="24"/>
                <w:lang w:val="en-US" w:eastAsia="zh-CN" w:bidi="ar"/>
              </w:rPr>
              <w:t>国家和自治区重要湿地、国家沙化土地封禁保护区、国家级水产种质资源保护区、黄河干流岸线等其他保护区域，结合相关规划及经济社会发展需求，划定中卫市生态空间总面积5656.29</w:t>
            </w:r>
            <w:r>
              <w:rPr>
                <w:color w:val="auto"/>
                <w:kern w:val="0"/>
                <w:sz w:val="24"/>
                <w:lang w:bidi="ar"/>
              </w:rPr>
              <w:t>km</w:t>
            </w:r>
            <w:r>
              <w:rPr>
                <w:color w:val="auto"/>
                <w:kern w:val="0"/>
                <w:sz w:val="24"/>
                <w:vertAlign w:val="superscript"/>
                <w:lang w:bidi="ar"/>
              </w:rPr>
              <w:t>2</w:t>
            </w:r>
            <w:r>
              <w:rPr>
                <w:rFonts w:hint="eastAsia"/>
                <w:color w:val="auto"/>
                <w:kern w:val="0"/>
                <w:sz w:val="24"/>
                <w:lang w:val="en-US" w:eastAsia="zh-CN" w:bidi="ar"/>
              </w:rPr>
              <w:t>，占全市国土总面积的41.16%，其中</w:t>
            </w:r>
            <w:r>
              <w:rPr>
                <w:color w:val="auto"/>
                <w:kern w:val="0"/>
                <w:sz w:val="24"/>
                <w:lang w:bidi="ar"/>
              </w:rPr>
              <w:t>生态保护红线面积约为</w:t>
            </w:r>
            <w:r>
              <w:rPr>
                <w:rFonts w:hint="eastAsia"/>
                <w:color w:val="auto"/>
                <w:kern w:val="0"/>
                <w:sz w:val="24"/>
                <w:lang w:val="en-US" w:eastAsia="zh-CN" w:bidi="ar"/>
              </w:rPr>
              <w:t>3291.76</w:t>
            </w:r>
            <w:r>
              <w:rPr>
                <w:color w:val="auto"/>
                <w:kern w:val="0"/>
                <w:sz w:val="24"/>
                <w:lang w:bidi="ar"/>
              </w:rPr>
              <w:t>km</w:t>
            </w:r>
            <w:r>
              <w:rPr>
                <w:color w:val="auto"/>
                <w:kern w:val="0"/>
                <w:sz w:val="24"/>
                <w:vertAlign w:val="superscript"/>
                <w:lang w:bidi="ar"/>
              </w:rPr>
              <w:t>2</w:t>
            </w:r>
            <w:r>
              <w:rPr>
                <w:color w:val="auto"/>
                <w:kern w:val="0"/>
                <w:sz w:val="24"/>
                <w:lang w:bidi="ar"/>
              </w:rPr>
              <w:t>，占全市国土总面积的23.</w:t>
            </w:r>
            <w:r>
              <w:rPr>
                <w:rFonts w:hint="eastAsia"/>
                <w:color w:val="auto"/>
                <w:kern w:val="0"/>
                <w:sz w:val="24"/>
                <w:lang w:val="en-US" w:eastAsia="zh-CN" w:bidi="ar"/>
              </w:rPr>
              <w:t>96</w:t>
            </w:r>
            <w:r>
              <w:rPr>
                <w:color w:val="auto"/>
                <w:kern w:val="0"/>
                <w:sz w:val="24"/>
                <w:lang w:bidi="ar"/>
              </w:rPr>
              <w:t>%</w:t>
            </w:r>
            <w:r>
              <w:rPr>
                <w:rFonts w:hint="eastAsia"/>
                <w:color w:val="auto"/>
                <w:kern w:val="0"/>
                <w:sz w:val="24"/>
                <w:lang w:eastAsia="zh-CN" w:bidi="ar"/>
              </w:rPr>
              <w:t>；</w:t>
            </w:r>
            <w:r>
              <w:rPr>
                <w:rFonts w:hint="eastAsia"/>
                <w:color w:val="auto"/>
                <w:kern w:val="0"/>
                <w:sz w:val="24"/>
                <w:lang w:val="en-US" w:eastAsia="zh-CN" w:bidi="ar"/>
              </w:rPr>
              <w:t>除生态保护红线以外的一般生态空间面积2364.30</w:t>
            </w:r>
            <w:r>
              <w:rPr>
                <w:color w:val="auto"/>
                <w:kern w:val="0"/>
                <w:sz w:val="24"/>
                <w:lang w:bidi="ar"/>
              </w:rPr>
              <w:t>km</w:t>
            </w:r>
            <w:r>
              <w:rPr>
                <w:color w:val="auto"/>
                <w:kern w:val="0"/>
                <w:sz w:val="24"/>
                <w:vertAlign w:val="superscript"/>
                <w:lang w:bidi="ar"/>
              </w:rPr>
              <w:t>2</w:t>
            </w:r>
            <w:r>
              <w:rPr>
                <w:rFonts w:hint="eastAsia"/>
                <w:color w:val="auto"/>
                <w:kern w:val="0"/>
                <w:sz w:val="24"/>
                <w:vertAlign w:val="baseline"/>
                <w:lang w:eastAsia="zh-CN" w:bidi="ar"/>
              </w:rPr>
              <w:t>，</w:t>
            </w:r>
            <w:r>
              <w:rPr>
                <w:color w:val="auto"/>
                <w:kern w:val="0"/>
                <w:sz w:val="24"/>
                <w:lang w:bidi="ar"/>
              </w:rPr>
              <w:t>占全市国土总面积的</w:t>
            </w:r>
            <w:r>
              <w:rPr>
                <w:rFonts w:hint="eastAsia"/>
                <w:color w:val="auto"/>
                <w:kern w:val="0"/>
                <w:sz w:val="24"/>
                <w:lang w:val="en-US" w:eastAsia="zh-CN" w:bidi="ar"/>
              </w:rPr>
              <w:t>17.21</w:t>
            </w:r>
            <w:r>
              <w:rPr>
                <w:color w:val="auto"/>
                <w:kern w:val="0"/>
                <w:sz w:val="24"/>
                <w:lang w:bidi="ar"/>
              </w:rPr>
              <w:t>%</w:t>
            </w:r>
            <w:r>
              <w:rPr>
                <w:rFonts w:hint="eastAsia"/>
                <w:color w:val="auto"/>
                <w:kern w:val="0"/>
                <w:sz w:val="24"/>
                <w:lang w:eastAsia="zh-CN" w:bidi="ar"/>
              </w:rPr>
              <w:t>。生态保护红线内禁止城镇化和工业化活动，严禁不符合主体功能定位的各类开发活动。生态保护红线内自然保护区、风景名胜区、饮用水水源保护区等区域，依照法律法规执行。</w:t>
            </w:r>
          </w:p>
          <w:p>
            <w:pPr>
              <w:widowControl/>
              <w:adjustRightInd w:val="0"/>
              <w:snapToGrid w:val="0"/>
              <w:spacing w:line="360" w:lineRule="auto"/>
              <w:ind w:firstLine="480" w:firstLineChars="200"/>
              <w:jc w:val="both"/>
              <w:rPr>
                <w:color w:val="auto"/>
                <w:kern w:val="0"/>
                <w:sz w:val="24"/>
                <w:lang w:bidi="ar"/>
              </w:rPr>
            </w:pPr>
            <w:r>
              <w:rPr>
                <w:color w:val="auto"/>
                <w:sz w:val="24"/>
              </w:rPr>
              <w:t>本项目</w:t>
            </w:r>
            <w:r>
              <w:rPr>
                <w:rFonts w:hint="eastAsia"/>
                <w:color w:val="auto"/>
                <w:sz w:val="24"/>
              </w:rPr>
              <w:t>位于</w:t>
            </w:r>
            <w:r>
              <w:rPr>
                <w:color w:val="auto"/>
                <w:sz w:val="24"/>
              </w:rPr>
              <w:t>宁夏回族自治区</w:t>
            </w:r>
            <w:r>
              <w:rPr>
                <w:rFonts w:hint="eastAsia"/>
                <w:color w:val="auto"/>
                <w:sz w:val="24"/>
              </w:rPr>
              <w:t>中卫市</w:t>
            </w:r>
            <w:r>
              <w:rPr>
                <w:rFonts w:hint="eastAsia"/>
                <w:color w:val="auto"/>
                <w:sz w:val="24"/>
                <w:lang w:val="en-US" w:eastAsia="zh-CN"/>
              </w:rPr>
              <w:t>沙坡头区东园镇</w:t>
            </w:r>
            <w:r>
              <w:rPr>
                <w:rFonts w:hint="eastAsia"/>
                <w:color w:val="auto"/>
                <w:sz w:val="24"/>
              </w:rPr>
              <w:t>，租用</w:t>
            </w:r>
            <w:r>
              <w:rPr>
                <w:rFonts w:hint="eastAsia"/>
                <w:color w:val="auto"/>
                <w:sz w:val="24"/>
                <w:lang w:val="en-US" w:eastAsia="zh-CN"/>
              </w:rPr>
              <w:t>东园镇新北山区土地</w:t>
            </w:r>
            <w:r>
              <w:rPr>
                <w:rFonts w:hint="eastAsia"/>
                <w:color w:val="auto"/>
                <w:sz w:val="24"/>
                <w:lang w:eastAsia="zh-CN"/>
              </w:rPr>
              <w:t>。</w:t>
            </w:r>
            <w:r>
              <w:rPr>
                <w:rFonts w:hint="eastAsia"/>
                <w:color w:val="auto"/>
                <w:kern w:val="0"/>
                <w:sz w:val="24"/>
                <w:lang w:val="en-US" w:eastAsia="zh-CN" w:bidi="ar"/>
              </w:rPr>
              <w:t>本项目场界南侧有一处自治区文物保护单位—长城（S，74m）。长城墙体两侧、烽火台四周及城址墙体四周各50米为长城保护范围；墙体保护范围外两侧、烽火台及城址保护范围外四向各扩100米为长城建设控制地带，在长城建设控制地带内，不得建设污染长城及其环境的设施，不得从事可能影响长城安全及其环境的活动。为将对长城的影响降到最低，本次环评要求本项目建设严格避开长城建设控制地带。除此之外，</w:t>
            </w:r>
            <w:r>
              <w:rPr>
                <w:rFonts w:hint="eastAsia"/>
                <w:color w:val="auto"/>
                <w:kern w:val="0"/>
                <w:sz w:val="24"/>
                <w:lang w:eastAsia="zh-CN" w:bidi="ar"/>
              </w:rPr>
              <w:t>本项目</w:t>
            </w:r>
            <w:r>
              <w:rPr>
                <w:rFonts w:hint="eastAsia"/>
                <w:color w:val="auto"/>
                <w:kern w:val="0"/>
                <w:sz w:val="24"/>
                <w:lang w:bidi="ar"/>
              </w:rPr>
              <w:t>周边</w:t>
            </w:r>
            <w:r>
              <w:rPr>
                <w:color w:val="auto"/>
                <w:kern w:val="0"/>
                <w:sz w:val="24"/>
                <w:lang w:bidi="ar"/>
              </w:rPr>
              <w:t>不涉及自然保护区、湿地公园、森林公园以及水源地等其他环境敏感区</w:t>
            </w:r>
            <w:r>
              <w:rPr>
                <w:rFonts w:hint="eastAsia"/>
                <w:color w:val="auto"/>
                <w:kern w:val="0"/>
                <w:sz w:val="24"/>
                <w:lang w:bidi="ar"/>
              </w:rPr>
              <w:t>，</w:t>
            </w:r>
            <w:r>
              <w:rPr>
                <w:color w:val="auto"/>
                <w:kern w:val="0"/>
                <w:sz w:val="24"/>
                <w:lang w:bidi="ar"/>
              </w:rPr>
              <w:t>与《中卫市人民政府</w:t>
            </w:r>
            <w:r>
              <w:rPr>
                <w:rFonts w:hint="eastAsia"/>
                <w:color w:val="auto"/>
                <w:kern w:val="0"/>
                <w:sz w:val="24"/>
                <w:lang w:val="en-US" w:eastAsia="zh-CN" w:bidi="ar"/>
              </w:rPr>
              <w:t>办公室</w:t>
            </w:r>
            <w:r>
              <w:rPr>
                <w:color w:val="auto"/>
                <w:kern w:val="0"/>
                <w:sz w:val="24"/>
                <w:lang w:bidi="ar"/>
              </w:rPr>
              <w:t>关于</w:t>
            </w:r>
            <w:r>
              <w:rPr>
                <w:rFonts w:hint="eastAsia"/>
                <w:color w:val="auto"/>
                <w:kern w:val="0"/>
                <w:sz w:val="24"/>
                <w:lang w:val="en-US" w:eastAsia="zh-CN" w:bidi="ar"/>
              </w:rPr>
              <w:t>发布&lt;中卫市生态环境分区管控动态更新成果&gt;的通知</w:t>
            </w:r>
            <w:r>
              <w:rPr>
                <w:color w:val="auto"/>
                <w:kern w:val="0"/>
                <w:sz w:val="24"/>
                <w:lang w:bidi="ar"/>
              </w:rPr>
              <w:t>》（卫政</w:t>
            </w:r>
            <w:r>
              <w:rPr>
                <w:rFonts w:hint="eastAsia"/>
                <w:color w:val="auto"/>
                <w:kern w:val="0"/>
                <w:sz w:val="24"/>
                <w:lang w:val="en-US" w:eastAsia="zh-CN" w:bidi="ar"/>
              </w:rPr>
              <w:t>办</w:t>
            </w:r>
            <w:r>
              <w:rPr>
                <w:color w:val="auto"/>
                <w:kern w:val="0"/>
                <w:sz w:val="24"/>
                <w:lang w:bidi="ar"/>
              </w:rPr>
              <w:t>发〔202</w:t>
            </w:r>
            <w:r>
              <w:rPr>
                <w:rFonts w:hint="eastAsia"/>
                <w:color w:val="auto"/>
                <w:kern w:val="0"/>
                <w:sz w:val="24"/>
                <w:lang w:val="en-US" w:eastAsia="zh-CN" w:bidi="ar"/>
              </w:rPr>
              <w:t>4</w:t>
            </w:r>
            <w:r>
              <w:rPr>
                <w:color w:val="auto"/>
                <w:kern w:val="0"/>
                <w:sz w:val="24"/>
                <w:lang w:bidi="ar"/>
              </w:rPr>
              <w:t>〕</w:t>
            </w:r>
            <w:r>
              <w:rPr>
                <w:rFonts w:hint="eastAsia"/>
                <w:color w:val="auto"/>
                <w:kern w:val="0"/>
                <w:sz w:val="24"/>
                <w:lang w:val="en-US" w:eastAsia="zh-CN" w:bidi="ar"/>
              </w:rPr>
              <w:t>33</w:t>
            </w:r>
            <w:r>
              <w:rPr>
                <w:color w:val="auto"/>
                <w:kern w:val="0"/>
                <w:sz w:val="24"/>
                <w:lang w:bidi="ar"/>
              </w:rPr>
              <w:t>号）生态空间图和生态保护红线图对比可知，本项目不涉及生态红线保护范围，符合</w:t>
            </w:r>
            <w:r>
              <w:rPr>
                <w:rFonts w:hint="eastAsia"/>
                <w:color w:val="auto"/>
                <w:kern w:val="0"/>
                <w:sz w:val="24"/>
                <w:lang w:bidi="ar"/>
              </w:rPr>
              <w:t>中卫市</w:t>
            </w:r>
            <w:r>
              <w:rPr>
                <w:color w:val="auto"/>
                <w:kern w:val="0"/>
                <w:sz w:val="24"/>
                <w:lang w:bidi="ar"/>
              </w:rPr>
              <w:t>生态红线保护要求。</w:t>
            </w:r>
          </w:p>
          <w:p>
            <w:pPr>
              <w:widowControl/>
              <w:adjustRightInd w:val="0"/>
              <w:snapToGrid w:val="0"/>
              <w:spacing w:line="360" w:lineRule="auto"/>
              <w:ind w:firstLine="480" w:firstLineChars="200"/>
              <w:jc w:val="both"/>
              <w:rPr>
                <w:color w:val="auto"/>
                <w:kern w:val="0"/>
                <w:sz w:val="24"/>
                <w:lang w:bidi="ar"/>
              </w:rPr>
            </w:pPr>
            <w:r>
              <w:rPr>
                <w:rFonts w:hint="eastAsia"/>
                <w:color w:val="000000" w:themeColor="text1"/>
                <w:kern w:val="0"/>
                <w:sz w:val="24"/>
                <w:lang w:val="en-US" w:eastAsia="zh-CN" w:bidi="ar"/>
                <w14:textFill>
                  <w14:solidFill>
                    <w14:schemeClr w14:val="tx1"/>
                  </w14:solidFill>
                </w14:textFill>
              </w:rPr>
              <w:t>本项目临时混凝土拌合站服务于黄河宁夏段河道治理工程，黄河河道治理工程通过开展未达标堤防加高培厚，实施控导、防洪等河道整治工程和防汛道路建设，维护河势稳定，保障防洪安全。工程建成后，黄河宁夏段防洪体系更完善，有利于进一步优化黄河及周边生态环境，为打造河段堤防安全标准区提供有力支撑。</w:t>
            </w:r>
            <w:r>
              <w:rPr>
                <w:color w:val="000000" w:themeColor="text1"/>
                <w:kern w:val="0"/>
                <w:sz w:val="24"/>
                <w:lang w:bidi="ar"/>
                <w14:textFill>
                  <w14:solidFill>
                    <w14:schemeClr w14:val="tx1"/>
                  </w14:solidFill>
                </w14:textFill>
              </w:rPr>
              <w:t>本项目与中</w:t>
            </w:r>
            <w:r>
              <w:rPr>
                <w:color w:val="auto"/>
                <w:kern w:val="0"/>
                <w:sz w:val="24"/>
                <w:lang w:bidi="ar"/>
              </w:rPr>
              <w:t>卫市生态保护红线位置关系见</w:t>
            </w:r>
            <w:r>
              <w:rPr>
                <w:b/>
                <w:bCs/>
                <w:color w:val="auto"/>
                <w:kern w:val="0"/>
                <w:sz w:val="24"/>
                <w:lang w:bidi="ar"/>
              </w:rPr>
              <w:t>附图</w:t>
            </w:r>
            <w:r>
              <w:rPr>
                <w:rFonts w:hint="eastAsia"/>
                <w:b/>
                <w:bCs/>
                <w:color w:val="auto"/>
                <w:kern w:val="0"/>
                <w:sz w:val="24"/>
                <w:lang w:bidi="ar"/>
              </w:rPr>
              <w:t>1</w:t>
            </w:r>
            <w:r>
              <w:rPr>
                <w:rFonts w:hint="eastAsia"/>
                <w:color w:val="auto"/>
                <w:kern w:val="0"/>
                <w:sz w:val="24"/>
                <w:lang w:bidi="ar"/>
              </w:rPr>
              <w:t>，与</w:t>
            </w:r>
            <w:r>
              <w:rPr>
                <w:color w:val="auto"/>
                <w:kern w:val="0"/>
                <w:sz w:val="24"/>
                <w:lang w:bidi="ar"/>
              </w:rPr>
              <w:t>中卫市生态空间位置关系见</w:t>
            </w:r>
            <w:r>
              <w:rPr>
                <w:b/>
                <w:bCs/>
                <w:color w:val="auto"/>
                <w:kern w:val="0"/>
                <w:sz w:val="24"/>
                <w:lang w:bidi="ar"/>
              </w:rPr>
              <w:t>附图</w:t>
            </w:r>
            <w:r>
              <w:rPr>
                <w:rFonts w:hint="eastAsia"/>
                <w:b/>
                <w:bCs/>
                <w:color w:val="auto"/>
                <w:kern w:val="0"/>
                <w:sz w:val="24"/>
                <w:lang w:bidi="ar"/>
              </w:rPr>
              <w:t>2</w:t>
            </w:r>
            <w:r>
              <w:rPr>
                <w:color w:val="auto"/>
                <w:kern w:val="0"/>
                <w:sz w:val="24"/>
                <w:lang w:bidi="ar"/>
              </w:rPr>
              <w:t>。</w:t>
            </w:r>
          </w:p>
          <w:p>
            <w:pPr>
              <w:pStyle w:val="16"/>
              <w:adjustRightInd w:val="0"/>
              <w:spacing w:line="360" w:lineRule="auto"/>
              <w:ind w:firstLine="481" w:firstLineChars="200"/>
              <w:rPr>
                <w:b/>
                <w:bCs/>
                <w:color w:val="auto"/>
                <w:sz w:val="24"/>
                <w:szCs w:val="24"/>
                <w:lang w:bidi="ar"/>
              </w:rPr>
            </w:pPr>
            <w:r>
              <w:rPr>
                <w:b/>
                <w:bCs/>
                <w:color w:val="auto"/>
                <w:sz w:val="24"/>
                <w:szCs w:val="24"/>
                <w:lang w:bidi="ar"/>
              </w:rPr>
              <w:t>②中卫市环境管控单元</w:t>
            </w:r>
          </w:p>
          <w:p>
            <w:pPr>
              <w:widowControl/>
              <w:adjustRightInd w:val="0"/>
              <w:snapToGrid w:val="0"/>
              <w:spacing w:line="360" w:lineRule="auto"/>
              <w:ind w:firstLine="480" w:firstLineChars="200"/>
              <w:jc w:val="left"/>
              <w:rPr>
                <w:color w:val="auto"/>
                <w:sz w:val="24"/>
              </w:rPr>
            </w:pPr>
            <w:r>
              <w:rPr>
                <w:color w:val="auto"/>
                <w:kern w:val="0"/>
                <w:sz w:val="24"/>
                <w:lang w:bidi="ar"/>
              </w:rPr>
              <w:t>坚持生态优先，考虑区域经济社会发展重点和差异，综合划定环境管控单元，在环境管控单元内落实生态保护红线、环境质量底线、资源利用上线的分区管控要求，实施分类管控。各生态环境要素中各类区域管控级别有重合时，按照“就高不就低”的原则处理，突出各生态环境要素优先保护区和重点管控区。</w:t>
            </w:r>
            <w:r>
              <w:rPr>
                <w:color w:val="auto"/>
                <w:sz w:val="24"/>
              </w:rPr>
              <w:t>根据</w:t>
            </w:r>
            <w:r>
              <w:rPr>
                <w:color w:val="auto"/>
                <w:kern w:val="0"/>
                <w:sz w:val="24"/>
                <w:lang w:bidi="ar"/>
              </w:rPr>
              <w:t>《中卫市人民政府</w:t>
            </w:r>
            <w:r>
              <w:rPr>
                <w:rFonts w:hint="eastAsia"/>
                <w:color w:val="auto"/>
                <w:kern w:val="0"/>
                <w:sz w:val="24"/>
                <w:lang w:val="en-US" w:eastAsia="zh-CN" w:bidi="ar"/>
              </w:rPr>
              <w:t>办公室</w:t>
            </w:r>
            <w:r>
              <w:rPr>
                <w:color w:val="auto"/>
                <w:kern w:val="0"/>
                <w:sz w:val="24"/>
                <w:lang w:bidi="ar"/>
              </w:rPr>
              <w:t>关于</w:t>
            </w:r>
            <w:r>
              <w:rPr>
                <w:rFonts w:hint="eastAsia"/>
                <w:color w:val="auto"/>
                <w:kern w:val="0"/>
                <w:sz w:val="24"/>
                <w:lang w:val="en-US" w:eastAsia="zh-CN" w:bidi="ar"/>
              </w:rPr>
              <w:t>发布&lt;中卫市生态环境分区管控动态更新成果&gt;的通知</w:t>
            </w:r>
            <w:r>
              <w:rPr>
                <w:color w:val="auto"/>
                <w:kern w:val="0"/>
                <w:sz w:val="24"/>
                <w:lang w:bidi="ar"/>
              </w:rPr>
              <w:t>》（卫政</w:t>
            </w:r>
            <w:r>
              <w:rPr>
                <w:rFonts w:hint="eastAsia"/>
                <w:color w:val="auto"/>
                <w:kern w:val="0"/>
                <w:sz w:val="24"/>
                <w:lang w:val="en-US" w:eastAsia="zh-CN" w:bidi="ar"/>
              </w:rPr>
              <w:t>办</w:t>
            </w:r>
            <w:r>
              <w:rPr>
                <w:color w:val="auto"/>
                <w:kern w:val="0"/>
                <w:sz w:val="24"/>
                <w:lang w:bidi="ar"/>
              </w:rPr>
              <w:t>发〔202</w:t>
            </w:r>
            <w:r>
              <w:rPr>
                <w:rFonts w:hint="eastAsia"/>
                <w:color w:val="auto"/>
                <w:kern w:val="0"/>
                <w:sz w:val="24"/>
                <w:lang w:val="en-US" w:eastAsia="zh-CN" w:bidi="ar"/>
              </w:rPr>
              <w:t>4</w:t>
            </w:r>
            <w:r>
              <w:rPr>
                <w:color w:val="auto"/>
                <w:kern w:val="0"/>
                <w:sz w:val="24"/>
                <w:lang w:bidi="ar"/>
              </w:rPr>
              <w:t>〕</w:t>
            </w:r>
            <w:r>
              <w:rPr>
                <w:rFonts w:hint="eastAsia"/>
                <w:color w:val="auto"/>
                <w:kern w:val="0"/>
                <w:sz w:val="24"/>
                <w:lang w:val="en-US" w:eastAsia="zh-CN" w:bidi="ar"/>
              </w:rPr>
              <w:t>33</w:t>
            </w:r>
            <w:r>
              <w:rPr>
                <w:color w:val="auto"/>
                <w:kern w:val="0"/>
                <w:sz w:val="24"/>
                <w:lang w:bidi="ar"/>
              </w:rPr>
              <w:t>号）</w:t>
            </w:r>
            <w:r>
              <w:rPr>
                <w:color w:val="auto"/>
                <w:sz w:val="24"/>
              </w:rPr>
              <w:t>，中卫全市划分优先保护单元、重点管控单元、一般管控单元三大类共计</w:t>
            </w:r>
            <w:r>
              <w:rPr>
                <w:rFonts w:hint="eastAsia"/>
                <w:color w:val="auto"/>
                <w:sz w:val="24"/>
                <w:lang w:val="en-US" w:eastAsia="zh-CN"/>
              </w:rPr>
              <w:t>57</w:t>
            </w:r>
            <w:r>
              <w:rPr>
                <w:color w:val="auto"/>
                <w:sz w:val="24"/>
              </w:rPr>
              <w:t>个环境管控单元。</w:t>
            </w:r>
          </w:p>
          <w:p>
            <w:pPr>
              <w:widowControl/>
              <w:adjustRightInd w:val="0"/>
              <w:snapToGrid w:val="0"/>
              <w:spacing w:line="360" w:lineRule="auto"/>
              <w:ind w:firstLine="480" w:firstLineChars="200"/>
              <w:jc w:val="left"/>
              <w:rPr>
                <w:rFonts w:ascii="Times New Roman" w:hAnsi="Times New Roman" w:eastAsia="宋体" w:cs="Times New Roman"/>
                <w:color w:val="auto"/>
                <w:sz w:val="24"/>
              </w:rPr>
            </w:pPr>
            <w:r>
              <w:rPr>
                <w:rFonts w:ascii="Times New Roman" w:hAnsi="Times New Roman" w:eastAsia="宋体" w:cs="Times New Roman"/>
                <w:color w:val="auto"/>
                <w:sz w:val="24"/>
              </w:rPr>
              <w:t>本项目位于</w:t>
            </w:r>
            <w:r>
              <w:rPr>
                <w:rFonts w:hint="eastAsia" w:cs="Times New Roman"/>
                <w:b/>
                <w:bCs/>
                <w:color w:val="auto"/>
                <w:sz w:val="24"/>
                <w:lang w:val="en-US" w:eastAsia="zh-CN"/>
              </w:rPr>
              <w:t>一般</w:t>
            </w:r>
            <w:r>
              <w:rPr>
                <w:rFonts w:hint="eastAsia" w:ascii="Times New Roman" w:hAnsi="Times New Roman" w:eastAsia="宋体" w:cs="Times New Roman"/>
                <w:b/>
                <w:bCs/>
                <w:color w:val="auto"/>
                <w:sz w:val="24"/>
              </w:rPr>
              <w:t>管控</w:t>
            </w:r>
            <w:r>
              <w:rPr>
                <w:rFonts w:ascii="Times New Roman" w:hAnsi="Times New Roman" w:eastAsia="宋体" w:cs="Times New Roman"/>
                <w:b/>
                <w:bCs/>
                <w:color w:val="auto"/>
                <w:sz w:val="24"/>
              </w:rPr>
              <w:t>单元</w:t>
            </w:r>
            <w:r>
              <w:rPr>
                <w:rFonts w:ascii="Times New Roman" w:hAnsi="Times New Roman" w:eastAsia="宋体" w:cs="Times New Roman"/>
                <w:color w:val="auto"/>
                <w:sz w:val="24"/>
              </w:rPr>
              <w:t>范围内</w:t>
            </w:r>
            <w:r>
              <w:rPr>
                <w:rFonts w:hint="eastAsia" w:ascii="Times New Roman" w:hAnsi="Times New Roman" w:eastAsia="宋体" w:cs="Times New Roman"/>
                <w:color w:val="auto"/>
                <w:sz w:val="24"/>
              </w:rPr>
              <w:t>。</w:t>
            </w:r>
            <w:bookmarkStart w:id="2" w:name="_Hlk73548690"/>
            <w:r>
              <w:rPr>
                <w:rFonts w:hint="eastAsia" w:ascii="Times New Roman" w:hAnsi="Times New Roman" w:eastAsia="宋体" w:cs="Times New Roman"/>
                <w:color w:val="auto"/>
                <w:sz w:val="24"/>
              </w:rPr>
              <w:t>一般管控单元以适度发展社会经济、避免大规模高强度开发为导向，执行区域生态环境保护的基本要求。</w:t>
            </w:r>
            <w:bookmarkEnd w:id="2"/>
            <w:r>
              <w:rPr>
                <w:rFonts w:hint="eastAsia" w:ascii="Times New Roman" w:hAnsi="Times New Roman" w:eastAsia="宋体" w:cs="Times New Roman"/>
                <w:color w:val="auto"/>
                <w:sz w:val="24"/>
                <w:lang w:val="zh-CN"/>
              </w:rPr>
              <w:t>本项目</w:t>
            </w:r>
            <w:r>
              <w:rPr>
                <w:rFonts w:hint="eastAsia" w:cs="Times New Roman"/>
                <w:color w:val="auto"/>
                <w:sz w:val="24"/>
                <w:lang w:val="en-US" w:eastAsia="zh-CN"/>
              </w:rPr>
              <w:t>建设</w:t>
            </w:r>
            <w:r>
              <w:rPr>
                <w:rFonts w:hint="eastAsia" w:ascii="Times New Roman" w:hAnsi="Times New Roman" w:eastAsia="宋体" w:cs="Times New Roman"/>
                <w:color w:val="auto"/>
                <w:sz w:val="24"/>
                <w:lang w:val="zh-CN" w:eastAsia="zh-CN"/>
              </w:rPr>
              <w:t>预制混凝土的临时拌合站</w:t>
            </w:r>
            <w:r>
              <w:rPr>
                <w:rFonts w:hint="eastAsia" w:ascii="Times New Roman" w:hAnsi="Times New Roman" w:eastAsia="宋体" w:cs="Times New Roman"/>
                <w:color w:val="auto"/>
                <w:sz w:val="24"/>
              </w:rPr>
              <w:t>，</w:t>
            </w:r>
            <w:r>
              <w:rPr>
                <w:rFonts w:hint="eastAsia" w:cs="Times New Roman"/>
                <w:color w:val="auto"/>
                <w:sz w:val="24"/>
                <w:lang w:val="en-US" w:eastAsia="zh-CN"/>
              </w:rPr>
              <w:t>项目运行周期3个月，</w:t>
            </w:r>
            <w:r>
              <w:rPr>
                <w:rFonts w:ascii="Times New Roman" w:hAnsi="Times New Roman" w:eastAsia="宋体" w:cs="Times New Roman"/>
                <w:color w:val="auto"/>
                <w:sz w:val="24"/>
              </w:rPr>
              <w:t>不涉及大规模</w:t>
            </w:r>
            <w:r>
              <w:rPr>
                <w:rFonts w:hint="eastAsia" w:ascii="Times New Roman" w:hAnsi="Times New Roman" w:eastAsia="宋体" w:cs="Times New Roman"/>
                <w:color w:val="auto"/>
                <w:sz w:val="24"/>
              </w:rPr>
              <w:t>的</w:t>
            </w:r>
            <w:r>
              <w:rPr>
                <w:rFonts w:hint="eastAsia" w:ascii="Times New Roman" w:hAnsi="Times New Roman" w:eastAsia="宋体" w:cs="Times New Roman"/>
                <w:color w:val="auto"/>
                <w:sz w:val="24"/>
                <w:lang w:val="zh-CN"/>
              </w:rPr>
              <w:t>工业开发和城镇建设</w:t>
            </w:r>
            <w:r>
              <w:rPr>
                <w:rFonts w:ascii="Times New Roman" w:hAnsi="Times New Roman" w:eastAsia="宋体" w:cs="Times New Roman"/>
                <w:color w:val="auto"/>
                <w:sz w:val="24"/>
              </w:rPr>
              <w:t>，</w:t>
            </w:r>
            <w:r>
              <w:rPr>
                <w:rFonts w:hint="eastAsia" w:cs="Times New Roman"/>
                <w:color w:val="auto"/>
                <w:sz w:val="24"/>
                <w:lang w:val="en-US" w:eastAsia="zh-CN"/>
              </w:rPr>
              <w:t>对周边的生态环境影响较小。</w:t>
            </w:r>
            <w:r>
              <w:rPr>
                <w:rFonts w:hint="eastAsia" w:ascii="Times New Roman" w:hAnsi="Times New Roman" w:eastAsia="宋体" w:cs="Times New Roman"/>
                <w:color w:val="auto"/>
                <w:sz w:val="24"/>
              </w:rPr>
              <w:t>各项污染物防治措施符合</w:t>
            </w:r>
            <w:r>
              <w:rPr>
                <w:rFonts w:hint="eastAsia" w:cs="Times New Roman"/>
                <w:color w:val="auto"/>
                <w:sz w:val="24"/>
                <w:lang w:val="en-US" w:eastAsia="zh-CN"/>
              </w:rPr>
              <w:t>一般</w:t>
            </w:r>
            <w:r>
              <w:rPr>
                <w:rFonts w:hint="eastAsia" w:ascii="Times New Roman" w:hAnsi="Times New Roman" w:eastAsia="宋体" w:cs="Times New Roman"/>
                <w:color w:val="auto"/>
                <w:sz w:val="24"/>
              </w:rPr>
              <w:t>管控单元要求</w:t>
            </w:r>
            <w:r>
              <w:rPr>
                <w:rFonts w:ascii="Times New Roman" w:hAnsi="Times New Roman" w:eastAsia="宋体" w:cs="Times New Roman"/>
                <w:color w:val="auto"/>
                <w:sz w:val="24"/>
              </w:rPr>
              <w:t>。本项目与中卫市环境管控单元位置关系见</w:t>
            </w:r>
            <w:r>
              <w:rPr>
                <w:rFonts w:ascii="Times New Roman" w:hAnsi="Times New Roman" w:eastAsia="宋体" w:cs="Times New Roman"/>
                <w:b/>
                <w:bCs/>
                <w:color w:val="auto"/>
                <w:sz w:val="24"/>
              </w:rPr>
              <w:t>附图</w:t>
            </w:r>
            <w:r>
              <w:rPr>
                <w:rFonts w:hint="eastAsia" w:ascii="Times New Roman" w:hAnsi="Times New Roman" w:eastAsia="宋体" w:cs="Times New Roman"/>
                <w:b/>
                <w:bCs/>
                <w:color w:val="auto"/>
                <w:sz w:val="24"/>
              </w:rPr>
              <w:t>3</w:t>
            </w:r>
            <w:r>
              <w:rPr>
                <w:rFonts w:ascii="Times New Roman" w:hAnsi="Times New Roman" w:eastAsia="宋体" w:cs="Times New Roman"/>
                <w:color w:val="auto"/>
                <w:sz w:val="24"/>
              </w:rPr>
              <w:t>。</w:t>
            </w:r>
          </w:p>
          <w:p>
            <w:pPr>
              <w:pStyle w:val="16"/>
              <w:numPr>
                <w:ilvl w:val="0"/>
                <w:numId w:val="3"/>
              </w:numPr>
              <w:adjustRightInd w:val="0"/>
              <w:spacing w:line="360" w:lineRule="auto"/>
              <w:ind w:firstLine="481" w:firstLineChars="200"/>
              <w:rPr>
                <w:b/>
                <w:bCs/>
                <w:color w:val="auto"/>
                <w:sz w:val="24"/>
                <w:szCs w:val="24"/>
              </w:rPr>
            </w:pPr>
            <w:r>
              <w:rPr>
                <w:b/>
                <w:bCs/>
                <w:color w:val="auto"/>
                <w:sz w:val="24"/>
                <w:szCs w:val="24"/>
              </w:rPr>
              <w:t>环境质量底线及分区管控</w:t>
            </w:r>
          </w:p>
          <w:p>
            <w:pPr>
              <w:pStyle w:val="16"/>
              <w:adjustRightInd w:val="0"/>
              <w:spacing w:line="360" w:lineRule="auto"/>
              <w:ind w:firstLine="481" w:firstLineChars="200"/>
              <w:rPr>
                <w:b/>
                <w:bCs/>
                <w:color w:val="auto"/>
                <w:sz w:val="24"/>
                <w:szCs w:val="24"/>
              </w:rPr>
            </w:pPr>
            <w:r>
              <w:rPr>
                <w:b/>
                <w:bCs/>
                <w:color w:val="auto"/>
                <w:sz w:val="24"/>
                <w:szCs w:val="24"/>
              </w:rPr>
              <w:t>①大气环境质量底线及分区管控</w:t>
            </w:r>
          </w:p>
          <w:p>
            <w:pPr>
              <w:keepNext w:val="0"/>
              <w:keepLines w:val="0"/>
              <w:pageBreakBefore w:val="0"/>
              <w:widowControl/>
              <w:suppressLineNumbers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w:t>
            </w:r>
            <w:r>
              <w:rPr>
                <w:rFonts w:hint="default" w:ascii="Times New Roman" w:hAnsi="Times New Roman" w:eastAsia="宋体" w:cs="Times New Roman"/>
                <w:color w:val="auto"/>
                <w:sz w:val="24"/>
                <w:szCs w:val="24"/>
                <w:lang w:val="en-US" w:eastAsia="zh-CN"/>
              </w:rPr>
              <w:t>20</w:t>
            </w:r>
            <w:r>
              <w:rPr>
                <w:rFonts w:hint="eastAsia" w:cs="Times New Roman"/>
                <w:color w:val="auto"/>
                <w:sz w:val="24"/>
                <w:szCs w:val="24"/>
                <w:lang w:val="en-US" w:eastAsia="zh-CN"/>
              </w:rPr>
              <w:t>23</w:t>
            </w:r>
            <w:r>
              <w:rPr>
                <w:rFonts w:hint="default" w:ascii="Times New Roman" w:hAnsi="Times New Roman" w:eastAsia="宋体" w:cs="Times New Roman"/>
                <w:color w:val="auto"/>
                <w:sz w:val="24"/>
                <w:szCs w:val="24"/>
              </w:rPr>
              <w:t>年宁夏生态环境质量</w:t>
            </w:r>
            <w:r>
              <w:rPr>
                <w:rFonts w:hint="default" w:ascii="Times New Roman" w:hAnsi="Times New Roman" w:eastAsia="宋体" w:cs="Times New Roman"/>
                <w:color w:val="auto"/>
                <w:sz w:val="24"/>
                <w:szCs w:val="24"/>
                <w:lang w:val="en-US" w:eastAsia="zh-CN"/>
              </w:rPr>
              <w:t>状况</w:t>
            </w:r>
            <w:r>
              <w:rPr>
                <w:rFonts w:hint="default" w:ascii="Times New Roman" w:hAnsi="Times New Roman" w:eastAsia="宋体" w:cs="Times New Roman"/>
                <w:color w:val="auto"/>
                <w:kern w:val="0"/>
                <w:sz w:val="24"/>
                <w:szCs w:val="24"/>
                <w:lang w:val="en-US" w:eastAsia="zh-CN" w:bidi="ar"/>
              </w:rPr>
              <w:t>》中卫市沙坡头区统计数据可知，剔除沙尘天气后</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w:t>
            </w:r>
            <w:r>
              <w:rPr>
                <w:rFonts w:hint="eastAsia" w:cs="Times New Roman"/>
                <w:color w:val="auto"/>
                <w:kern w:val="0"/>
                <w:sz w:val="24"/>
                <w:szCs w:val="24"/>
                <w:lang w:val="en-US" w:eastAsia="zh-CN" w:bidi="ar"/>
              </w:rPr>
              <w:t>23</w:t>
            </w:r>
            <w:r>
              <w:rPr>
                <w:rFonts w:hint="default" w:ascii="Times New Roman" w:hAnsi="Times New Roman" w:eastAsia="宋体" w:cs="Times New Roman"/>
                <w:color w:val="auto"/>
                <w:kern w:val="0"/>
                <w:sz w:val="24"/>
                <w:szCs w:val="24"/>
                <w:lang w:val="en-US" w:eastAsia="zh-CN" w:bidi="ar"/>
              </w:rPr>
              <w:t>年项目所在区域PM</w:t>
            </w:r>
            <w:r>
              <w:rPr>
                <w:rFonts w:hint="default" w:ascii="Times New Roman" w:hAnsi="Times New Roman" w:eastAsia="宋体" w:cs="Times New Roman"/>
                <w:color w:val="auto"/>
                <w:kern w:val="0"/>
                <w:sz w:val="24"/>
                <w:szCs w:val="24"/>
                <w:vertAlign w:val="subscript"/>
                <w:lang w:val="en-US" w:eastAsia="zh-CN" w:bidi="ar"/>
              </w:rPr>
              <w:t>10</w:t>
            </w:r>
            <w:r>
              <w:rPr>
                <w:rFonts w:hint="default" w:ascii="Times New Roman" w:hAnsi="Times New Roman" w:eastAsia="宋体" w:cs="Times New Roman"/>
                <w:color w:val="auto"/>
                <w:kern w:val="0"/>
                <w:sz w:val="24"/>
                <w:szCs w:val="24"/>
                <w:lang w:val="en-US" w:eastAsia="zh-CN" w:bidi="ar"/>
              </w:rPr>
              <w:t>、PM</w:t>
            </w:r>
            <w:r>
              <w:rPr>
                <w:rFonts w:hint="default" w:ascii="Times New Roman" w:hAnsi="Times New Roman" w:eastAsia="宋体" w:cs="Times New Roman"/>
                <w:color w:val="auto"/>
                <w:kern w:val="0"/>
                <w:sz w:val="24"/>
                <w:szCs w:val="24"/>
                <w:vertAlign w:val="subscript"/>
                <w:lang w:val="en-US" w:eastAsia="zh-CN" w:bidi="ar"/>
              </w:rPr>
              <w:t>2.5</w:t>
            </w:r>
            <w:r>
              <w:rPr>
                <w:rFonts w:hint="default" w:ascii="Times New Roman" w:hAnsi="Times New Roman" w:eastAsia="宋体" w:cs="Times New Roman"/>
                <w:color w:val="auto"/>
                <w:kern w:val="0"/>
                <w:sz w:val="24"/>
                <w:szCs w:val="24"/>
                <w:lang w:val="en-US" w:eastAsia="zh-CN" w:bidi="ar"/>
              </w:rPr>
              <w:t>、SO</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、NO</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年均浓度、CO24小时平均第95百分位数浓度、O</w:t>
            </w:r>
            <w:r>
              <w:rPr>
                <w:rFonts w:hint="default" w:ascii="Times New Roman" w:hAnsi="Times New Roman" w:eastAsia="宋体" w:cs="Times New Roman"/>
                <w:color w:val="auto"/>
                <w:kern w:val="0"/>
                <w:sz w:val="24"/>
                <w:szCs w:val="24"/>
                <w:vertAlign w:val="subscript"/>
                <w:lang w:val="en-US" w:eastAsia="zh-CN" w:bidi="ar"/>
              </w:rPr>
              <w:t>3</w:t>
            </w:r>
            <w:r>
              <w:rPr>
                <w:rFonts w:hint="default" w:ascii="Times New Roman" w:hAnsi="Times New Roman" w:eastAsia="宋体" w:cs="Times New Roman"/>
                <w:color w:val="auto"/>
                <w:kern w:val="0"/>
                <w:sz w:val="24"/>
                <w:szCs w:val="24"/>
                <w:lang w:val="en-US" w:eastAsia="zh-CN" w:bidi="ar"/>
              </w:rPr>
              <w:t>日最大8小时滑动平均值的第90百分位数浓度均满足《环境空气质量标准》（GB3095-2012及修改单）表1中二级标准限值，属于达标区。</w:t>
            </w:r>
          </w:p>
          <w:p>
            <w:pPr>
              <w:widowControl/>
              <w:adjustRightInd w:val="0"/>
              <w:snapToGrid w:val="0"/>
              <w:spacing w:line="360" w:lineRule="auto"/>
              <w:ind w:firstLine="480" w:firstLineChars="200"/>
              <w:jc w:val="both"/>
              <w:rPr>
                <w:rFonts w:hint="default"/>
                <w:color w:val="auto"/>
                <w:kern w:val="0"/>
                <w:sz w:val="24"/>
                <w:lang w:val="en-US" w:eastAsia="zh-CN" w:bidi="ar"/>
              </w:rPr>
            </w:pPr>
            <w:r>
              <w:rPr>
                <w:rFonts w:hint="default"/>
                <w:color w:val="auto"/>
                <w:kern w:val="0"/>
                <w:sz w:val="24"/>
                <w:lang w:val="en-US" w:eastAsia="zh-CN" w:bidi="ar"/>
              </w:rPr>
              <w:t>本项目位于</w:t>
            </w:r>
            <w:r>
              <w:rPr>
                <w:rFonts w:hint="default"/>
                <w:b/>
                <w:bCs/>
                <w:color w:val="auto"/>
                <w:kern w:val="0"/>
                <w:sz w:val="24"/>
                <w:lang w:val="en-US" w:eastAsia="zh-CN" w:bidi="ar"/>
              </w:rPr>
              <w:t>大气环境一般管控区</w:t>
            </w:r>
            <w:r>
              <w:rPr>
                <w:rFonts w:hint="default"/>
                <w:color w:val="auto"/>
                <w:kern w:val="0"/>
                <w:sz w:val="24"/>
                <w:lang w:val="en-US" w:eastAsia="zh-CN" w:bidi="ar"/>
              </w:rPr>
              <w:t>，该区域管控要求如下：落实《中华人民共和国大气污染防治法》等相关法律法规的一般要求，在满足区域基本的污染物排放标准和污染防治要求基础上，进一步采用更清洁的生产方式和更有效的污染治理措施，推动区域环境空气质量持续改善。毗邻大气环境优先保护区的新建项目，还应特别注意污染物排放对优先保护区的影响，应优化选址方案或采取有效的污染防治措施，避免对一类区空气质量造成不利影响。</w:t>
            </w:r>
          </w:p>
          <w:p>
            <w:pPr>
              <w:widowControl/>
              <w:adjustRightInd w:val="0"/>
              <w:snapToGrid w:val="0"/>
              <w:spacing w:line="360" w:lineRule="auto"/>
              <w:ind w:firstLine="480" w:firstLineChars="200"/>
              <w:jc w:val="both"/>
              <w:rPr>
                <w:color w:val="auto"/>
                <w:sz w:val="24"/>
              </w:rPr>
            </w:pPr>
            <w:r>
              <w:rPr>
                <w:rFonts w:hint="eastAsia" w:ascii="Times New Roman" w:hAnsi="Times New Roman" w:eastAsia="宋体" w:cs="Times New Roman"/>
                <w:color w:val="auto"/>
                <w:sz w:val="24"/>
                <w:lang w:val="zh-CN"/>
              </w:rPr>
              <w:t>本项目</w:t>
            </w:r>
            <w:r>
              <w:rPr>
                <w:rFonts w:hint="eastAsia" w:cs="Times New Roman"/>
                <w:color w:val="auto"/>
                <w:sz w:val="24"/>
                <w:lang w:val="en-US" w:eastAsia="zh-CN"/>
              </w:rPr>
              <w:t>建设</w:t>
            </w:r>
            <w:r>
              <w:rPr>
                <w:rFonts w:hint="eastAsia" w:ascii="Times New Roman" w:hAnsi="Times New Roman" w:eastAsia="宋体" w:cs="Times New Roman"/>
                <w:color w:val="auto"/>
                <w:sz w:val="24"/>
                <w:lang w:val="zh-CN" w:eastAsia="zh-CN"/>
              </w:rPr>
              <w:t>预制混凝土的临时拌合站</w:t>
            </w:r>
            <w:r>
              <w:rPr>
                <w:rFonts w:hint="eastAsia"/>
                <w:color w:val="auto"/>
                <w:kern w:val="0"/>
                <w:sz w:val="24"/>
                <w:lang w:val="en-US" w:eastAsia="zh-CN" w:bidi="ar"/>
              </w:rPr>
              <w:t>，营运期废气污染因子主要为</w:t>
            </w:r>
            <w:r>
              <w:rPr>
                <w:rFonts w:hint="default"/>
                <w:color w:val="auto"/>
                <w:kern w:val="0"/>
                <w:sz w:val="24"/>
                <w:lang w:val="en-US" w:eastAsia="zh-CN" w:bidi="ar"/>
              </w:rPr>
              <w:t>颗粒物，</w:t>
            </w:r>
            <w:r>
              <w:rPr>
                <w:rFonts w:hint="eastAsia"/>
                <w:color w:val="auto"/>
                <w:kern w:val="0"/>
                <w:sz w:val="24"/>
                <w:lang w:val="en-US" w:eastAsia="zh-CN" w:bidi="ar"/>
              </w:rPr>
              <w:t>不新增重点污染物。本项目生产过程中储料仓库、搅拌机及输送廊道均进行封闭建设，运输车辆控制装载量并遮盖篷布，废气能够达标排放，对项目周边环境空气质量影响较小。</w:t>
            </w:r>
            <w:r>
              <w:rPr>
                <w:color w:val="auto"/>
                <w:kern w:val="0"/>
                <w:sz w:val="24"/>
                <w:lang w:bidi="ar"/>
              </w:rPr>
              <w:t>本项目与中卫市大气环境分区管控位置见</w:t>
            </w:r>
            <w:r>
              <w:rPr>
                <w:b/>
                <w:bCs/>
                <w:color w:val="auto"/>
                <w:kern w:val="0"/>
                <w:sz w:val="24"/>
                <w:lang w:bidi="ar"/>
              </w:rPr>
              <w:t>附图</w:t>
            </w:r>
            <w:r>
              <w:rPr>
                <w:rFonts w:hint="eastAsia"/>
                <w:b/>
                <w:bCs/>
                <w:color w:val="auto"/>
                <w:kern w:val="0"/>
                <w:sz w:val="24"/>
                <w:lang w:bidi="ar"/>
              </w:rPr>
              <w:t>4</w:t>
            </w:r>
            <w:r>
              <w:rPr>
                <w:color w:val="auto"/>
                <w:kern w:val="0"/>
                <w:sz w:val="24"/>
                <w:lang w:bidi="ar"/>
              </w:rPr>
              <w:t>。</w:t>
            </w:r>
          </w:p>
          <w:p>
            <w:pPr>
              <w:pStyle w:val="16"/>
              <w:adjustRightInd w:val="0"/>
              <w:spacing w:line="360" w:lineRule="auto"/>
              <w:ind w:firstLine="481" w:firstLineChars="200"/>
              <w:jc w:val="both"/>
              <w:rPr>
                <w:b/>
                <w:bCs/>
                <w:color w:val="auto"/>
                <w:sz w:val="24"/>
                <w:szCs w:val="24"/>
              </w:rPr>
            </w:pPr>
            <w:r>
              <w:rPr>
                <w:b/>
                <w:bCs/>
                <w:color w:val="auto"/>
                <w:sz w:val="24"/>
                <w:szCs w:val="24"/>
              </w:rPr>
              <w:t>②水环境质量底线及分区管控</w:t>
            </w:r>
          </w:p>
          <w:p>
            <w:pPr>
              <w:widowControl/>
              <w:adjustRightInd w:val="0"/>
              <w:snapToGrid w:val="0"/>
              <w:spacing w:line="360" w:lineRule="auto"/>
              <w:ind w:firstLine="480" w:firstLineChars="200"/>
              <w:jc w:val="both"/>
              <w:rPr>
                <w:color w:val="auto"/>
                <w:kern w:val="0"/>
                <w:sz w:val="24"/>
                <w:lang w:bidi="ar"/>
              </w:rPr>
            </w:pPr>
            <w:r>
              <w:rPr>
                <w:color w:val="auto"/>
                <w:kern w:val="0"/>
                <w:sz w:val="24"/>
                <w:lang w:bidi="ar"/>
              </w:rPr>
              <w:t>本项目所在区域主要地表水体为</w:t>
            </w:r>
            <w:r>
              <w:rPr>
                <w:rFonts w:hint="eastAsia"/>
                <w:color w:val="auto"/>
                <w:kern w:val="0"/>
                <w:sz w:val="24"/>
                <w:lang w:val="en-US" w:eastAsia="zh-CN" w:bidi="ar"/>
              </w:rPr>
              <w:t>北干渠（S，0.27km）</w:t>
            </w:r>
            <w:r>
              <w:rPr>
                <w:rFonts w:hint="eastAsia"/>
                <w:color w:val="auto"/>
                <w:kern w:val="0"/>
                <w:sz w:val="24"/>
                <w:lang w:bidi="ar"/>
              </w:rPr>
              <w:t>。</w:t>
            </w:r>
            <w:r>
              <w:rPr>
                <w:rFonts w:hint="eastAsia"/>
                <w:color w:val="auto"/>
                <w:kern w:val="0"/>
                <w:sz w:val="24"/>
                <w:lang w:val="en-US" w:eastAsia="zh-CN" w:bidi="ar"/>
              </w:rPr>
              <w:t>北干渠由跃进渠、第一排水沟最终汇入黄河。</w:t>
            </w:r>
            <w:r>
              <w:rPr>
                <w:color w:val="auto"/>
                <w:kern w:val="0"/>
                <w:sz w:val="24"/>
                <w:lang w:bidi="ar"/>
              </w:rPr>
              <w:t>黄河中卫段水质执行《地表水环境质量标准》（GB3838-2002）中Ⅱ类标准。</w:t>
            </w:r>
          </w:p>
          <w:p>
            <w:pPr>
              <w:widowControl/>
              <w:adjustRightInd w:val="0"/>
              <w:snapToGrid w:val="0"/>
              <w:spacing w:line="360" w:lineRule="auto"/>
              <w:ind w:firstLine="480" w:firstLineChars="200"/>
              <w:jc w:val="both"/>
              <w:rPr>
                <w:rFonts w:hint="default"/>
                <w:color w:val="auto"/>
                <w:kern w:val="0"/>
                <w:sz w:val="24"/>
                <w:lang w:val="en-US" w:eastAsia="zh-CN" w:bidi="ar"/>
              </w:rPr>
            </w:pPr>
            <w:r>
              <w:rPr>
                <w:rFonts w:hint="eastAsia"/>
                <w:color w:val="auto"/>
                <w:kern w:val="0"/>
                <w:sz w:val="24"/>
                <w:lang w:val="en-US" w:eastAsia="zh-CN" w:bidi="ar"/>
              </w:rPr>
              <w:t>本项目位于</w:t>
            </w:r>
            <w:r>
              <w:rPr>
                <w:rFonts w:hint="eastAsia"/>
                <w:b/>
                <w:bCs/>
                <w:color w:val="auto"/>
                <w:kern w:val="0"/>
                <w:sz w:val="24"/>
                <w:lang w:val="en-US" w:eastAsia="zh-CN" w:bidi="ar"/>
              </w:rPr>
              <w:t>水环境一般管控区</w:t>
            </w:r>
            <w:r>
              <w:rPr>
                <w:rFonts w:hint="eastAsia"/>
                <w:color w:val="auto"/>
                <w:kern w:val="0"/>
                <w:sz w:val="24"/>
                <w:lang w:val="en-US" w:eastAsia="zh-CN" w:bidi="ar"/>
              </w:rPr>
              <w:t>，应落实《中华人民共和国水污染防治法》等相关法规的总体要求，加强水资源节约和保护，积极推动水生态修复治理，持续深入推进水污染防治，改善水环境质量。</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color w:val="auto"/>
                <w:kern w:val="0"/>
                <w:sz w:val="24"/>
                <w:lang w:bidi="ar"/>
              </w:rPr>
            </w:pPr>
            <w:r>
              <w:rPr>
                <w:rFonts w:hint="eastAsia" w:ascii="Times New Roman" w:hAnsi="Times New Roman" w:eastAsia="宋体" w:cs="Times New Roman"/>
                <w:color w:val="auto"/>
                <w:sz w:val="24"/>
                <w:lang w:val="zh-CN"/>
              </w:rPr>
              <w:t>本项目</w:t>
            </w:r>
            <w:r>
              <w:rPr>
                <w:rFonts w:hint="eastAsia" w:cs="Times New Roman"/>
                <w:color w:val="auto"/>
                <w:sz w:val="24"/>
                <w:lang w:val="en-US" w:eastAsia="zh-CN"/>
              </w:rPr>
              <w:t>建设</w:t>
            </w:r>
            <w:r>
              <w:rPr>
                <w:rFonts w:hint="eastAsia" w:ascii="Times New Roman" w:hAnsi="Times New Roman" w:eastAsia="宋体" w:cs="Times New Roman"/>
                <w:color w:val="auto"/>
                <w:sz w:val="24"/>
                <w:lang w:val="zh-CN" w:eastAsia="zh-CN"/>
              </w:rPr>
              <w:t>临时拌合站</w:t>
            </w:r>
            <w:r>
              <w:rPr>
                <w:rFonts w:hint="eastAsia"/>
                <w:color w:val="auto"/>
                <w:kern w:val="0"/>
                <w:sz w:val="24"/>
                <w:lang w:bidi="ar"/>
              </w:rPr>
              <w:t>，</w:t>
            </w:r>
            <w:r>
              <w:rPr>
                <w:rFonts w:hint="eastAsia"/>
                <w:bCs/>
                <w:snapToGrid w:val="0"/>
                <w:color w:val="auto"/>
                <w:kern w:val="0"/>
                <w:sz w:val="24"/>
              </w:rPr>
              <w:t>营运时间</w:t>
            </w:r>
            <w:r>
              <w:rPr>
                <w:rFonts w:hint="eastAsia"/>
                <w:bCs/>
                <w:snapToGrid w:val="0"/>
                <w:color w:val="auto"/>
                <w:kern w:val="0"/>
                <w:sz w:val="24"/>
                <w:lang w:val="en-US" w:eastAsia="zh-CN"/>
              </w:rPr>
              <w:t>3</w:t>
            </w:r>
            <w:r>
              <w:rPr>
                <w:rFonts w:hint="eastAsia"/>
                <w:bCs/>
                <w:snapToGrid w:val="0"/>
                <w:color w:val="auto"/>
                <w:kern w:val="0"/>
                <w:sz w:val="24"/>
              </w:rPr>
              <w:t>个月</w:t>
            </w:r>
            <w:r>
              <w:rPr>
                <w:rFonts w:hint="eastAsia"/>
                <w:color w:val="auto"/>
                <w:kern w:val="0"/>
                <w:sz w:val="24"/>
                <w:lang w:bidi="ar"/>
              </w:rPr>
              <w:t>，用水量较小，</w:t>
            </w:r>
            <w:r>
              <w:rPr>
                <w:color w:val="auto"/>
                <w:kern w:val="0"/>
                <w:sz w:val="24"/>
                <w:lang w:bidi="ar"/>
              </w:rPr>
              <w:t>车辆冲洗废水</w:t>
            </w:r>
            <w:r>
              <w:rPr>
                <w:rFonts w:hint="eastAsia"/>
                <w:color w:val="auto"/>
                <w:kern w:val="0"/>
                <w:sz w:val="24"/>
                <w:lang w:bidi="ar"/>
              </w:rPr>
              <w:t>及搅拌机清洗废水经沉淀后</w:t>
            </w:r>
            <w:r>
              <w:rPr>
                <w:color w:val="auto"/>
                <w:kern w:val="0"/>
                <w:sz w:val="24"/>
                <w:lang w:bidi="ar"/>
              </w:rPr>
              <w:t>回用于厂区道路洒水抑尘，</w:t>
            </w:r>
            <w:r>
              <w:rPr>
                <w:rFonts w:hint="eastAsia"/>
                <w:color w:val="auto"/>
                <w:kern w:val="0"/>
                <w:sz w:val="24"/>
                <w:lang w:bidi="ar"/>
              </w:rPr>
              <w:t>不外排</w:t>
            </w:r>
            <w:r>
              <w:rPr>
                <w:color w:val="auto"/>
                <w:kern w:val="0"/>
                <w:sz w:val="24"/>
                <w:lang w:bidi="ar"/>
              </w:rPr>
              <w:t>；</w:t>
            </w:r>
            <w:r>
              <w:rPr>
                <w:rFonts w:hint="eastAsia"/>
                <w:color w:val="auto"/>
                <w:kern w:val="0"/>
                <w:sz w:val="24"/>
                <w:lang w:val="en-US" w:eastAsia="zh-CN" w:bidi="ar"/>
              </w:rPr>
              <w:t>生活污水经化粪池（3m</w:t>
            </w:r>
            <w:r>
              <w:rPr>
                <w:rFonts w:hint="eastAsia"/>
                <w:color w:val="auto"/>
                <w:kern w:val="0"/>
                <w:sz w:val="24"/>
                <w:vertAlign w:val="superscript"/>
                <w:lang w:val="en-US" w:eastAsia="zh-CN" w:bidi="ar"/>
              </w:rPr>
              <w:t>3</w:t>
            </w:r>
            <w:r>
              <w:rPr>
                <w:rFonts w:hint="eastAsia"/>
                <w:color w:val="auto"/>
                <w:kern w:val="0"/>
                <w:sz w:val="24"/>
                <w:lang w:val="en-US" w:eastAsia="zh-CN" w:bidi="ar"/>
              </w:rPr>
              <w:t>）初步处理后运至中卫市第一污水处理厂进行处理</w:t>
            </w:r>
            <w:r>
              <w:rPr>
                <w:rFonts w:hint="eastAsia"/>
                <w:color w:val="auto"/>
                <w:sz w:val="24"/>
                <w:lang w:val="en-US" w:eastAsia="zh-CN"/>
              </w:rPr>
              <w:t>。</w:t>
            </w:r>
            <w:r>
              <w:rPr>
                <w:color w:val="auto"/>
                <w:sz w:val="24"/>
              </w:rPr>
              <w:t>因此，项目无废水直接外排，对区域水环境影响</w:t>
            </w:r>
            <w:r>
              <w:rPr>
                <w:rFonts w:hint="eastAsia"/>
                <w:color w:val="auto"/>
                <w:sz w:val="24"/>
              </w:rPr>
              <w:t>较小</w:t>
            </w:r>
            <w:r>
              <w:rPr>
                <w:color w:val="auto"/>
                <w:sz w:val="24"/>
              </w:rPr>
              <w:t>，符合</w:t>
            </w:r>
            <w:r>
              <w:rPr>
                <w:color w:val="auto"/>
                <w:kern w:val="0"/>
                <w:sz w:val="24"/>
                <w:lang w:bidi="ar"/>
              </w:rPr>
              <w:t>水环境</w:t>
            </w:r>
            <w:r>
              <w:rPr>
                <w:rFonts w:hint="eastAsia"/>
                <w:color w:val="auto"/>
                <w:kern w:val="0"/>
                <w:sz w:val="24"/>
                <w:lang w:val="en-US" w:eastAsia="zh-CN" w:bidi="ar"/>
              </w:rPr>
              <w:t>一般管控区要求</w:t>
            </w:r>
            <w:r>
              <w:rPr>
                <w:color w:val="auto"/>
                <w:kern w:val="0"/>
                <w:sz w:val="24"/>
                <w:lang w:bidi="ar"/>
              </w:rPr>
              <w:t>。本项目与中卫市水环境分区管控位置见</w:t>
            </w:r>
            <w:r>
              <w:rPr>
                <w:b/>
                <w:bCs/>
                <w:color w:val="auto"/>
                <w:kern w:val="0"/>
                <w:sz w:val="24"/>
                <w:lang w:bidi="ar"/>
              </w:rPr>
              <w:t>附图</w:t>
            </w:r>
            <w:r>
              <w:rPr>
                <w:rFonts w:hint="eastAsia"/>
                <w:b/>
                <w:bCs/>
                <w:color w:val="auto"/>
                <w:kern w:val="0"/>
                <w:sz w:val="24"/>
                <w:lang w:bidi="ar"/>
              </w:rPr>
              <w:t>5</w:t>
            </w:r>
            <w:r>
              <w:rPr>
                <w:color w:val="auto"/>
                <w:kern w:val="0"/>
                <w:sz w:val="24"/>
                <w:lang w:bidi="ar"/>
              </w:rPr>
              <w:t>。</w:t>
            </w:r>
          </w:p>
          <w:p>
            <w:pPr>
              <w:pStyle w:val="16"/>
              <w:keepNext w:val="0"/>
              <w:keepLines w:val="0"/>
              <w:pageBreakBefore w:val="0"/>
              <w:kinsoku/>
              <w:wordWrap/>
              <w:overflowPunct/>
              <w:topLinePunct w:val="0"/>
              <w:autoSpaceDE/>
              <w:autoSpaceDN/>
              <w:bidi w:val="0"/>
              <w:adjustRightInd w:val="0"/>
              <w:spacing w:line="360" w:lineRule="auto"/>
              <w:ind w:firstLine="481" w:firstLineChars="200"/>
              <w:jc w:val="both"/>
              <w:textAlignment w:val="auto"/>
              <w:rPr>
                <w:rFonts w:hint="eastAsia"/>
                <w:color w:val="auto"/>
                <w:kern w:val="2"/>
                <w:szCs w:val="24"/>
                <w:lang w:val="en-US" w:eastAsia="zh-CN"/>
              </w:rPr>
            </w:pPr>
            <w:r>
              <w:rPr>
                <w:b/>
                <w:bCs/>
                <w:color w:val="auto"/>
                <w:sz w:val="24"/>
                <w:szCs w:val="24"/>
              </w:rPr>
              <w:t>③土壤环境风险管控底线及分区管控</w:t>
            </w:r>
          </w:p>
          <w:p>
            <w:pPr>
              <w:pStyle w:val="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color w:val="000000" w:themeColor="text1"/>
                <w:kern w:val="2"/>
                <w:szCs w:val="24"/>
                <w:lang w:val="en-US" w:eastAsia="zh-CN"/>
                <w14:textFill>
                  <w14:solidFill>
                    <w14:schemeClr w14:val="tx1"/>
                  </w14:solidFill>
                </w14:textFill>
              </w:rPr>
            </w:pPr>
            <w:r>
              <w:rPr>
                <w:rFonts w:hint="eastAsia"/>
                <w:color w:val="000000" w:themeColor="text1"/>
                <w:kern w:val="2"/>
                <w:szCs w:val="24"/>
                <w:lang w:val="en-US" w:eastAsia="zh-CN"/>
                <w14:textFill>
                  <w14:solidFill>
                    <w14:schemeClr w14:val="tx1"/>
                  </w14:solidFill>
                </w14:textFill>
              </w:rPr>
              <w:t>本项目位于</w:t>
            </w:r>
            <w:r>
              <w:rPr>
                <w:rFonts w:hint="eastAsia"/>
                <w:b/>
                <w:bCs/>
                <w:color w:val="000000" w:themeColor="text1"/>
                <w:kern w:val="2"/>
                <w:szCs w:val="24"/>
                <w:lang w:val="en-US" w:eastAsia="zh-CN"/>
                <w14:textFill>
                  <w14:solidFill>
                    <w14:schemeClr w14:val="tx1"/>
                  </w14:solidFill>
                </w14:textFill>
              </w:rPr>
              <w:t>土壤环境一般管控区</w:t>
            </w:r>
            <w:r>
              <w:rPr>
                <w:rFonts w:hint="eastAsia"/>
                <w:color w:val="000000" w:themeColor="text1"/>
                <w:kern w:val="2"/>
                <w:szCs w:val="24"/>
                <w:lang w:val="en-US" w:eastAsia="zh-CN"/>
                <w14:textFill>
                  <w14:solidFill>
                    <w14:schemeClr w14:val="tx1"/>
                  </w14:solidFill>
                </w14:textFill>
              </w:rPr>
              <w:t>，在编制国土空间规划等相关规划时，应充分考虑污染地块的环境风险，合理确定土地用途。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w:t>
            </w:r>
          </w:p>
          <w:p>
            <w:pPr>
              <w:pStyle w:val="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color w:val="auto"/>
                <w:szCs w:val="24"/>
                <w:lang w:bidi="ar"/>
              </w:rPr>
            </w:pPr>
            <w:r>
              <w:rPr>
                <w:color w:val="auto"/>
                <w:kern w:val="2"/>
                <w:szCs w:val="24"/>
              </w:rPr>
              <w:t>本项目</w:t>
            </w:r>
            <w:r>
              <w:rPr>
                <w:rFonts w:hint="eastAsia"/>
                <w:color w:val="auto"/>
                <w:kern w:val="2"/>
                <w:szCs w:val="24"/>
                <w:lang w:val="en-US" w:eastAsia="zh-CN"/>
              </w:rPr>
              <w:t>建设预制混凝土的临时拌合站，主要排放物质为颗粒物，不新增排放重金属污染物及其他重点污染物。</w:t>
            </w:r>
            <w:r>
              <w:rPr>
                <w:color w:val="auto"/>
                <w:kern w:val="2"/>
                <w:szCs w:val="24"/>
              </w:rPr>
              <w:t>厂区地面</w:t>
            </w:r>
            <w:r>
              <w:rPr>
                <w:rFonts w:hint="eastAsia"/>
                <w:color w:val="auto"/>
                <w:kern w:val="2"/>
                <w:szCs w:val="24"/>
                <w:lang w:val="en-US" w:eastAsia="zh-CN"/>
              </w:rPr>
              <w:t>采取如下措施：地面采用</w:t>
            </w:r>
            <w:r>
              <w:rPr>
                <w:color w:val="auto"/>
                <w:kern w:val="2"/>
                <w:szCs w:val="24"/>
              </w:rPr>
              <w:t>碎石铺设，</w:t>
            </w:r>
            <w:r>
              <w:rPr>
                <w:rFonts w:hint="eastAsia"/>
                <w:color w:val="auto"/>
                <w:kern w:val="2"/>
                <w:szCs w:val="24"/>
              </w:rPr>
              <w:t>外加剂罐</w:t>
            </w:r>
            <w:r>
              <w:rPr>
                <w:rFonts w:hint="eastAsia"/>
                <w:color w:val="auto"/>
                <w:kern w:val="2"/>
                <w:szCs w:val="24"/>
                <w:lang w:eastAsia="zh-CN"/>
              </w:rPr>
              <w:t>、</w:t>
            </w:r>
            <w:r>
              <w:rPr>
                <w:color w:val="auto"/>
                <w:kern w:val="2"/>
                <w:szCs w:val="24"/>
              </w:rPr>
              <w:t>沉淀池</w:t>
            </w:r>
            <w:r>
              <w:rPr>
                <w:rFonts w:hint="eastAsia"/>
                <w:color w:val="auto"/>
                <w:kern w:val="2"/>
                <w:szCs w:val="24"/>
                <w:lang w:val="en-US" w:eastAsia="zh-CN"/>
              </w:rPr>
              <w:t>及化粪池进行一般防渗，防渗层的采用不低于1.5m厚渗透系数为1.0×10-</w:t>
            </w:r>
            <w:r>
              <w:rPr>
                <w:rFonts w:hint="eastAsia"/>
                <w:color w:val="auto"/>
                <w:kern w:val="2"/>
                <w:szCs w:val="24"/>
                <w:vertAlign w:val="superscript"/>
                <w:lang w:val="en-US" w:eastAsia="zh-CN"/>
              </w:rPr>
              <w:t>7</w:t>
            </w:r>
            <w:r>
              <w:rPr>
                <w:rFonts w:hint="eastAsia"/>
                <w:color w:val="auto"/>
                <w:kern w:val="2"/>
                <w:szCs w:val="24"/>
                <w:lang w:val="en-US" w:eastAsia="zh-CN"/>
              </w:rPr>
              <w:t>cm/s的黏土层进行</w:t>
            </w:r>
            <w:r>
              <w:rPr>
                <w:color w:val="auto"/>
                <w:kern w:val="2"/>
                <w:szCs w:val="24"/>
              </w:rPr>
              <w:t>防渗处理；</w:t>
            </w:r>
            <w:r>
              <w:rPr>
                <w:rFonts w:hint="eastAsia"/>
                <w:color w:val="auto"/>
                <w:kern w:val="2"/>
                <w:szCs w:val="24"/>
                <w:lang w:val="en-US" w:eastAsia="zh-CN"/>
              </w:rPr>
              <w:t>厂区设置的危险废物贮存点</w:t>
            </w:r>
            <w:r>
              <w:rPr>
                <w:rFonts w:hint="eastAsia" w:eastAsiaTheme="minorEastAsia"/>
                <w:color w:val="auto"/>
                <w:sz w:val="24"/>
                <w:lang w:val="en-US" w:eastAsia="zh-CN"/>
              </w:rPr>
              <w:t>防渗层为至少1m厚黏土层（渗透系数不大于10</w:t>
            </w:r>
            <w:r>
              <w:rPr>
                <w:rFonts w:hint="eastAsia" w:eastAsiaTheme="minorEastAsia"/>
                <w:color w:val="auto"/>
                <w:sz w:val="24"/>
                <w:vertAlign w:val="superscript"/>
                <w:lang w:val="en-US" w:eastAsia="zh-CN"/>
              </w:rPr>
              <w:t>-7</w:t>
            </w:r>
            <w:r>
              <w:rPr>
                <w:rFonts w:hint="eastAsia" w:eastAsiaTheme="minorEastAsia"/>
                <w:color w:val="auto"/>
                <w:sz w:val="24"/>
                <w:lang w:val="en-US" w:eastAsia="zh-CN"/>
              </w:rPr>
              <w:t>cm/s），或至少2mm厚高密度聚乙烯膜等人工防渗材料（渗透系数不大于10</w:t>
            </w:r>
            <w:r>
              <w:rPr>
                <w:rFonts w:hint="eastAsia" w:eastAsiaTheme="minorEastAsia"/>
                <w:color w:val="auto"/>
                <w:sz w:val="24"/>
                <w:vertAlign w:val="superscript"/>
                <w:lang w:val="en-US" w:eastAsia="zh-CN"/>
              </w:rPr>
              <w:t>-10</w:t>
            </w:r>
            <w:r>
              <w:rPr>
                <w:rFonts w:hint="eastAsia" w:eastAsiaTheme="minorEastAsia"/>
                <w:color w:val="auto"/>
                <w:sz w:val="24"/>
                <w:lang w:val="en-US" w:eastAsia="zh-CN"/>
              </w:rPr>
              <w:t>cm/s），或其他防渗性能等效的材料；</w:t>
            </w:r>
            <w:r>
              <w:rPr>
                <w:color w:val="auto"/>
                <w:kern w:val="2"/>
                <w:szCs w:val="24"/>
              </w:rPr>
              <w:t>厂区周边种植具有较强吸附能力的植物；定期清扫道路，做好设备维护工作。</w:t>
            </w:r>
            <w:r>
              <w:rPr>
                <w:color w:val="auto"/>
                <w:szCs w:val="24"/>
                <w:lang w:bidi="ar"/>
              </w:rPr>
              <w:t>项目</w:t>
            </w:r>
            <w:r>
              <w:rPr>
                <w:rFonts w:hint="eastAsia"/>
                <w:color w:val="auto"/>
                <w:szCs w:val="24"/>
                <w:lang w:bidi="ar"/>
              </w:rPr>
              <w:t>在落实上述</w:t>
            </w:r>
            <w:r>
              <w:rPr>
                <w:color w:val="auto"/>
                <w:szCs w:val="24"/>
                <w:lang w:bidi="ar"/>
              </w:rPr>
              <w:t>土壤污染风险</w:t>
            </w:r>
            <w:r>
              <w:rPr>
                <w:rFonts w:hint="eastAsia"/>
                <w:color w:val="auto"/>
                <w:szCs w:val="24"/>
                <w:lang w:bidi="ar"/>
              </w:rPr>
              <w:t>防范措施</w:t>
            </w:r>
            <w:r>
              <w:rPr>
                <w:color w:val="auto"/>
                <w:szCs w:val="24"/>
                <w:lang w:bidi="ar"/>
              </w:rPr>
              <w:t>后，在正常运行过程中不会对土壤环境造成污染，符合</w:t>
            </w:r>
            <w:r>
              <w:rPr>
                <w:rFonts w:hint="eastAsia"/>
                <w:color w:val="auto"/>
                <w:szCs w:val="24"/>
                <w:lang w:val="en-US" w:eastAsia="zh-CN" w:bidi="ar"/>
              </w:rPr>
              <w:t>土壤环境一般管控区</w:t>
            </w:r>
            <w:r>
              <w:rPr>
                <w:color w:val="auto"/>
                <w:szCs w:val="24"/>
                <w:lang w:bidi="ar"/>
              </w:rPr>
              <w:t>要求。本项目与中卫市土壤污染风险分区管控位置见</w:t>
            </w:r>
            <w:r>
              <w:rPr>
                <w:b/>
                <w:bCs/>
                <w:color w:val="auto"/>
                <w:szCs w:val="24"/>
                <w:lang w:bidi="ar"/>
              </w:rPr>
              <w:t>附图6</w:t>
            </w:r>
            <w:r>
              <w:rPr>
                <w:color w:val="auto"/>
                <w:szCs w:val="24"/>
                <w:lang w:bidi="ar"/>
              </w:rPr>
              <w:t>。</w:t>
            </w:r>
          </w:p>
          <w:p>
            <w:pPr>
              <w:pStyle w:val="16"/>
              <w:numPr>
                <w:ilvl w:val="0"/>
                <w:numId w:val="3"/>
              </w:numPr>
              <w:adjustRightInd w:val="0"/>
              <w:spacing w:line="360" w:lineRule="auto"/>
              <w:ind w:firstLine="481" w:firstLineChars="200"/>
              <w:rPr>
                <w:b/>
                <w:bCs/>
                <w:color w:val="auto"/>
                <w:sz w:val="24"/>
                <w:szCs w:val="24"/>
                <w:lang w:bidi="ar"/>
              </w:rPr>
            </w:pPr>
            <w:r>
              <w:rPr>
                <w:b/>
                <w:bCs/>
                <w:color w:val="auto"/>
                <w:sz w:val="24"/>
                <w:szCs w:val="24"/>
                <w:lang w:bidi="ar"/>
              </w:rPr>
              <w:t>资源利用上线及分区管控</w:t>
            </w:r>
          </w:p>
          <w:p>
            <w:pPr>
              <w:pStyle w:val="16"/>
              <w:adjustRightInd w:val="0"/>
              <w:spacing w:line="360" w:lineRule="auto"/>
              <w:ind w:left="420" w:leftChars="200"/>
              <w:rPr>
                <w:color w:val="auto"/>
                <w:sz w:val="24"/>
                <w:szCs w:val="24"/>
                <w:lang w:bidi="ar"/>
              </w:rPr>
            </w:pPr>
            <w:r>
              <w:rPr>
                <w:color w:val="auto"/>
                <w:sz w:val="24"/>
                <w:szCs w:val="24"/>
                <w:lang w:bidi="ar"/>
              </w:rPr>
              <w:t>本项目与中卫市资源利用上线及分区管控要求见表1-</w:t>
            </w:r>
            <w:r>
              <w:rPr>
                <w:rFonts w:hint="eastAsia"/>
                <w:color w:val="auto"/>
                <w:sz w:val="24"/>
                <w:szCs w:val="24"/>
                <w:lang w:val="en-US" w:eastAsia="zh-CN" w:bidi="ar"/>
              </w:rPr>
              <w:t>2</w:t>
            </w:r>
            <w:r>
              <w:rPr>
                <w:color w:val="auto"/>
                <w:sz w:val="24"/>
                <w:szCs w:val="24"/>
                <w:lang w:bidi="ar"/>
              </w:rPr>
              <w:t>。</w:t>
            </w:r>
          </w:p>
          <w:p>
            <w:pPr>
              <w:pStyle w:val="16"/>
              <w:adjustRightInd w:val="0"/>
              <w:jc w:val="center"/>
              <w:rPr>
                <w:b/>
                <w:bCs/>
                <w:color w:val="auto"/>
                <w:sz w:val="21"/>
                <w:szCs w:val="21"/>
                <w:lang w:bidi="ar"/>
              </w:rPr>
            </w:pPr>
            <w:r>
              <w:rPr>
                <w:b/>
                <w:bCs/>
                <w:color w:val="auto"/>
                <w:sz w:val="21"/>
                <w:szCs w:val="21"/>
                <w:lang w:bidi="ar"/>
              </w:rPr>
              <w:t>表1-</w:t>
            </w:r>
            <w:r>
              <w:rPr>
                <w:rFonts w:hint="eastAsia"/>
                <w:b/>
                <w:bCs/>
                <w:color w:val="auto"/>
                <w:sz w:val="21"/>
                <w:szCs w:val="21"/>
                <w:lang w:val="en-US" w:eastAsia="zh-CN" w:bidi="ar"/>
              </w:rPr>
              <w:t>2</w:t>
            </w:r>
            <w:r>
              <w:rPr>
                <w:b/>
                <w:bCs/>
                <w:color w:val="auto"/>
                <w:sz w:val="21"/>
                <w:szCs w:val="21"/>
                <w:lang w:bidi="ar"/>
              </w:rPr>
              <w:t xml:space="preserve">  </w:t>
            </w:r>
            <w:r>
              <w:rPr>
                <w:rFonts w:hint="eastAsia"/>
                <w:b/>
                <w:bCs/>
                <w:color w:val="auto"/>
                <w:sz w:val="21"/>
                <w:szCs w:val="21"/>
                <w:lang w:bidi="ar"/>
              </w:rPr>
              <w:t xml:space="preserve"> </w:t>
            </w:r>
            <w:r>
              <w:rPr>
                <w:b/>
                <w:bCs/>
                <w:color w:val="auto"/>
                <w:sz w:val="21"/>
                <w:szCs w:val="21"/>
                <w:lang w:bidi="ar"/>
              </w:rPr>
              <w:t>本项目与资源利用上线及分区管控符合性分析一览表</w:t>
            </w:r>
          </w:p>
          <w:tbl>
            <w:tblPr>
              <w:tblStyle w:val="25"/>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33"/>
              <w:gridCol w:w="4342"/>
              <w:gridCol w:w="2548"/>
              <w:gridCol w:w="69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blHeader/>
                <w:jc w:val="center"/>
              </w:trPr>
              <w:tc>
                <w:tcPr>
                  <w:tcW w:w="633" w:type="dxa"/>
                  <w:tcBorders>
                    <w:tl2br w:val="nil"/>
                    <w:tr2bl w:val="nil"/>
                  </w:tcBorders>
                  <w:vAlign w:val="center"/>
                </w:tcPr>
                <w:p>
                  <w:pPr>
                    <w:pStyle w:val="16"/>
                    <w:adjustRightInd w:val="0"/>
                    <w:jc w:val="center"/>
                    <w:rPr>
                      <w:rFonts w:eastAsiaTheme="minorEastAsia"/>
                      <w:b/>
                      <w:bCs/>
                      <w:color w:val="auto"/>
                      <w:sz w:val="21"/>
                      <w:szCs w:val="21"/>
                      <w:lang w:bidi="ar"/>
                    </w:rPr>
                  </w:pPr>
                  <w:r>
                    <w:rPr>
                      <w:rFonts w:eastAsiaTheme="minorEastAsia"/>
                      <w:b/>
                      <w:bCs/>
                      <w:color w:val="auto"/>
                      <w:sz w:val="21"/>
                      <w:szCs w:val="21"/>
                      <w:lang w:bidi="ar"/>
                    </w:rPr>
                    <w:t>内容</w:t>
                  </w:r>
                </w:p>
              </w:tc>
              <w:tc>
                <w:tcPr>
                  <w:tcW w:w="4342" w:type="dxa"/>
                  <w:tcBorders>
                    <w:tl2br w:val="nil"/>
                    <w:tr2bl w:val="nil"/>
                  </w:tcBorders>
                  <w:vAlign w:val="center"/>
                </w:tcPr>
                <w:p>
                  <w:pPr>
                    <w:pStyle w:val="16"/>
                    <w:adjustRightInd w:val="0"/>
                    <w:jc w:val="center"/>
                    <w:rPr>
                      <w:rFonts w:eastAsiaTheme="minorEastAsia"/>
                      <w:b/>
                      <w:bCs/>
                      <w:color w:val="auto"/>
                      <w:sz w:val="21"/>
                      <w:szCs w:val="21"/>
                      <w:lang w:bidi="ar"/>
                    </w:rPr>
                  </w:pPr>
                  <w:r>
                    <w:rPr>
                      <w:rFonts w:eastAsiaTheme="minorEastAsia"/>
                      <w:b/>
                      <w:bCs/>
                      <w:color w:val="auto"/>
                      <w:sz w:val="21"/>
                      <w:szCs w:val="21"/>
                      <w:lang w:bidi="ar"/>
                    </w:rPr>
                    <w:t>相关要求</w:t>
                  </w:r>
                </w:p>
              </w:tc>
              <w:tc>
                <w:tcPr>
                  <w:tcW w:w="2548" w:type="dxa"/>
                  <w:tcBorders>
                    <w:tl2br w:val="nil"/>
                    <w:tr2bl w:val="nil"/>
                  </w:tcBorders>
                  <w:vAlign w:val="center"/>
                </w:tcPr>
                <w:p>
                  <w:pPr>
                    <w:pStyle w:val="16"/>
                    <w:adjustRightInd w:val="0"/>
                    <w:jc w:val="center"/>
                    <w:rPr>
                      <w:rFonts w:eastAsiaTheme="minorEastAsia"/>
                      <w:b/>
                      <w:bCs/>
                      <w:color w:val="auto"/>
                      <w:sz w:val="21"/>
                      <w:szCs w:val="21"/>
                      <w:lang w:bidi="ar"/>
                    </w:rPr>
                  </w:pPr>
                  <w:r>
                    <w:rPr>
                      <w:rFonts w:eastAsiaTheme="minorEastAsia"/>
                      <w:b/>
                      <w:bCs/>
                      <w:color w:val="auto"/>
                      <w:sz w:val="21"/>
                      <w:szCs w:val="21"/>
                      <w:lang w:bidi="ar"/>
                    </w:rPr>
                    <w:t>本项目建设情况</w:t>
                  </w:r>
                </w:p>
              </w:tc>
              <w:tc>
                <w:tcPr>
                  <w:tcW w:w="697" w:type="dxa"/>
                  <w:tcBorders>
                    <w:tl2br w:val="nil"/>
                    <w:tr2bl w:val="nil"/>
                  </w:tcBorders>
                  <w:vAlign w:val="center"/>
                </w:tcPr>
                <w:p>
                  <w:pPr>
                    <w:pStyle w:val="16"/>
                    <w:adjustRightInd w:val="0"/>
                    <w:jc w:val="center"/>
                    <w:rPr>
                      <w:rFonts w:eastAsiaTheme="minorEastAsia"/>
                      <w:b/>
                      <w:bCs/>
                      <w:color w:val="auto"/>
                      <w:sz w:val="21"/>
                      <w:szCs w:val="21"/>
                      <w:lang w:bidi="ar"/>
                    </w:rPr>
                  </w:pPr>
                  <w:r>
                    <w:rPr>
                      <w:rFonts w:eastAsiaTheme="minorEastAsia"/>
                      <w:b/>
                      <w:bCs/>
                      <w:color w:val="auto"/>
                      <w:sz w:val="21"/>
                      <w:szCs w:val="21"/>
                      <w:lang w:bidi="ar"/>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33" w:type="dxa"/>
                  <w:tcBorders>
                    <w:tl2br w:val="nil"/>
                    <w:tr2bl w:val="nil"/>
                  </w:tcBorders>
                  <w:vAlign w:val="center"/>
                </w:tcPr>
                <w:p>
                  <w:pPr>
                    <w:pStyle w:val="16"/>
                    <w:adjustRightInd w:val="0"/>
                    <w:jc w:val="center"/>
                    <w:rPr>
                      <w:rFonts w:eastAsiaTheme="minorEastAsia"/>
                      <w:b/>
                      <w:bCs/>
                      <w:color w:val="auto"/>
                      <w:sz w:val="21"/>
                      <w:szCs w:val="21"/>
                      <w:lang w:bidi="ar"/>
                    </w:rPr>
                  </w:pPr>
                  <w:r>
                    <w:rPr>
                      <w:rFonts w:eastAsiaTheme="minorEastAsia"/>
                      <w:b/>
                      <w:bCs/>
                      <w:color w:val="auto"/>
                      <w:sz w:val="21"/>
                      <w:szCs w:val="21"/>
                      <w:lang w:bidi="ar"/>
                    </w:rPr>
                    <w:t>水资源利用上线</w:t>
                  </w:r>
                </w:p>
              </w:tc>
              <w:tc>
                <w:tcPr>
                  <w:tcW w:w="4342" w:type="dxa"/>
                  <w:tcBorders>
                    <w:tl2br w:val="nil"/>
                    <w:tr2bl w:val="nil"/>
                  </w:tcBorders>
                  <w:vAlign w:val="center"/>
                </w:tcPr>
                <w:p>
                  <w:pPr>
                    <w:widowControl/>
                    <w:adjustRightInd w:val="0"/>
                    <w:snapToGrid w:val="0"/>
                    <w:ind w:firstLine="420" w:firstLineChars="200"/>
                    <w:rPr>
                      <w:rFonts w:eastAsiaTheme="minorEastAsia"/>
                      <w:color w:val="auto"/>
                      <w:kern w:val="0"/>
                      <w:szCs w:val="21"/>
                      <w:lang w:bidi="ar"/>
                    </w:rPr>
                  </w:pPr>
                  <w:r>
                    <w:rPr>
                      <w:rFonts w:eastAsiaTheme="minorEastAsia"/>
                      <w:color w:val="auto"/>
                      <w:kern w:val="0"/>
                      <w:szCs w:val="21"/>
                      <w:lang w:bidi="ar"/>
                    </w:rPr>
                    <w:t>深挖工业节水潜力。以中卫工业园区为重点，大力实施节水改造，推进统一供水、分质供水、废水集中处理回用。推进化工、冶金、建材等产业节水增效，大力推广高效冷却、洗涤、循环用水、废污水再生利用、高耗水生产工艺替代等节水工艺和技术。发挥水资源税税收杠杆调节作用，促进高耗水企业加强废水深度处理和达标再利用</w:t>
                  </w:r>
                  <w:r>
                    <w:rPr>
                      <w:rFonts w:hint="eastAsia" w:eastAsiaTheme="minorEastAsia"/>
                      <w:color w:val="auto"/>
                      <w:kern w:val="0"/>
                      <w:szCs w:val="21"/>
                      <w:lang w:bidi="ar"/>
                    </w:rPr>
                    <w:t>（依据《中卫市水安全保障“十四五”规划</w:t>
                  </w:r>
                  <w:r>
                    <w:rPr>
                      <w:rFonts w:hint="eastAsia" w:eastAsiaTheme="minorEastAsia"/>
                      <w:color w:val="auto"/>
                      <w:kern w:val="0"/>
                      <w:szCs w:val="21"/>
                      <w:lang w:eastAsia="zh-CN" w:bidi="ar"/>
                    </w:rPr>
                    <w:t>》</w:t>
                  </w:r>
                  <w:r>
                    <w:rPr>
                      <w:rFonts w:hint="eastAsia" w:eastAsiaTheme="minorEastAsia"/>
                      <w:color w:val="auto"/>
                      <w:kern w:val="0"/>
                      <w:szCs w:val="21"/>
                      <w:lang w:bidi="ar"/>
                    </w:rPr>
                    <w:t>）</w:t>
                  </w:r>
                  <w:r>
                    <w:rPr>
                      <w:rFonts w:eastAsiaTheme="minorEastAsia"/>
                      <w:color w:val="auto"/>
                      <w:kern w:val="0"/>
                      <w:szCs w:val="21"/>
                      <w:lang w:bidi="ar"/>
                    </w:rPr>
                    <w:t>。</w:t>
                  </w:r>
                  <w:r>
                    <w:rPr>
                      <w:rFonts w:hint="eastAsia" w:eastAsiaTheme="minorEastAsia"/>
                      <w:color w:val="auto"/>
                      <w:kern w:val="0"/>
                      <w:szCs w:val="21"/>
                      <w:lang w:bidi="ar"/>
                    </w:rPr>
                    <w:t>提高工业用水超定额水价，倒逼高耗水项目和产业有序退出。（依据《黄河流域生态保护和高质量发展规划纲要》）</w:t>
                  </w:r>
                </w:p>
              </w:tc>
              <w:tc>
                <w:tcPr>
                  <w:tcW w:w="2548" w:type="dxa"/>
                  <w:tcBorders>
                    <w:tl2br w:val="nil"/>
                    <w:tr2bl w:val="nil"/>
                  </w:tcBorders>
                  <w:vAlign w:val="center"/>
                </w:tcPr>
                <w:p>
                  <w:pPr>
                    <w:adjustRightInd w:val="0"/>
                    <w:snapToGrid w:val="0"/>
                    <w:ind w:firstLine="420" w:firstLineChars="200"/>
                    <w:jc w:val="both"/>
                    <w:rPr>
                      <w:rFonts w:eastAsiaTheme="minorEastAsia"/>
                      <w:color w:val="auto"/>
                      <w:kern w:val="0"/>
                      <w:szCs w:val="21"/>
                      <w:lang w:bidi="ar"/>
                    </w:rPr>
                  </w:pPr>
                  <w:r>
                    <w:rPr>
                      <w:rFonts w:eastAsiaTheme="minorEastAsia"/>
                      <w:color w:val="auto"/>
                      <w:kern w:val="0"/>
                      <w:szCs w:val="21"/>
                      <w:lang w:bidi="ar"/>
                    </w:rPr>
                    <w:t>本项目</w:t>
                  </w:r>
                  <w:r>
                    <w:rPr>
                      <w:rFonts w:eastAsiaTheme="minorEastAsia"/>
                      <w:color w:val="auto"/>
                      <w:szCs w:val="21"/>
                    </w:rPr>
                    <w:t>运营期间内新鲜水总用水量为</w:t>
                  </w:r>
                  <w:r>
                    <w:rPr>
                      <w:rFonts w:hint="eastAsia" w:eastAsiaTheme="minorEastAsia"/>
                      <w:color w:val="auto"/>
                      <w:szCs w:val="21"/>
                      <w:lang w:val="en-US" w:eastAsia="zh-CN"/>
                    </w:rPr>
                    <w:t>6936.6</w:t>
                  </w:r>
                  <w:r>
                    <w:rPr>
                      <w:rFonts w:eastAsiaTheme="minorEastAsia"/>
                      <w:color w:val="auto"/>
                      <w:kern w:val="0"/>
                      <w:szCs w:val="21"/>
                      <w:lang w:bidi="ar"/>
                    </w:rPr>
                    <w:t>m</w:t>
                  </w:r>
                  <w:r>
                    <w:rPr>
                      <w:rFonts w:eastAsiaTheme="minorEastAsia"/>
                      <w:color w:val="auto"/>
                      <w:kern w:val="0"/>
                      <w:szCs w:val="21"/>
                      <w:vertAlign w:val="superscript"/>
                      <w:lang w:bidi="ar"/>
                    </w:rPr>
                    <w:t>3</w:t>
                  </w:r>
                  <w:r>
                    <w:rPr>
                      <w:rFonts w:eastAsiaTheme="minorEastAsia"/>
                      <w:color w:val="auto"/>
                      <w:kern w:val="0"/>
                      <w:szCs w:val="21"/>
                      <w:lang w:bidi="ar"/>
                    </w:rPr>
                    <w:t>，不属于高耗水项目。车辆冲洗废水及搅拌机清洗废水沉淀后回用于道路抑尘，实现了水资源重复利用，提高再生水利用率。</w:t>
                  </w:r>
                </w:p>
              </w:tc>
              <w:tc>
                <w:tcPr>
                  <w:tcW w:w="697" w:type="dxa"/>
                  <w:tcBorders>
                    <w:tl2br w:val="nil"/>
                    <w:tr2bl w:val="nil"/>
                  </w:tcBorders>
                  <w:vAlign w:val="center"/>
                </w:tcPr>
                <w:p>
                  <w:pPr>
                    <w:pStyle w:val="16"/>
                    <w:adjustRightInd w:val="0"/>
                    <w:jc w:val="center"/>
                    <w:rPr>
                      <w:rFonts w:eastAsiaTheme="minorEastAsia"/>
                      <w:color w:val="auto"/>
                      <w:sz w:val="21"/>
                      <w:szCs w:val="21"/>
                      <w:lang w:bidi="ar"/>
                    </w:rPr>
                  </w:pPr>
                  <w:r>
                    <w:rPr>
                      <w:rFonts w:eastAsiaTheme="minorEastAsia"/>
                      <w:color w:val="auto"/>
                      <w:sz w:val="21"/>
                      <w:szCs w:val="21"/>
                      <w:lang w:bidi="ar"/>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33" w:type="dxa"/>
                  <w:tcBorders>
                    <w:tl2br w:val="nil"/>
                    <w:tr2bl w:val="nil"/>
                  </w:tcBorders>
                  <w:vAlign w:val="center"/>
                </w:tcPr>
                <w:p>
                  <w:pPr>
                    <w:pStyle w:val="16"/>
                    <w:adjustRightInd w:val="0"/>
                    <w:jc w:val="center"/>
                    <w:rPr>
                      <w:rFonts w:eastAsiaTheme="minorEastAsia"/>
                      <w:b/>
                      <w:bCs/>
                      <w:color w:val="auto"/>
                      <w:sz w:val="21"/>
                      <w:szCs w:val="21"/>
                      <w:lang w:bidi="ar"/>
                    </w:rPr>
                  </w:pPr>
                  <w:r>
                    <w:rPr>
                      <w:rFonts w:eastAsiaTheme="minorEastAsia"/>
                      <w:b/>
                      <w:bCs/>
                      <w:color w:val="auto"/>
                      <w:sz w:val="21"/>
                      <w:szCs w:val="21"/>
                      <w:lang w:bidi="ar"/>
                    </w:rPr>
                    <w:t>土地资源利用上线</w:t>
                  </w:r>
                </w:p>
              </w:tc>
              <w:tc>
                <w:tcPr>
                  <w:tcW w:w="4342" w:type="dxa"/>
                  <w:tcBorders>
                    <w:tl2br w:val="nil"/>
                    <w:tr2bl w:val="nil"/>
                  </w:tcBorders>
                  <w:vAlign w:val="center"/>
                </w:tcPr>
                <w:p>
                  <w:pPr>
                    <w:widowControl/>
                    <w:adjustRightInd w:val="0"/>
                    <w:snapToGrid w:val="0"/>
                    <w:ind w:firstLine="420" w:firstLineChars="200"/>
                    <w:rPr>
                      <w:rFonts w:hint="eastAsia" w:eastAsiaTheme="minorEastAsia"/>
                      <w:color w:val="auto"/>
                      <w:kern w:val="0"/>
                      <w:szCs w:val="21"/>
                      <w:lang w:bidi="ar"/>
                    </w:rPr>
                  </w:pPr>
                  <w:r>
                    <w:rPr>
                      <w:rFonts w:hint="eastAsia" w:eastAsiaTheme="minorEastAsia"/>
                      <w:color w:val="auto"/>
                      <w:kern w:val="0"/>
                      <w:szCs w:val="21"/>
                      <w:lang w:bidi="ar"/>
                    </w:rPr>
                    <w:t>从生态环境保护的角度出发，综合考虑生态保护红线、永久基本农田等保护区域的面积，可开发利用土地资源的存量，以及土地资源的集约利用水平等因素，评价各区县在土地资源开发利用与生态环境保护方面的潜在矛盾程度。根据“三线一单”技术指南研究分析，中卫市无土地资源重点管控区。</w:t>
                  </w:r>
                </w:p>
                <w:p>
                  <w:pPr>
                    <w:widowControl/>
                    <w:adjustRightInd w:val="0"/>
                    <w:snapToGrid w:val="0"/>
                    <w:ind w:firstLine="420" w:firstLineChars="200"/>
                    <w:rPr>
                      <w:rFonts w:eastAsiaTheme="minorEastAsia"/>
                      <w:color w:val="auto"/>
                      <w:kern w:val="0"/>
                      <w:szCs w:val="21"/>
                      <w:lang w:bidi="ar"/>
                    </w:rPr>
                  </w:pPr>
                  <w:r>
                    <w:rPr>
                      <w:rFonts w:hint="eastAsia" w:eastAsiaTheme="minorEastAsia"/>
                      <w:color w:val="auto"/>
                      <w:kern w:val="0"/>
                      <w:szCs w:val="21"/>
                      <w:lang w:bidi="ar"/>
                    </w:rPr>
                    <w:t>按照“以水定城、以水定地”的原则，优化城乡土地供给，严格落实耕地占补平衡，严控新增建设用地规模，严格按照投资强度核定用地面积，盘活利用闲置土地，合理控制土地开发强度，优化土地利用结构和布局，清理低效用地，集约化、规模化开发土地资源，提高土地集约化利用程度和开发利用效益。</w:t>
                  </w:r>
                </w:p>
              </w:tc>
              <w:tc>
                <w:tcPr>
                  <w:tcW w:w="2548" w:type="dxa"/>
                  <w:tcBorders>
                    <w:tl2br w:val="nil"/>
                    <w:tr2bl w:val="nil"/>
                  </w:tcBorders>
                  <w:vAlign w:val="center"/>
                </w:tcPr>
                <w:p>
                  <w:pPr>
                    <w:adjustRightInd w:val="0"/>
                    <w:snapToGrid w:val="0"/>
                    <w:ind w:firstLine="420" w:firstLineChars="200"/>
                    <w:jc w:val="both"/>
                    <w:rPr>
                      <w:rFonts w:eastAsiaTheme="minorEastAsia"/>
                      <w:color w:val="auto"/>
                      <w:kern w:val="0"/>
                      <w:szCs w:val="21"/>
                      <w:lang w:bidi="ar"/>
                    </w:rPr>
                  </w:pPr>
                  <w:r>
                    <w:rPr>
                      <w:rFonts w:eastAsiaTheme="minorEastAsia"/>
                      <w:color w:val="auto"/>
                      <w:sz w:val="21"/>
                      <w:szCs w:val="21"/>
                      <w:lang w:bidi="ar"/>
                    </w:rPr>
                    <w:t>本项目不涉及生态保护红线、永久基本农田等保护区域的面积，本项目</w:t>
                  </w:r>
                  <w:r>
                    <w:rPr>
                      <w:rFonts w:hint="eastAsia" w:eastAsiaTheme="minorEastAsia"/>
                      <w:color w:val="auto"/>
                      <w:sz w:val="21"/>
                      <w:szCs w:val="16"/>
                      <w:lang w:val="en-US" w:eastAsia="zh-CN"/>
                    </w:rPr>
                    <w:t>位于</w:t>
                  </w:r>
                  <w:r>
                    <w:rPr>
                      <w:rFonts w:hint="eastAsia"/>
                      <w:color w:val="auto"/>
                      <w:sz w:val="21"/>
                      <w:szCs w:val="16"/>
                      <w:lang w:val="en-US" w:eastAsia="zh-CN"/>
                    </w:rPr>
                    <w:t>沙坡头区东园镇新北山区，</w:t>
                  </w:r>
                  <w:r>
                    <w:rPr>
                      <w:rFonts w:hint="eastAsia" w:eastAsiaTheme="minorEastAsia"/>
                      <w:color w:val="auto"/>
                      <w:kern w:val="0"/>
                      <w:szCs w:val="21"/>
                      <w:lang w:val="en-US" w:eastAsia="zh-CN" w:bidi="ar"/>
                    </w:rPr>
                    <w:t>项目用地为天然牧草地，</w:t>
                  </w:r>
                  <w:r>
                    <w:rPr>
                      <w:rFonts w:hint="eastAsia"/>
                      <w:color w:val="auto"/>
                      <w:sz w:val="21"/>
                      <w:szCs w:val="16"/>
                      <w:lang w:val="en-US" w:eastAsia="zh-CN"/>
                    </w:rPr>
                    <w:t>临时用地</w:t>
                  </w:r>
                  <w:r>
                    <w:rPr>
                      <w:rFonts w:hint="eastAsia" w:eastAsiaTheme="minorEastAsia"/>
                      <w:color w:val="auto"/>
                      <w:kern w:val="0"/>
                      <w:szCs w:val="21"/>
                      <w:lang w:val="en-US" w:eastAsia="zh-CN" w:bidi="ar"/>
                    </w:rPr>
                    <w:t>运营期结束后进行生态恢复，</w:t>
                  </w:r>
                  <w:r>
                    <w:rPr>
                      <w:rFonts w:hint="eastAsia" w:eastAsiaTheme="minorEastAsia"/>
                      <w:bCs/>
                      <w:snapToGrid w:val="0"/>
                      <w:color w:val="auto"/>
                      <w:sz w:val="21"/>
                      <w:szCs w:val="21"/>
                      <w:lang w:eastAsia="zh-CN"/>
                    </w:rPr>
                    <w:t>不新增占地</w:t>
                  </w:r>
                  <w:r>
                    <w:rPr>
                      <w:rFonts w:eastAsiaTheme="minorEastAsia"/>
                      <w:color w:val="auto"/>
                      <w:sz w:val="21"/>
                      <w:szCs w:val="21"/>
                      <w:lang w:bidi="ar"/>
                    </w:rPr>
                    <w:t>。</w:t>
                  </w:r>
                </w:p>
              </w:tc>
              <w:tc>
                <w:tcPr>
                  <w:tcW w:w="697" w:type="dxa"/>
                  <w:tcBorders>
                    <w:tl2br w:val="nil"/>
                    <w:tr2bl w:val="nil"/>
                  </w:tcBorders>
                  <w:vAlign w:val="center"/>
                </w:tcPr>
                <w:p>
                  <w:pPr>
                    <w:pStyle w:val="16"/>
                    <w:adjustRightInd w:val="0"/>
                    <w:jc w:val="center"/>
                    <w:rPr>
                      <w:rFonts w:hint="eastAsia" w:eastAsiaTheme="minorEastAsia"/>
                      <w:color w:val="auto"/>
                      <w:sz w:val="21"/>
                      <w:szCs w:val="21"/>
                      <w:lang w:val="en-US" w:eastAsia="zh-CN" w:bidi="ar"/>
                    </w:rPr>
                  </w:pPr>
                  <w:r>
                    <w:rPr>
                      <w:rFonts w:hint="eastAsia" w:eastAsiaTheme="minorEastAsia"/>
                      <w:color w:val="auto"/>
                      <w:sz w:val="21"/>
                      <w:szCs w:val="21"/>
                      <w:lang w:val="en-US" w:eastAsia="zh-CN" w:bidi="ar"/>
                    </w:rPr>
                    <w:t>符合</w:t>
                  </w:r>
                </w:p>
              </w:tc>
            </w:tr>
          </w:tbl>
          <w:p>
            <w:pPr>
              <w:keepNext w:val="0"/>
              <w:keepLines w:val="0"/>
              <w:pageBreakBefore w:val="0"/>
              <w:kinsoku/>
              <w:wordWrap/>
              <w:overflowPunct/>
              <w:topLinePunct w:val="0"/>
              <w:autoSpaceDE w:val="0"/>
              <w:autoSpaceDN w:val="0"/>
              <w:bidi w:val="0"/>
              <w:adjustRightInd w:val="0"/>
              <w:snapToGrid w:val="0"/>
              <w:spacing w:before="156" w:beforeLines="50" w:line="360" w:lineRule="auto"/>
              <w:ind w:firstLine="480" w:firstLineChars="200"/>
              <w:jc w:val="left"/>
              <w:textAlignment w:val="auto"/>
              <w:rPr>
                <w:color w:val="auto"/>
                <w:sz w:val="24"/>
              </w:rPr>
            </w:pPr>
            <w:r>
              <w:rPr>
                <w:color w:val="auto"/>
                <w:sz w:val="24"/>
              </w:rPr>
              <w:t>根据上表分析，本项目符合中卫市资源利用上线及分区管控要求。</w:t>
            </w:r>
          </w:p>
          <w:p>
            <w:pPr>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firstLine="481" w:firstLineChars="200"/>
              <w:jc w:val="left"/>
              <w:textAlignment w:val="auto"/>
              <w:rPr>
                <w:b/>
                <w:bCs/>
                <w:color w:val="auto"/>
                <w:sz w:val="24"/>
              </w:rPr>
            </w:pPr>
            <w:r>
              <w:rPr>
                <w:b/>
                <w:bCs/>
                <w:color w:val="auto"/>
                <w:sz w:val="24"/>
              </w:rPr>
              <w:t>生态环境准入清单</w:t>
            </w:r>
            <w:r>
              <w:rPr>
                <w:rFonts w:hint="eastAsia"/>
                <w:b/>
                <w:bCs/>
                <w:color w:val="auto"/>
                <w:sz w:val="24"/>
                <w:lang w:val="en-US" w:eastAsia="zh-CN"/>
              </w:rPr>
              <w:t xml:space="preserve">  </w:t>
            </w: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color w:val="auto"/>
                <w:sz w:val="24"/>
                <w:szCs w:val="24"/>
                <w:lang w:val="en-US" w:eastAsia="zh-CN"/>
              </w:rPr>
            </w:pPr>
            <w:r>
              <w:rPr>
                <w:rFonts w:hint="eastAsia"/>
                <w:color w:val="auto"/>
                <w:sz w:val="24"/>
                <w:szCs w:val="24"/>
              </w:rPr>
              <w:t>本项目属于中卫市环境管控单元中</w:t>
            </w:r>
            <w:r>
              <w:rPr>
                <w:rFonts w:hint="eastAsia"/>
                <w:color w:val="auto"/>
                <w:sz w:val="24"/>
                <w:szCs w:val="24"/>
                <w:lang w:val="en-US" w:eastAsia="zh-CN"/>
              </w:rPr>
              <w:t>的一般管控单元</w:t>
            </w:r>
            <w:r>
              <w:rPr>
                <w:rFonts w:hint="eastAsia"/>
                <w:color w:val="auto"/>
                <w:sz w:val="24"/>
                <w:szCs w:val="24"/>
              </w:rPr>
              <w:t>，与“中卫市环境管控单元生态环境准入清单”中“</w:t>
            </w:r>
            <w:r>
              <w:rPr>
                <w:rFonts w:hint="eastAsia"/>
                <w:color w:val="auto"/>
                <w:sz w:val="24"/>
                <w:szCs w:val="24"/>
                <w:lang w:val="en-US" w:eastAsia="zh-CN"/>
              </w:rPr>
              <w:t>沙坡头区一般管控单元</w:t>
            </w:r>
            <w:r>
              <w:rPr>
                <w:rFonts w:hint="eastAsia"/>
                <w:color w:val="auto"/>
                <w:sz w:val="24"/>
                <w:szCs w:val="24"/>
              </w:rPr>
              <w:t>”</w:t>
            </w:r>
            <w:r>
              <w:rPr>
                <w:color w:val="auto"/>
                <w:sz w:val="24"/>
                <w:szCs w:val="24"/>
              </w:rPr>
              <w:t>的符合性分析</w:t>
            </w:r>
            <w:r>
              <w:rPr>
                <w:rFonts w:hint="eastAsia"/>
                <w:color w:val="auto"/>
                <w:sz w:val="24"/>
                <w:szCs w:val="24"/>
                <w:lang w:val="en-US" w:eastAsia="zh-CN"/>
              </w:rPr>
              <w:t>见表1-3，</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与中卫市生态环境总体准入要求符合性分析见表1-</w:t>
            </w:r>
            <w:r>
              <w:rPr>
                <w:rFonts w:hint="eastAsia" w:cs="Times New Roman"/>
                <w:b w:val="0"/>
                <w:bCs w:val="0"/>
                <w:color w:val="000000" w:themeColor="text1"/>
                <w:kern w:val="0"/>
                <w:sz w:val="24"/>
                <w:szCs w:val="24"/>
                <w:highlight w:val="none"/>
                <w:lang w:val="en-US" w:eastAsia="zh-CN" w:bidi="ar"/>
                <w14:textFill>
                  <w14:solidFill>
                    <w14:schemeClr w14:val="tx1"/>
                  </w14:solidFill>
                </w14:textFill>
              </w:rPr>
              <w:t>4</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4"/>
                <w:szCs w:val="24"/>
                <w:lang w:bidi="ar"/>
              </w:rPr>
            </w:pPr>
            <w:r>
              <w:rPr>
                <w:rFonts w:hint="default" w:ascii="Times New Roman" w:hAnsi="Times New Roman" w:cs="Times New Roman" w:eastAsiaTheme="minorEastAsia"/>
                <w:b/>
                <w:bCs/>
                <w:color w:val="auto"/>
                <w:sz w:val="21"/>
                <w:szCs w:val="21"/>
                <w:lang w:bidi="ar"/>
              </w:rPr>
              <w:t>表1-</w:t>
            </w:r>
            <w:r>
              <w:rPr>
                <w:rFonts w:hint="eastAsia" w:cs="Times New Roman" w:eastAsiaTheme="minorEastAsia"/>
                <w:b/>
                <w:bCs/>
                <w:color w:val="auto"/>
                <w:sz w:val="21"/>
                <w:szCs w:val="21"/>
                <w:lang w:val="en-US" w:eastAsia="zh-CN" w:bidi="ar"/>
              </w:rPr>
              <w:t>3</w:t>
            </w:r>
            <w:r>
              <w:rPr>
                <w:rFonts w:hint="default" w:ascii="Times New Roman" w:hAnsi="Times New Roman" w:cs="Times New Roman" w:eastAsiaTheme="minorEastAsia"/>
                <w:b/>
                <w:bCs/>
                <w:color w:val="auto"/>
                <w:sz w:val="21"/>
                <w:szCs w:val="21"/>
                <w:lang w:bidi="ar"/>
              </w:rPr>
              <w:t xml:space="preserve">   </w:t>
            </w:r>
            <w:r>
              <w:rPr>
                <w:rFonts w:hint="default" w:ascii="Times New Roman" w:hAnsi="Times New Roman" w:cs="Times New Roman" w:eastAsiaTheme="minorEastAsia"/>
                <w:b/>
                <w:bCs/>
                <w:color w:val="auto"/>
                <w:sz w:val="21"/>
                <w:szCs w:val="21"/>
              </w:rPr>
              <w:t>本项目与</w:t>
            </w:r>
            <w:r>
              <w:rPr>
                <w:rFonts w:hint="eastAsia" w:ascii="Times New Roman" w:hAnsi="Times New Roman" w:cs="Times New Roman" w:eastAsiaTheme="minorEastAsia"/>
                <w:b/>
                <w:bCs/>
                <w:color w:val="auto"/>
                <w:sz w:val="21"/>
                <w:szCs w:val="21"/>
                <w:lang w:eastAsia="zh-CN"/>
              </w:rPr>
              <w:t>“</w:t>
            </w:r>
            <w:r>
              <w:rPr>
                <w:rFonts w:hint="default" w:ascii="Times New Roman" w:hAnsi="Times New Roman" w:cs="Times New Roman" w:eastAsiaTheme="minorEastAsia"/>
                <w:b/>
                <w:bCs/>
                <w:color w:val="auto"/>
                <w:sz w:val="21"/>
                <w:szCs w:val="21"/>
                <w:lang w:val="en-US" w:eastAsia="zh-CN"/>
              </w:rPr>
              <w:t>沙坡头区东园镇重点管控单元</w:t>
            </w:r>
            <w:r>
              <w:rPr>
                <w:rFonts w:hint="eastAsia" w:ascii="Times New Roman" w:hAnsi="Times New Roman" w:cs="Times New Roman" w:eastAsiaTheme="minorEastAsia"/>
                <w:b/>
                <w:bCs/>
                <w:color w:val="auto"/>
                <w:sz w:val="21"/>
                <w:szCs w:val="21"/>
                <w:lang w:val="en-US" w:eastAsia="zh-CN"/>
              </w:rPr>
              <w:t>”</w:t>
            </w:r>
            <w:r>
              <w:rPr>
                <w:rFonts w:hint="default" w:ascii="Times New Roman" w:hAnsi="Times New Roman" w:cs="Times New Roman" w:eastAsiaTheme="minorEastAsia"/>
                <w:b/>
                <w:bCs/>
                <w:color w:val="auto"/>
                <w:sz w:val="21"/>
                <w:szCs w:val="21"/>
              </w:rPr>
              <w:t>符合性分析</w:t>
            </w:r>
            <w:r>
              <w:rPr>
                <w:rFonts w:hint="default" w:ascii="Times New Roman" w:hAnsi="Times New Roman" w:cs="Times New Roman" w:eastAsiaTheme="minorEastAsia"/>
                <w:b/>
                <w:bCs/>
                <w:color w:val="auto"/>
                <w:sz w:val="21"/>
                <w:szCs w:val="21"/>
                <w:lang w:bidi="ar"/>
              </w:rPr>
              <w:t>一览表</w:t>
            </w:r>
          </w:p>
          <w:tbl>
            <w:tblPr>
              <w:tblStyle w:val="25"/>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640"/>
              <w:gridCol w:w="2177"/>
              <w:gridCol w:w="69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06" w:type="dxa"/>
                  <w:tcBorders>
                    <w:tl2br w:val="nil"/>
                    <w:tr2bl w:val="nil"/>
                  </w:tcBorders>
                  <w:vAlign w:val="center"/>
                </w:tcPr>
                <w:p>
                  <w:pPr>
                    <w:jc w:val="center"/>
                    <w:rPr>
                      <w:rFonts w:eastAsiaTheme="minorEastAsia"/>
                      <w:b/>
                      <w:bCs/>
                      <w:color w:val="auto"/>
                      <w:kern w:val="0"/>
                      <w:szCs w:val="21"/>
                      <w:lang w:bidi="ar"/>
                    </w:rPr>
                  </w:pPr>
                  <w:r>
                    <w:rPr>
                      <w:rFonts w:eastAsiaTheme="minorEastAsia"/>
                      <w:b/>
                      <w:bCs/>
                      <w:color w:val="auto"/>
                      <w:szCs w:val="21"/>
                    </w:rPr>
                    <w:t>类别</w:t>
                  </w:r>
                </w:p>
              </w:tc>
              <w:tc>
                <w:tcPr>
                  <w:tcW w:w="4640" w:type="dxa"/>
                  <w:tcBorders>
                    <w:tl2br w:val="nil"/>
                    <w:tr2bl w:val="nil"/>
                  </w:tcBorders>
                  <w:vAlign w:val="center"/>
                </w:tcPr>
                <w:p>
                  <w:pPr>
                    <w:jc w:val="center"/>
                    <w:rPr>
                      <w:rFonts w:eastAsiaTheme="minorEastAsia"/>
                      <w:b/>
                      <w:bCs/>
                      <w:color w:val="auto"/>
                      <w:kern w:val="0"/>
                      <w:szCs w:val="21"/>
                      <w:lang w:bidi="ar"/>
                    </w:rPr>
                  </w:pPr>
                  <w:r>
                    <w:rPr>
                      <w:rFonts w:eastAsiaTheme="minorEastAsia"/>
                      <w:b/>
                      <w:bCs/>
                      <w:color w:val="auto"/>
                      <w:szCs w:val="21"/>
                    </w:rPr>
                    <w:t>管控要求</w:t>
                  </w:r>
                </w:p>
              </w:tc>
              <w:tc>
                <w:tcPr>
                  <w:tcW w:w="2177" w:type="dxa"/>
                  <w:tcBorders>
                    <w:tl2br w:val="nil"/>
                    <w:tr2bl w:val="nil"/>
                  </w:tcBorders>
                  <w:vAlign w:val="center"/>
                </w:tcPr>
                <w:p>
                  <w:pPr>
                    <w:jc w:val="center"/>
                    <w:rPr>
                      <w:rFonts w:eastAsiaTheme="minorEastAsia"/>
                      <w:b/>
                      <w:bCs/>
                      <w:color w:val="auto"/>
                      <w:kern w:val="0"/>
                      <w:szCs w:val="21"/>
                      <w:lang w:bidi="ar"/>
                    </w:rPr>
                  </w:pPr>
                  <w:r>
                    <w:rPr>
                      <w:rFonts w:eastAsiaTheme="minorEastAsia"/>
                      <w:b/>
                      <w:bCs/>
                      <w:color w:val="auto"/>
                      <w:szCs w:val="21"/>
                    </w:rPr>
                    <w:t>本项目情况</w:t>
                  </w:r>
                </w:p>
              </w:tc>
              <w:tc>
                <w:tcPr>
                  <w:tcW w:w="697" w:type="dxa"/>
                  <w:tcBorders>
                    <w:tl2br w:val="nil"/>
                    <w:tr2bl w:val="nil"/>
                  </w:tcBorders>
                  <w:vAlign w:val="center"/>
                </w:tcPr>
                <w:p>
                  <w:pPr>
                    <w:jc w:val="center"/>
                    <w:rPr>
                      <w:rFonts w:eastAsiaTheme="minorEastAsia"/>
                      <w:b/>
                      <w:bCs/>
                      <w:color w:val="auto"/>
                      <w:kern w:val="0"/>
                      <w:szCs w:val="21"/>
                      <w:lang w:bidi="ar"/>
                    </w:rPr>
                  </w:pPr>
                  <w:r>
                    <w:rPr>
                      <w:rFonts w:eastAsiaTheme="minorEastAsia"/>
                      <w:b/>
                      <w:bCs/>
                      <w:color w:val="auto"/>
                      <w:szCs w:val="21"/>
                    </w:rPr>
                    <w:t>是否满足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06" w:type="dxa"/>
                  <w:tcBorders>
                    <w:tl2br w:val="nil"/>
                    <w:tr2bl w:val="nil"/>
                  </w:tcBorders>
                  <w:vAlign w:val="center"/>
                </w:tcPr>
                <w:p>
                  <w:pPr>
                    <w:pStyle w:val="16"/>
                    <w:adjustRightInd w:val="0"/>
                    <w:jc w:val="center"/>
                    <w:rPr>
                      <w:rFonts w:hint="default" w:eastAsiaTheme="minorEastAsia"/>
                      <w:b/>
                      <w:bCs/>
                      <w:color w:val="auto"/>
                      <w:sz w:val="21"/>
                      <w:szCs w:val="21"/>
                      <w:lang w:val="en-US" w:eastAsia="zh-CN" w:bidi="ar"/>
                    </w:rPr>
                  </w:pPr>
                  <w:r>
                    <w:rPr>
                      <w:rFonts w:hint="eastAsia" w:eastAsiaTheme="minorEastAsia"/>
                      <w:b/>
                      <w:bCs/>
                      <w:color w:val="auto"/>
                      <w:sz w:val="21"/>
                      <w:szCs w:val="21"/>
                      <w:lang w:val="en-US" w:eastAsia="zh-CN"/>
                    </w:rPr>
                    <w:t>空间布局约束</w:t>
                  </w:r>
                </w:p>
              </w:tc>
              <w:tc>
                <w:tcPr>
                  <w:tcW w:w="4640" w:type="dxa"/>
                  <w:tcBorders>
                    <w:tl2br w:val="nil"/>
                    <w:tr2bl w:val="nil"/>
                  </w:tcBorders>
                  <w:vAlign w:val="center"/>
                </w:tcPr>
                <w:p>
                  <w:pPr>
                    <w:widowControl/>
                    <w:numPr>
                      <w:ilvl w:val="-1"/>
                      <w:numId w:val="0"/>
                    </w:numPr>
                    <w:ind w:firstLine="0" w:firstLineChars="0"/>
                    <w:jc w:val="left"/>
                    <w:rPr>
                      <w:rFonts w:hint="eastAsia"/>
                    </w:rPr>
                  </w:pPr>
                  <w:r>
                    <w:rPr>
                      <w:rFonts w:hint="eastAsia"/>
                      <w:lang w:val="en-US" w:eastAsia="zh-CN"/>
                    </w:rPr>
                    <w:t>1.</w:t>
                  </w:r>
                  <w:r>
                    <w:rPr>
                      <w:rFonts w:hint="eastAsia"/>
                    </w:rPr>
                    <w:t>禁止新建项目乱征滥占草地、破坏沙生植被，严格限制在区域内采砂取土。</w:t>
                  </w:r>
                </w:p>
                <w:p>
                  <w:pPr>
                    <w:widowControl/>
                    <w:numPr>
                      <w:ilvl w:val="-1"/>
                      <w:numId w:val="0"/>
                    </w:numPr>
                    <w:ind w:firstLine="0" w:firstLineChars="0"/>
                    <w:jc w:val="left"/>
                    <w:rPr>
                      <w:rFonts w:hint="eastAsia"/>
                    </w:rPr>
                  </w:pPr>
                  <w:r>
                    <w:rPr>
                      <w:rFonts w:hint="eastAsia"/>
                      <w:lang w:val="en-US" w:eastAsia="zh-CN"/>
                    </w:rPr>
                    <w:t>2.</w:t>
                  </w:r>
                  <w:r>
                    <w:rPr>
                      <w:rFonts w:hint="eastAsia"/>
                    </w:rPr>
                    <w:t>限制无序发展光伏产业。严格限制在农用地优先保护区集中区域新建医药、垃圾焚烧、铅酸蓄电池制造回收、电子废弃物拆解、危险废物处置和危险化学品生产、储存、使用等行业项目。</w:t>
                  </w:r>
                </w:p>
                <w:p>
                  <w:pPr>
                    <w:widowControl/>
                    <w:numPr>
                      <w:ilvl w:val="-1"/>
                      <w:numId w:val="0"/>
                    </w:numPr>
                    <w:ind w:firstLine="0" w:firstLineChars="0"/>
                    <w:jc w:val="left"/>
                    <w:rPr>
                      <w:rFonts w:hint="eastAsia"/>
                    </w:rPr>
                  </w:pPr>
                  <w:r>
                    <w:rPr>
                      <w:rFonts w:hint="eastAsia"/>
                      <w:lang w:val="en-US" w:eastAsia="zh-CN"/>
                    </w:rPr>
                    <w:t>3.</w:t>
                  </w:r>
                  <w:r>
                    <w:rPr>
                      <w:rFonts w:hint="eastAsia"/>
                    </w:rPr>
                    <w:t>在满足产业准入、总量控制、排放标准等国家和地方相关管理制度要求的前提下，集约发展。</w:t>
                  </w:r>
                </w:p>
                <w:p>
                  <w:pPr>
                    <w:widowControl/>
                    <w:numPr>
                      <w:ilvl w:val="-1"/>
                      <w:numId w:val="0"/>
                    </w:numPr>
                    <w:ind w:firstLine="0" w:firstLineChars="0"/>
                    <w:jc w:val="left"/>
                    <w:rPr>
                      <w:rFonts w:hint="eastAsia"/>
                    </w:rPr>
                  </w:pPr>
                  <w:r>
                    <w:rPr>
                      <w:rFonts w:hint="eastAsia"/>
                      <w:lang w:val="en-US" w:eastAsia="zh-CN"/>
                    </w:rPr>
                    <w:t>4.</w:t>
                  </w:r>
                  <w:r>
                    <w:rPr>
                      <w:rFonts w:hint="eastAsia"/>
                    </w:rPr>
                    <w:t>深入推进“散乱污”工业企业整治工作，对不符合国家或自治区产业政策、依法应办理而未办理相关审批或登记手续、违法排污严重的工业企业，限期关停拆除。</w:t>
                  </w:r>
                </w:p>
              </w:tc>
              <w:tc>
                <w:tcPr>
                  <w:tcW w:w="2177" w:type="dxa"/>
                  <w:tcBorders>
                    <w:tl2br w:val="nil"/>
                    <w:tr2bl w:val="nil"/>
                  </w:tcBorders>
                  <w:vAlign w:val="center"/>
                </w:tcPr>
                <w:p>
                  <w:pPr>
                    <w:adjustRightInd w:val="0"/>
                    <w:snapToGrid w:val="0"/>
                    <w:ind w:firstLine="420" w:firstLineChars="200"/>
                    <w:rPr>
                      <w:rFonts w:hint="default" w:eastAsiaTheme="minorEastAsia"/>
                      <w:color w:val="auto"/>
                      <w:kern w:val="0"/>
                      <w:szCs w:val="21"/>
                      <w:lang w:val="en-US" w:eastAsia="zh-CN" w:bidi="ar"/>
                    </w:rPr>
                  </w:pPr>
                  <w:r>
                    <w:rPr>
                      <w:rFonts w:eastAsiaTheme="minorEastAsia"/>
                      <w:color w:val="auto"/>
                      <w:kern w:val="0"/>
                      <w:szCs w:val="21"/>
                      <w:lang w:bidi="ar"/>
                    </w:rPr>
                    <w:t>本项目</w:t>
                  </w:r>
                  <w:r>
                    <w:rPr>
                      <w:rFonts w:hint="eastAsia" w:eastAsiaTheme="minorEastAsia"/>
                      <w:color w:val="auto"/>
                      <w:kern w:val="0"/>
                      <w:szCs w:val="21"/>
                      <w:lang w:val="en-US" w:eastAsia="zh-CN" w:bidi="ar"/>
                    </w:rPr>
                    <w:t>租用东园镇新北山区土地新建临时拌合站，</w:t>
                  </w:r>
                  <w:r>
                    <w:rPr>
                      <w:rFonts w:eastAsiaTheme="minorEastAsia"/>
                      <w:color w:val="auto"/>
                      <w:kern w:val="0"/>
                      <w:szCs w:val="21"/>
                      <w:lang w:bidi="ar"/>
                    </w:rPr>
                    <w:t>营运期</w:t>
                  </w:r>
                  <w:r>
                    <w:rPr>
                      <w:rFonts w:hint="eastAsia" w:eastAsiaTheme="minorEastAsia"/>
                      <w:color w:val="auto"/>
                      <w:kern w:val="0"/>
                      <w:szCs w:val="21"/>
                      <w:lang w:val="en-US" w:eastAsia="zh-CN" w:bidi="ar"/>
                    </w:rPr>
                    <w:t>为3个月。项目用地为天然牧草地，运营期结束后进行生态恢复。本项目建设符合国家和地方产业政策；项目废气、噪声达标排放，废水部分回用，生活污水经化粪池（3m</w:t>
                  </w:r>
                  <w:r>
                    <w:rPr>
                      <w:rFonts w:hint="eastAsia" w:eastAsiaTheme="minorEastAsia"/>
                      <w:color w:val="auto"/>
                      <w:kern w:val="0"/>
                      <w:szCs w:val="21"/>
                      <w:vertAlign w:val="superscript"/>
                      <w:lang w:val="en-US" w:eastAsia="zh-CN" w:bidi="ar"/>
                    </w:rPr>
                    <w:t>3</w:t>
                  </w:r>
                  <w:r>
                    <w:rPr>
                      <w:rFonts w:hint="eastAsia" w:eastAsiaTheme="minorEastAsia"/>
                      <w:color w:val="auto"/>
                      <w:kern w:val="0"/>
                      <w:szCs w:val="21"/>
                      <w:lang w:val="en-US" w:eastAsia="zh-CN" w:bidi="ar"/>
                    </w:rPr>
                    <w:t>）初步处理后运至中卫市第一污水处理厂进行处理。</w:t>
                  </w:r>
                </w:p>
              </w:tc>
              <w:tc>
                <w:tcPr>
                  <w:tcW w:w="697" w:type="dxa"/>
                  <w:tcBorders>
                    <w:tl2br w:val="nil"/>
                    <w:tr2bl w:val="nil"/>
                  </w:tcBorders>
                  <w:vAlign w:val="center"/>
                </w:tcPr>
                <w:p>
                  <w:pPr>
                    <w:pStyle w:val="16"/>
                    <w:adjustRightInd w:val="0"/>
                    <w:jc w:val="center"/>
                    <w:rPr>
                      <w:rFonts w:hint="eastAsia" w:eastAsiaTheme="minorEastAsia"/>
                      <w:color w:val="auto"/>
                      <w:sz w:val="21"/>
                      <w:szCs w:val="21"/>
                      <w:lang w:eastAsia="zh-CN" w:bidi="ar"/>
                    </w:rPr>
                  </w:pPr>
                  <w:r>
                    <w:rPr>
                      <w:rFonts w:hint="eastAsia" w:eastAsiaTheme="minorEastAsia"/>
                      <w:color w:val="auto"/>
                      <w:sz w:val="21"/>
                      <w:szCs w:val="21"/>
                      <w:lang w:val="en-US" w:eastAsia="zh-CN" w:bidi="ar"/>
                    </w:rPr>
                    <w:t>/</w:t>
                  </w:r>
                </w:p>
              </w:tc>
            </w:tr>
          </w:tbl>
          <w:p>
            <w:pPr>
              <w:keepNext w:val="0"/>
              <w:keepLines w:val="0"/>
              <w:pageBreakBefore w:val="0"/>
              <w:widowControl/>
              <w:kinsoku/>
              <w:wordWrap/>
              <w:overflowPunct/>
              <w:topLinePunct w:val="0"/>
              <w:bidi w:val="0"/>
              <w:spacing w:line="360" w:lineRule="auto"/>
              <w:ind w:firstLine="480" w:firstLineChars="200"/>
              <w:jc w:val="left"/>
              <w:textAlignment w:val="auto"/>
              <w:rPr>
                <w:color w:val="FF0000"/>
                <w:kern w:val="0"/>
                <w:sz w:val="24"/>
                <w:lang w:bidi="ar"/>
              </w:rPr>
            </w:pPr>
          </w:p>
        </w:tc>
      </w:tr>
    </w:tbl>
    <w:p>
      <w:pPr>
        <w:adjustRightInd w:val="0"/>
        <w:snapToGrid w:val="0"/>
        <w:jc w:val="center"/>
        <w:rPr>
          <w:color w:val="FF0000"/>
          <w:szCs w:val="21"/>
        </w:rPr>
        <w:sectPr>
          <w:pgSz w:w="11906" w:h="16838"/>
          <w:pgMar w:top="1587" w:right="1587" w:bottom="1587" w:left="1587" w:header="1304" w:footer="1020" w:gutter="0"/>
          <w:pgBorders>
            <w:top w:val="none" w:sz="0" w:space="0"/>
            <w:left w:val="none" w:sz="0" w:space="0"/>
            <w:bottom w:val="none" w:sz="0" w:space="0"/>
            <w:right w:val="none" w:sz="0" w:space="0"/>
          </w:pgBorders>
          <w:cols w:space="720" w:num="1"/>
          <w:docGrid w:type="lines" w:linePitch="312" w:charSpace="0"/>
        </w:sectPr>
      </w:pPr>
    </w:p>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表1-</w:t>
      </w:r>
      <w:r>
        <w:rPr>
          <w:rFonts w:hint="eastAsia" w:cs="Times New Roman"/>
          <w:b/>
          <w:bCs/>
          <w:color w:val="000000" w:themeColor="text1"/>
          <w:kern w:val="0"/>
          <w:sz w:val="21"/>
          <w:szCs w:val="21"/>
          <w:highlight w:val="none"/>
          <w:lang w:val="en-US" w:eastAsia="zh-CN" w:bidi="ar"/>
          <w14:textFill>
            <w14:solidFill>
              <w14:schemeClr w14:val="tx1"/>
            </w14:solidFill>
          </w14:textFill>
        </w:rPr>
        <w:t>4</w:t>
      </w: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 xml:space="preserve">  </w:t>
      </w:r>
      <w:r>
        <w:rPr>
          <w:rFonts w:hint="eastAsia"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本项目与中卫市生态环境总体准入要求符合性分析</w:t>
      </w: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一览表</w:t>
      </w:r>
    </w:p>
    <w:tbl>
      <w:tblPr>
        <w:tblStyle w:val="25"/>
        <w:tblW w:w="5000" w:type="pct"/>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7"/>
        <w:gridCol w:w="984"/>
        <w:gridCol w:w="10048"/>
        <w:gridCol w:w="1135"/>
        <w:gridCol w:w="9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81" w:type="dxa"/>
            <w:gridSpan w:val="2"/>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t>管控维度</w:t>
            </w:r>
          </w:p>
        </w:tc>
        <w:tc>
          <w:tcPr>
            <w:tcW w:w="10048" w:type="dxa"/>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t>准入要求</w:t>
            </w:r>
          </w:p>
        </w:tc>
        <w:tc>
          <w:tcPr>
            <w:tcW w:w="1135" w:type="dxa"/>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t>本项目建设情况</w:t>
            </w:r>
          </w:p>
        </w:tc>
        <w:tc>
          <w:tcPr>
            <w:tcW w:w="916" w:type="dxa"/>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7" w:type="dxa"/>
            <w:vMerge w:val="restart"/>
            <w:vAlign w:val="center"/>
          </w:tcPr>
          <w:p>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A1空间布局约束</w:t>
            </w:r>
          </w:p>
        </w:tc>
        <w:tc>
          <w:tcPr>
            <w:tcW w:w="984" w:type="dxa"/>
            <w:vMerge w:val="restart"/>
            <w:vAlign w:val="center"/>
          </w:tcPr>
          <w:p>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A1.1禁止开发建设活动的要求</w:t>
            </w:r>
          </w:p>
        </w:tc>
        <w:tc>
          <w:tcPr>
            <w:tcW w:w="1004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严禁在黄河干流及主要支流临岸</w:t>
            </w:r>
            <w:r>
              <w:rPr>
                <w:rFonts w:hint="eastAsia" w:cs="Times New Roman"/>
                <w:b w:val="0"/>
                <w:bCs w:val="0"/>
                <w:color w:val="000000" w:themeColor="text1"/>
                <w:kern w:val="0"/>
                <w:sz w:val="21"/>
                <w:szCs w:val="21"/>
                <w:lang w:val="en-US" w:eastAsia="zh-CN" w:bidi="ar"/>
                <w14:textFill>
                  <w14:solidFill>
                    <w14:schemeClr w14:val="tx1"/>
                  </w14:solidFill>
                </w14:textFill>
              </w:rPr>
              <w:t>一定</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范围内新建“两高一资”项目</w:t>
            </w:r>
            <w:r>
              <w:rPr>
                <w:rFonts w:hint="eastAsia" w:cs="Times New Roman"/>
                <w:b w:val="0"/>
                <w:bCs w:val="0"/>
                <w:color w:val="000000" w:themeColor="text1"/>
                <w:kern w:val="0"/>
                <w:sz w:val="21"/>
                <w:szCs w:val="21"/>
                <w:lang w:val="en-US" w:eastAsia="zh-CN" w:bidi="ar"/>
                <w14:textFill>
                  <w14:solidFill>
                    <w14:schemeClr w14:val="tx1"/>
                  </w14:solidFill>
                </w14:textFill>
              </w:rPr>
              <w:t>和</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相关产业园区。</w:t>
            </w:r>
          </w:p>
        </w:tc>
        <w:tc>
          <w:tcPr>
            <w:tcW w:w="1135" w:type="dxa"/>
            <w:vMerge w:val="restart"/>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t>本项目不涉及</w:t>
            </w:r>
            <w:r>
              <w:rPr>
                <w:rFonts w:hint="eastAsia" w:cs="Times New Roman"/>
                <w:b w:val="0"/>
                <w:bCs w:val="0"/>
                <w:color w:val="000000" w:themeColor="text1"/>
                <w:kern w:val="0"/>
                <w:sz w:val="21"/>
                <w:szCs w:val="21"/>
                <w:highlight w:val="none"/>
                <w:vertAlign w:val="baseline"/>
                <w:lang w:val="en-US" w:eastAsia="zh-CN" w:bidi="ar"/>
                <w14:textFill>
                  <w14:solidFill>
                    <w14:schemeClr w14:val="tx1"/>
                  </w14:solidFill>
                </w14:textFill>
              </w:rPr>
              <w:t>左列情况。</w:t>
            </w:r>
          </w:p>
        </w:tc>
        <w:tc>
          <w:tcPr>
            <w:tcW w:w="916" w:type="dxa"/>
            <w:vMerge w:val="restart"/>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7"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984"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1004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黄河沿线两岸3公里范围内不再新建养殖场。</w:t>
            </w:r>
          </w:p>
        </w:tc>
        <w:tc>
          <w:tcPr>
            <w:tcW w:w="1135"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c>
          <w:tcPr>
            <w:tcW w:w="916"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7"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984"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1004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所有工业企业原则上一律入园，工业园区</w:t>
            </w:r>
            <w:r>
              <w:rPr>
                <w:rFonts w:hint="eastAsia" w:cs="Times New Roman"/>
                <w:b w:val="0"/>
                <w:bCs w:val="0"/>
                <w:color w:val="000000" w:themeColor="text1"/>
                <w:kern w:val="0"/>
                <w:sz w:val="21"/>
                <w:szCs w:val="21"/>
                <w:lang w:val="en-US" w:eastAsia="zh-CN" w:bidi="ar"/>
                <w14:textFill>
                  <w14:solidFill>
                    <w14:schemeClr w14:val="tx1"/>
                  </w14:solidFill>
                </w14:textFill>
              </w:rPr>
              <w:t>（集聚区）以外</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不再</w:t>
            </w:r>
            <w:r>
              <w:rPr>
                <w:rFonts w:hint="eastAsia" w:cs="Times New Roman"/>
                <w:b w:val="0"/>
                <w:bCs w:val="0"/>
                <w:color w:val="000000" w:themeColor="text1"/>
                <w:kern w:val="0"/>
                <w:sz w:val="21"/>
                <w:szCs w:val="21"/>
                <w:lang w:val="en-US" w:eastAsia="zh-CN" w:bidi="ar"/>
                <w14:textFill>
                  <w14:solidFill>
                    <w14:schemeClr w14:val="tx1"/>
                  </w14:solidFill>
                </w14:textFill>
              </w:rPr>
              <w:t>新建、扩建</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工业项目。</w:t>
            </w:r>
          </w:p>
        </w:tc>
        <w:tc>
          <w:tcPr>
            <w:tcW w:w="1135"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c>
          <w:tcPr>
            <w:tcW w:w="916"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7"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984"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1004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禁止露天焚烧产生有毒有害烟尘和恶臭气体的物质或将其用作燃料。</w:t>
            </w:r>
          </w:p>
        </w:tc>
        <w:tc>
          <w:tcPr>
            <w:tcW w:w="1135"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c>
          <w:tcPr>
            <w:tcW w:w="916"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7"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984"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1004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除已列入计划内项目，“十四五”期间不再新增燃煤自备电厂（区域背压式供热机组除外）。</w:t>
            </w:r>
          </w:p>
        </w:tc>
        <w:tc>
          <w:tcPr>
            <w:tcW w:w="1135"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c>
          <w:tcPr>
            <w:tcW w:w="916"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7"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984"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1004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严禁在优先保护类耕地集中区域新建污染土壤的行业企业。</w:t>
            </w:r>
          </w:p>
        </w:tc>
        <w:tc>
          <w:tcPr>
            <w:tcW w:w="1135"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c>
          <w:tcPr>
            <w:tcW w:w="916"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7"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984" w:type="dxa"/>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t>A1.2限制开发建设活动的要求</w:t>
            </w:r>
          </w:p>
        </w:tc>
        <w:tc>
          <w:tcPr>
            <w:tcW w:w="1004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严格产业准入标准，建立联合审查机制，对新建项目进行综合评价，对不符合产业规划、产业政策、“三线一单”、规划环评、产能置换、污染物排放区域削减等要求的项目不予办理相关审批手续。严格“两高”项目节能审查，对纳入目录的落后产能过剩行业原则上不再新增产能，对经过评估论证确有必要建设的“两高”项目，必须符合国家、自治区产业政策和产能及能耗等量减量置换要求。</w:t>
            </w:r>
          </w:p>
        </w:tc>
        <w:tc>
          <w:tcPr>
            <w:tcW w:w="1135"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c>
          <w:tcPr>
            <w:tcW w:w="916"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7"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984" w:type="dxa"/>
            <w:vMerge w:val="restart"/>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t>A1.3不符合空间布局要求活动的退出要求</w:t>
            </w:r>
          </w:p>
        </w:tc>
        <w:tc>
          <w:tcPr>
            <w:tcW w:w="1004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对列入建设用地土壤污染风险管控和修复名录需要实施修复的地块，土壤污染责任人应当按照规定编制修复方案，报所在地生态环境主管部门备案并实施。</w:t>
            </w:r>
          </w:p>
        </w:tc>
        <w:tc>
          <w:tcPr>
            <w:tcW w:w="1135"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c>
          <w:tcPr>
            <w:tcW w:w="916"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7"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984"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1004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严格管控自然保护地范围内非生态活动，稳妥推进核心区内居民、耕地、矿权有序退出。</w:t>
            </w:r>
          </w:p>
        </w:tc>
        <w:tc>
          <w:tcPr>
            <w:tcW w:w="1135"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c>
          <w:tcPr>
            <w:tcW w:w="916"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7"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984"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1004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对所有现状不达标的养殖场，明确治理时限和治理措施，在规定时间内不能完成污染治理的养殖场，要按照有关规定实施严肃处罚。</w:t>
            </w:r>
          </w:p>
        </w:tc>
        <w:tc>
          <w:tcPr>
            <w:tcW w:w="1135"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c>
          <w:tcPr>
            <w:tcW w:w="916"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7"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984"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1004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按照“一园区一热源”原则，全面淘汰工业园区（产业集聚区）内35蒸吨/小时及以下燃煤锅炉。城市建成区、集中供热覆盖区及天然气管网覆盖区一律禁止新建燃煤锅炉，逐步淘汰35蒸吨/小时及以下燃煤锅炉，保留及新建锅炉需达到特别排放限值要求。</w:t>
            </w:r>
          </w:p>
        </w:tc>
        <w:tc>
          <w:tcPr>
            <w:tcW w:w="1135"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c>
          <w:tcPr>
            <w:tcW w:w="916"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7" w:type="dxa"/>
            <w:vMerge w:val="restart"/>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t>A2污染物排放管控</w:t>
            </w:r>
          </w:p>
        </w:tc>
        <w:tc>
          <w:tcPr>
            <w:tcW w:w="984" w:type="dxa"/>
            <w:vMerge w:val="restart"/>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t>A2.1允许排放量要求</w:t>
            </w:r>
          </w:p>
        </w:tc>
        <w:tc>
          <w:tcPr>
            <w:tcW w:w="1004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化学需氧量、氨氮、氮氧化物和挥发性有机物排放总量完成自治区下达任务。</w:t>
            </w:r>
          </w:p>
        </w:tc>
        <w:tc>
          <w:tcPr>
            <w:tcW w:w="1135"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c>
          <w:tcPr>
            <w:tcW w:w="916"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7"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984"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1004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PM</w:t>
            </w:r>
            <w:r>
              <w:rPr>
                <w:rFonts w:hint="default" w:ascii="Times New Roman" w:hAnsi="Times New Roman" w:eastAsia="宋体" w:cs="Times New Roman"/>
                <w:b w:val="0"/>
                <w:bCs w:val="0"/>
                <w:color w:val="000000" w:themeColor="text1"/>
                <w:kern w:val="0"/>
                <w:sz w:val="21"/>
                <w:szCs w:val="21"/>
                <w:vertAlign w:val="subscript"/>
                <w:lang w:val="en-US" w:eastAsia="zh-CN" w:bidi="ar"/>
                <w14:textFill>
                  <w14:solidFill>
                    <w14:schemeClr w14:val="tx1"/>
                  </w14:solidFill>
                </w14:textFill>
              </w:rPr>
              <w:t>2.5</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和O</w:t>
            </w:r>
            <w:r>
              <w:rPr>
                <w:rFonts w:hint="default" w:ascii="Times New Roman" w:hAnsi="Times New Roman" w:eastAsia="宋体" w:cs="Times New Roman"/>
                <w:b w:val="0"/>
                <w:bCs w:val="0"/>
                <w:color w:val="000000" w:themeColor="text1"/>
                <w:kern w:val="0"/>
                <w:sz w:val="21"/>
                <w:szCs w:val="21"/>
                <w:vertAlign w:val="subscript"/>
                <w:lang w:val="en-US" w:eastAsia="zh-CN" w:bidi="ar"/>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未达标城市，新、改、扩建项目实施更严格的污染物排放总量控制要求，所需二氧化硫、NOx、VOCs排放量指标要进行减量替代。</w:t>
            </w:r>
          </w:p>
        </w:tc>
        <w:tc>
          <w:tcPr>
            <w:tcW w:w="1135"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c>
          <w:tcPr>
            <w:tcW w:w="916"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7"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984"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1004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新、改、扩建重点行业建设项目按照《宁夏回族自治区建设项目重金属污染物排放指标核定办法》要求，遵循重点重金属污染物排放“等量替代”原则，各地级市可自行确定重点区域，重点区域遵循“减量替代”原则，减量替代比例不低于1.2:1。</w:t>
            </w:r>
          </w:p>
        </w:tc>
        <w:tc>
          <w:tcPr>
            <w:tcW w:w="1135"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c>
          <w:tcPr>
            <w:tcW w:w="916"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7"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984"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10048"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到2025年，中卫市畜禽养殖废物综合利用率达到95%，规模养殖场粪污处理设施装备配套率达到100%。</w:t>
            </w:r>
          </w:p>
        </w:tc>
        <w:tc>
          <w:tcPr>
            <w:tcW w:w="1135"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c>
          <w:tcPr>
            <w:tcW w:w="916"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r>
    </w:tbl>
    <w:p>
      <w:pPr>
        <w:jc w:val="center"/>
      </w:pPr>
      <w:r>
        <w:rPr>
          <w:rFonts w:hint="eastAsia" w:cs="Times New Roman"/>
          <w:b/>
          <w:bCs/>
          <w:color w:val="000000" w:themeColor="text1"/>
          <w:kern w:val="0"/>
          <w:sz w:val="21"/>
          <w:szCs w:val="21"/>
          <w:highlight w:val="none"/>
          <w:lang w:val="en-US" w:eastAsia="zh-CN" w:bidi="ar"/>
          <w14:textFill>
            <w14:solidFill>
              <w14:schemeClr w14:val="tx1"/>
            </w14:solidFill>
          </w14:textFill>
        </w:rPr>
        <w:t>（续）</w:t>
      </w: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表1-</w:t>
      </w:r>
      <w:r>
        <w:rPr>
          <w:rFonts w:hint="eastAsia" w:cs="Times New Roman"/>
          <w:b/>
          <w:bCs/>
          <w:color w:val="000000" w:themeColor="text1"/>
          <w:kern w:val="0"/>
          <w:sz w:val="21"/>
          <w:szCs w:val="21"/>
          <w:highlight w:val="none"/>
          <w:lang w:val="en-US" w:eastAsia="zh-CN" w:bidi="ar"/>
          <w14:textFill>
            <w14:solidFill>
              <w14:schemeClr w14:val="tx1"/>
            </w14:solidFill>
          </w14:textFill>
        </w:rPr>
        <w:t>4</w:t>
      </w: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 xml:space="preserve">  </w:t>
      </w:r>
      <w:r>
        <w:rPr>
          <w:rFonts w:hint="eastAsia"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本项目与中卫市生态环境总体准入要求符合性分析</w:t>
      </w: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一览表</w:t>
      </w:r>
    </w:p>
    <w:tbl>
      <w:tblPr>
        <w:tblStyle w:val="25"/>
        <w:tblW w:w="5000" w:type="pct"/>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226"/>
        <w:gridCol w:w="8919"/>
        <w:gridCol w:w="2097"/>
        <w:gridCol w:w="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3" w:type="dxa"/>
            <w:gridSpan w:val="2"/>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t>管控维度</w:t>
            </w:r>
          </w:p>
        </w:tc>
        <w:tc>
          <w:tcPr>
            <w:tcW w:w="8919" w:type="dxa"/>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t>准入要求</w:t>
            </w:r>
          </w:p>
        </w:tc>
        <w:tc>
          <w:tcPr>
            <w:tcW w:w="2097" w:type="dxa"/>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t>本项目建设情况</w:t>
            </w:r>
          </w:p>
        </w:tc>
        <w:tc>
          <w:tcPr>
            <w:tcW w:w="841" w:type="dxa"/>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dxa"/>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t>A2污染物排放管控</w:t>
            </w:r>
          </w:p>
        </w:tc>
        <w:tc>
          <w:tcPr>
            <w:tcW w:w="1226" w:type="dxa"/>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t>A2.2现有源提标升级改造</w:t>
            </w:r>
          </w:p>
        </w:tc>
        <w:tc>
          <w:tcPr>
            <w:tcW w:w="8919" w:type="dxa"/>
            <w:vAlign w:val="center"/>
          </w:tcPr>
          <w:p>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1.力争到2024年底，所有钢铁企业主要大气污染物基本达到超低排放指标限值；有序推进水泥行业超低排放改造计划，水泥熟料窑改造后氮氧化物排放浓度不高于100毫克/立方米；焦化企业参照《关于推进实施钢铁行业超低排放的意见》要求实施升级改造，改造后氮氧化物排放浓度不高于150毫克/立方米。</w:t>
            </w:r>
          </w:p>
          <w:p>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2.2024年底前，烧结、炼铁、炼钢轧钢、自备电厂等有组织排放污染物实行超低排放限值。</w:t>
            </w:r>
          </w:p>
        </w:tc>
        <w:tc>
          <w:tcPr>
            <w:tcW w:w="2097" w:type="dxa"/>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t>本项目不涉及</w:t>
            </w:r>
            <w:r>
              <w:rPr>
                <w:rFonts w:hint="eastAsia" w:cs="Times New Roman"/>
                <w:b w:val="0"/>
                <w:bCs w:val="0"/>
                <w:color w:val="000000" w:themeColor="text1"/>
                <w:kern w:val="0"/>
                <w:sz w:val="21"/>
                <w:szCs w:val="21"/>
                <w:highlight w:val="none"/>
                <w:vertAlign w:val="baseline"/>
                <w:lang w:val="en-US" w:eastAsia="zh-CN" w:bidi="ar"/>
                <w14:textFill>
                  <w14:solidFill>
                    <w14:schemeClr w14:val="tx1"/>
                  </w14:solidFill>
                </w14:textFill>
              </w:rPr>
              <w:t>左列情况。</w:t>
            </w:r>
          </w:p>
        </w:tc>
        <w:tc>
          <w:tcPr>
            <w:tcW w:w="841" w:type="dxa"/>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bidi="ar"/>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dxa"/>
            <w:vMerge w:val="restart"/>
            <w:shd w:val="clear" w:color="auto" w:fill="auto"/>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t>A3环境风险管控</w:t>
            </w:r>
          </w:p>
        </w:tc>
        <w:tc>
          <w:tcPr>
            <w:tcW w:w="1226" w:type="dxa"/>
            <w:vMerge w:val="restart"/>
            <w:shd w:val="clear" w:color="auto" w:fill="auto"/>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t>A3.1联防联控要求</w:t>
            </w:r>
          </w:p>
        </w:tc>
        <w:tc>
          <w:tcPr>
            <w:tcW w:w="89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olor w:val="000000" w:themeColor="text1"/>
                <w:kern w:val="0"/>
                <w:sz w:val="21"/>
                <w:szCs w:val="21"/>
                <w:lang w:bidi="ar"/>
                <w14:textFill>
                  <w14:solidFill>
                    <w14:schemeClr w14:val="tx1"/>
                  </w14:solidFill>
                </w14:textFill>
              </w:rPr>
              <w:t>健全市生态环境局与公安、交通、应急、气象、水务等部门联动机制，细化落实各相关部门之间联防联控责任与任务分工，联合开展突发环境污染事件处置应急演练，提高联防联控实战能力。</w:t>
            </w:r>
          </w:p>
        </w:tc>
        <w:tc>
          <w:tcPr>
            <w:tcW w:w="2097" w:type="dxa"/>
            <w:vMerge w:val="restart"/>
            <w:shd w:val="clear" w:color="auto" w:fill="auto"/>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r>
              <w:rPr>
                <w:rFonts w:hint="eastAsia" w:eastAsiaTheme="minorEastAsia"/>
                <w:color w:val="000000" w:themeColor="text1"/>
                <w:sz w:val="21"/>
                <w:szCs w:val="21"/>
                <w:lang w:eastAsia="zh-CN" w:bidi="ar"/>
                <w14:textFill>
                  <w14:solidFill>
                    <w14:schemeClr w14:val="tx1"/>
                  </w14:solidFill>
                </w14:textFill>
              </w:rPr>
              <w:t>本项目</w:t>
            </w:r>
            <w:r>
              <w:rPr>
                <w:rFonts w:hint="eastAsia" w:eastAsiaTheme="minorEastAsia"/>
                <w:color w:val="000000" w:themeColor="text1"/>
                <w:sz w:val="21"/>
                <w:szCs w:val="21"/>
                <w:lang w:val="en-US" w:eastAsia="zh-CN" w:bidi="ar"/>
                <w14:textFill>
                  <w14:solidFill>
                    <w14:schemeClr w14:val="tx1"/>
                  </w14:solidFill>
                </w14:textFill>
              </w:rPr>
              <w:t>运营过程中设备保养维护会产生废机油，暂存于危险废物贮存点，做好环境管理</w:t>
            </w:r>
            <w:r>
              <w:rPr>
                <w:color w:val="000000" w:themeColor="text1"/>
                <w:sz w:val="21"/>
                <w:szCs w:val="21"/>
                <w14:textFill>
                  <w14:solidFill>
                    <w14:schemeClr w14:val="tx1"/>
                  </w14:solidFill>
                </w14:textFill>
              </w:rPr>
              <w:t>，正常运行情况下环境风险</w:t>
            </w:r>
            <w:r>
              <w:rPr>
                <w:rFonts w:hint="eastAsia"/>
                <w:color w:val="000000" w:themeColor="text1"/>
                <w:sz w:val="21"/>
                <w:szCs w:val="21"/>
                <w:lang w:val="en-US" w:eastAsia="zh-CN"/>
                <w14:textFill>
                  <w14:solidFill>
                    <w14:schemeClr w14:val="tx1"/>
                  </w14:solidFill>
                </w14:textFill>
              </w:rPr>
              <w:t>极小</w:t>
            </w:r>
            <w:r>
              <w:rPr>
                <w:rFonts w:hint="eastAsia"/>
                <w:color w:val="000000" w:themeColor="text1"/>
                <w:sz w:val="21"/>
                <w:szCs w:val="21"/>
                <w:lang w:eastAsia="zh-CN"/>
                <w14:textFill>
                  <w14:solidFill>
                    <w14:schemeClr w14:val="tx1"/>
                  </w14:solidFill>
                </w14:textFill>
              </w:rPr>
              <w:t>。</w:t>
            </w:r>
          </w:p>
        </w:tc>
        <w:tc>
          <w:tcPr>
            <w:tcW w:w="841" w:type="dxa"/>
            <w:vMerge w:val="restart"/>
            <w:shd w:val="clear" w:color="auto" w:fill="auto"/>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bidi="ar"/>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1226"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89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以黄河干流和主要支流为重点，严控石化、化工、有色金属、印染、原料药制造等行业企业环境风险，加强油气管道环境风险防范，开展新污染物环境调查监测和环境风险评估，推进流域突发环境风险调查与监控预警体系建设，构建市-县(区)-区域-企业四级应急物资储备网络。</w:t>
            </w:r>
          </w:p>
        </w:tc>
        <w:tc>
          <w:tcPr>
            <w:tcW w:w="2097"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c>
          <w:tcPr>
            <w:tcW w:w="841" w:type="dxa"/>
            <w:vMerge w:val="continue"/>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dxa"/>
            <w:vMerge w:val="continue"/>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1226" w:type="dxa"/>
            <w:shd w:val="clear" w:color="auto" w:fill="auto"/>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t>A3.2企业环境风险防控</w:t>
            </w:r>
            <w:r>
              <w:rPr>
                <w:rFonts w:hint="eastAsia" w:cs="Times New Roman"/>
                <w:b/>
                <w:bCs/>
                <w:color w:val="000000" w:themeColor="text1"/>
                <w:kern w:val="0"/>
                <w:sz w:val="21"/>
                <w:szCs w:val="21"/>
                <w:highlight w:val="none"/>
                <w:vertAlign w:val="baseline"/>
                <w:lang w:val="en-US" w:eastAsia="zh-CN" w:bidi="ar"/>
                <w14:textFill>
                  <w14:solidFill>
                    <w14:schemeClr w14:val="tx1"/>
                  </w14:solidFill>
                </w14:textFill>
              </w:rPr>
              <w:t>要求</w:t>
            </w:r>
          </w:p>
        </w:tc>
        <w:tc>
          <w:tcPr>
            <w:tcW w:w="89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紧盯涉危险废物涉重金属企业、化工园区、水源地，强化环境应急三级防控体系建设，落实企业环境安全主体责任，推行企业突发环境事件应急预案电子备案。</w:t>
            </w:r>
          </w:p>
        </w:tc>
        <w:tc>
          <w:tcPr>
            <w:tcW w:w="2097" w:type="dxa"/>
            <w:vMerge w:val="continue"/>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c>
          <w:tcPr>
            <w:tcW w:w="841" w:type="dxa"/>
            <w:vMerge w:val="continue"/>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dxa"/>
            <w:vMerge w:val="restart"/>
            <w:shd w:val="clear" w:color="auto" w:fill="auto"/>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t>A4资源利用效率要求</w:t>
            </w:r>
          </w:p>
        </w:tc>
        <w:tc>
          <w:tcPr>
            <w:tcW w:w="1226" w:type="dxa"/>
            <w:vMerge w:val="restart"/>
            <w:shd w:val="clear" w:color="auto" w:fill="auto"/>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t>A4.1能源利用总量及效率要求</w:t>
            </w:r>
          </w:p>
        </w:tc>
        <w:tc>
          <w:tcPr>
            <w:tcW w:w="89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1.全面贯彻落实国家和自治区下达煤炭消费总量目标，严格控制耗煤行业煤炭新增量，优先保障民生供暖新增用煤需求。</w:t>
            </w:r>
          </w:p>
          <w:p>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2.新增产能必须符合国内先进能效标准。</w:t>
            </w:r>
          </w:p>
        </w:tc>
        <w:tc>
          <w:tcPr>
            <w:tcW w:w="2097" w:type="dxa"/>
            <w:vMerge w:val="restart"/>
            <w:shd w:val="clear" w:color="auto" w:fill="auto"/>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t>本项目不涉及</w:t>
            </w:r>
            <w:r>
              <w:rPr>
                <w:rFonts w:hint="eastAsia" w:cs="Times New Roman"/>
                <w:b w:val="0"/>
                <w:bCs w:val="0"/>
                <w:color w:val="000000" w:themeColor="text1"/>
                <w:kern w:val="0"/>
                <w:sz w:val="21"/>
                <w:szCs w:val="21"/>
                <w:highlight w:val="none"/>
                <w:vertAlign w:val="baseline"/>
                <w:lang w:val="en-US" w:eastAsia="zh-CN" w:bidi="ar"/>
                <w14:textFill>
                  <w14:solidFill>
                    <w14:schemeClr w14:val="tx1"/>
                  </w14:solidFill>
                </w14:textFill>
              </w:rPr>
              <w:t>左列情况。</w:t>
            </w:r>
          </w:p>
        </w:tc>
        <w:tc>
          <w:tcPr>
            <w:tcW w:w="841" w:type="dxa"/>
            <w:vMerge w:val="restart"/>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r>
              <w:rPr>
                <w:rFonts w:hint="eastAsia" w:cs="Times New Roman"/>
                <w:b w:val="0"/>
                <w:bCs w:val="0"/>
                <w:color w:val="000000" w:themeColor="text1"/>
                <w:kern w:val="0"/>
                <w:sz w:val="21"/>
                <w:szCs w:val="21"/>
                <w:highlight w:val="none"/>
                <w:vertAlign w:val="baseline"/>
                <w:lang w:val="en-US" w:eastAsia="zh-CN" w:bidi="ar"/>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dxa"/>
            <w:vMerge w:val="continue"/>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1226" w:type="dxa"/>
            <w:vMerge w:val="continue"/>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89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国家大气污染防治重点区域内新建耗煤项目应严格按规定采取煤炭消费减量替代措施，不得使用高污染燃料作为煤炭减量替代措施。</w:t>
            </w:r>
          </w:p>
        </w:tc>
        <w:tc>
          <w:tcPr>
            <w:tcW w:w="2097" w:type="dxa"/>
            <w:vMerge w:val="continue"/>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c>
          <w:tcPr>
            <w:tcW w:w="841" w:type="dxa"/>
            <w:vMerge w:val="continue"/>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7" w:type="dxa"/>
            <w:vMerge w:val="continue"/>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p>
        </w:tc>
        <w:tc>
          <w:tcPr>
            <w:tcW w:w="1226" w:type="dxa"/>
            <w:shd w:val="clear" w:color="auto" w:fill="auto"/>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
                <w14:textFill>
                  <w14:solidFill>
                    <w14:schemeClr w14:val="tx1"/>
                  </w14:solidFill>
                </w14:textFill>
              </w:rPr>
              <w:t>A4.2水资源利用总量及效率要求</w:t>
            </w:r>
          </w:p>
        </w:tc>
        <w:tc>
          <w:tcPr>
            <w:tcW w:w="891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建立水资源刚性约束制度，严格准入条件，按照地区取水总量限值审核新、改、扩建项目，取水总量不得超过地区水资源取用上限或承载能力。</w:t>
            </w:r>
          </w:p>
        </w:tc>
        <w:tc>
          <w:tcPr>
            <w:tcW w:w="2097" w:type="dxa"/>
            <w:shd w:val="clear" w:color="auto" w:fill="auto"/>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本</w:t>
            </w:r>
            <w:r>
              <w:rPr>
                <w:rFonts w:hint="default" w:ascii="Times New Roman" w:hAnsi="Times New Roman" w:eastAsia="宋体" w:cs="Times New Roman"/>
                <w:b w:val="0"/>
                <w:bCs w:val="0"/>
                <w:color w:val="auto"/>
                <w:sz w:val="21"/>
                <w:szCs w:val="21"/>
                <w:lang w:val="en-US" w:eastAsia="zh-CN"/>
              </w:rPr>
              <w:t>项目运营期间内新鲜水总用水量为</w:t>
            </w:r>
            <w:r>
              <w:rPr>
                <w:rFonts w:hint="eastAsia" w:eastAsiaTheme="minorEastAsia"/>
                <w:b w:val="0"/>
                <w:bCs w:val="0"/>
                <w:color w:val="auto"/>
                <w:sz w:val="21"/>
                <w:szCs w:val="24"/>
                <w:lang w:val="en-US" w:eastAsia="zh-CN"/>
              </w:rPr>
              <w:t>6936.6</w:t>
            </w:r>
            <w:r>
              <w:rPr>
                <w:rFonts w:hint="default" w:ascii="Times New Roman" w:hAnsi="Times New Roman" w:eastAsia="宋体" w:cs="Times New Roman"/>
                <w:b w:val="0"/>
                <w:bCs w:val="0"/>
                <w:color w:val="auto"/>
                <w:kern w:val="0"/>
                <w:sz w:val="21"/>
                <w:szCs w:val="21"/>
                <w:lang w:val="en-US" w:eastAsia="zh-CN" w:bidi="ar"/>
              </w:rPr>
              <w:t>m</w:t>
            </w:r>
            <w:r>
              <w:rPr>
                <w:rFonts w:hint="default" w:ascii="Times New Roman" w:hAnsi="Times New Roman" w:eastAsia="宋体" w:cs="Times New Roman"/>
                <w:b w:val="0"/>
                <w:bCs w:val="0"/>
                <w:color w:val="auto"/>
                <w:kern w:val="0"/>
                <w:sz w:val="21"/>
                <w:szCs w:val="21"/>
                <w:vertAlign w:val="superscript"/>
                <w:lang w:val="en-US" w:eastAsia="zh-CN" w:bidi="ar"/>
              </w:rPr>
              <w:t>3</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水量较小，</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不</w:t>
            </w:r>
            <w:r>
              <w:rPr>
                <w:rFonts w:hint="eastAsia" w:cs="Times New Roman"/>
                <w:b w:val="0"/>
                <w:bCs w:val="0"/>
                <w:color w:val="000000" w:themeColor="text1"/>
                <w:kern w:val="0"/>
                <w:sz w:val="21"/>
                <w:szCs w:val="21"/>
                <w:lang w:val="en-US" w:eastAsia="zh-CN" w:bidi="ar"/>
                <w14:textFill>
                  <w14:solidFill>
                    <w14:schemeClr w14:val="tx1"/>
                  </w14:solidFill>
                </w14:textFill>
              </w:rPr>
              <w:t>突破</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地区水资源取用上限或承载能力。</w:t>
            </w:r>
          </w:p>
        </w:tc>
        <w:tc>
          <w:tcPr>
            <w:tcW w:w="841" w:type="dxa"/>
            <w:shd w:val="clear" w:color="auto" w:fill="auto"/>
            <w:vAlign w:val="center"/>
          </w:tcPr>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vertAlign w:val="baseline"/>
                <w:lang w:val="en-US" w:eastAsia="zh-CN" w:bidi="ar"/>
                <w14:textFill>
                  <w14:solidFill>
                    <w14:schemeClr w14:val="tx1"/>
                  </w14:solidFill>
                </w14:textFill>
              </w:rPr>
              <w:t>符合</w:t>
            </w:r>
          </w:p>
        </w:tc>
      </w:tr>
    </w:tbl>
    <w:p>
      <w:pPr>
        <w:pStyle w:val="5"/>
        <w:ind w:firstLine="0"/>
        <w:rPr>
          <w:color w:val="FF0000"/>
        </w:rPr>
        <w:sectPr>
          <w:pgSz w:w="16838" w:h="11906" w:orient="landscape"/>
          <w:pgMar w:top="1587" w:right="1587" w:bottom="1587" w:left="1587" w:header="1304" w:footer="1020" w:gutter="0"/>
          <w:pgBorders>
            <w:top w:val="none" w:sz="0" w:space="0"/>
            <w:left w:val="none" w:sz="0" w:space="0"/>
            <w:bottom w:val="none" w:sz="0" w:space="0"/>
            <w:right w:val="none" w:sz="0" w:space="0"/>
          </w:pgBorders>
          <w:cols w:space="720" w:num="1"/>
          <w:docGrid w:type="lines" w:linePitch="312" w:charSpace="0"/>
        </w:sectPr>
      </w:pPr>
    </w:p>
    <w:p>
      <w:pPr>
        <w:adjustRightInd w:val="0"/>
        <w:snapToGrid w:val="0"/>
        <w:jc w:val="center"/>
        <w:outlineLvl w:val="0"/>
        <w:rPr>
          <w:rFonts w:eastAsia="黑体"/>
          <w:color w:val="000000" w:themeColor="text1"/>
          <w:sz w:val="30"/>
          <w:szCs w:val="30"/>
          <w14:textFill>
            <w14:solidFill>
              <w14:schemeClr w14:val="tx1"/>
            </w14:solidFill>
          </w14:textFill>
        </w:rPr>
      </w:pPr>
      <w:r>
        <w:rPr>
          <w:rFonts w:eastAsia="黑体"/>
          <w:color w:val="000000" w:themeColor="text1"/>
          <w:sz w:val="30"/>
          <w:szCs w:val="30"/>
          <w14:textFill>
            <w14:solidFill>
              <w14:schemeClr w14:val="tx1"/>
            </w14:solidFill>
          </w14:textFill>
        </w:rPr>
        <w:t>二、建设项目工程分析</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13" w:type="dxa"/>
          <w:left w:w="108" w:type="dxa"/>
          <w:bottom w:w="113" w:type="dxa"/>
          <w:right w:w="108" w:type="dxa"/>
        </w:tblCellMar>
      </w:tblPr>
      <w:tblGrid>
        <w:gridCol w:w="583"/>
        <w:gridCol w:w="83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13" w:type="dxa"/>
            <w:left w:w="108" w:type="dxa"/>
            <w:bottom w:w="113" w:type="dxa"/>
            <w:right w:w="108" w:type="dxa"/>
          </w:tblCellMar>
        </w:tblPrEx>
        <w:trPr>
          <w:trHeight w:val="12759" w:hRule="atLeast"/>
          <w:jc w:val="center"/>
        </w:trPr>
        <w:tc>
          <w:tcPr>
            <w:tcW w:w="583" w:type="dxa"/>
            <w:vAlign w:val="center"/>
          </w:tcPr>
          <w:p>
            <w:pPr>
              <w:pStyle w:val="7"/>
              <w:adjustRightInd w:val="0"/>
              <w:snapToGrid w:val="0"/>
              <w:ind w:left="0" w:leftChars="0"/>
              <w:jc w:val="center"/>
              <w:rPr>
                <w:color w:val="FF0000"/>
              </w:rPr>
            </w:pPr>
            <w:r>
              <w:rPr>
                <w:b/>
                <w:bCs/>
                <w:color w:val="000000" w:themeColor="text1"/>
                <w14:textFill>
                  <w14:solidFill>
                    <w14:schemeClr w14:val="tx1"/>
                  </w14:solidFill>
                </w14:textFill>
              </w:rPr>
              <w:t>建设内容</w:t>
            </w:r>
          </w:p>
        </w:tc>
        <w:tc>
          <w:tcPr>
            <w:tcW w:w="8365" w:type="dxa"/>
          </w:tcPr>
          <w:p>
            <w:pPr>
              <w:numPr>
                <w:ilvl w:val="0"/>
                <w:numId w:val="4"/>
              </w:numPr>
              <w:adjustRightInd w:val="0"/>
              <w:snapToGrid w:val="0"/>
              <w:spacing w:line="360" w:lineRule="auto"/>
              <w:ind w:firstLine="481" w:firstLineChars="200"/>
              <w:rPr>
                <w:b/>
                <w:bCs/>
                <w:color w:val="auto"/>
                <w:sz w:val="24"/>
              </w:rPr>
            </w:pPr>
            <w:r>
              <w:rPr>
                <w:rFonts w:hint="eastAsia"/>
                <w:b/>
                <w:bCs/>
                <w:color w:val="auto"/>
                <w:sz w:val="24"/>
              </w:rPr>
              <w:t>项目</w:t>
            </w:r>
            <w:r>
              <w:rPr>
                <w:b/>
                <w:bCs/>
                <w:color w:val="auto"/>
                <w:sz w:val="24"/>
              </w:rPr>
              <w:t>背景</w:t>
            </w:r>
          </w:p>
          <w:p>
            <w:pPr>
              <w:pStyle w:val="9"/>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bCs/>
                <w:snapToGrid w:val="0"/>
                <w:color w:val="auto"/>
                <w:kern w:val="0"/>
                <w:sz w:val="24"/>
              </w:rPr>
            </w:pPr>
            <w:r>
              <w:rPr>
                <w:rFonts w:hint="eastAsia"/>
                <w:bCs/>
                <w:snapToGrid w:val="0"/>
                <w:color w:val="auto"/>
                <w:kern w:val="0"/>
                <w:sz w:val="24"/>
              </w:rPr>
              <w:t>黄河宁夏段河道治理工程是保障黄河“安澜、健康、美丽”的战略性工程，该工程中卫段第一批建设项目划分为6个标段，</w:t>
            </w:r>
            <w:r>
              <w:rPr>
                <w:rFonts w:hint="eastAsia"/>
                <w:bCs/>
                <w:snapToGrid w:val="0"/>
                <w:color w:val="auto"/>
                <w:kern w:val="0"/>
                <w:sz w:val="24"/>
                <w:lang w:val="en-US" w:eastAsia="zh-CN"/>
              </w:rPr>
              <w:t>第一标段承担</w:t>
            </w:r>
            <w:r>
              <w:rPr>
                <w:rFonts w:hint="eastAsia"/>
                <w:bCs/>
                <w:snapToGrid w:val="0"/>
                <w:color w:val="auto"/>
                <w:kern w:val="0"/>
                <w:sz w:val="24"/>
              </w:rPr>
              <w:t>冯庄控导工程、跃进渠口护堤及护岸工程砼四体脚预制，砼约3.9436万m</w:t>
            </w:r>
            <w:r>
              <w:rPr>
                <w:rFonts w:hint="eastAsia"/>
                <w:bCs/>
                <w:snapToGrid w:val="0"/>
                <w:color w:val="auto"/>
                <w:kern w:val="0"/>
                <w:sz w:val="24"/>
                <w:vertAlign w:val="superscript"/>
              </w:rPr>
              <w:t>3</w:t>
            </w:r>
            <w:r>
              <w:rPr>
                <w:rFonts w:hint="eastAsia"/>
                <w:bCs/>
                <w:snapToGrid w:val="0"/>
                <w:color w:val="auto"/>
                <w:kern w:val="0"/>
                <w:sz w:val="24"/>
                <w:vertAlign w:val="baseline"/>
                <w:lang w:eastAsia="zh-CN"/>
              </w:rPr>
              <w:t>，</w:t>
            </w:r>
            <w:r>
              <w:rPr>
                <w:rFonts w:hint="eastAsia" w:ascii="Times New Roman" w:hAnsi="Times New Roman" w:eastAsia="宋体" w:cs="Times New Roman"/>
                <w:bCs/>
                <w:snapToGrid w:val="0"/>
                <w:color w:val="auto"/>
                <w:kern w:val="0"/>
                <w:sz w:val="24"/>
                <w:lang w:val="en-US" w:eastAsia="zh-CN"/>
              </w:rPr>
              <w:t>黄河宁夏段河道治理工程(中卫段)—</w:t>
            </w:r>
            <w:r>
              <w:rPr>
                <w:rFonts w:hint="eastAsia"/>
                <w:bCs/>
                <w:snapToGrid w:val="0"/>
                <w:color w:val="auto"/>
                <w:kern w:val="0"/>
                <w:sz w:val="24"/>
              </w:rPr>
              <w:t>中宁县鑫力砼业制品有限公司临时拌合站项目（以下简称“本项目”）为</w:t>
            </w:r>
            <w:r>
              <w:rPr>
                <w:rFonts w:hint="eastAsia"/>
                <w:bCs/>
                <w:snapToGrid w:val="0"/>
                <w:color w:val="auto"/>
                <w:kern w:val="0"/>
                <w:sz w:val="24"/>
                <w:lang w:val="en-US" w:eastAsia="zh-CN"/>
              </w:rPr>
              <w:t>第</w:t>
            </w:r>
            <w:r>
              <w:rPr>
                <w:rFonts w:hint="eastAsia"/>
                <w:bCs/>
                <w:snapToGrid w:val="0"/>
                <w:color w:val="auto"/>
                <w:kern w:val="0"/>
                <w:sz w:val="24"/>
              </w:rPr>
              <w:t>一标段</w:t>
            </w:r>
            <w:r>
              <w:rPr>
                <w:rFonts w:hint="eastAsia"/>
                <w:bCs/>
                <w:snapToGrid w:val="0"/>
                <w:color w:val="auto"/>
                <w:kern w:val="0"/>
                <w:sz w:val="24"/>
                <w:lang w:val="en-US" w:eastAsia="zh-CN"/>
              </w:rPr>
              <w:t>的自用辅助工程</w:t>
            </w:r>
            <w:r>
              <w:rPr>
                <w:rFonts w:hint="eastAsia"/>
                <w:bCs/>
                <w:snapToGrid w:val="0"/>
                <w:color w:val="auto"/>
                <w:kern w:val="0"/>
                <w:sz w:val="24"/>
              </w:rPr>
              <w:t>。</w:t>
            </w:r>
          </w:p>
          <w:p>
            <w:pPr>
              <w:pStyle w:val="9"/>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eastAsia"/>
                <w:bCs/>
                <w:snapToGrid w:val="0"/>
                <w:color w:val="auto"/>
                <w:kern w:val="0"/>
                <w:sz w:val="24"/>
              </w:rPr>
            </w:pPr>
            <w:r>
              <w:rPr>
                <w:rFonts w:hint="eastAsia"/>
                <w:bCs/>
                <w:snapToGrid w:val="0"/>
                <w:color w:val="auto"/>
                <w:kern w:val="0"/>
                <w:sz w:val="24"/>
                <w:lang w:val="en-US" w:eastAsia="zh-CN"/>
              </w:rPr>
              <w:t>建设单位成功中标黄河宁夏段河道治理工程(中卫段)2024年第一批建设项目一标段（砼四脚体预制1）项目（以下简称“治理工程一标段”），为保障施工进度，</w:t>
            </w:r>
            <w:r>
              <w:rPr>
                <w:rFonts w:hint="eastAsia"/>
                <w:bCs/>
                <w:snapToGrid w:val="0"/>
                <w:color w:val="auto"/>
                <w:kern w:val="0"/>
                <w:sz w:val="24"/>
              </w:rPr>
              <w:t>中宁县鑫力砼业制品有限公司</w:t>
            </w:r>
            <w:r>
              <w:rPr>
                <w:rFonts w:hint="eastAsia"/>
                <w:bCs/>
                <w:snapToGrid w:val="0"/>
                <w:color w:val="auto"/>
                <w:kern w:val="0"/>
                <w:sz w:val="24"/>
                <w:lang w:val="en-US" w:eastAsia="zh-CN"/>
              </w:rPr>
              <w:t>租用沙坡头区东园镇新北山区土地作临时用地，建设型号为HZS60拌合站生产混凝土，运营周期内预计生产3.9464</w:t>
            </w:r>
            <w:r>
              <w:rPr>
                <w:rFonts w:hint="eastAsia"/>
                <w:bCs/>
                <w:snapToGrid w:val="0"/>
                <w:color w:val="auto"/>
                <w:kern w:val="0"/>
                <w:sz w:val="24"/>
              </w:rPr>
              <w:t>万m</w:t>
            </w:r>
            <w:r>
              <w:rPr>
                <w:rFonts w:hint="eastAsia"/>
                <w:bCs/>
                <w:snapToGrid w:val="0"/>
                <w:color w:val="auto"/>
                <w:kern w:val="0"/>
                <w:sz w:val="24"/>
                <w:vertAlign w:val="superscript"/>
              </w:rPr>
              <w:t>3</w:t>
            </w:r>
            <w:r>
              <w:rPr>
                <w:rFonts w:hint="eastAsia"/>
                <w:bCs/>
                <w:snapToGrid w:val="0"/>
                <w:color w:val="auto"/>
                <w:kern w:val="0"/>
                <w:sz w:val="24"/>
                <w:lang w:val="en-US" w:eastAsia="zh-CN"/>
              </w:rPr>
              <w:t>预制混凝土，配套满足“治理工程一标段”混凝土使用需求。</w:t>
            </w:r>
            <w:r>
              <w:rPr>
                <w:rFonts w:hint="eastAsia"/>
                <w:bCs/>
                <w:snapToGrid w:val="0"/>
                <w:color w:val="auto"/>
                <w:kern w:val="0"/>
                <w:sz w:val="24"/>
              </w:rPr>
              <w:t>本项目作为临时工程，生产方案随</w:t>
            </w:r>
            <w:r>
              <w:rPr>
                <w:rFonts w:hint="eastAsia"/>
                <w:bCs/>
                <w:snapToGrid w:val="0"/>
                <w:color w:val="auto"/>
                <w:kern w:val="0"/>
                <w:sz w:val="24"/>
                <w:lang w:val="en-US" w:eastAsia="zh-CN"/>
              </w:rPr>
              <w:t>“治理工程一标段”</w:t>
            </w:r>
            <w:r>
              <w:rPr>
                <w:rFonts w:hint="eastAsia"/>
                <w:bCs/>
                <w:snapToGrid w:val="0"/>
                <w:color w:val="auto"/>
                <w:kern w:val="0"/>
                <w:sz w:val="24"/>
              </w:rPr>
              <w:t>建设进度而调整，营运时间3个月，</w:t>
            </w:r>
            <w:r>
              <w:rPr>
                <w:rFonts w:hint="eastAsia"/>
                <w:bCs/>
                <w:snapToGrid w:val="0"/>
                <w:color w:val="auto"/>
                <w:kern w:val="0"/>
                <w:sz w:val="24"/>
                <w:lang w:val="en-US" w:eastAsia="zh-CN"/>
              </w:rPr>
              <w:t>服役结束后</w:t>
            </w:r>
            <w:r>
              <w:rPr>
                <w:rFonts w:hint="eastAsia"/>
                <w:bCs/>
                <w:snapToGrid w:val="0"/>
                <w:color w:val="auto"/>
                <w:kern w:val="0"/>
                <w:sz w:val="24"/>
              </w:rPr>
              <w:t>将对占用土地</w:t>
            </w:r>
            <w:r>
              <w:rPr>
                <w:rFonts w:hint="eastAsia"/>
                <w:bCs/>
                <w:snapToGrid w:val="0"/>
                <w:color w:val="auto"/>
                <w:kern w:val="0"/>
                <w:sz w:val="24"/>
                <w:lang w:val="en-US" w:eastAsia="zh-CN"/>
              </w:rPr>
              <w:t>进行生态恢复</w:t>
            </w:r>
            <w:r>
              <w:rPr>
                <w:rFonts w:hint="eastAsia"/>
                <w:bCs/>
                <w:snapToGrid w:val="0"/>
                <w:color w:val="auto"/>
                <w:kern w:val="0"/>
                <w:sz w:val="24"/>
              </w:rPr>
              <w:t>。由于</w:t>
            </w:r>
            <w:r>
              <w:rPr>
                <w:rFonts w:hint="eastAsia"/>
                <w:bCs/>
                <w:snapToGrid w:val="0"/>
                <w:color w:val="auto"/>
                <w:kern w:val="0"/>
                <w:sz w:val="24"/>
                <w:lang w:val="en-US" w:eastAsia="zh-CN"/>
              </w:rPr>
              <w:t>“治理工程一标段”</w:t>
            </w:r>
            <w:r>
              <w:rPr>
                <w:rFonts w:hint="eastAsia"/>
                <w:bCs/>
                <w:snapToGrid w:val="0"/>
                <w:color w:val="auto"/>
                <w:kern w:val="0"/>
                <w:sz w:val="24"/>
              </w:rPr>
              <w:t>项目环评期间未针对临时拌合站内容进行评价，因此本项目单独履行环评手续。</w:t>
            </w:r>
          </w:p>
          <w:p>
            <w:pPr>
              <w:keepNext w:val="0"/>
              <w:keepLines w:val="0"/>
              <w:pageBreakBefore w:val="0"/>
              <w:widowControl/>
              <w:kinsoku/>
              <w:wordWrap/>
              <w:overflowPunct/>
              <w:topLinePunct w:val="0"/>
              <w:autoSpaceDE/>
              <w:autoSpaceDN/>
              <w:bidi w:val="0"/>
              <w:spacing w:line="360" w:lineRule="auto"/>
              <w:ind w:firstLine="481" w:firstLineChars="200"/>
              <w:jc w:val="both"/>
              <w:textAlignment w:val="auto"/>
              <w:rPr>
                <w:rFonts w:hint="eastAsia" w:ascii="Times New Roman" w:hAnsi="Times New Roman" w:eastAsia="宋体" w:cs="Times New Roman"/>
                <w:b/>
                <w:bCs w:val="0"/>
                <w:snapToGrid w:val="0"/>
                <w:color w:val="auto"/>
                <w:kern w:val="0"/>
                <w:sz w:val="24"/>
              </w:rPr>
            </w:pPr>
            <w:r>
              <w:rPr>
                <w:rFonts w:hint="eastAsia" w:ascii="Times New Roman" w:hAnsi="Times New Roman" w:eastAsia="宋体" w:cs="Times New Roman"/>
                <w:b/>
                <w:bCs w:val="0"/>
                <w:snapToGrid w:val="0"/>
                <w:color w:val="auto"/>
                <w:kern w:val="0"/>
                <w:sz w:val="24"/>
                <w:lang w:val="en-US" w:eastAsia="zh-CN"/>
              </w:rPr>
              <w:t>2、项目概况</w:t>
            </w:r>
          </w:p>
          <w:p>
            <w:pPr>
              <w:keepNext w:val="0"/>
              <w:keepLines w:val="0"/>
              <w:pageBreakBefore w:val="0"/>
              <w:widowControl/>
              <w:kinsoku/>
              <w:wordWrap/>
              <w:overflowPunct/>
              <w:topLinePunct w:val="0"/>
              <w:autoSpaceDE/>
              <w:autoSpaceDN/>
              <w:bidi w:val="0"/>
              <w:spacing w:line="360" w:lineRule="auto"/>
              <w:ind w:firstLine="480" w:firstLineChars="200"/>
              <w:jc w:val="both"/>
              <w:textAlignment w:val="auto"/>
              <w:rPr>
                <w:rFonts w:hint="eastAsia" w:ascii="Times New Roman" w:hAnsi="Times New Roman" w:eastAsia="宋体" w:cs="Times New Roman"/>
                <w:bCs/>
                <w:snapToGrid w:val="0"/>
                <w:color w:val="auto"/>
                <w:kern w:val="0"/>
                <w:sz w:val="24"/>
                <w:lang w:val="en-US" w:eastAsia="zh-CN"/>
              </w:rPr>
            </w:pPr>
            <w:r>
              <w:rPr>
                <w:rFonts w:hint="eastAsia" w:ascii="Times New Roman" w:hAnsi="Times New Roman" w:eastAsia="宋体" w:cs="Times New Roman"/>
                <w:bCs/>
                <w:snapToGrid w:val="0"/>
                <w:color w:val="auto"/>
                <w:kern w:val="0"/>
                <w:sz w:val="24"/>
                <w:lang w:val="en-US" w:eastAsia="zh-CN"/>
              </w:rPr>
              <w:t>项目名称：黄河宁夏段河道治理工程(中卫段)—</w:t>
            </w:r>
            <w:r>
              <w:rPr>
                <w:rFonts w:hint="eastAsia"/>
                <w:bCs/>
                <w:snapToGrid w:val="0"/>
                <w:color w:val="auto"/>
                <w:kern w:val="0"/>
                <w:sz w:val="24"/>
              </w:rPr>
              <w:t>中宁县鑫力砼业制品有限公司临时拌合站项目</w:t>
            </w:r>
            <w:r>
              <w:rPr>
                <w:rFonts w:hint="eastAsia" w:ascii="Times New Roman" w:hAnsi="Times New Roman" w:eastAsia="宋体" w:cs="Times New Roman"/>
                <w:bCs/>
                <w:snapToGrid w:val="0"/>
                <w:color w:val="auto"/>
                <w:kern w:val="0"/>
                <w:sz w:val="24"/>
                <w:lang w:val="en-US" w:eastAsia="zh-CN"/>
              </w:rPr>
              <w:t>；</w:t>
            </w:r>
          </w:p>
          <w:p>
            <w:pPr>
              <w:pStyle w:val="5"/>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Times New Roman" w:hAnsi="Times New Roman" w:eastAsia="宋体" w:cs="Times New Roman"/>
                <w:bCs/>
                <w:snapToGrid w:val="0"/>
                <w:color w:val="auto"/>
                <w:kern w:val="0"/>
                <w:sz w:val="24"/>
                <w:lang w:val="en-US" w:eastAsia="zh-CN"/>
              </w:rPr>
            </w:pPr>
            <w:r>
              <w:rPr>
                <w:rFonts w:hint="eastAsia" w:ascii="Times New Roman" w:hAnsi="Times New Roman" w:eastAsia="宋体" w:cs="Times New Roman"/>
                <w:bCs/>
                <w:snapToGrid w:val="0"/>
                <w:color w:val="auto"/>
                <w:kern w:val="0"/>
                <w:sz w:val="24"/>
                <w:lang w:val="en-US" w:eastAsia="zh-CN"/>
              </w:rPr>
              <w:t>建设性质：新建；</w:t>
            </w:r>
          </w:p>
          <w:p>
            <w:pPr>
              <w:keepNext w:val="0"/>
              <w:keepLines w:val="0"/>
              <w:pageBreakBefore w:val="0"/>
              <w:widowControl/>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bCs/>
                <w:snapToGrid w:val="0"/>
                <w:color w:val="auto"/>
                <w:kern w:val="0"/>
                <w:sz w:val="24"/>
                <w:lang w:val="en-US" w:eastAsia="zh-CN"/>
              </w:rPr>
            </w:pPr>
            <w:r>
              <w:rPr>
                <w:rFonts w:hint="eastAsia" w:ascii="Times New Roman" w:hAnsi="Times New Roman" w:eastAsia="宋体" w:cs="Times New Roman"/>
                <w:bCs/>
                <w:snapToGrid w:val="0"/>
                <w:color w:val="auto"/>
                <w:kern w:val="0"/>
                <w:sz w:val="24"/>
                <w:lang w:val="en-US" w:eastAsia="zh-CN"/>
              </w:rPr>
              <w:t>建设单位：中宁县鑫力砼业制品有限公司；</w:t>
            </w:r>
          </w:p>
          <w:p>
            <w:pPr>
              <w:keepNext w:val="0"/>
              <w:keepLines w:val="0"/>
              <w:pageBreakBefore w:val="0"/>
              <w:widowControl/>
              <w:kinsoku/>
              <w:wordWrap/>
              <w:overflowPunct/>
              <w:topLinePunct w:val="0"/>
              <w:autoSpaceDE/>
              <w:autoSpaceDN/>
              <w:bidi w:val="0"/>
              <w:spacing w:line="360" w:lineRule="auto"/>
              <w:ind w:firstLine="480" w:firstLineChars="200"/>
              <w:jc w:val="both"/>
              <w:textAlignment w:val="auto"/>
              <w:rPr>
                <w:rFonts w:hint="eastAsia" w:ascii="Times New Roman" w:hAnsi="Times New Roman" w:eastAsia="宋体" w:cs="Times New Roman"/>
                <w:bCs/>
                <w:snapToGrid w:val="0"/>
                <w:color w:val="auto"/>
                <w:kern w:val="0"/>
                <w:sz w:val="24"/>
                <w:lang w:val="en-US" w:eastAsia="zh-CN"/>
              </w:rPr>
            </w:pPr>
            <w:r>
              <w:rPr>
                <w:rFonts w:hint="eastAsia" w:ascii="Times New Roman" w:hAnsi="Times New Roman" w:eastAsia="宋体" w:cs="Times New Roman"/>
                <w:bCs/>
                <w:snapToGrid w:val="0"/>
                <w:color w:val="auto"/>
                <w:kern w:val="0"/>
                <w:sz w:val="24"/>
                <w:lang w:val="en-US" w:eastAsia="zh-CN"/>
              </w:rPr>
              <w:t>行业类别：二十七、非金属矿物制品业30（55</w:t>
            </w:r>
            <w:r>
              <w:rPr>
                <w:rFonts w:hint="eastAsia" w:cs="Times New Roman"/>
                <w:bCs/>
                <w:snapToGrid w:val="0"/>
                <w:color w:val="auto"/>
                <w:kern w:val="0"/>
                <w:sz w:val="24"/>
                <w:lang w:val="en-US" w:eastAsia="zh-CN"/>
              </w:rPr>
              <w:t>.</w:t>
            </w:r>
            <w:r>
              <w:rPr>
                <w:rFonts w:hint="eastAsia" w:ascii="Times New Roman" w:hAnsi="Times New Roman" w:eastAsia="宋体" w:cs="Times New Roman"/>
                <w:bCs/>
                <w:snapToGrid w:val="0"/>
                <w:color w:val="auto"/>
                <w:kern w:val="0"/>
                <w:sz w:val="24"/>
                <w:lang w:val="en-US" w:eastAsia="zh-CN"/>
              </w:rPr>
              <w:t>石膏、水泥制品及类似制品制造302）；</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snapToGrid w:val="0"/>
                <w:color w:val="auto"/>
                <w:kern w:val="0"/>
                <w:sz w:val="24"/>
                <w:lang w:val="en-US" w:eastAsia="zh-CN"/>
              </w:rPr>
            </w:pPr>
            <w:r>
              <w:rPr>
                <w:rFonts w:hint="eastAsia" w:ascii="Times New Roman" w:hAnsi="Times New Roman" w:eastAsia="宋体" w:cs="Times New Roman"/>
                <w:bCs/>
                <w:snapToGrid w:val="0"/>
                <w:color w:val="auto"/>
                <w:kern w:val="0"/>
                <w:sz w:val="24"/>
                <w:lang w:val="en-US" w:eastAsia="zh-CN"/>
              </w:rPr>
              <w:t>劳动定员及运行制度：项目劳动定员15人，每日工作</w:t>
            </w:r>
            <w:r>
              <w:rPr>
                <w:rFonts w:hint="eastAsia" w:cs="Times New Roman"/>
                <w:bCs/>
                <w:snapToGrid w:val="0"/>
                <w:color w:val="auto"/>
                <w:kern w:val="0"/>
                <w:sz w:val="24"/>
                <w:lang w:val="en-US" w:eastAsia="zh-CN"/>
              </w:rPr>
              <w:t>9</w:t>
            </w:r>
            <w:r>
              <w:rPr>
                <w:rFonts w:hint="eastAsia" w:ascii="Times New Roman" w:hAnsi="Times New Roman" w:eastAsia="宋体" w:cs="Times New Roman"/>
                <w:bCs/>
                <w:snapToGrid w:val="0"/>
                <w:color w:val="auto"/>
                <w:kern w:val="0"/>
                <w:sz w:val="24"/>
                <w:lang w:val="en-US" w:eastAsia="zh-CN"/>
              </w:rPr>
              <w:t>小时，运营周期为3个月，根据</w:t>
            </w:r>
            <w:r>
              <w:rPr>
                <w:rFonts w:hint="eastAsia"/>
                <w:bCs/>
                <w:snapToGrid w:val="0"/>
                <w:color w:val="auto"/>
                <w:kern w:val="0"/>
                <w:sz w:val="24"/>
                <w:lang w:val="en-US" w:eastAsia="zh-CN"/>
              </w:rPr>
              <w:t>“治理工程一标段”</w:t>
            </w:r>
            <w:r>
              <w:rPr>
                <w:rFonts w:hint="eastAsia" w:ascii="Times New Roman" w:hAnsi="Times New Roman" w:eastAsia="宋体" w:cs="Times New Roman"/>
                <w:bCs/>
                <w:snapToGrid w:val="0"/>
                <w:color w:val="auto"/>
                <w:kern w:val="0"/>
                <w:sz w:val="24"/>
                <w:lang w:val="en-US" w:eastAsia="zh-CN"/>
              </w:rPr>
              <w:t>工程建设进度，工作天数及时长随之调整；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snapToGrid w:val="0"/>
                <w:color w:val="auto"/>
                <w:kern w:val="0"/>
                <w:sz w:val="24"/>
                <w:lang w:val="en-US" w:eastAsia="zh-CN"/>
              </w:rPr>
            </w:pPr>
            <w:r>
              <w:rPr>
                <w:rFonts w:hint="eastAsia" w:ascii="Times New Roman" w:hAnsi="Times New Roman" w:eastAsia="宋体" w:cs="Times New Roman"/>
                <w:bCs/>
                <w:snapToGrid w:val="0"/>
                <w:color w:val="auto"/>
                <w:kern w:val="0"/>
                <w:sz w:val="24"/>
                <w:lang w:val="en-US" w:eastAsia="zh-CN"/>
              </w:rPr>
              <w:t>建设项目投资情况：总投资62.5万元，其中环保投资</w:t>
            </w:r>
            <w:r>
              <w:rPr>
                <w:rFonts w:hint="eastAsia" w:cs="Times New Roman"/>
                <w:bCs/>
                <w:snapToGrid w:val="0"/>
                <w:color w:val="auto"/>
                <w:kern w:val="0"/>
                <w:sz w:val="24"/>
                <w:lang w:val="en-US" w:eastAsia="zh-CN"/>
              </w:rPr>
              <w:t>14.4</w:t>
            </w:r>
            <w:r>
              <w:rPr>
                <w:rFonts w:hint="eastAsia" w:ascii="Times New Roman" w:hAnsi="Times New Roman" w:eastAsia="宋体" w:cs="Times New Roman"/>
                <w:bCs/>
                <w:snapToGrid w:val="0"/>
                <w:color w:val="auto"/>
                <w:kern w:val="0"/>
                <w:sz w:val="24"/>
                <w:lang w:val="en-US" w:eastAsia="zh-CN"/>
              </w:rPr>
              <w:t>万元，占总投资的</w:t>
            </w:r>
            <w:r>
              <w:rPr>
                <w:rFonts w:hint="eastAsia" w:cs="Times New Roman"/>
                <w:bCs/>
                <w:snapToGrid w:val="0"/>
                <w:color w:val="auto"/>
                <w:kern w:val="0"/>
                <w:sz w:val="24"/>
                <w:lang w:val="en-US" w:eastAsia="zh-CN"/>
              </w:rPr>
              <w:t>23.04</w:t>
            </w:r>
            <w:r>
              <w:rPr>
                <w:rFonts w:hint="eastAsia" w:ascii="Times New Roman" w:hAnsi="Times New Roman" w:eastAsia="宋体" w:cs="Times New Roman"/>
                <w:bCs/>
                <w:snapToGrid w:val="0"/>
                <w:color w:val="auto"/>
                <w:kern w:val="0"/>
                <w:sz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snapToGrid w:val="0"/>
                <w:color w:val="auto"/>
                <w:kern w:val="0"/>
                <w:sz w:val="24"/>
                <w:lang w:val="en-US" w:eastAsia="zh-CN"/>
              </w:rPr>
            </w:pPr>
            <w:r>
              <w:rPr>
                <w:rFonts w:hint="eastAsia" w:ascii="Times New Roman" w:hAnsi="Times New Roman" w:eastAsia="宋体" w:cs="Times New Roman"/>
                <w:bCs/>
                <w:snapToGrid w:val="0"/>
                <w:color w:val="auto"/>
                <w:kern w:val="0"/>
                <w:sz w:val="24"/>
                <w:lang w:val="en-US" w:eastAsia="zh-CN"/>
              </w:rPr>
              <w:t>建设地点：本项目位于宁夏回族自治区中卫市沙坡头区东园镇，中心地理坐标：</w:t>
            </w:r>
            <w:r>
              <w:rPr>
                <w:rFonts w:hint="default" w:ascii="Times New Roman" w:hAnsi="Times New Roman" w:eastAsia="宋体" w:cs="Times New Roman"/>
                <w:color w:val="auto"/>
                <w:sz w:val="24"/>
                <w:szCs w:val="24"/>
                <w:lang w:val="en-US" w:eastAsia="zh-CN"/>
              </w:rPr>
              <w:t>E105°16′48.779″，N37°35′8.277″</w:t>
            </w:r>
            <w:r>
              <w:rPr>
                <w:rFonts w:hint="eastAsia" w:ascii="Times New Roman" w:hAnsi="Times New Roman" w:eastAsia="宋体" w:cs="Times New Roman"/>
                <w:bCs/>
                <w:snapToGrid w:val="0"/>
                <w:color w:val="auto"/>
                <w:kern w:val="0"/>
                <w:sz w:val="24"/>
                <w:lang w:val="en-US" w:eastAsia="zh-CN"/>
              </w:rPr>
              <w:t>。项目所在地理位置见</w:t>
            </w:r>
            <w:r>
              <w:rPr>
                <w:rFonts w:hint="eastAsia" w:ascii="Times New Roman" w:hAnsi="Times New Roman" w:eastAsia="宋体" w:cs="Times New Roman"/>
                <w:b/>
                <w:bCs w:val="0"/>
                <w:snapToGrid w:val="0"/>
                <w:color w:val="auto"/>
                <w:kern w:val="0"/>
                <w:sz w:val="24"/>
                <w:lang w:val="en-US" w:eastAsia="zh-CN"/>
              </w:rPr>
              <w:t>附图7</w:t>
            </w:r>
            <w:r>
              <w:rPr>
                <w:rFonts w:hint="eastAsia" w:ascii="Times New Roman" w:hAnsi="Times New Roman" w:eastAsia="宋体" w:cs="Times New Roman"/>
                <w:bCs/>
                <w:snapToGrid w:val="0"/>
                <w:color w:val="auto"/>
                <w:kern w:val="0"/>
                <w:sz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481" w:firstLineChars="200"/>
              <w:jc w:val="both"/>
              <w:textAlignment w:val="auto"/>
              <w:rPr>
                <w:color w:val="auto"/>
              </w:rPr>
            </w:pPr>
            <w:r>
              <w:rPr>
                <w:rFonts w:hint="eastAsia"/>
                <w:b/>
                <w:bCs/>
                <w:color w:val="auto"/>
                <w:sz w:val="24"/>
                <w:lang w:val="en-US" w:eastAsia="zh-CN"/>
              </w:rPr>
              <w:t>3、</w:t>
            </w:r>
            <w:r>
              <w:rPr>
                <w:b/>
                <w:bCs/>
                <w:color w:val="auto"/>
                <w:sz w:val="24"/>
              </w:rPr>
              <w:t>建设内容</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color w:val="000000" w:themeColor="text1"/>
                <w14:textFill>
                  <w14:solidFill>
                    <w14:schemeClr w14:val="tx1"/>
                  </w14:solidFill>
                </w14:textFill>
              </w:rPr>
            </w:pPr>
            <w:r>
              <w:rPr>
                <w:color w:val="auto"/>
                <w:sz w:val="24"/>
              </w:rPr>
              <w:t>本项目建设</w:t>
            </w:r>
            <w:r>
              <w:rPr>
                <w:rFonts w:hint="eastAsia"/>
                <w:color w:val="auto"/>
                <w:sz w:val="24"/>
                <w:lang w:val="en-US" w:eastAsia="zh-CN"/>
              </w:rPr>
              <w:t>型号为HZS60的临时混凝土拌合站，共设置2条临时混凝土生产线，运营周期内</w:t>
            </w:r>
            <w:r>
              <w:rPr>
                <w:rFonts w:eastAsiaTheme="minorEastAsia"/>
                <w:snapToGrid w:val="0"/>
                <w:color w:val="auto"/>
                <w:sz w:val="24"/>
                <w:szCs w:val="32"/>
              </w:rPr>
              <w:t>生产</w:t>
            </w:r>
            <w:r>
              <w:rPr>
                <w:rFonts w:hint="eastAsia" w:eastAsiaTheme="minorEastAsia"/>
                <w:snapToGrid w:val="0"/>
                <w:color w:val="auto"/>
                <w:sz w:val="24"/>
                <w:szCs w:val="32"/>
                <w:lang w:val="en-US" w:eastAsia="zh-CN"/>
              </w:rPr>
              <w:t>混凝土3.9436</w:t>
            </w:r>
            <w:r>
              <w:rPr>
                <w:rFonts w:eastAsiaTheme="minorEastAsia"/>
                <w:snapToGrid w:val="0"/>
                <w:color w:val="auto"/>
                <w:sz w:val="24"/>
                <w:szCs w:val="32"/>
              </w:rPr>
              <w:t>万m</w:t>
            </w:r>
            <w:r>
              <w:rPr>
                <w:rFonts w:eastAsiaTheme="minorEastAsia"/>
                <w:snapToGrid w:val="0"/>
                <w:color w:val="auto"/>
                <w:sz w:val="24"/>
                <w:szCs w:val="32"/>
                <w:vertAlign w:val="superscript"/>
              </w:rPr>
              <w:t>3</w:t>
            </w:r>
            <w:r>
              <w:rPr>
                <w:rFonts w:hint="eastAsia" w:eastAsiaTheme="minorEastAsia"/>
                <w:snapToGrid w:val="0"/>
                <w:color w:val="auto"/>
                <w:sz w:val="24"/>
                <w:szCs w:val="32"/>
                <w:vertAlign w:val="baseline"/>
                <w:lang w:eastAsia="zh-CN"/>
              </w:rPr>
              <w:t>，</w:t>
            </w:r>
            <w:r>
              <w:rPr>
                <w:color w:val="auto"/>
                <w:sz w:val="24"/>
                <w:highlight w:val="none"/>
              </w:rPr>
              <w:t>为</w:t>
            </w:r>
            <w:r>
              <w:rPr>
                <w:rFonts w:hint="eastAsia"/>
                <w:bCs/>
                <w:snapToGrid w:val="0"/>
                <w:color w:val="auto"/>
                <w:kern w:val="0"/>
                <w:sz w:val="24"/>
                <w:lang w:val="en-US" w:eastAsia="zh-CN"/>
              </w:rPr>
              <w:t>“治理工程一标段”</w:t>
            </w:r>
            <w:r>
              <w:rPr>
                <w:rFonts w:hint="eastAsia" w:ascii="Times New Roman" w:hAnsi="Times New Roman" w:eastAsia="宋体" w:cs="Times New Roman"/>
                <w:bCs/>
                <w:snapToGrid w:val="0"/>
                <w:color w:val="auto"/>
                <w:kern w:val="0"/>
                <w:sz w:val="24"/>
                <w:lang w:val="en-US" w:eastAsia="zh-CN"/>
              </w:rPr>
              <w:t>工程</w:t>
            </w:r>
            <w:r>
              <w:rPr>
                <w:color w:val="auto"/>
                <w:sz w:val="24"/>
              </w:rPr>
              <w:t>提供施工材料</w:t>
            </w:r>
            <w:r>
              <w:rPr>
                <w:rFonts w:hint="eastAsia"/>
                <w:color w:val="auto"/>
                <w:sz w:val="24"/>
              </w:rPr>
              <w:t>。项目临时总占地面积为</w:t>
            </w:r>
            <w:r>
              <w:rPr>
                <w:rFonts w:hint="eastAsia"/>
                <w:color w:val="auto"/>
                <w:sz w:val="24"/>
                <w:lang w:val="en-US" w:eastAsia="zh-CN"/>
              </w:rPr>
              <w:t>88992.22</w:t>
            </w:r>
            <w:r>
              <w:rPr>
                <w:rFonts w:hint="eastAsia"/>
                <w:color w:val="auto"/>
                <w:sz w:val="24"/>
              </w:rPr>
              <w:t>m</w:t>
            </w:r>
            <w:r>
              <w:rPr>
                <w:rFonts w:hint="eastAsia"/>
                <w:color w:val="auto"/>
                <w:sz w:val="24"/>
                <w:vertAlign w:val="superscript"/>
              </w:rPr>
              <w:t>2</w:t>
            </w:r>
            <w:r>
              <w:rPr>
                <w:rFonts w:hint="eastAsia"/>
                <w:color w:val="auto"/>
                <w:sz w:val="24"/>
                <w:lang w:eastAsia="zh-CN"/>
              </w:rPr>
              <w:t>，</w:t>
            </w:r>
            <w:r>
              <w:rPr>
                <w:rFonts w:hint="eastAsia"/>
                <w:color w:val="auto"/>
                <w:sz w:val="24"/>
                <w:lang w:val="en-US" w:eastAsia="zh-CN"/>
              </w:rPr>
              <w:t>其中分为拌合站施工现场、施工现场项目部、砼四脚体摆放场地。拌合站依托黄河宁夏段河道治理工程(中卫段)2024年第一批建设项目一标段(砼四脚体预制1)项目部（以下简称“项目部”）相关辅助工程。</w:t>
            </w:r>
            <w:r>
              <w:rPr>
                <w:color w:val="auto"/>
                <w:sz w:val="24"/>
              </w:rPr>
              <w:t>具体建设内容见表2-1</w:t>
            </w:r>
            <w:r>
              <w:rPr>
                <w:color w:val="000000" w:themeColor="text1"/>
                <w:sz w:val="24"/>
                <w14:textFill>
                  <w14:solidFill>
                    <w14:schemeClr w14:val="tx1"/>
                  </w14:solidFill>
                </w14:textFill>
              </w:rPr>
              <w:t>。</w:t>
            </w:r>
          </w:p>
          <w:p>
            <w:pPr>
              <w:pStyle w:val="6"/>
              <w:adjustRightInd w:val="0"/>
              <w:snapToGrid w:val="0"/>
              <w:spacing w:after="0"/>
              <w:ind w:left="0" w:leftChars="0" w:firstLine="0" w:firstLineChars="0"/>
              <w:jc w:val="center"/>
              <w:rPr>
                <w:b/>
                <w:bCs/>
                <w:color w:val="auto"/>
                <w:sz w:val="21"/>
                <w:szCs w:val="21"/>
              </w:rPr>
            </w:pPr>
            <w:r>
              <w:rPr>
                <w:b/>
                <w:bCs/>
                <w:color w:val="auto"/>
                <w:sz w:val="21"/>
                <w:szCs w:val="21"/>
              </w:rPr>
              <w:t xml:space="preserve">表2-1  </w:t>
            </w:r>
            <w:r>
              <w:rPr>
                <w:rFonts w:hint="eastAsia"/>
                <w:b/>
                <w:bCs/>
                <w:color w:val="auto"/>
                <w:sz w:val="21"/>
                <w:szCs w:val="21"/>
              </w:rPr>
              <w:t xml:space="preserve"> </w:t>
            </w:r>
            <w:r>
              <w:rPr>
                <w:b/>
                <w:bCs/>
                <w:color w:val="auto"/>
                <w:sz w:val="21"/>
                <w:szCs w:val="21"/>
              </w:rPr>
              <w:t>本项目工程组成一览表</w:t>
            </w:r>
          </w:p>
          <w:tbl>
            <w:tblPr>
              <w:tblStyle w:val="25"/>
              <w:tblW w:w="826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8"/>
              <w:gridCol w:w="840"/>
              <w:gridCol w:w="689"/>
              <w:gridCol w:w="5566"/>
              <w:gridCol w:w="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7" w:type="dxa"/>
                  <w:gridSpan w:val="3"/>
                  <w:vAlign w:val="center"/>
                </w:tcPr>
                <w:p>
                  <w:pPr>
                    <w:pStyle w:val="6"/>
                    <w:adjustRightInd w:val="0"/>
                    <w:snapToGrid w:val="0"/>
                    <w:spacing w:after="0"/>
                    <w:ind w:left="0" w:leftChars="0" w:firstLine="0" w:firstLineChars="0"/>
                    <w:jc w:val="center"/>
                    <w:rPr>
                      <w:rFonts w:eastAsiaTheme="minorEastAsia"/>
                      <w:b/>
                      <w:bCs/>
                      <w:color w:val="auto"/>
                      <w:kern w:val="2"/>
                      <w:sz w:val="21"/>
                      <w:szCs w:val="21"/>
                    </w:rPr>
                  </w:pPr>
                  <w:r>
                    <w:rPr>
                      <w:rFonts w:eastAsiaTheme="minorEastAsia"/>
                      <w:b/>
                      <w:bCs/>
                      <w:color w:val="auto"/>
                      <w:kern w:val="2"/>
                      <w:sz w:val="21"/>
                      <w:szCs w:val="21"/>
                    </w:rPr>
                    <w:t>项目</w:t>
                  </w:r>
                </w:p>
              </w:tc>
              <w:tc>
                <w:tcPr>
                  <w:tcW w:w="5566" w:type="dxa"/>
                  <w:vAlign w:val="center"/>
                </w:tcPr>
                <w:p>
                  <w:pPr>
                    <w:pStyle w:val="6"/>
                    <w:adjustRightInd w:val="0"/>
                    <w:snapToGrid w:val="0"/>
                    <w:spacing w:after="0"/>
                    <w:ind w:left="0" w:leftChars="0" w:firstLine="0" w:firstLineChars="0"/>
                    <w:jc w:val="center"/>
                    <w:rPr>
                      <w:rFonts w:eastAsiaTheme="minorEastAsia"/>
                      <w:b/>
                      <w:bCs/>
                      <w:color w:val="auto"/>
                      <w:kern w:val="2"/>
                      <w:sz w:val="21"/>
                      <w:szCs w:val="21"/>
                    </w:rPr>
                  </w:pPr>
                  <w:r>
                    <w:rPr>
                      <w:rFonts w:eastAsiaTheme="minorEastAsia"/>
                      <w:b/>
                      <w:bCs/>
                      <w:color w:val="auto"/>
                      <w:kern w:val="2"/>
                      <w:sz w:val="21"/>
                      <w:szCs w:val="21"/>
                    </w:rPr>
                    <w:t>建设内容</w:t>
                  </w:r>
                </w:p>
              </w:tc>
              <w:tc>
                <w:tcPr>
                  <w:tcW w:w="746" w:type="dxa"/>
                  <w:vAlign w:val="center"/>
                </w:tcPr>
                <w:p>
                  <w:pPr>
                    <w:pStyle w:val="6"/>
                    <w:adjustRightInd w:val="0"/>
                    <w:snapToGrid w:val="0"/>
                    <w:spacing w:after="0"/>
                    <w:ind w:left="0" w:leftChars="0" w:firstLine="0" w:firstLineChars="0"/>
                    <w:jc w:val="center"/>
                    <w:rPr>
                      <w:rFonts w:eastAsiaTheme="minorEastAsia"/>
                      <w:b/>
                      <w:bCs/>
                      <w:color w:val="auto"/>
                      <w:kern w:val="2"/>
                      <w:sz w:val="21"/>
                      <w:szCs w:val="21"/>
                    </w:rPr>
                  </w:pPr>
                  <w:r>
                    <w:rPr>
                      <w:rFonts w:eastAsiaTheme="minorEastAsia"/>
                      <w:b/>
                      <w:bCs/>
                      <w:color w:val="auto"/>
                      <w:kern w:val="2"/>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vMerge w:val="restart"/>
                  <w:vAlign w:val="center"/>
                </w:tcPr>
                <w:p>
                  <w:pPr>
                    <w:pStyle w:val="6"/>
                    <w:adjustRightInd w:val="0"/>
                    <w:snapToGrid w:val="0"/>
                    <w:spacing w:after="0"/>
                    <w:ind w:left="0" w:leftChars="0" w:firstLine="0" w:firstLineChars="0"/>
                    <w:jc w:val="center"/>
                    <w:rPr>
                      <w:rFonts w:eastAsiaTheme="minorEastAsia"/>
                      <w:b/>
                      <w:bCs/>
                      <w:color w:val="auto"/>
                      <w:kern w:val="2"/>
                      <w:sz w:val="21"/>
                      <w:szCs w:val="21"/>
                    </w:rPr>
                  </w:pPr>
                  <w:r>
                    <w:rPr>
                      <w:rFonts w:eastAsiaTheme="minorEastAsia"/>
                      <w:b/>
                      <w:bCs/>
                      <w:color w:val="auto"/>
                      <w:kern w:val="2"/>
                      <w:sz w:val="21"/>
                      <w:szCs w:val="21"/>
                    </w:rPr>
                    <w:t>主体工程</w:t>
                  </w:r>
                </w:p>
              </w:tc>
              <w:tc>
                <w:tcPr>
                  <w:tcW w:w="840" w:type="dxa"/>
                  <w:vMerge w:val="restart"/>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hint="eastAsia" w:eastAsiaTheme="minorEastAsia"/>
                      <w:color w:val="auto"/>
                      <w:kern w:val="2"/>
                      <w:sz w:val="21"/>
                      <w:szCs w:val="21"/>
                      <w:lang w:val="en-US" w:eastAsia="zh-CN"/>
                    </w:rPr>
                    <w:t>HZS60拌合</w:t>
                  </w:r>
                  <w:r>
                    <w:rPr>
                      <w:rFonts w:eastAsiaTheme="minorEastAsia"/>
                      <w:color w:val="auto"/>
                      <w:kern w:val="2"/>
                      <w:sz w:val="21"/>
                      <w:szCs w:val="21"/>
                    </w:rPr>
                    <w:t>站</w:t>
                  </w:r>
                </w:p>
              </w:tc>
              <w:tc>
                <w:tcPr>
                  <w:tcW w:w="7001" w:type="dxa"/>
                  <w:gridSpan w:val="3"/>
                  <w:vAlign w:val="center"/>
                </w:tcPr>
                <w:p>
                  <w:pPr>
                    <w:adjustRightInd w:val="0"/>
                    <w:snapToGrid w:val="0"/>
                    <w:ind w:firstLine="420" w:firstLineChars="200"/>
                    <w:jc w:val="both"/>
                    <w:rPr>
                      <w:rFonts w:eastAsiaTheme="minorEastAsia"/>
                      <w:color w:val="auto"/>
                      <w:szCs w:val="21"/>
                    </w:rPr>
                  </w:pPr>
                  <w:r>
                    <w:rPr>
                      <w:rFonts w:hint="eastAsia" w:eastAsiaTheme="minorEastAsia"/>
                      <w:color w:val="auto"/>
                      <w:sz w:val="21"/>
                      <w:szCs w:val="21"/>
                      <w:lang w:val="en-US" w:eastAsia="zh-CN" w:bidi="ar"/>
                    </w:rPr>
                    <w:t>本项目设置</w:t>
                  </w:r>
                  <w:r>
                    <w:rPr>
                      <w:rFonts w:hint="eastAsia" w:eastAsiaTheme="minorEastAsia"/>
                      <w:b/>
                      <w:bCs/>
                      <w:color w:val="auto"/>
                      <w:sz w:val="21"/>
                      <w:szCs w:val="21"/>
                      <w:lang w:val="en-US" w:eastAsia="zh-CN" w:bidi="ar"/>
                    </w:rPr>
                    <w:t>2条临时混凝土生产线</w:t>
                  </w:r>
                  <w:r>
                    <w:rPr>
                      <w:rFonts w:hint="eastAsia" w:eastAsiaTheme="minorEastAsia"/>
                      <w:color w:val="auto"/>
                      <w:sz w:val="21"/>
                      <w:szCs w:val="21"/>
                      <w:lang w:val="en-US" w:eastAsia="zh-CN" w:bidi="ar"/>
                    </w:rPr>
                    <w:t>，每条生产线均由骨料计量输送系统、粉料供给计量系统、液体供给计量系统和搅拌机组成。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vMerge w:val="continue"/>
                  <w:vAlign w:val="center"/>
                </w:tcPr>
                <w:p>
                  <w:pPr>
                    <w:pStyle w:val="6"/>
                    <w:adjustRightInd w:val="0"/>
                    <w:snapToGrid w:val="0"/>
                    <w:spacing w:after="0"/>
                    <w:ind w:left="0" w:leftChars="0" w:firstLine="0" w:firstLineChars="0"/>
                    <w:jc w:val="center"/>
                    <w:rPr>
                      <w:rFonts w:eastAsiaTheme="minorEastAsia"/>
                      <w:b/>
                      <w:bCs/>
                      <w:color w:val="auto"/>
                      <w:kern w:val="2"/>
                      <w:sz w:val="21"/>
                      <w:szCs w:val="21"/>
                    </w:rPr>
                  </w:pPr>
                </w:p>
              </w:tc>
              <w:tc>
                <w:tcPr>
                  <w:tcW w:w="840" w:type="dxa"/>
                  <w:vMerge w:val="continue"/>
                  <w:vAlign w:val="center"/>
                </w:tcPr>
                <w:p>
                  <w:pPr>
                    <w:pStyle w:val="6"/>
                    <w:adjustRightInd w:val="0"/>
                    <w:snapToGrid w:val="0"/>
                    <w:spacing w:after="0"/>
                    <w:ind w:left="0" w:leftChars="0" w:firstLine="0" w:firstLineChars="0"/>
                    <w:jc w:val="center"/>
                    <w:rPr>
                      <w:rFonts w:eastAsiaTheme="minorEastAsia"/>
                      <w:color w:val="auto"/>
                      <w:kern w:val="2"/>
                      <w:sz w:val="21"/>
                      <w:szCs w:val="21"/>
                    </w:rPr>
                  </w:pPr>
                </w:p>
              </w:tc>
              <w:tc>
                <w:tcPr>
                  <w:tcW w:w="689" w:type="dxa"/>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eastAsiaTheme="minorEastAsia"/>
                      <w:color w:val="auto"/>
                      <w:kern w:val="2"/>
                      <w:sz w:val="21"/>
                      <w:szCs w:val="21"/>
                    </w:rPr>
                    <w:t>骨料计量输送系统</w:t>
                  </w:r>
                </w:p>
              </w:tc>
              <w:tc>
                <w:tcPr>
                  <w:tcW w:w="5566" w:type="dxa"/>
                  <w:vAlign w:val="center"/>
                </w:tcPr>
                <w:p>
                  <w:pPr>
                    <w:pStyle w:val="6"/>
                    <w:adjustRightInd w:val="0"/>
                    <w:snapToGrid w:val="0"/>
                    <w:spacing w:after="0"/>
                    <w:ind w:left="0" w:leftChars="0"/>
                    <w:rPr>
                      <w:rFonts w:eastAsiaTheme="minorEastAsia"/>
                      <w:color w:val="auto"/>
                      <w:sz w:val="21"/>
                      <w:szCs w:val="21"/>
                      <w:lang w:bidi="ar"/>
                    </w:rPr>
                  </w:pPr>
                  <w:r>
                    <w:rPr>
                      <w:rFonts w:eastAsiaTheme="minorEastAsia"/>
                      <w:color w:val="auto"/>
                      <w:sz w:val="21"/>
                      <w:szCs w:val="21"/>
                      <w:lang w:bidi="ar"/>
                    </w:rPr>
                    <w:t>骨料计量输送系统由配料机、皮带机和骨料中间仓组成。水洗砂及石料（5-10mm和10-3</w:t>
                  </w:r>
                  <w:r>
                    <w:rPr>
                      <w:rFonts w:hint="eastAsia" w:eastAsiaTheme="minorEastAsia"/>
                      <w:color w:val="auto"/>
                      <w:sz w:val="21"/>
                      <w:szCs w:val="21"/>
                      <w:lang w:val="en-US" w:eastAsia="zh-CN" w:bidi="ar"/>
                    </w:rPr>
                    <w:t>1.5</w:t>
                  </w:r>
                  <w:r>
                    <w:rPr>
                      <w:rFonts w:eastAsiaTheme="minorEastAsia"/>
                      <w:color w:val="auto"/>
                      <w:sz w:val="21"/>
                      <w:szCs w:val="21"/>
                      <w:lang w:bidi="ar"/>
                    </w:rPr>
                    <w:t>mm</w:t>
                  </w:r>
                  <w:r>
                    <w:rPr>
                      <w:rFonts w:hint="eastAsia" w:eastAsiaTheme="minorEastAsia"/>
                      <w:color w:val="auto"/>
                      <w:sz w:val="21"/>
                      <w:szCs w:val="21"/>
                      <w:lang w:val="en-US" w:eastAsia="zh-CN" w:bidi="ar"/>
                    </w:rPr>
                    <w:t>两</w:t>
                  </w:r>
                  <w:r>
                    <w:rPr>
                      <w:rFonts w:eastAsiaTheme="minorEastAsia"/>
                      <w:color w:val="auto"/>
                      <w:sz w:val="21"/>
                      <w:szCs w:val="21"/>
                      <w:lang w:bidi="ar"/>
                    </w:rPr>
                    <w:t>种规格）由铲车送至配料机</w:t>
                  </w:r>
                  <w:r>
                    <w:rPr>
                      <w:color w:val="auto"/>
                      <w:sz w:val="21"/>
                      <w:szCs w:val="21"/>
                    </w:rPr>
                    <w:t>投料斗</w:t>
                  </w:r>
                  <w:r>
                    <w:rPr>
                      <w:rFonts w:eastAsiaTheme="minorEastAsia"/>
                      <w:color w:val="auto"/>
                      <w:sz w:val="21"/>
                      <w:szCs w:val="21"/>
                      <w:lang w:bidi="ar"/>
                    </w:rPr>
                    <w:t>内，</w:t>
                  </w:r>
                  <w:r>
                    <w:rPr>
                      <w:rFonts w:hint="eastAsia" w:eastAsiaTheme="minorEastAsia"/>
                      <w:color w:val="auto"/>
                      <w:sz w:val="21"/>
                      <w:szCs w:val="21"/>
                      <w:lang w:val="en-US" w:eastAsia="zh-CN" w:bidi="ar"/>
                    </w:rPr>
                    <w:t>拌合</w:t>
                  </w:r>
                  <w:r>
                    <w:rPr>
                      <w:rFonts w:eastAsiaTheme="minorEastAsia"/>
                      <w:color w:val="auto"/>
                      <w:sz w:val="21"/>
                      <w:szCs w:val="21"/>
                      <w:lang w:bidi="ar"/>
                    </w:rPr>
                    <w:t>站工作时，通过自动控制的气缸将骨料卸入到称斗中称量，由皮带机输送至骨料中间仓。</w:t>
                  </w:r>
                </w:p>
              </w:tc>
              <w:tc>
                <w:tcPr>
                  <w:tcW w:w="746" w:type="dxa"/>
                  <w:vAlign w:val="center"/>
                </w:tcPr>
                <w:p>
                  <w:pPr>
                    <w:adjustRightInd w:val="0"/>
                    <w:snapToGrid w:val="0"/>
                    <w:jc w:val="center"/>
                    <w:rPr>
                      <w:rFonts w:eastAsiaTheme="minorEastAsia"/>
                      <w:color w:val="auto"/>
                      <w:szCs w:val="21"/>
                    </w:rPr>
                  </w:pPr>
                  <w:r>
                    <w:rPr>
                      <w:rFonts w:eastAsiaTheme="minorEastAsia"/>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vMerge w:val="continue"/>
                  <w:vAlign w:val="center"/>
                </w:tcPr>
                <w:p>
                  <w:pPr>
                    <w:pStyle w:val="6"/>
                    <w:adjustRightInd w:val="0"/>
                    <w:snapToGrid w:val="0"/>
                    <w:spacing w:after="0"/>
                    <w:ind w:left="0" w:leftChars="0" w:firstLine="0" w:firstLineChars="0"/>
                    <w:jc w:val="center"/>
                    <w:rPr>
                      <w:rFonts w:eastAsiaTheme="minorEastAsia"/>
                      <w:b/>
                      <w:bCs/>
                      <w:color w:val="auto"/>
                      <w:kern w:val="2"/>
                      <w:sz w:val="21"/>
                      <w:szCs w:val="21"/>
                    </w:rPr>
                  </w:pPr>
                </w:p>
              </w:tc>
              <w:tc>
                <w:tcPr>
                  <w:tcW w:w="840" w:type="dxa"/>
                  <w:vMerge w:val="continue"/>
                  <w:vAlign w:val="center"/>
                </w:tcPr>
                <w:p>
                  <w:pPr>
                    <w:pStyle w:val="6"/>
                    <w:adjustRightInd w:val="0"/>
                    <w:snapToGrid w:val="0"/>
                    <w:spacing w:after="0"/>
                    <w:ind w:left="0" w:leftChars="0" w:firstLine="0" w:firstLineChars="0"/>
                    <w:jc w:val="center"/>
                    <w:rPr>
                      <w:rFonts w:eastAsiaTheme="minorEastAsia"/>
                      <w:color w:val="auto"/>
                      <w:kern w:val="2"/>
                      <w:sz w:val="21"/>
                      <w:szCs w:val="21"/>
                    </w:rPr>
                  </w:pPr>
                </w:p>
              </w:tc>
              <w:tc>
                <w:tcPr>
                  <w:tcW w:w="689" w:type="dxa"/>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eastAsiaTheme="minorEastAsia"/>
                      <w:color w:val="auto"/>
                      <w:kern w:val="2"/>
                      <w:sz w:val="21"/>
                      <w:szCs w:val="21"/>
                    </w:rPr>
                    <w:t>粉料供给计量系统</w:t>
                  </w:r>
                </w:p>
              </w:tc>
              <w:tc>
                <w:tcPr>
                  <w:tcW w:w="5566" w:type="dxa"/>
                  <w:vAlign w:val="center"/>
                </w:tcPr>
                <w:p>
                  <w:pPr>
                    <w:pStyle w:val="6"/>
                    <w:adjustRightInd w:val="0"/>
                    <w:snapToGrid w:val="0"/>
                    <w:spacing w:after="0"/>
                    <w:ind w:left="0" w:leftChars="0"/>
                    <w:rPr>
                      <w:rFonts w:eastAsiaTheme="minorEastAsia"/>
                      <w:color w:val="auto"/>
                      <w:kern w:val="2"/>
                      <w:sz w:val="21"/>
                      <w:szCs w:val="21"/>
                    </w:rPr>
                  </w:pPr>
                  <w:r>
                    <w:rPr>
                      <w:rFonts w:eastAsiaTheme="minorEastAsia"/>
                      <w:color w:val="auto"/>
                      <w:kern w:val="2"/>
                      <w:sz w:val="21"/>
                      <w:szCs w:val="21"/>
                    </w:rPr>
                    <w:t>粉料供给计量系统由</w:t>
                  </w:r>
                  <w:r>
                    <w:rPr>
                      <w:rFonts w:hint="eastAsia" w:eastAsiaTheme="minorEastAsia"/>
                      <w:color w:val="auto"/>
                      <w:kern w:val="2"/>
                      <w:sz w:val="21"/>
                      <w:szCs w:val="21"/>
                      <w:lang w:val="en-US" w:eastAsia="zh-CN"/>
                    </w:rPr>
                    <w:t>水泥</w:t>
                  </w:r>
                  <w:r>
                    <w:rPr>
                      <w:rFonts w:eastAsiaTheme="minorEastAsia"/>
                      <w:color w:val="auto"/>
                      <w:kern w:val="2"/>
                      <w:sz w:val="21"/>
                      <w:szCs w:val="21"/>
                    </w:rPr>
                    <w:t>筒仓、螺旋输送机及粉料计量装置组成。</w:t>
                  </w:r>
                  <w:r>
                    <w:rPr>
                      <w:rFonts w:hint="eastAsia" w:eastAsiaTheme="minorEastAsia"/>
                      <w:color w:val="auto"/>
                      <w:kern w:val="2"/>
                      <w:sz w:val="21"/>
                      <w:szCs w:val="21"/>
                      <w:lang w:val="en-US" w:eastAsia="zh-CN"/>
                    </w:rPr>
                    <w:t>每条生产线各配置2</w:t>
                  </w:r>
                  <w:r>
                    <w:rPr>
                      <w:rFonts w:eastAsiaTheme="minorEastAsia"/>
                      <w:color w:val="auto"/>
                      <w:kern w:val="2"/>
                      <w:sz w:val="21"/>
                      <w:szCs w:val="21"/>
                    </w:rPr>
                    <w:t>个</w:t>
                  </w:r>
                  <w:r>
                    <w:rPr>
                      <w:rFonts w:hint="eastAsia" w:eastAsiaTheme="minorEastAsia"/>
                      <w:color w:val="auto"/>
                      <w:kern w:val="2"/>
                      <w:sz w:val="21"/>
                      <w:szCs w:val="21"/>
                      <w:lang w:val="en-US" w:eastAsia="zh-CN"/>
                    </w:rPr>
                    <w:t>100</w:t>
                  </w:r>
                  <w:r>
                    <w:rPr>
                      <w:rFonts w:eastAsiaTheme="minorEastAsia"/>
                      <w:color w:val="auto"/>
                      <w:kern w:val="2"/>
                      <w:sz w:val="21"/>
                      <w:szCs w:val="21"/>
                    </w:rPr>
                    <w:t>t水泥筒仓</w:t>
                  </w:r>
                  <w:r>
                    <w:rPr>
                      <w:rFonts w:hint="eastAsia" w:eastAsiaTheme="minorEastAsia"/>
                      <w:color w:val="auto"/>
                      <w:kern w:val="2"/>
                      <w:sz w:val="21"/>
                      <w:szCs w:val="21"/>
                      <w:lang w:eastAsia="zh-CN"/>
                    </w:rPr>
                    <w:t>（</w:t>
                  </w:r>
                  <w:r>
                    <w:rPr>
                      <w:rFonts w:hint="eastAsia" w:eastAsiaTheme="minorEastAsia"/>
                      <w:color w:val="auto"/>
                      <w:kern w:val="2"/>
                      <w:sz w:val="21"/>
                      <w:szCs w:val="21"/>
                      <w:lang w:val="en-US" w:eastAsia="zh-CN"/>
                    </w:rPr>
                    <w:t>2.5m</w:t>
                  </w:r>
                  <w:r>
                    <w:rPr>
                      <w:rFonts w:hint="eastAsia" w:eastAsiaTheme="minorEastAsia"/>
                      <w:color w:val="auto"/>
                      <w:kern w:val="2"/>
                      <w:sz w:val="21"/>
                      <w:szCs w:val="21"/>
                      <w:lang w:eastAsia="zh-CN"/>
                    </w:rPr>
                    <w:t>）</w:t>
                  </w:r>
                  <w:r>
                    <w:rPr>
                      <w:rFonts w:eastAsiaTheme="minorEastAsia"/>
                      <w:color w:val="auto"/>
                      <w:kern w:val="2"/>
                      <w:sz w:val="21"/>
                      <w:szCs w:val="21"/>
                    </w:rPr>
                    <w:t>，仓顶配套除尘装置，筒仓内粉料由螺旋输送机送至粉料称量装置称量，达到称量要求时停止供料。</w:t>
                  </w:r>
                </w:p>
              </w:tc>
              <w:tc>
                <w:tcPr>
                  <w:tcW w:w="746" w:type="dxa"/>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eastAsiaTheme="minorEastAsia"/>
                      <w:color w:val="auto"/>
                      <w:kern w:val="2"/>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vMerge w:val="continue"/>
                  <w:vAlign w:val="center"/>
                </w:tcPr>
                <w:p>
                  <w:pPr>
                    <w:pStyle w:val="6"/>
                    <w:adjustRightInd w:val="0"/>
                    <w:snapToGrid w:val="0"/>
                    <w:spacing w:after="0"/>
                    <w:ind w:left="0" w:leftChars="0" w:firstLine="0" w:firstLineChars="0"/>
                    <w:jc w:val="center"/>
                    <w:rPr>
                      <w:rFonts w:eastAsiaTheme="minorEastAsia"/>
                      <w:b/>
                      <w:bCs/>
                      <w:color w:val="auto"/>
                      <w:kern w:val="2"/>
                      <w:sz w:val="21"/>
                      <w:szCs w:val="21"/>
                    </w:rPr>
                  </w:pPr>
                </w:p>
              </w:tc>
              <w:tc>
                <w:tcPr>
                  <w:tcW w:w="840" w:type="dxa"/>
                  <w:vMerge w:val="continue"/>
                  <w:vAlign w:val="center"/>
                </w:tcPr>
                <w:p>
                  <w:pPr>
                    <w:pStyle w:val="6"/>
                    <w:adjustRightInd w:val="0"/>
                    <w:snapToGrid w:val="0"/>
                    <w:spacing w:after="0"/>
                    <w:ind w:left="0" w:leftChars="0" w:firstLine="0" w:firstLineChars="0"/>
                    <w:jc w:val="center"/>
                    <w:rPr>
                      <w:rFonts w:eastAsiaTheme="minorEastAsia"/>
                      <w:color w:val="auto"/>
                      <w:kern w:val="2"/>
                      <w:sz w:val="21"/>
                      <w:szCs w:val="21"/>
                    </w:rPr>
                  </w:pPr>
                </w:p>
              </w:tc>
              <w:tc>
                <w:tcPr>
                  <w:tcW w:w="689" w:type="dxa"/>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eastAsiaTheme="minorEastAsia"/>
                      <w:color w:val="auto"/>
                      <w:kern w:val="2"/>
                      <w:sz w:val="21"/>
                      <w:szCs w:val="21"/>
                    </w:rPr>
                    <w:t>液体供给计量系统</w:t>
                  </w:r>
                </w:p>
              </w:tc>
              <w:tc>
                <w:tcPr>
                  <w:tcW w:w="5566" w:type="dxa"/>
                  <w:vAlign w:val="center"/>
                </w:tcPr>
                <w:p>
                  <w:pPr>
                    <w:pStyle w:val="6"/>
                    <w:adjustRightInd w:val="0"/>
                    <w:snapToGrid w:val="0"/>
                    <w:spacing w:after="0"/>
                    <w:ind w:left="0" w:leftChars="0"/>
                    <w:rPr>
                      <w:rFonts w:eastAsiaTheme="minorEastAsia"/>
                      <w:color w:val="auto"/>
                      <w:kern w:val="2"/>
                      <w:sz w:val="21"/>
                      <w:szCs w:val="21"/>
                      <w:highlight w:val="none"/>
                    </w:rPr>
                  </w:pPr>
                  <w:r>
                    <w:rPr>
                      <w:rFonts w:eastAsiaTheme="minorEastAsia"/>
                      <w:color w:val="auto"/>
                      <w:kern w:val="2"/>
                      <w:sz w:val="21"/>
                      <w:szCs w:val="21"/>
                    </w:rPr>
                    <w:t>液体供给计量系统</w:t>
                  </w:r>
                  <w:r>
                    <w:rPr>
                      <w:rFonts w:hint="eastAsia" w:eastAsiaTheme="minorEastAsia"/>
                      <w:color w:val="auto"/>
                      <w:kern w:val="2"/>
                      <w:sz w:val="21"/>
                      <w:szCs w:val="21"/>
                      <w:lang w:val="en-US" w:eastAsia="zh-CN"/>
                    </w:rPr>
                    <w:t>由外加剂（减水剂和引气剂）储罐和储水箱组成。每条生产线各配置</w:t>
                  </w:r>
                  <w:r>
                    <w:rPr>
                      <w:rFonts w:eastAsiaTheme="minorEastAsia"/>
                      <w:color w:val="auto"/>
                      <w:kern w:val="2"/>
                      <w:sz w:val="21"/>
                      <w:szCs w:val="21"/>
                    </w:rPr>
                    <w:t>1个减水剂罐</w:t>
                  </w:r>
                  <w:r>
                    <w:rPr>
                      <w:rFonts w:hint="eastAsia" w:eastAsiaTheme="minorEastAsia"/>
                      <w:color w:val="auto"/>
                      <w:kern w:val="2"/>
                      <w:sz w:val="21"/>
                      <w:szCs w:val="21"/>
                      <w:lang w:eastAsia="zh-CN"/>
                    </w:rPr>
                    <w:t>（</w:t>
                  </w:r>
                  <w:r>
                    <w:rPr>
                      <w:rFonts w:hint="eastAsia" w:eastAsiaTheme="minorEastAsia"/>
                      <w:color w:val="auto"/>
                      <w:kern w:val="2"/>
                      <w:sz w:val="21"/>
                      <w:szCs w:val="21"/>
                      <w:lang w:val="en-US" w:eastAsia="zh-CN"/>
                    </w:rPr>
                    <w:t>5t</w:t>
                  </w:r>
                  <w:r>
                    <w:rPr>
                      <w:rFonts w:hint="eastAsia" w:eastAsiaTheme="minorEastAsia"/>
                      <w:color w:val="auto"/>
                      <w:kern w:val="2"/>
                      <w:sz w:val="21"/>
                      <w:szCs w:val="21"/>
                      <w:lang w:eastAsia="zh-CN"/>
                    </w:rPr>
                    <w:t>）</w:t>
                  </w:r>
                  <w:r>
                    <w:rPr>
                      <w:rFonts w:eastAsiaTheme="minorEastAsia"/>
                      <w:color w:val="auto"/>
                      <w:kern w:val="2"/>
                      <w:sz w:val="21"/>
                      <w:szCs w:val="21"/>
                    </w:rPr>
                    <w:t>，1个引气剂罐</w:t>
                  </w:r>
                  <w:r>
                    <w:rPr>
                      <w:rFonts w:hint="eastAsia" w:eastAsiaTheme="minorEastAsia"/>
                      <w:color w:val="auto"/>
                      <w:kern w:val="2"/>
                      <w:sz w:val="21"/>
                      <w:szCs w:val="21"/>
                      <w:lang w:eastAsia="zh-CN"/>
                    </w:rPr>
                    <w:t>（</w:t>
                  </w:r>
                  <w:r>
                    <w:rPr>
                      <w:rFonts w:hint="eastAsia" w:eastAsiaTheme="minorEastAsia"/>
                      <w:color w:val="auto"/>
                      <w:kern w:val="2"/>
                      <w:sz w:val="21"/>
                      <w:szCs w:val="21"/>
                      <w:lang w:val="en-US" w:eastAsia="zh-CN"/>
                    </w:rPr>
                    <w:t>3t</w:t>
                  </w:r>
                  <w:r>
                    <w:rPr>
                      <w:rFonts w:hint="eastAsia" w:eastAsiaTheme="minorEastAsia"/>
                      <w:color w:val="auto"/>
                      <w:kern w:val="2"/>
                      <w:sz w:val="21"/>
                      <w:szCs w:val="21"/>
                      <w:lang w:eastAsia="zh-CN"/>
                    </w:rPr>
                    <w:t>）</w:t>
                  </w:r>
                  <w:r>
                    <w:rPr>
                      <w:rFonts w:hint="eastAsia" w:eastAsiaTheme="minorEastAsia"/>
                      <w:color w:val="auto"/>
                      <w:kern w:val="2"/>
                      <w:sz w:val="21"/>
                      <w:szCs w:val="21"/>
                      <w:lang w:val="en-US" w:eastAsia="zh-CN"/>
                    </w:rPr>
                    <w:t>和1</w:t>
                  </w:r>
                  <w:r>
                    <w:rPr>
                      <w:rFonts w:eastAsiaTheme="minorEastAsia"/>
                      <w:color w:val="auto"/>
                      <w:kern w:val="2"/>
                      <w:sz w:val="21"/>
                      <w:szCs w:val="21"/>
                    </w:rPr>
                    <w:t>个容积为</w:t>
                  </w:r>
                  <w:r>
                    <w:rPr>
                      <w:rFonts w:hint="eastAsia" w:eastAsiaTheme="minorEastAsia"/>
                      <w:color w:val="auto"/>
                      <w:kern w:val="2"/>
                      <w:sz w:val="21"/>
                      <w:szCs w:val="21"/>
                      <w:lang w:val="en-US" w:eastAsia="zh-CN"/>
                    </w:rPr>
                    <w:t>20</w:t>
                  </w:r>
                  <w:r>
                    <w:rPr>
                      <w:rFonts w:eastAsiaTheme="minorEastAsia"/>
                      <w:color w:val="auto"/>
                      <w:kern w:val="2"/>
                      <w:sz w:val="21"/>
                      <w:szCs w:val="21"/>
                    </w:rPr>
                    <w:t>m</w:t>
                  </w:r>
                  <w:r>
                    <w:rPr>
                      <w:rFonts w:eastAsiaTheme="minorEastAsia"/>
                      <w:color w:val="auto"/>
                      <w:kern w:val="2"/>
                      <w:sz w:val="21"/>
                      <w:szCs w:val="21"/>
                      <w:vertAlign w:val="superscript"/>
                    </w:rPr>
                    <w:t>3</w:t>
                  </w:r>
                  <w:r>
                    <w:rPr>
                      <w:rFonts w:eastAsiaTheme="minorEastAsia"/>
                      <w:color w:val="auto"/>
                      <w:kern w:val="2"/>
                      <w:sz w:val="21"/>
                      <w:szCs w:val="21"/>
                    </w:rPr>
                    <w:t>的</w:t>
                  </w:r>
                  <w:r>
                    <w:rPr>
                      <w:rFonts w:hint="eastAsia" w:eastAsiaTheme="minorEastAsia"/>
                      <w:color w:val="auto"/>
                      <w:kern w:val="2"/>
                      <w:sz w:val="21"/>
                      <w:szCs w:val="21"/>
                      <w:lang w:eastAsia="zh-CN"/>
                    </w:rPr>
                    <w:t>储水箱</w:t>
                  </w:r>
                  <w:r>
                    <w:rPr>
                      <w:rFonts w:eastAsiaTheme="minorEastAsia"/>
                      <w:color w:val="auto"/>
                      <w:kern w:val="2"/>
                      <w:sz w:val="21"/>
                      <w:szCs w:val="21"/>
                    </w:rPr>
                    <w:t>。水和外加剂分别由泵送至各自计量斗中配比称量。</w:t>
                  </w:r>
                </w:p>
              </w:tc>
              <w:tc>
                <w:tcPr>
                  <w:tcW w:w="746" w:type="dxa"/>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eastAsiaTheme="minorEastAsia"/>
                      <w:color w:val="auto"/>
                      <w:kern w:val="2"/>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vMerge w:val="continue"/>
                  <w:vAlign w:val="center"/>
                </w:tcPr>
                <w:p>
                  <w:pPr>
                    <w:pStyle w:val="6"/>
                    <w:adjustRightInd w:val="0"/>
                    <w:snapToGrid w:val="0"/>
                    <w:spacing w:after="0"/>
                    <w:ind w:left="0" w:leftChars="0" w:firstLine="0" w:firstLineChars="0"/>
                    <w:jc w:val="center"/>
                    <w:rPr>
                      <w:rFonts w:eastAsiaTheme="minorEastAsia"/>
                      <w:b/>
                      <w:bCs/>
                      <w:color w:val="auto"/>
                      <w:kern w:val="2"/>
                      <w:sz w:val="21"/>
                      <w:szCs w:val="21"/>
                    </w:rPr>
                  </w:pPr>
                </w:p>
              </w:tc>
              <w:tc>
                <w:tcPr>
                  <w:tcW w:w="840" w:type="dxa"/>
                  <w:vMerge w:val="continue"/>
                  <w:vAlign w:val="center"/>
                </w:tcPr>
                <w:p>
                  <w:pPr>
                    <w:pStyle w:val="6"/>
                    <w:adjustRightInd w:val="0"/>
                    <w:snapToGrid w:val="0"/>
                    <w:spacing w:after="0"/>
                    <w:ind w:left="0" w:leftChars="0" w:firstLine="0" w:firstLineChars="0"/>
                    <w:jc w:val="center"/>
                    <w:rPr>
                      <w:rFonts w:eastAsiaTheme="minorEastAsia"/>
                      <w:color w:val="auto"/>
                      <w:kern w:val="2"/>
                      <w:sz w:val="21"/>
                      <w:szCs w:val="21"/>
                    </w:rPr>
                  </w:pPr>
                </w:p>
              </w:tc>
              <w:tc>
                <w:tcPr>
                  <w:tcW w:w="689" w:type="dxa"/>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eastAsiaTheme="minorEastAsia"/>
                      <w:color w:val="auto"/>
                      <w:kern w:val="2"/>
                      <w:sz w:val="21"/>
                      <w:szCs w:val="21"/>
                    </w:rPr>
                    <w:t>搅拌机</w:t>
                  </w:r>
                </w:p>
              </w:tc>
              <w:tc>
                <w:tcPr>
                  <w:tcW w:w="5566" w:type="dxa"/>
                  <w:vAlign w:val="center"/>
                </w:tcPr>
                <w:p>
                  <w:pPr>
                    <w:pStyle w:val="6"/>
                    <w:adjustRightInd w:val="0"/>
                    <w:snapToGrid w:val="0"/>
                    <w:spacing w:after="0"/>
                    <w:ind w:left="0" w:leftChars="0"/>
                    <w:rPr>
                      <w:rFonts w:eastAsiaTheme="minorEastAsia"/>
                      <w:color w:val="auto"/>
                      <w:kern w:val="2"/>
                      <w:sz w:val="21"/>
                      <w:szCs w:val="21"/>
                    </w:rPr>
                  </w:pPr>
                  <w:r>
                    <w:rPr>
                      <w:rFonts w:hint="eastAsia" w:eastAsiaTheme="minorEastAsia"/>
                      <w:color w:val="auto"/>
                      <w:sz w:val="21"/>
                      <w:szCs w:val="21"/>
                      <w:lang w:val="en-US" w:eastAsia="zh-CN" w:bidi="ar"/>
                    </w:rPr>
                    <w:t>每条生产线各配置1</w:t>
                  </w:r>
                  <w:r>
                    <w:rPr>
                      <w:rFonts w:eastAsiaTheme="minorEastAsia"/>
                      <w:color w:val="auto"/>
                      <w:sz w:val="21"/>
                      <w:szCs w:val="21"/>
                      <w:lang w:bidi="ar"/>
                    </w:rPr>
                    <w:t>台</w:t>
                  </w:r>
                  <w:r>
                    <w:rPr>
                      <w:rFonts w:hint="eastAsia" w:eastAsiaTheme="minorEastAsia"/>
                      <w:bCs/>
                      <w:color w:val="auto"/>
                      <w:kern w:val="2"/>
                      <w:sz w:val="21"/>
                      <w:szCs w:val="21"/>
                      <w:lang w:val="en-US" w:eastAsia="zh-CN"/>
                    </w:rPr>
                    <w:t>J</w:t>
                  </w:r>
                  <w:r>
                    <w:rPr>
                      <w:rFonts w:eastAsiaTheme="minorEastAsia"/>
                      <w:bCs/>
                      <w:color w:val="auto"/>
                      <w:kern w:val="2"/>
                      <w:sz w:val="21"/>
                      <w:szCs w:val="21"/>
                    </w:rPr>
                    <w:t>S</w:t>
                  </w:r>
                  <w:r>
                    <w:rPr>
                      <w:rFonts w:hint="eastAsia" w:eastAsiaTheme="minorEastAsia"/>
                      <w:bCs/>
                      <w:color w:val="auto"/>
                      <w:kern w:val="2"/>
                      <w:sz w:val="21"/>
                      <w:szCs w:val="21"/>
                      <w:lang w:val="en-US" w:eastAsia="zh-CN"/>
                    </w:rPr>
                    <w:t>1000</w:t>
                  </w:r>
                  <w:r>
                    <w:rPr>
                      <w:rFonts w:eastAsiaTheme="minorEastAsia"/>
                      <w:color w:val="auto"/>
                      <w:kern w:val="2"/>
                      <w:sz w:val="21"/>
                      <w:szCs w:val="21"/>
                    </w:rPr>
                    <w:t>型搅拌机，完成计量配比的原料（水洗砂、石料、水泥、外加剂</w:t>
                  </w:r>
                  <w:r>
                    <w:rPr>
                      <w:rFonts w:hint="eastAsia" w:eastAsiaTheme="minorEastAsia"/>
                      <w:color w:val="auto"/>
                      <w:kern w:val="2"/>
                      <w:sz w:val="21"/>
                      <w:szCs w:val="21"/>
                      <w:lang w:val="en-US" w:eastAsia="zh-CN"/>
                    </w:rPr>
                    <w:t>和</w:t>
                  </w:r>
                  <w:r>
                    <w:rPr>
                      <w:rFonts w:eastAsiaTheme="minorEastAsia"/>
                      <w:color w:val="auto"/>
                      <w:kern w:val="2"/>
                      <w:sz w:val="21"/>
                      <w:szCs w:val="21"/>
                    </w:rPr>
                    <w:t>水）依次加入搅拌机内搅拌，在规定时间内生产出合格的混凝土。</w:t>
                  </w:r>
                </w:p>
              </w:tc>
              <w:tc>
                <w:tcPr>
                  <w:tcW w:w="746" w:type="dxa"/>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eastAsiaTheme="minorEastAsia"/>
                      <w:color w:val="auto"/>
                      <w:kern w:val="2"/>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vMerge w:val="restart"/>
                  <w:vAlign w:val="center"/>
                </w:tcPr>
                <w:p>
                  <w:pPr>
                    <w:pStyle w:val="6"/>
                    <w:adjustRightInd w:val="0"/>
                    <w:snapToGrid w:val="0"/>
                    <w:spacing w:after="0"/>
                    <w:ind w:left="0" w:leftChars="0" w:firstLine="0" w:firstLineChars="0"/>
                    <w:jc w:val="center"/>
                    <w:rPr>
                      <w:rFonts w:eastAsiaTheme="minorEastAsia"/>
                      <w:b/>
                      <w:bCs/>
                      <w:color w:val="auto"/>
                      <w:kern w:val="2"/>
                      <w:sz w:val="21"/>
                      <w:szCs w:val="21"/>
                    </w:rPr>
                  </w:pPr>
                  <w:r>
                    <w:rPr>
                      <w:rFonts w:eastAsiaTheme="minorEastAsia"/>
                      <w:b/>
                      <w:bCs/>
                      <w:color w:val="auto"/>
                      <w:kern w:val="2"/>
                      <w:sz w:val="21"/>
                      <w:szCs w:val="21"/>
                    </w:rPr>
                    <w:t>辅助工程</w:t>
                  </w:r>
                </w:p>
              </w:tc>
              <w:tc>
                <w:tcPr>
                  <w:tcW w:w="1529" w:type="dxa"/>
                  <w:gridSpan w:val="2"/>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eastAsiaTheme="minorEastAsia"/>
                      <w:color w:val="auto"/>
                      <w:kern w:val="2"/>
                      <w:sz w:val="21"/>
                      <w:szCs w:val="21"/>
                    </w:rPr>
                    <w:t>电控系统</w:t>
                  </w:r>
                </w:p>
              </w:tc>
              <w:tc>
                <w:tcPr>
                  <w:tcW w:w="5566" w:type="dxa"/>
                  <w:vAlign w:val="center"/>
                </w:tcPr>
                <w:p>
                  <w:pPr>
                    <w:pStyle w:val="6"/>
                    <w:adjustRightInd w:val="0"/>
                    <w:snapToGrid w:val="0"/>
                    <w:spacing w:after="0"/>
                    <w:ind w:left="0" w:leftChars="0"/>
                    <w:rPr>
                      <w:rFonts w:eastAsiaTheme="minorEastAsia"/>
                      <w:color w:val="auto"/>
                      <w:kern w:val="2"/>
                      <w:sz w:val="21"/>
                      <w:szCs w:val="21"/>
                    </w:rPr>
                  </w:pPr>
                  <w:r>
                    <w:rPr>
                      <w:rFonts w:hint="eastAsia" w:eastAsiaTheme="minorEastAsia"/>
                      <w:color w:val="auto"/>
                      <w:kern w:val="2"/>
                      <w:sz w:val="21"/>
                      <w:szCs w:val="21"/>
                      <w:lang w:val="en-US" w:eastAsia="zh-CN"/>
                    </w:rPr>
                    <w:t>拌合</w:t>
                  </w:r>
                  <w:r>
                    <w:rPr>
                      <w:rFonts w:eastAsiaTheme="minorEastAsia"/>
                      <w:color w:val="auto"/>
                      <w:kern w:val="2"/>
                      <w:sz w:val="21"/>
                      <w:szCs w:val="21"/>
                    </w:rPr>
                    <w:t>站设置电控系统，</w:t>
                  </w:r>
                  <w:r>
                    <w:rPr>
                      <w:rFonts w:hint="eastAsia" w:eastAsiaTheme="minorEastAsia"/>
                      <w:color w:val="auto"/>
                      <w:kern w:val="2"/>
                      <w:sz w:val="21"/>
                      <w:szCs w:val="21"/>
                      <w:lang w:val="en-US" w:eastAsia="zh-CN"/>
                    </w:rPr>
                    <w:t>拌合</w:t>
                  </w:r>
                  <w:r>
                    <w:rPr>
                      <w:rFonts w:eastAsiaTheme="minorEastAsia"/>
                      <w:color w:val="auto"/>
                      <w:kern w:val="2"/>
                      <w:sz w:val="21"/>
                      <w:szCs w:val="21"/>
                    </w:rPr>
                    <w:t>站各功能单元在控制系统指挥和管理下完成全部操作，实现自动化管理。</w:t>
                  </w:r>
                </w:p>
              </w:tc>
              <w:tc>
                <w:tcPr>
                  <w:tcW w:w="746" w:type="dxa"/>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eastAsiaTheme="minorEastAsia"/>
                      <w:color w:val="auto"/>
                      <w:kern w:val="2"/>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vMerge w:val="continue"/>
                  <w:vAlign w:val="center"/>
                </w:tcPr>
                <w:p>
                  <w:pPr>
                    <w:pStyle w:val="6"/>
                    <w:adjustRightInd w:val="0"/>
                    <w:snapToGrid w:val="0"/>
                    <w:spacing w:after="0"/>
                    <w:ind w:left="0" w:leftChars="0" w:firstLine="0" w:firstLineChars="0"/>
                    <w:jc w:val="center"/>
                    <w:rPr>
                      <w:rFonts w:eastAsiaTheme="minorEastAsia"/>
                      <w:b/>
                      <w:bCs/>
                      <w:color w:val="auto"/>
                      <w:kern w:val="2"/>
                      <w:sz w:val="21"/>
                      <w:szCs w:val="21"/>
                    </w:rPr>
                  </w:pPr>
                </w:p>
              </w:tc>
              <w:tc>
                <w:tcPr>
                  <w:tcW w:w="1529" w:type="dxa"/>
                  <w:gridSpan w:val="2"/>
                  <w:vAlign w:val="center"/>
                </w:tcPr>
                <w:p>
                  <w:pPr>
                    <w:pStyle w:val="6"/>
                    <w:adjustRightInd w:val="0"/>
                    <w:snapToGrid w:val="0"/>
                    <w:spacing w:after="0"/>
                    <w:ind w:left="0" w:leftChars="0" w:firstLine="0" w:firstLineChars="0"/>
                    <w:jc w:val="center"/>
                    <w:rPr>
                      <w:rFonts w:hint="default" w:eastAsiaTheme="minorEastAsia"/>
                      <w:color w:val="auto"/>
                      <w:kern w:val="2"/>
                      <w:sz w:val="21"/>
                      <w:szCs w:val="21"/>
                      <w:lang w:val="en-US" w:eastAsia="zh-CN"/>
                    </w:rPr>
                  </w:pPr>
                  <w:r>
                    <w:rPr>
                      <w:rFonts w:hint="eastAsia" w:eastAsiaTheme="minorEastAsia"/>
                      <w:color w:val="auto"/>
                      <w:kern w:val="2"/>
                      <w:sz w:val="21"/>
                      <w:szCs w:val="21"/>
                      <w:lang w:val="en-US" w:eastAsia="zh-CN"/>
                    </w:rPr>
                    <w:t>混凝土罐车洗车台</w:t>
                  </w:r>
                </w:p>
              </w:tc>
              <w:tc>
                <w:tcPr>
                  <w:tcW w:w="5566" w:type="dxa"/>
                  <w:vAlign w:val="center"/>
                </w:tcPr>
                <w:p>
                  <w:pPr>
                    <w:adjustRightInd w:val="0"/>
                    <w:snapToGrid w:val="0"/>
                    <w:ind w:firstLine="420" w:firstLineChars="200"/>
                    <w:rPr>
                      <w:rFonts w:hint="eastAsia" w:eastAsiaTheme="minorEastAsia"/>
                      <w:color w:val="auto"/>
                      <w:szCs w:val="21"/>
                      <w:lang w:val="en-US" w:eastAsia="zh-CN"/>
                    </w:rPr>
                  </w:pPr>
                  <w:r>
                    <w:rPr>
                      <w:rFonts w:hint="eastAsia" w:eastAsiaTheme="minorEastAsia"/>
                      <w:color w:val="auto"/>
                      <w:szCs w:val="21"/>
                      <w:lang w:val="en-US" w:eastAsia="zh-CN"/>
                    </w:rPr>
                    <w:t>建筑结构：一层，建筑面积90</w:t>
                  </w:r>
                  <w:r>
                    <w:rPr>
                      <w:rFonts w:eastAsiaTheme="minorEastAsia"/>
                      <w:color w:val="auto"/>
                      <w:szCs w:val="21"/>
                    </w:rPr>
                    <w:t>m</w:t>
                  </w:r>
                  <w:r>
                    <w:rPr>
                      <w:rFonts w:eastAsiaTheme="minorEastAsia"/>
                      <w:color w:val="auto"/>
                      <w:szCs w:val="21"/>
                      <w:vertAlign w:val="superscript"/>
                    </w:rPr>
                    <w:t>2</w:t>
                  </w:r>
                  <w:r>
                    <w:rPr>
                      <w:rFonts w:hint="eastAsia" w:eastAsiaTheme="minorEastAsia"/>
                      <w:color w:val="auto"/>
                      <w:szCs w:val="21"/>
                      <w:lang w:val="en-US" w:eastAsia="zh-CN"/>
                    </w:rPr>
                    <w:t>的砖混结构。</w:t>
                  </w:r>
                </w:p>
                <w:p>
                  <w:pPr>
                    <w:pStyle w:val="5"/>
                    <w:rPr>
                      <w:rFonts w:hint="default"/>
                      <w:color w:val="auto"/>
                      <w:lang w:val="en-US" w:eastAsia="zh-CN"/>
                    </w:rPr>
                  </w:pPr>
                  <w:r>
                    <w:rPr>
                      <w:rFonts w:hint="eastAsia" w:eastAsiaTheme="minorEastAsia"/>
                      <w:color w:val="auto"/>
                      <w:szCs w:val="21"/>
                      <w:lang w:val="en-US" w:eastAsia="zh-CN"/>
                    </w:rPr>
                    <w:t>建筑功能：对混凝土罐车进行全方位清洗，减少粉尘污染。</w:t>
                  </w:r>
                </w:p>
              </w:tc>
              <w:tc>
                <w:tcPr>
                  <w:tcW w:w="746" w:type="dxa"/>
                  <w:vAlign w:val="center"/>
                </w:tcPr>
                <w:p>
                  <w:pPr>
                    <w:adjustRightInd w:val="0"/>
                    <w:snapToGrid w:val="0"/>
                    <w:jc w:val="center"/>
                    <w:rPr>
                      <w:rFonts w:hint="eastAsia" w:eastAsiaTheme="minorEastAsia"/>
                      <w:color w:val="auto"/>
                      <w:szCs w:val="21"/>
                      <w:lang w:val="en-US" w:eastAsia="zh-CN"/>
                    </w:rPr>
                  </w:pPr>
                  <w:r>
                    <w:rPr>
                      <w:rFonts w:hint="eastAsia" w:eastAsiaTheme="minorEastAsia"/>
                      <w:color w:val="auto"/>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 w:type="dxa"/>
                  <w:vMerge w:val="continue"/>
                  <w:vAlign w:val="center"/>
                </w:tcPr>
                <w:p>
                  <w:pPr>
                    <w:pStyle w:val="6"/>
                    <w:adjustRightInd w:val="0"/>
                    <w:snapToGrid w:val="0"/>
                    <w:spacing w:after="0"/>
                    <w:ind w:left="0" w:leftChars="0" w:firstLine="0" w:firstLineChars="0"/>
                    <w:jc w:val="center"/>
                    <w:rPr>
                      <w:rFonts w:eastAsiaTheme="minorEastAsia"/>
                      <w:b/>
                      <w:bCs/>
                      <w:color w:val="auto"/>
                      <w:kern w:val="2"/>
                      <w:sz w:val="21"/>
                      <w:szCs w:val="21"/>
                    </w:rPr>
                  </w:pPr>
                </w:p>
              </w:tc>
              <w:tc>
                <w:tcPr>
                  <w:tcW w:w="1529" w:type="dxa"/>
                  <w:gridSpan w:val="2"/>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hint="eastAsia" w:eastAsiaTheme="minorEastAsia"/>
                      <w:color w:val="auto"/>
                      <w:kern w:val="2"/>
                      <w:sz w:val="21"/>
                      <w:szCs w:val="21"/>
                      <w:lang w:val="en-US" w:eastAsia="zh-CN"/>
                    </w:rPr>
                    <w:t>试验</w:t>
                  </w:r>
                  <w:r>
                    <w:rPr>
                      <w:rFonts w:eastAsiaTheme="minorEastAsia"/>
                      <w:color w:val="auto"/>
                      <w:kern w:val="2"/>
                      <w:sz w:val="21"/>
                      <w:szCs w:val="21"/>
                    </w:rPr>
                    <w:t>室</w:t>
                  </w:r>
                </w:p>
              </w:tc>
              <w:tc>
                <w:tcPr>
                  <w:tcW w:w="5566" w:type="dxa"/>
                  <w:vAlign w:val="center"/>
                </w:tcPr>
                <w:p>
                  <w:pPr>
                    <w:adjustRightInd w:val="0"/>
                    <w:snapToGrid w:val="0"/>
                    <w:ind w:firstLine="420" w:firstLineChars="200"/>
                    <w:jc w:val="both"/>
                    <w:rPr>
                      <w:rFonts w:eastAsiaTheme="minorEastAsia"/>
                      <w:color w:val="auto"/>
                      <w:szCs w:val="21"/>
                    </w:rPr>
                  </w:pPr>
                  <w:r>
                    <w:rPr>
                      <w:rFonts w:hint="eastAsia" w:eastAsiaTheme="minorEastAsia"/>
                      <w:color w:val="auto"/>
                      <w:szCs w:val="21"/>
                      <w:lang w:val="en-US" w:eastAsia="zh-CN"/>
                    </w:rPr>
                    <w:t>建筑结构：</w:t>
                  </w:r>
                  <w:r>
                    <w:rPr>
                      <w:rFonts w:eastAsiaTheme="minorEastAsia"/>
                      <w:color w:val="auto"/>
                      <w:szCs w:val="21"/>
                    </w:rPr>
                    <w:t>可移动活动板房</w:t>
                  </w:r>
                  <w:r>
                    <w:rPr>
                      <w:rFonts w:hint="eastAsia" w:eastAsiaTheme="minorEastAsia"/>
                      <w:color w:val="auto"/>
                      <w:szCs w:val="21"/>
                      <w:lang w:eastAsia="zh-CN"/>
                    </w:rPr>
                    <w:t>，</w:t>
                  </w:r>
                  <w:r>
                    <w:rPr>
                      <w:rFonts w:hint="eastAsia" w:eastAsiaTheme="minorEastAsia"/>
                      <w:color w:val="auto"/>
                      <w:szCs w:val="21"/>
                      <w:lang w:val="en-US" w:eastAsia="zh-CN"/>
                    </w:rPr>
                    <w:t>位于施工现场项目经理部</w:t>
                  </w:r>
                  <w:r>
                    <w:rPr>
                      <w:rFonts w:eastAsiaTheme="minorEastAsia"/>
                      <w:color w:val="auto"/>
                      <w:szCs w:val="21"/>
                    </w:rPr>
                    <w:t>地上</w:t>
                  </w:r>
                  <w:r>
                    <w:rPr>
                      <w:rFonts w:hint="eastAsia" w:eastAsiaTheme="minorEastAsia"/>
                      <w:color w:val="auto"/>
                      <w:szCs w:val="21"/>
                      <w:lang w:val="en-US" w:eastAsia="zh-CN"/>
                    </w:rPr>
                    <w:t>一层</w:t>
                  </w:r>
                  <w:r>
                    <w:rPr>
                      <w:rFonts w:eastAsiaTheme="minorEastAsia"/>
                      <w:color w:val="auto"/>
                      <w:szCs w:val="21"/>
                    </w:rPr>
                    <w:t>，建筑面积为</w:t>
                  </w:r>
                  <w:r>
                    <w:rPr>
                      <w:rFonts w:hint="eastAsia" w:eastAsiaTheme="minorEastAsia"/>
                      <w:color w:val="auto"/>
                      <w:szCs w:val="21"/>
                      <w:lang w:val="en-US" w:eastAsia="zh-CN"/>
                    </w:rPr>
                    <w:t>18</w:t>
                  </w:r>
                  <w:r>
                    <w:rPr>
                      <w:rFonts w:eastAsiaTheme="minorEastAsia"/>
                      <w:color w:val="auto"/>
                      <w:szCs w:val="21"/>
                    </w:rPr>
                    <w:t>m</w:t>
                  </w:r>
                  <w:r>
                    <w:rPr>
                      <w:rFonts w:eastAsiaTheme="minorEastAsia"/>
                      <w:color w:val="auto"/>
                      <w:szCs w:val="21"/>
                      <w:vertAlign w:val="superscript"/>
                    </w:rPr>
                    <w:t>2</w:t>
                  </w:r>
                  <w:r>
                    <w:rPr>
                      <w:rFonts w:eastAsiaTheme="minorEastAsia"/>
                      <w:color w:val="auto"/>
                      <w:szCs w:val="21"/>
                    </w:rPr>
                    <w:t>。</w:t>
                  </w:r>
                </w:p>
                <w:p>
                  <w:pPr>
                    <w:pStyle w:val="31"/>
                    <w:adjustRightInd w:val="0"/>
                    <w:snapToGrid w:val="0"/>
                    <w:spacing w:line="240" w:lineRule="auto"/>
                    <w:ind w:firstLine="420"/>
                    <w:jc w:val="both"/>
                    <w:rPr>
                      <w:rFonts w:eastAsiaTheme="minorEastAsia"/>
                      <w:color w:val="auto"/>
                      <w:sz w:val="21"/>
                      <w:szCs w:val="21"/>
                    </w:rPr>
                  </w:pPr>
                  <w:r>
                    <w:rPr>
                      <w:rFonts w:eastAsiaTheme="minorEastAsia"/>
                      <w:color w:val="auto"/>
                      <w:sz w:val="21"/>
                      <w:szCs w:val="21"/>
                    </w:rPr>
                    <w:t>建筑功能：对水泥、水洗砂、外加剂等原料和成品混凝土取样检测。</w:t>
                  </w:r>
                </w:p>
              </w:tc>
              <w:tc>
                <w:tcPr>
                  <w:tcW w:w="746" w:type="dxa"/>
                  <w:vAlign w:val="center"/>
                </w:tcPr>
                <w:p>
                  <w:pPr>
                    <w:adjustRightInd w:val="0"/>
                    <w:snapToGrid w:val="0"/>
                    <w:jc w:val="center"/>
                    <w:rPr>
                      <w:rFonts w:hint="eastAsia" w:eastAsiaTheme="minorEastAsia"/>
                      <w:color w:val="auto"/>
                      <w:szCs w:val="21"/>
                      <w:lang w:eastAsia="zh-CN"/>
                    </w:rPr>
                  </w:pPr>
                  <w:r>
                    <w:rPr>
                      <w:rFonts w:hint="eastAsia" w:eastAsiaTheme="minorEastAsia"/>
                      <w:color w:val="auto"/>
                      <w:szCs w:val="21"/>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8" w:type="dxa"/>
                  <w:vMerge w:val="continue"/>
                  <w:vAlign w:val="center"/>
                </w:tcPr>
                <w:p>
                  <w:pPr>
                    <w:pStyle w:val="6"/>
                    <w:adjustRightInd w:val="0"/>
                    <w:snapToGrid w:val="0"/>
                    <w:spacing w:after="0"/>
                    <w:ind w:left="0" w:leftChars="0" w:firstLine="0" w:firstLineChars="0"/>
                    <w:jc w:val="center"/>
                    <w:rPr>
                      <w:rFonts w:eastAsiaTheme="minorEastAsia"/>
                      <w:b/>
                      <w:bCs/>
                      <w:color w:val="auto"/>
                      <w:kern w:val="2"/>
                      <w:sz w:val="21"/>
                      <w:szCs w:val="21"/>
                    </w:rPr>
                  </w:pPr>
                </w:p>
              </w:tc>
              <w:tc>
                <w:tcPr>
                  <w:tcW w:w="1529" w:type="dxa"/>
                  <w:gridSpan w:val="2"/>
                  <w:vAlign w:val="center"/>
                </w:tcPr>
                <w:p>
                  <w:pPr>
                    <w:pStyle w:val="6"/>
                    <w:adjustRightInd w:val="0"/>
                    <w:snapToGrid w:val="0"/>
                    <w:spacing w:after="0"/>
                    <w:ind w:left="0" w:leftChars="0" w:firstLine="0" w:firstLineChars="0"/>
                    <w:jc w:val="center"/>
                    <w:rPr>
                      <w:rFonts w:hint="default" w:eastAsiaTheme="minorEastAsia"/>
                      <w:color w:val="auto"/>
                      <w:kern w:val="2"/>
                      <w:sz w:val="21"/>
                      <w:szCs w:val="21"/>
                      <w:lang w:val="en-US" w:eastAsia="zh-CN"/>
                    </w:rPr>
                  </w:pPr>
                  <w:r>
                    <w:rPr>
                      <w:rFonts w:hint="eastAsia" w:eastAsiaTheme="minorEastAsia"/>
                      <w:color w:val="auto"/>
                      <w:kern w:val="2"/>
                      <w:sz w:val="21"/>
                      <w:szCs w:val="21"/>
                      <w:lang w:val="en-US" w:eastAsia="zh-CN"/>
                    </w:rPr>
                    <w:t>标养室</w:t>
                  </w:r>
                </w:p>
              </w:tc>
              <w:tc>
                <w:tcPr>
                  <w:tcW w:w="5566" w:type="dxa"/>
                  <w:vAlign w:val="center"/>
                </w:tcPr>
                <w:p>
                  <w:pPr>
                    <w:adjustRightInd w:val="0"/>
                    <w:snapToGrid w:val="0"/>
                    <w:ind w:firstLine="420" w:firstLineChars="200"/>
                    <w:jc w:val="both"/>
                    <w:rPr>
                      <w:rFonts w:eastAsiaTheme="minorEastAsia"/>
                      <w:color w:val="auto"/>
                      <w:szCs w:val="21"/>
                    </w:rPr>
                  </w:pPr>
                  <w:r>
                    <w:rPr>
                      <w:rFonts w:hint="eastAsia" w:eastAsiaTheme="minorEastAsia"/>
                      <w:color w:val="auto"/>
                      <w:szCs w:val="21"/>
                      <w:lang w:val="en-US" w:eastAsia="zh-CN"/>
                    </w:rPr>
                    <w:t>建筑结构：</w:t>
                  </w:r>
                  <w:r>
                    <w:rPr>
                      <w:rFonts w:eastAsiaTheme="minorEastAsia"/>
                      <w:color w:val="auto"/>
                      <w:szCs w:val="21"/>
                    </w:rPr>
                    <w:t>可移动活动板房</w:t>
                  </w:r>
                  <w:r>
                    <w:rPr>
                      <w:rFonts w:hint="eastAsia" w:eastAsiaTheme="minorEastAsia"/>
                      <w:color w:val="auto"/>
                      <w:szCs w:val="21"/>
                      <w:lang w:eastAsia="zh-CN"/>
                    </w:rPr>
                    <w:t>，</w:t>
                  </w:r>
                  <w:r>
                    <w:rPr>
                      <w:rFonts w:hint="eastAsia" w:eastAsiaTheme="minorEastAsia"/>
                      <w:color w:val="auto"/>
                      <w:szCs w:val="21"/>
                      <w:lang w:val="en-US" w:eastAsia="zh-CN"/>
                    </w:rPr>
                    <w:t>位于施工现场项目经理部</w:t>
                  </w:r>
                  <w:r>
                    <w:rPr>
                      <w:rFonts w:eastAsiaTheme="minorEastAsia"/>
                      <w:color w:val="auto"/>
                      <w:szCs w:val="21"/>
                    </w:rPr>
                    <w:t>地上</w:t>
                  </w:r>
                  <w:r>
                    <w:rPr>
                      <w:rFonts w:hint="eastAsia" w:eastAsiaTheme="minorEastAsia"/>
                      <w:color w:val="auto"/>
                      <w:szCs w:val="21"/>
                      <w:lang w:val="en-US" w:eastAsia="zh-CN"/>
                    </w:rPr>
                    <w:t>一层</w:t>
                  </w:r>
                  <w:r>
                    <w:rPr>
                      <w:rFonts w:eastAsiaTheme="minorEastAsia"/>
                      <w:color w:val="auto"/>
                      <w:szCs w:val="21"/>
                    </w:rPr>
                    <w:t>，建筑面积为</w:t>
                  </w:r>
                  <w:r>
                    <w:rPr>
                      <w:rFonts w:hint="eastAsia" w:eastAsiaTheme="minorEastAsia"/>
                      <w:color w:val="auto"/>
                      <w:szCs w:val="21"/>
                      <w:lang w:val="en-US" w:eastAsia="zh-CN"/>
                    </w:rPr>
                    <w:t>30</w:t>
                  </w:r>
                  <w:r>
                    <w:rPr>
                      <w:rFonts w:eastAsiaTheme="minorEastAsia"/>
                      <w:color w:val="auto"/>
                      <w:szCs w:val="21"/>
                    </w:rPr>
                    <w:t>m</w:t>
                  </w:r>
                  <w:r>
                    <w:rPr>
                      <w:rFonts w:eastAsiaTheme="minorEastAsia"/>
                      <w:color w:val="auto"/>
                      <w:szCs w:val="21"/>
                      <w:vertAlign w:val="superscript"/>
                    </w:rPr>
                    <w:t>2</w:t>
                  </w:r>
                  <w:r>
                    <w:rPr>
                      <w:rFonts w:eastAsiaTheme="minorEastAsia"/>
                      <w:color w:val="auto"/>
                      <w:szCs w:val="21"/>
                    </w:rPr>
                    <w:t>。</w:t>
                  </w:r>
                </w:p>
                <w:p>
                  <w:pPr>
                    <w:pStyle w:val="31"/>
                    <w:adjustRightInd w:val="0"/>
                    <w:snapToGrid w:val="0"/>
                    <w:spacing w:line="240" w:lineRule="auto"/>
                    <w:ind w:firstLine="420"/>
                    <w:jc w:val="both"/>
                    <w:rPr>
                      <w:rFonts w:eastAsiaTheme="minorEastAsia"/>
                      <w:color w:val="auto"/>
                      <w:sz w:val="21"/>
                      <w:szCs w:val="21"/>
                    </w:rPr>
                  </w:pPr>
                  <w:r>
                    <w:rPr>
                      <w:rFonts w:eastAsiaTheme="minorEastAsia"/>
                      <w:color w:val="auto"/>
                      <w:sz w:val="21"/>
                      <w:szCs w:val="21"/>
                    </w:rPr>
                    <w:t>建筑功能：调节内部</w:t>
                  </w:r>
                  <w:r>
                    <w:rPr>
                      <w:rFonts w:hint="default" w:eastAsiaTheme="minorEastAsia"/>
                      <w:color w:val="auto"/>
                      <w:sz w:val="21"/>
                      <w:szCs w:val="21"/>
                    </w:rPr>
                    <w:fldChar w:fldCharType="begin"/>
                  </w:r>
                  <w:r>
                    <w:rPr>
                      <w:rFonts w:hint="default" w:eastAsiaTheme="minorEastAsia"/>
                      <w:color w:val="auto"/>
                      <w:sz w:val="21"/>
                      <w:szCs w:val="21"/>
                    </w:rPr>
                    <w:instrText xml:space="preserve"> HYPERLINK "https://baike.baidu.com/item/%E7%8E%AF%E5%A2%83%E6%B8%A9%E5%BA%A6/837517?fromModule=lemma_inlink" \t "https://baike.baidu.com/item/%E6%B7%B7%E5%87%9D%E5%9C%9F%E6%A0%87%E5%87%86%E5%85%BB%E6%8A%A4%E5%AE%A4/_blank" </w:instrText>
                  </w:r>
                  <w:r>
                    <w:rPr>
                      <w:rFonts w:hint="default" w:eastAsiaTheme="minorEastAsia"/>
                      <w:color w:val="auto"/>
                      <w:sz w:val="21"/>
                      <w:szCs w:val="21"/>
                    </w:rPr>
                    <w:fldChar w:fldCharType="separate"/>
                  </w:r>
                  <w:r>
                    <w:rPr>
                      <w:rFonts w:hint="default" w:eastAsiaTheme="minorEastAsia"/>
                      <w:color w:val="auto"/>
                      <w:sz w:val="21"/>
                      <w:szCs w:val="21"/>
                    </w:rPr>
                    <w:t>环境温度</w:t>
                  </w:r>
                  <w:r>
                    <w:rPr>
                      <w:rFonts w:hint="default" w:eastAsiaTheme="minorEastAsia"/>
                      <w:color w:val="auto"/>
                      <w:sz w:val="21"/>
                      <w:szCs w:val="21"/>
                    </w:rPr>
                    <w:fldChar w:fldCharType="end"/>
                  </w:r>
                  <w:r>
                    <w:rPr>
                      <w:rFonts w:hint="default" w:eastAsiaTheme="minorEastAsia"/>
                      <w:color w:val="auto"/>
                      <w:sz w:val="21"/>
                      <w:szCs w:val="21"/>
                    </w:rPr>
                    <w:t>、湿度，用于养护混凝土试块、水泥试块、砂浆、</w:t>
                  </w:r>
                  <w:r>
                    <w:rPr>
                      <w:rFonts w:hint="default" w:eastAsiaTheme="minorEastAsia"/>
                      <w:color w:val="auto"/>
                      <w:sz w:val="21"/>
                      <w:szCs w:val="21"/>
                    </w:rPr>
                    <w:fldChar w:fldCharType="begin"/>
                  </w:r>
                  <w:r>
                    <w:rPr>
                      <w:rFonts w:hint="default" w:eastAsiaTheme="minorEastAsia"/>
                      <w:color w:val="auto"/>
                      <w:sz w:val="21"/>
                      <w:szCs w:val="21"/>
                    </w:rPr>
                    <w:instrText xml:space="preserve"> HYPERLINK "https://baike.baidu.com/item/%E4%BF%9D%E6%B8%A9%E6%9D%90%E6%96%99/221833?fromModule=lemma_inlink" \t "https://baike.baidu.com/item/%E6%B7%B7%E5%87%9D%E5%9C%9F%E6%A0%87%E5%87%86%E5%85%BB%E6%8A%A4%E5%AE%A4/_blank" </w:instrText>
                  </w:r>
                  <w:r>
                    <w:rPr>
                      <w:rFonts w:hint="default" w:eastAsiaTheme="minorEastAsia"/>
                      <w:color w:val="auto"/>
                      <w:sz w:val="21"/>
                      <w:szCs w:val="21"/>
                    </w:rPr>
                    <w:fldChar w:fldCharType="separate"/>
                  </w:r>
                  <w:r>
                    <w:rPr>
                      <w:rFonts w:hint="default" w:eastAsiaTheme="minorEastAsia"/>
                      <w:color w:val="auto"/>
                      <w:sz w:val="21"/>
                      <w:szCs w:val="21"/>
                    </w:rPr>
                    <w:t>保温材料</w:t>
                  </w:r>
                  <w:r>
                    <w:rPr>
                      <w:rFonts w:hint="default" w:eastAsiaTheme="minorEastAsia"/>
                      <w:color w:val="auto"/>
                      <w:sz w:val="21"/>
                      <w:szCs w:val="21"/>
                    </w:rPr>
                    <w:fldChar w:fldCharType="end"/>
                  </w:r>
                  <w:r>
                    <w:rPr>
                      <w:rFonts w:hint="default" w:eastAsiaTheme="minorEastAsia"/>
                      <w:color w:val="auto"/>
                      <w:sz w:val="21"/>
                      <w:szCs w:val="21"/>
                    </w:rPr>
                    <w:t>、涂料、</w:t>
                  </w:r>
                  <w:r>
                    <w:rPr>
                      <w:rFonts w:hint="default" w:eastAsiaTheme="minorEastAsia"/>
                      <w:color w:val="auto"/>
                      <w:sz w:val="21"/>
                      <w:szCs w:val="21"/>
                    </w:rPr>
                    <w:fldChar w:fldCharType="begin"/>
                  </w:r>
                  <w:r>
                    <w:rPr>
                      <w:rFonts w:hint="default" w:eastAsiaTheme="minorEastAsia"/>
                      <w:color w:val="auto"/>
                      <w:sz w:val="21"/>
                      <w:szCs w:val="21"/>
                    </w:rPr>
                    <w:instrText xml:space="preserve"> HYPERLINK "https://baike.baidu.com/item/%E7%BB%93%E6%9E%84%E8%83%B6/6298553?fromModule=lemma_inlink" \t "https://baike.baidu.com/item/%E6%B7%B7%E5%87%9D%E5%9C%9F%E6%A0%87%E5%87%86%E5%85%BB%E6%8A%A4%E5%AE%A4/_blank" </w:instrText>
                  </w:r>
                  <w:r>
                    <w:rPr>
                      <w:rFonts w:hint="default" w:eastAsiaTheme="minorEastAsia"/>
                      <w:color w:val="auto"/>
                      <w:sz w:val="21"/>
                      <w:szCs w:val="21"/>
                    </w:rPr>
                    <w:fldChar w:fldCharType="separate"/>
                  </w:r>
                  <w:r>
                    <w:rPr>
                      <w:rFonts w:hint="default" w:eastAsiaTheme="minorEastAsia"/>
                      <w:color w:val="auto"/>
                      <w:sz w:val="21"/>
                      <w:szCs w:val="21"/>
                    </w:rPr>
                    <w:t>结构胶</w:t>
                  </w:r>
                  <w:r>
                    <w:rPr>
                      <w:rFonts w:hint="default" w:eastAsiaTheme="minorEastAsia"/>
                      <w:color w:val="auto"/>
                      <w:sz w:val="21"/>
                      <w:szCs w:val="21"/>
                    </w:rPr>
                    <w:fldChar w:fldCharType="end"/>
                  </w:r>
                  <w:r>
                    <w:rPr>
                      <w:rFonts w:hint="default" w:eastAsiaTheme="minorEastAsia"/>
                      <w:color w:val="auto"/>
                      <w:sz w:val="21"/>
                      <w:szCs w:val="21"/>
                    </w:rPr>
                    <w:t>等，以保证</w:t>
                  </w:r>
                  <w:r>
                    <w:rPr>
                      <w:rFonts w:hint="eastAsia" w:eastAsiaTheme="minorEastAsia"/>
                      <w:color w:val="auto"/>
                      <w:sz w:val="21"/>
                      <w:szCs w:val="21"/>
                      <w:lang w:val="en-US" w:eastAsia="zh-CN"/>
                    </w:rPr>
                    <w:t>成品</w:t>
                  </w:r>
                  <w:r>
                    <w:rPr>
                      <w:rFonts w:hint="default" w:eastAsiaTheme="minorEastAsia"/>
                      <w:color w:val="auto"/>
                      <w:sz w:val="21"/>
                      <w:szCs w:val="21"/>
                    </w:rPr>
                    <w:t>满足要求</w:t>
                  </w:r>
                  <w:r>
                    <w:rPr>
                      <w:rFonts w:eastAsiaTheme="minorEastAsia"/>
                      <w:color w:val="auto"/>
                      <w:sz w:val="21"/>
                      <w:szCs w:val="21"/>
                    </w:rPr>
                    <w:t>。</w:t>
                  </w:r>
                </w:p>
              </w:tc>
              <w:tc>
                <w:tcPr>
                  <w:tcW w:w="746" w:type="dxa"/>
                  <w:vAlign w:val="center"/>
                </w:tcPr>
                <w:p>
                  <w:pPr>
                    <w:adjustRightInd w:val="0"/>
                    <w:snapToGrid w:val="0"/>
                    <w:jc w:val="center"/>
                    <w:rPr>
                      <w:rFonts w:hint="eastAsia" w:eastAsiaTheme="minorEastAsia"/>
                      <w:color w:val="auto"/>
                      <w:szCs w:val="21"/>
                      <w:lang w:eastAsia="zh-CN"/>
                    </w:rPr>
                  </w:pPr>
                  <w:r>
                    <w:rPr>
                      <w:rFonts w:hint="eastAsia" w:eastAsiaTheme="minorEastAsia"/>
                      <w:color w:val="auto"/>
                      <w:szCs w:val="21"/>
                      <w:lang w:val="en-US" w:eastAsia="zh-CN"/>
                    </w:rPr>
                    <w:t>依托</w:t>
                  </w:r>
                </w:p>
              </w:tc>
            </w:tr>
          </w:tbl>
          <w:p>
            <w:pPr>
              <w:pStyle w:val="6"/>
              <w:adjustRightInd w:val="0"/>
              <w:snapToGrid w:val="0"/>
              <w:jc w:val="center"/>
              <w:rPr>
                <w:rFonts w:hint="eastAsia"/>
                <w:b/>
                <w:bCs/>
                <w:color w:val="auto"/>
                <w:sz w:val="21"/>
                <w:szCs w:val="21"/>
                <w:lang w:eastAsia="zh-CN"/>
              </w:rPr>
            </w:pPr>
          </w:p>
          <w:p>
            <w:pPr>
              <w:pStyle w:val="6"/>
              <w:adjustRightInd w:val="0"/>
              <w:snapToGrid w:val="0"/>
              <w:jc w:val="center"/>
              <w:rPr>
                <w:color w:val="auto"/>
              </w:rPr>
            </w:pPr>
            <w:r>
              <w:rPr>
                <w:rFonts w:hint="eastAsia"/>
                <w:b/>
                <w:bCs/>
                <w:color w:val="auto"/>
                <w:sz w:val="21"/>
                <w:szCs w:val="21"/>
                <w:lang w:eastAsia="zh-CN"/>
              </w:rPr>
              <w:t>（</w:t>
            </w:r>
            <w:r>
              <w:rPr>
                <w:rFonts w:hint="eastAsia"/>
                <w:b/>
                <w:bCs/>
                <w:color w:val="auto"/>
                <w:sz w:val="21"/>
                <w:szCs w:val="21"/>
                <w:lang w:val="en-US" w:eastAsia="zh-CN"/>
              </w:rPr>
              <w:t>续</w:t>
            </w:r>
            <w:r>
              <w:rPr>
                <w:rFonts w:hint="eastAsia"/>
                <w:b/>
                <w:bCs/>
                <w:color w:val="auto"/>
                <w:sz w:val="21"/>
                <w:szCs w:val="21"/>
                <w:lang w:eastAsia="zh-CN"/>
              </w:rPr>
              <w:t>）</w:t>
            </w:r>
            <w:r>
              <w:rPr>
                <w:b/>
                <w:bCs/>
                <w:color w:val="auto"/>
                <w:sz w:val="21"/>
                <w:szCs w:val="21"/>
              </w:rPr>
              <w:t xml:space="preserve">表2-1  </w:t>
            </w:r>
            <w:r>
              <w:rPr>
                <w:rFonts w:hint="eastAsia"/>
                <w:b/>
                <w:bCs/>
                <w:color w:val="auto"/>
                <w:sz w:val="21"/>
                <w:szCs w:val="21"/>
              </w:rPr>
              <w:t xml:space="preserve"> </w:t>
            </w:r>
            <w:r>
              <w:rPr>
                <w:b/>
                <w:bCs/>
                <w:color w:val="auto"/>
                <w:sz w:val="21"/>
                <w:szCs w:val="21"/>
              </w:rPr>
              <w:t>本项目工程组成一览表</w:t>
            </w:r>
          </w:p>
          <w:tbl>
            <w:tblPr>
              <w:tblStyle w:val="25"/>
              <w:tblW w:w="826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8"/>
              <w:gridCol w:w="708"/>
              <w:gridCol w:w="661"/>
              <w:gridCol w:w="5726"/>
              <w:gridCol w:w="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97" w:type="dxa"/>
                  <w:gridSpan w:val="3"/>
                  <w:vAlign w:val="center"/>
                </w:tcPr>
                <w:p>
                  <w:pPr>
                    <w:pStyle w:val="6"/>
                    <w:adjustRightInd w:val="0"/>
                    <w:snapToGrid w:val="0"/>
                    <w:spacing w:after="0"/>
                    <w:ind w:left="0" w:leftChars="0" w:firstLine="0" w:firstLineChars="0"/>
                    <w:jc w:val="center"/>
                    <w:rPr>
                      <w:rFonts w:hint="eastAsia" w:eastAsiaTheme="minorEastAsia"/>
                      <w:color w:val="auto"/>
                      <w:kern w:val="2"/>
                      <w:sz w:val="21"/>
                      <w:szCs w:val="21"/>
                      <w:lang w:val="en-US" w:eastAsia="zh-CN"/>
                    </w:rPr>
                  </w:pPr>
                  <w:r>
                    <w:rPr>
                      <w:rFonts w:eastAsiaTheme="minorEastAsia"/>
                      <w:b/>
                      <w:bCs/>
                      <w:color w:val="auto"/>
                      <w:kern w:val="2"/>
                      <w:sz w:val="21"/>
                      <w:szCs w:val="21"/>
                    </w:rPr>
                    <w:t>项目</w:t>
                  </w:r>
                </w:p>
              </w:tc>
              <w:tc>
                <w:tcPr>
                  <w:tcW w:w="5726" w:type="dxa"/>
                  <w:vAlign w:val="center"/>
                </w:tcPr>
                <w:p>
                  <w:pPr>
                    <w:pStyle w:val="6"/>
                    <w:adjustRightInd w:val="0"/>
                    <w:snapToGrid w:val="0"/>
                    <w:spacing w:after="0"/>
                    <w:ind w:left="0" w:leftChars="0" w:firstLine="0" w:firstLineChars="0"/>
                    <w:jc w:val="center"/>
                    <w:rPr>
                      <w:rFonts w:eastAsiaTheme="minorEastAsia"/>
                      <w:color w:val="auto"/>
                      <w:sz w:val="21"/>
                      <w:szCs w:val="21"/>
                    </w:rPr>
                  </w:pPr>
                  <w:r>
                    <w:rPr>
                      <w:rFonts w:eastAsiaTheme="minorEastAsia"/>
                      <w:b/>
                      <w:bCs/>
                      <w:color w:val="auto"/>
                      <w:kern w:val="2"/>
                      <w:sz w:val="21"/>
                      <w:szCs w:val="21"/>
                    </w:rPr>
                    <w:t>建设内容</w:t>
                  </w:r>
                </w:p>
              </w:tc>
              <w:tc>
                <w:tcPr>
                  <w:tcW w:w="746" w:type="dxa"/>
                  <w:vAlign w:val="center"/>
                </w:tcPr>
                <w:p>
                  <w:pPr>
                    <w:pStyle w:val="6"/>
                    <w:adjustRightInd w:val="0"/>
                    <w:snapToGrid w:val="0"/>
                    <w:spacing w:after="0"/>
                    <w:ind w:left="0" w:leftChars="0" w:firstLine="0" w:firstLineChars="0"/>
                    <w:jc w:val="center"/>
                    <w:rPr>
                      <w:rFonts w:hint="eastAsia" w:eastAsiaTheme="minorEastAsia"/>
                      <w:color w:val="auto"/>
                      <w:szCs w:val="21"/>
                      <w:lang w:val="en-US" w:eastAsia="zh-CN"/>
                    </w:rPr>
                  </w:pPr>
                  <w:r>
                    <w:rPr>
                      <w:rFonts w:eastAsiaTheme="minorEastAsia"/>
                      <w:b/>
                      <w:bCs/>
                      <w:color w:val="auto"/>
                      <w:kern w:val="2"/>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8" w:type="dxa"/>
                  <w:vAlign w:val="center"/>
                </w:tcPr>
                <w:p>
                  <w:pPr>
                    <w:pStyle w:val="6"/>
                    <w:adjustRightInd w:val="0"/>
                    <w:snapToGrid w:val="0"/>
                    <w:spacing w:after="0"/>
                    <w:ind w:left="0" w:leftChars="0" w:firstLine="0" w:firstLineChars="0"/>
                    <w:jc w:val="center"/>
                    <w:rPr>
                      <w:rFonts w:eastAsiaTheme="minorEastAsia"/>
                      <w:b/>
                      <w:bCs/>
                      <w:color w:val="auto"/>
                      <w:kern w:val="2"/>
                      <w:sz w:val="21"/>
                      <w:szCs w:val="21"/>
                    </w:rPr>
                  </w:pPr>
                  <w:r>
                    <w:rPr>
                      <w:rFonts w:eastAsiaTheme="minorEastAsia"/>
                      <w:b/>
                      <w:bCs/>
                      <w:color w:val="auto"/>
                      <w:kern w:val="2"/>
                      <w:sz w:val="21"/>
                      <w:szCs w:val="21"/>
                    </w:rPr>
                    <w:t>辅助工程</w:t>
                  </w:r>
                </w:p>
              </w:tc>
              <w:tc>
                <w:tcPr>
                  <w:tcW w:w="1369" w:type="dxa"/>
                  <w:gridSpan w:val="2"/>
                  <w:vAlign w:val="center"/>
                </w:tcPr>
                <w:p>
                  <w:pPr>
                    <w:pStyle w:val="6"/>
                    <w:adjustRightInd w:val="0"/>
                    <w:snapToGrid w:val="0"/>
                    <w:spacing w:after="0"/>
                    <w:ind w:left="0" w:leftChars="0" w:firstLine="0" w:firstLineChars="0"/>
                    <w:jc w:val="center"/>
                    <w:rPr>
                      <w:rFonts w:hint="default" w:eastAsiaTheme="minorEastAsia"/>
                      <w:color w:val="auto"/>
                      <w:kern w:val="2"/>
                      <w:sz w:val="21"/>
                      <w:szCs w:val="21"/>
                      <w:lang w:val="en-US" w:eastAsia="zh-CN"/>
                    </w:rPr>
                  </w:pPr>
                  <w:r>
                    <w:rPr>
                      <w:rFonts w:hint="eastAsia" w:eastAsiaTheme="minorEastAsia"/>
                      <w:color w:val="auto"/>
                      <w:kern w:val="2"/>
                      <w:sz w:val="21"/>
                      <w:szCs w:val="21"/>
                      <w:lang w:val="en-US" w:eastAsia="zh-CN"/>
                    </w:rPr>
                    <w:t>办公室、会议室及物资储备室等</w:t>
                  </w:r>
                </w:p>
              </w:tc>
              <w:tc>
                <w:tcPr>
                  <w:tcW w:w="5726" w:type="dxa"/>
                  <w:vAlign w:val="center"/>
                </w:tcPr>
                <w:p>
                  <w:pPr>
                    <w:pStyle w:val="31"/>
                    <w:adjustRightInd w:val="0"/>
                    <w:snapToGrid w:val="0"/>
                    <w:spacing w:line="240" w:lineRule="auto"/>
                    <w:ind w:firstLine="420"/>
                    <w:jc w:val="both"/>
                    <w:rPr>
                      <w:rFonts w:hint="default" w:eastAsiaTheme="minorEastAsia"/>
                      <w:color w:val="auto"/>
                      <w:sz w:val="21"/>
                      <w:szCs w:val="21"/>
                      <w:lang w:val="en-US" w:eastAsia="zh-CN"/>
                    </w:rPr>
                  </w:pPr>
                  <w:r>
                    <w:rPr>
                      <w:rFonts w:hint="eastAsia" w:eastAsiaTheme="minorEastAsia"/>
                      <w:color w:val="auto"/>
                      <w:sz w:val="21"/>
                      <w:szCs w:val="21"/>
                      <w:lang w:val="en-US" w:eastAsia="zh-CN"/>
                    </w:rPr>
                    <w:t>建筑结构：可移动活动板房，位于施工现场项目经理部地上一层，建筑面积为144</w:t>
                  </w:r>
                  <w:r>
                    <w:rPr>
                      <w:rFonts w:eastAsiaTheme="minorEastAsia"/>
                      <w:color w:val="auto"/>
                      <w:kern w:val="2"/>
                      <w:sz w:val="21"/>
                      <w:szCs w:val="21"/>
                    </w:rPr>
                    <w:t>m</w:t>
                  </w:r>
                  <w:r>
                    <w:rPr>
                      <w:rFonts w:eastAsiaTheme="minorEastAsia"/>
                      <w:color w:val="auto"/>
                      <w:kern w:val="2"/>
                      <w:sz w:val="21"/>
                      <w:szCs w:val="21"/>
                      <w:vertAlign w:val="superscript"/>
                    </w:rPr>
                    <w:t>2</w:t>
                  </w:r>
                  <w:r>
                    <w:rPr>
                      <w:rFonts w:hint="eastAsia" w:eastAsiaTheme="minorEastAsia"/>
                      <w:color w:val="auto"/>
                      <w:sz w:val="21"/>
                      <w:szCs w:val="21"/>
                      <w:lang w:val="en-US" w:eastAsia="zh-CN"/>
                    </w:rPr>
                    <w:t>。</w:t>
                  </w:r>
                </w:p>
                <w:p>
                  <w:pPr>
                    <w:ind w:firstLine="420" w:firstLineChars="200"/>
                    <w:jc w:val="both"/>
                    <w:rPr>
                      <w:rFonts w:hint="default"/>
                      <w:color w:val="auto"/>
                      <w:lang w:val="en-US" w:eastAsia="zh-CN"/>
                    </w:rPr>
                  </w:pPr>
                  <w:r>
                    <w:rPr>
                      <w:rFonts w:hint="eastAsia" w:eastAsiaTheme="minorEastAsia"/>
                      <w:color w:val="auto"/>
                      <w:sz w:val="21"/>
                      <w:szCs w:val="21"/>
                      <w:lang w:val="en-US" w:eastAsia="zh-CN"/>
                    </w:rPr>
                    <w:t>建筑功能：用于项目现场办公开会及物资储备等。</w:t>
                  </w:r>
                </w:p>
              </w:tc>
              <w:tc>
                <w:tcPr>
                  <w:tcW w:w="746" w:type="dxa"/>
                  <w:vAlign w:val="center"/>
                </w:tcPr>
                <w:p>
                  <w:pPr>
                    <w:adjustRightInd w:val="0"/>
                    <w:snapToGrid w:val="0"/>
                    <w:jc w:val="center"/>
                    <w:rPr>
                      <w:rFonts w:hint="eastAsia" w:eastAsiaTheme="minorEastAsia"/>
                      <w:color w:val="auto"/>
                      <w:szCs w:val="21"/>
                      <w:lang w:val="en-US" w:eastAsia="zh-CN"/>
                    </w:rPr>
                  </w:pPr>
                  <w:r>
                    <w:rPr>
                      <w:rFonts w:hint="eastAsia" w:eastAsiaTheme="minorEastAsia"/>
                      <w:color w:val="auto"/>
                      <w:szCs w:val="21"/>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8" w:type="dxa"/>
                  <w:vMerge w:val="restart"/>
                  <w:vAlign w:val="center"/>
                </w:tcPr>
                <w:p>
                  <w:pPr>
                    <w:pStyle w:val="6"/>
                    <w:adjustRightInd w:val="0"/>
                    <w:snapToGrid w:val="0"/>
                    <w:spacing w:after="0"/>
                    <w:ind w:left="0" w:leftChars="0" w:firstLine="0" w:firstLineChars="0"/>
                    <w:jc w:val="center"/>
                    <w:rPr>
                      <w:rFonts w:eastAsiaTheme="minorEastAsia"/>
                      <w:b/>
                      <w:bCs/>
                      <w:color w:val="auto"/>
                      <w:kern w:val="2"/>
                      <w:sz w:val="21"/>
                      <w:szCs w:val="21"/>
                    </w:rPr>
                  </w:pPr>
                  <w:r>
                    <w:rPr>
                      <w:rFonts w:eastAsiaTheme="minorEastAsia"/>
                      <w:b/>
                      <w:bCs/>
                      <w:color w:val="auto"/>
                      <w:kern w:val="2"/>
                      <w:sz w:val="21"/>
                      <w:szCs w:val="21"/>
                    </w:rPr>
                    <w:t>储运工程</w:t>
                  </w:r>
                </w:p>
              </w:tc>
              <w:tc>
                <w:tcPr>
                  <w:tcW w:w="1369" w:type="dxa"/>
                  <w:gridSpan w:val="2"/>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eastAsiaTheme="minorEastAsia"/>
                      <w:color w:val="auto"/>
                      <w:kern w:val="2"/>
                      <w:sz w:val="21"/>
                      <w:szCs w:val="21"/>
                    </w:rPr>
                    <w:t>原料仓</w:t>
                  </w:r>
                </w:p>
              </w:tc>
              <w:tc>
                <w:tcPr>
                  <w:tcW w:w="5726" w:type="dxa"/>
                  <w:vAlign w:val="center"/>
                </w:tcPr>
                <w:p>
                  <w:pPr>
                    <w:pStyle w:val="6"/>
                    <w:adjustRightInd w:val="0"/>
                    <w:snapToGrid w:val="0"/>
                    <w:spacing w:after="0"/>
                    <w:ind w:left="0" w:leftChars="0"/>
                    <w:rPr>
                      <w:rFonts w:eastAsiaTheme="minorEastAsia"/>
                      <w:color w:val="auto"/>
                      <w:kern w:val="2"/>
                      <w:sz w:val="21"/>
                      <w:szCs w:val="21"/>
                    </w:rPr>
                  </w:pPr>
                  <w:r>
                    <w:rPr>
                      <w:rFonts w:eastAsiaTheme="minorEastAsia"/>
                      <w:color w:val="auto"/>
                      <w:kern w:val="2"/>
                      <w:sz w:val="21"/>
                      <w:szCs w:val="21"/>
                    </w:rPr>
                    <w:t>1座，地上</w:t>
                  </w:r>
                  <w:r>
                    <w:rPr>
                      <w:rFonts w:hint="eastAsia" w:eastAsiaTheme="minorEastAsia"/>
                      <w:color w:val="auto"/>
                      <w:kern w:val="2"/>
                      <w:sz w:val="21"/>
                      <w:szCs w:val="21"/>
                      <w:lang w:val="en-US" w:eastAsia="zh-CN"/>
                    </w:rPr>
                    <w:t>一层</w:t>
                  </w:r>
                  <w:r>
                    <w:rPr>
                      <w:rFonts w:eastAsiaTheme="minorEastAsia"/>
                      <w:color w:val="auto"/>
                      <w:kern w:val="2"/>
                      <w:sz w:val="21"/>
                      <w:szCs w:val="21"/>
                    </w:rPr>
                    <w:t>，占地面积</w:t>
                  </w:r>
                  <w:r>
                    <w:rPr>
                      <w:rFonts w:hint="eastAsia" w:eastAsiaTheme="minorEastAsia"/>
                      <w:color w:val="auto"/>
                      <w:kern w:val="2"/>
                      <w:sz w:val="21"/>
                      <w:szCs w:val="21"/>
                      <w:lang w:val="en-US" w:eastAsia="zh-CN"/>
                    </w:rPr>
                    <w:t>1092</w:t>
                  </w:r>
                  <w:r>
                    <w:rPr>
                      <w:rFonts w:eastAsiaTheme="minorEastAsia"/>
                      <w:color w:val="auto"/>
                      <w:kern w:val="2"/>
                      <w:sz w:val="21"/>
                      <w:szCs w:val="21"/>
                    </w:rPr>
                    <w:t>m</w:t>
                  </w:r>
                  <w:r>
                    <w:rPr>
                      <w:rFonts w:eastAsiaTheme="minorEastAsia"/>
                      <w:color w:val="auto"/>
                      <w:kern w:val="2"/>
                      <w:sz w:val="21"/>
                      <w:szCs w:val="21"/>
                      <w:vertAlign w:val="superscript"/>
                    </w:rPr>
                    <w:t>2</w:t>
                  </w:r>
                  <w:r>
                    <w:rPr>
                      <w:rFonts w:eastAsiaTheme="minorEastAsia"/>
                      <w:color w:val="auto"/>
                      <w:kern w:val="2"/>
                      <w:sz w:val="21"/>
                      <w:szCs w:val="21"/>
                    </w:rPr>
                    <w:t>，封闭式</w:t>
                  </w:r>
                  <w:r>
                    <w:rPr>
                      <w:rFonts w:hint="eastAsia" w:eastAsiaTheme="minorEastAsia"/>
                      <w:color w:val="auto"/>
                      <w:kern w:val="2"/>
                      <w:sz w:val="21"/>
                      <w:szCs w:val="21"/>
                      <w:lang w:val="en-US" w:eastAsia="zh-CN"/>
                    </w:rPr>
                    <w:t>彩钢结构</w:t>
                  </w:r>
                  <w:r>
                    <w:rPr>
                      <w:rFonts w:eastAsiaTheme="minorEastAsia"/>
                      <w:color w:val="auto"/>
                      <w:kern w:val="2"/>
                      <w:sz w:val="21"/>
                      <w:szCs w:val="21"/>
                    </w:rPr>
                    <w:t>原料仓，位于厂区东</w:t>
                  </w:r>
                  <w:r>
                    <w:rPr>
                      <w:rFonts w:hint="eastAsia" w:eastAsiaTheme="minorEastAsia"/>
                      <w:color w:val="auto"/>
                      <w:kern w:val="2"/>
                      <w:sz w:val="21"/>
                      <w:szCs w:val="21"/>
                      <w:lang w:val="en-US" w:eastAsia="zh-CN"/>
                    </w:rPr>
                    <w:t>北</w:t>
                  </w:r>
                  <w:r>
                    <w:rPr>
                      <w:rFonts w:eastAsiaTheme="minorEastAsia"/>
                      <w:color w:val="auto"/>
                      <w:kern w:val="2"/>
                      <w:sz w:val="21"/>
                      <w:szCs w:val="21"/>
                    </w:rPr>
                    <w:t>侧，用于存放</w:t>
                  </w:r>
                  <w:r>
                    <w:rPr>
                      <w:rFonts w:hint="eastAsia" w:eastAsiaTheme="minorEastAsia"/>
                      <w:color w:val="auto"/>
                      <w:kern w:val="2"/>
                      <w:sz w:val="21"/>
                      <w:szCs w:val="21"/>
                      <w:lang w:eastAsia="zh-CN"/>
                    </w:rPr>
                    <w:t>5-10mm和10-31.5mm</w:t>
                  </w:r>
                  <w:r>
                    <w:rPr>
                      <w:rFonts w:eastAsiaTheme="minorEastAsia"/>
                      <w:color w:val="auto"/>
                      <w:kern w:val="2"/>
                      <w:sz w:val="21"/>
                      <w:szCs w:val="21"/>
                    </w:rPr>
                    <w:t>石料和水洗砂分区堆放。</w:t>
                  </w:r>
                </w:p>
              </w:tc>
              <w:tc>
                <w:tcPr>
                  <w:tcW w:w="746" w:type="dxa"/>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eastAsiaTheme="minorEastAsia"/>
                      <w:color w:val="auto"/>
                      <w:kern w:val="2"/>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8" w:type="dxa"/>
                  <w:vMerge w:val="continue"/>
                  <w:vAlign w:val="center"/>
                </w:tcPr>
                <w:p>
                  <w:pPr>
                    <w:pStyle w:val="6"/>
                    <w:adjustRightInd w:val="0"/>
                    <w:snapToGrid w:val="0"/>
                    <w:spacing w:after="0"/>
                    <w:ind w:left="0" w:leftChars="0" w:firstLine="0" w:firstLineChars="0"/>
                    <w:jc w:val="center"/>
                    <w:rPr>
                      <w:rFonts w:eastAsiaTheme="minorEastAsia"/>
                      <w:b/>
                      <w:bCs/>
                      <w:color w:val="auto"/>
                      <w:kern w:val="2"/>
                      <w:sz w:val="21"/>
                      <w:szCs w:val="21"/>
                    </w:rPr>
                  </w:pPr>
                </w:p>
              </w:tc>
              <w:tc>
                <w:tcPr>
                  <w:tcW w:w="1369" w:type="dxa"/>
                  <w:gridSpan w:val="2"/>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eastAsiaTheme="minorEastAsia"/>
                      <w:color w:val="auto"/>
                      <w:kern w:val="2"/>
                      <w:sz w:val="21"/>
                      <w:szCs w:val="21"/>
                    </w:rPr>
                    <w:t>地磅</w:t>
                  </w:r>
                </w:p>
              </w:tc>
              <w:tc>
                <w:tcPr>
                  <w:tcW w:w="5726" w:type="dxa"/>
                  <w:vAlign w:val="center"/>
                </w:tcPr>
                <w:p>
                  <w:pPr>
                    <w:pStyle w:val="6"/>
                    <w:adjustRightInd w:val="0"/>
                    <w:snapToGrid w:val="0"/>
                    <w:spacing w:after="0"/>
                    <w:ind w:left="0" w:leftChars="0"/>
                    <w:rPr>
                      <w:rFonts w:eastAsiaTheme="minorEastAsia"/>
                      <w:color w:val="auto"/>
                      <w:kern w:val="2"/>
                      <w:sz w:val="21"/>
                      <w:szCs w:val="21"/>
                    </w:rPr>
                  </w:pPr>
                  <w:r>
                    <w:rPr>
                      <w:rFonts w:eastAsiaTheme="minorEastAsia"/>
                      <w:color w:val="auto"/>
                      <w:kern w:val="2"/>
                      <w:sz w:val="21"/>
                      <w:szCs w:val="21"/>
                    </w:rPr>
                    <w:t>1座，150t</w:t>
                  </w:r>
                  <w:r>
                    <w:rPr>
                      <w:rFonts w:hint="eastAsia" w:eastAsiaTheme="minorEastAsia"/>
                      <w:color w:val="auto"/>
                      <w:kern w:val="2"/>
                      <w:sz w:val="21"/>
                      <w:szCs w:val="21"/>
                      <w:lang w:eastAsia="zh-CN"/>
                    </w:rPr>
                    <w:t>，</w:t>
                  </w:r>
                  <w:r>
                    <w:rPr>
                      <w:rFonts w:eastAsiaTheme="minorEastAsia"/>
                      <w:color w:val="auto"/>
                      <w:sz w:val="21"/>
                      <w:szCs w:val="21"/>
                    </w:rPr>
                    <w:t>占地面积60</w:t>
                  </w:r>
                  <w:r>
                    <w:rPr>
                      <w:rFonts w:eastAsiaTheme="minorEastAsia"/>
                      <w:bCs/>
                      <w:color w:val="auto"/>
                      <w:sz w:val="21"/>
                      <w:szCs w:val="21"/>
                    </w:rPr>
                    <w:t>m</w:t>
                  </w:r>
                  <w:r>
                    <w:rPr>
                      <w:rFonts w:eastAsiaTheme="minorEastAsia"/>
                      <w:bCs/>
                      <w:color w:val="auto"/>
                      <w:sz w:val="21"/>
                      <w:szCs w:val="21"/>
                      <w:vertAlign w:val="superscript"/>
                    </w:rPr>
                    <w:t>2</w:t>
                  </w:r>
                  <w:r>
                    <w:rPr>
                      <w:rFonts w:eastAsiaTheme="minorEastAsia"/>
                      <w:color w:val="auto"/>
                      <w:sz w:val="21"/>
                      <w:szCs w:val="21"/>
                    </w:rPr>
                    <w:t>，</w:t>
                  </w:r>
                  <w:r>
                    <w:rPr>
                      <w:rFonts w:eastAsiaTheme="minorEastAsia"/>
                      <w:bCs/>
                      <w:color w:val="auto"/>
                      <w:sz w:val="21"/>
                      <w:szCs w:val="21"/>
                    </w:rPr>
                    <w:t>位于厂区</w:t>
                  </w:r>
                  <w:r>
                    <w:rPr>
                      <w:rFonts w:hint="eastAsia" w:eastAsiaTheme="minorEastAsia"/>
                      <w:bCs/>
                      <w:color w:val="auto"/>
                      <w:sz w:val="21"/>
                      <w:szCs w:val="21"/>
                      <w:lang w:val="en-US" w:eastAsia="zh-CN"/>
                    </w:rPr>
                    <w:t>西南</w:t>
                  </w:r>
                  <w:r>
                    <w:rPr>
                      <w:rFonts w:eastAsiaTheme="minorEastAsia"/>
                      <w:bCs/>
                      <w:color w:val="auto"/>
                      <w:sz w:val="21"/>
                      <w:szCs w:val="21"/>
                    </w:rPr>
                    <w:t>部</w:t>
                  </w:r>
                  <w:r>
                    <w:rPr>
                      <w:rFonts w:eastAsiaTheme="minorEastAsia"/>
                      <w:color w:val="auto"/>
                      <w:kern w:val="2"/>
                      <w:sz w:val="21"/>
                      <w:szCs w:val="21"/>
                    </w:rPr>
                    <w:t>。</w:t>
                  </w:r>
                </w:p>
              </w:tc>
              <w:tc>
                <w:tcPr>
                  <w:tcW w:w="746" w:type="dxa"/>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eastAsiaTheme="minorEastAsia"/>
                      <w:color w:val="auto"/>
                      <w:kern w:val="2"/>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8" w:type="dxa"/>
                  <w:vMerge w:val="continue"/>
                  <w:vAlign w:val="center"/>
                </w:tcPr>
                <w:p>
                  <w:pPr>
                    <w:pStyle w:val="6"/>
                    <w:adjustRightInd w:val="0"/>
                    <w:snapToGrid w:val="0"/>
                    <w:spacing w:after="0"/>
                    <w:ind w:left="0" w:leftChars="0" w:firstLine="0" w:firstLineChars="0"/>
                    <w:jc w:val="center"/>
                    <w:rPr>
                      <w:rFonts w:eastAsiaTheme="minorEastAsia"/>
                      <w:b/>
                      <w:bCs/>
                      <w:color w:val="auto"/>
                      <w:kern w:val="2"/>
                      <w:sz w:val="21"/>
                      <w:szCs w:val="21"/>
                    </w:rPr>
                  </w:pPr>
                </w:p>
              </w:tc>
              <w:tc>
                <w:tcPr>
                  <w:tcW w:w="708" w:type="dxa"/>
                  <w:vMerge w:val="restart"/>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eastAsiaTheme="minorEastAsia"/>
                      <w:color w:val="auto"/>
                      <w:kern w:val="2"/>
                      <w:sz w:val="21"/>
                      <w:szCs w:val="21"/>
                    </w:rPr>
                    <w:t>运输</w:t>
                  </w:r>
                </w:p>
              </w:tc>
              <w:tc>
                <w:tcPr>
                  <w:tcW w:w="661" w:type="dxa"/>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eastAsiaTheme="minorEastAsia"/>
                      <w:color w:val="auto"/>
                      <w:kern w:val="2"/>
                      <w:sz w:val="21"/>
                      <w:szCs w:val="21"/>
                    </w:rPr>
                    <w:t>厂外</w:t>
                  </w:r>
                </w:p>
              </w:tc>
              <w:tc>
                <w:tcPr>
                  <w:tcW w:w="5726" w:type="dxa"/>
                  <w:vAlign w:val="center"/>
                </w:tcPr>
                <w:p>
                  <w:pPr>
                    <w:widowControl/>
                    <w:adjustRightInd w:val="0"/>
                    <w:snapToGrid w:val="0"/>
                    <w:ind w:firstLine="420" w:firstLineChars="200"/>
                    <w:jc w:val="both"/>
                    <w:rPr>
                      <w:rFonts w:eastAsiaTheme="minorEastAsia"/>
                      <w:color w:val="auto"/>
                      <w:szCs w:val="21"/>
                    </w:rPr>
                  </w:pPr>
                  <w:r>
                    <w:rPr>
                      <w:rFonts w:hint="eastAsia" w:eastAsiaTheme="minorEastAsia"/>
                      <w:color w:val="auto"/>
                      <w:szCs w:val="21"/>
                      <w:lang w:val="en-US" w:eastAsia="zh-CN"/>
                    </w:rPr>
                    <w:t>原料采用供需联运或委托社会运输车辆承运方式解决，主要依靠公路来完成；外加剂由专用罐车运至厂区，混凝土由罐车运输。</w:t>
                  </w:r>
                </w:p>
              </w:tc>
              <w:tc>
                <w:tcPr>
                  <w:tcW w:w="746" w:type="dxa"/>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eastAsiaTheme="minorEastAsia"/>
                      <w:color w:val="auto"/>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8" w:type="dxa"/>
                  <w:vMerge w:val="continue"/>
                  <w:vAlign w:val="center"/>
                </w:tcPr>
                <w:p>
                  <w:pPr>
                    <w:pStyle w:val="6"/>
                    <w:adjustRightInd w:val="0"/>
                    <w:snapToGrid w:val="0"/>
                    <w:spacing w:after="0"/>
                    <w:ind w:left="0" w:leftChars="0" w:firstLine="0" w:firstLineChars="0"/>
                    <w:jc w:val="center"/>
                    <w:rPr>
                      <w:rFonts w:eastAsiaTheme="minorEastAsia"/>
                      <w:b/>
                      <w:bCs/>
                      <w:color w:val="auto"/>
                      <w:sz w:val="21"/>
                      <w:szCs w:val="21"/>
                    </w:rPr>
                  </w:pPr>
                </w:p>
              </w:tc>
              <w:tc>
                <w:tcPr>
                  <w:tcW w:w="708" w:type="dxa"/>
                  <w:vMerge w:val="continue"/>
                  <w:vAlign w:val="center"/>
                </w:tcPr>
                <w:p>
                  <w:pPr>
                    <w:pStyle w:val="6"/>
                    <w:adjustRightInd w:val="0"/>
                    <w:snapToGrid w:val="0"/>
                    <w:spacing w:after="0"/>
                    <w:ind w:left="0" w:leftChars="0" w:firstLine="0" w:firstLineChars="0"/>
                    <w:jc w:val="center"/>
                    <w:rPr>
                      <w:rFonts w:eastAsiaTheme="minorEastAsia"/>
                      <w:color w:val="auto"/>
                      <w:sz w:val="21"/>
                      <w:szCs w:val="21"/>
                    </w:rPr>
                  </w:pPr>
                </w:p>
              </w:tc>
              <w:tc>
                <w:tcPr>
                  <w:tcW w:w="661" w:type="dxa"/>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eastAsiaTheme="minorEastAsia"/>
                      <w:color w:val="auto"/>
                      <w:kern w:val="2"/>
                      <w:sz w:val="21"/>
                      <w:szCs w:val="21"/>
                    </w:rPr>
                    <w:t>厂内</w:t>
                  </w:r>
                </w:p>
              </w:tc>
              <w:tc>
                <w:tcPr>
                  <w:tcW w:w="5726" w:type="dxa"/>
                  <w:vAlign w:val="center"/>
                </w:tcPr>
                <w:p>
                  <w:pPr>
                    <w:widowControl/>
                    <w:adjustRightInd w:val="0"/>
                    <w:snapToGrid w:val="0"/>
                    <w:ind w:firstLine="420" w:firstLineChars="200"/>
                    <w:jc w:val="both"/>
                    <w:rPr>
                      <w:rFonts w:eastAsiaTheme="minorEastAsia"/>
                      <w:color w:val="auto"/>
                      <w:szCs w:val="21"/>
                    </w:rPr>
                  </w:pPr>
                  <w:r>
                    <w:rPr>
                      <w:rFonts w:eastAsiaTheme="minorEastAsia"/>
                      <w:color w:val="auto"/>
                      <w:kern w:val="0"/>
                      <w:szCs w:val="21"/>
                      <w:lang w:bidi="ar"/>
                    </w:rPr>
                    <w:t>项目厂内运输主要为原料仓</w:t>
                  </w:r>
                  <w:r>
                    <w:rPr>
                      <w:rFonts w:hint="eastAsia" w:eastAsiaTheme="minorEastAsia"/>
                      <w:color w:val="auto"/>
                      <w:kern w:val="0"/>
                      <w:szCs w:val="21"/>
                      <w:lang w:val="en-US" w:eastAsia="zh-CN" w:bidi="ar"/>
                    </w:rPr>
                    <w:t>运至</w:t>
                  </w:r>
                  <w:r>
                    <w:rPr>
                      <w:rFonts w:eastAsiaTheme="minorEastAsia"/>
                      <w:color w:val="auto"/>
                      <w:kern w:val="0"/>
                      <w:szCs w:val="21"/>
                      <w:lang w:bidi="ar"/>
                    </w:rPr>
                    <w:t>生产设备，</w:t>
                  </w:r>
                  <w:r>
                    <w:rPr>
                      <w:rFonts w:hint="eastAsia" w:eastAsiaTheme="minorEastAsia"/>
                      <w:color w:val="auto"/>
                      <w:kern w:val="0"/>
                      <w:szCs w:val="21"/>
                      <w:lang w:val="en-US" w:eastAsia="zh-CN" w:bidi="ar"/>
                    </w:rPr>
                    <w:t>配置</w:t>
                  </w:r>
                  <w:r>
                    <w:rPr>
                      <w:rFonts w:eastAsiaTheme="minorEastAsia"/>
                      <w:color w:val="auto"/>
                      <w:kern w:val="0"/>
                      <w:szCs w:val="21"/>
                      <w:lang w:bidi="ar"/>
                    </w:rPr>
                    <w:t>铲车以满足厂内生产运输需要。</w:t>
                  </w:r>
                </w:p>
              </w:tc>
              <w:tc>
                <w:tcPr>
                  <w:tcW w:w="746" w:type="dxa"/>
                  <w:vAlign w:val="center"/>
                </w:tcPr>
                <w:p>
                  <w:pPr>
                    <w:pStyle w:val="6"/>
                    <w:adjustRightInd w:val="0"/>
                    <w:snapToGrid w:val="0"/>
                    <w:spacing w:after="0"/>
                    <w:ind w:left="0" w:leftChars="0" w:firstLine="0" w:firstLineChars="0"/>
                    <w:jc w:val="center"/>
                    <w:rPr>
                      <w:rFonts w:hint="eastAsia" w:eastAsiaTheme="minorEastAsia"/>
                      <w:color w:val="auto"/>
                      <w:kern w:val="2"/>
                      <w:sz w:val="21"/>
                      <w:szCs w:val="21"/>
                      <w:lang w:eastAsia="zh-CN"/>
                    </w:rPr>
                  </w:pPr>
                  <w:r>
                    <w:rPr>
                      <w:rFonts w:hint="eastAsia" w:eastAsiaTheme="minorEastAsia"/>
                      <w:color w:val="auto"/>
                      <w:kern w:val="2"/>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8" w:type="dxa"/>
                  <w:vMerge w:val="restart"/>
                  <w:vAlign w:val="center"/>
                </w:tcPr>
                <w:p>
                  <w:pPr>
                    <w:pStyle w:val="6"/>
                    <w:adjustRightInd w:val="0"/>
                    <w:snapToGrid w:val="0"/>
                    <w:spacing w:after="0"/>
                    <w:ind w:left="0" w:leftChars="0" w:firstLine="0" w:firstLineChars="0"/>
                    <w:jc w:val="center"/>
                    <w:rPr>
                      <w:rFonts w:eastAsiaTheme="minorEastAsia"/>
                      <w:b/>
                      <w:bCs/>
                      <w:color w:val="auto"/>
                      <w:kern w:val="2"/>
                      <w:sz w:val="21"/>
                      <w:szCs w:val="21"/>
                    </w:rPr>
                  </w:pPr>
                  <w:r>
                    <w:rPr>
                      <w:rFonts w:eastAsiaTheme="minorEastAsia"/>
                      <w:b/>
                      <w:bCs/>
                      <w:color w:val="auto"/>
                      <w:kern w:val="2"/>
                      <w:sz w:val="21"/>
                      <w:szCs w:val="21"/>
                    </w:rPr>
                    <w:t>公用工程</w:t>
                  </w:r>
                </w:p>
              </w:tc>
              <w:tc>
                <w:tcPr>
                  <w:tcW w:w="1369" w:type="dxa"/>
                  <w:gridSpan w:val="2"/>
                  <w:vAlign w:val="center"/>
                </w:tcPr>
                <w:p>
                  <w:pPr>
                    <w:adjustRightInd w:val="0"/>
                    <w:snapToGrid w:val="0"/>
                    <w:jc w:val="center"/>
                    <w:rPr>
                      <w:rFonts w:eastAsiaTheme="minorEastAsia"/>
                      <w:color w:val="auto"/>
                      <w:szCs w:val="21"/>
                    </w:rPr>
                  </w:pPr>
                  <w:r>
                    <w:rPr>
                      <w:rFonts w:eastAsiaTheme="minorEastAsia"/>
                      <w:color w:val="auto"/>
                      <w:szCs w:val="21"/>
                    </w:rPr>
                    <w:t>给水</w:t>
                  </w:r>
                </w:p>
              </w:tc>
              <w:tc>
                <w:tcPr>
                  <w:tcW w:w="5726" w:type="dxa"/>
                  <w:vAlign w:val="center"/>
                </w:tcPr>
                <w:p>
                  <w:pPr>
                    <w:pStyle w:val="31"/>
                    <w:adjustRightInd w:val="0"/>
                    <w:snapToGrid w:val="0"/>
                    <w:spacing w:line="240" w:lineRule="auto"/>
                    <w:ind w:firstLine="420"/>
                    <w:jc w:val="both"/>
                    <w:rPr>
                      <w:rFonts w:eastAsiaTheme="minorEastAsia"/>
                      <w:color w:val="auto"/>
                      <w:sz w:val="21"/>
                      <w:szCs w:val="21"/>
                    </w:rPr>
                  </w:pPr>
                  <w:r>
                    <w:rPr>
                      <w:rFonts w:eastAsiaTheme="minorEastAsia"/>
                      <w:color w:val="auto"/>
                      <w:sz w:val="21"/>
                      <w:szCs w:val="21"/>
                    </w:rPr>
                    <w:t>项目用水主要为生产用水和生活用水，新鲜水用水总量为</w:t>
                  </w:r>
                  <w:r>
                    <w:rPr>
                      <w:rFonts w:hint="eastAsia" w:eastAsiaTheme="minorEastAsia"/>
                      <w:color w:val="auto"/>
                      <w:sz w:val="21"/>
                      <w:szCs w:val="21"/>
                      <w:lang w:val="en-US" w:eastAsia="zh-CN"/>
                    </w:rPr>
                    <w:t>6936.6</w:t>
                  </w:r>
                  <w:r>
                    <w:rPr>
                      <w:rFonts w:eastAsiaTheme="minorEastAsia"/>
                      <w:color w:val="auto"/>
                      <w:sz w:val="21"/>
                      <w:szCs w:val="21"/>
                    </w:rPr>
                    <w:t>m</w:t>
                  </w:r>
                  <w:r>
                    <w:rPr>
                      <w:rFonts w:eastAsiaTheme="minorEastAsia"/>
                      <w:color w:val="auto"/>
                      <w:sz w:val="21"/>
                      <w:szCs w:val="21"/>
                      <w:vertAlign w:val="superscript"/>
                    </w:rPr>
                    <w:t>3</w:t>
                  </w:r>
                  <w:r>
                    <w:rPr>
                      <w:rFonts w:eastAsiaTheme="minorEastAsia"/>
                      <w:color w:val="auto"/>
                      <w:sz w:val="21"/>
                      <w:szCs w:val="21"/>
                    </w:rPr>
                    <w:t>，生活</w:t>
                  </w:r>
                  <w:r>
                    <w:rPr>
                      <w:rFonts w:eastAsiaTheme="minorEastAsia"/>
                      <w:color w:val="auto"/>
                      <w:sz w:val="21"/>
                      <w:szCs w:val="21"/>
                      <w:highlight w:val="none"/>
                    </w:rPr>
                    <w:t>用水采用外购桶装纯净水；生产用水由</w:t>
                  </w:r>
                  <w:r>
                    <w:rPr>
                      <w:rFonts w:hint="eastAsia" w:eastAsiaTheme="minorEastAsia"/>
                      <w:color w:val="auto"/>
                      <w:sz w:val="21"/>
                      <w:szCs w:val="21"/>
                      <w:highlight w:val="none"/>
                      <w:lang w:val="en-US" w:eastAsia="zh-CN"/>
                    </w:rPr>
                    <w:t>泵机抽取北干渠渠水至蓄水池（500m</w:t>
                  </w:r>
                  <w:r>
                    <w:rPr>
                      <w:rFonts w:hint="default" w:ascii="Times New Roman" w:hAnsi="Times New Roman" w:cs="Times New Roman" w:eastAsiaTheme="minorEastAsia"/>
                      <w:color w:val="auto"/>
                      <w:sz w:val="21"/>
                      <w:szCs w:val="21"/>
                      <w:highlight w:val="none"/>
                      <w:lang w:val="en-US" w:eastAsia="zh-CN"/>
                    </w:rPr>
                    <w:t>³</w:t>
                  </w:r>
                  <w:r>
                    <w:rPr>
                      <w:rFonts w:hint="eastAsia" w:eastAsiaTheme="minorEastAsia"/>
                      <w:color w:val="auto"/>
                      <w:sz w:val="21"/>
                      <w:szCs w:val="21"/>
                      <w:highlight w:val="none"/>
                      <w:lang w:val="en-US" w:eastAsia="zh-CN"/>
                    </w:rPr>
                    <w:t>），再经二次沉淀池（300m</w:t>
                  </w:r>
                  <w:r>
                    <w:rPr>
                      <w:rFonts w:hint="default" w:ascii="Times New Roman" w:hAnsi="Times New Roman" w:cs="Times New Roman" w:eastAsiaTheme="minorEastAsia"/>
                      <w:color w:val="auto"/>
                      <w:sz w:val="21"/>
                      <w:szCs w:val="21"/>
                      <w:highlight w:val="none"/>
                      <w:lang w:val="en-US" w:eastAsia="zh-CN"/>
                    </w:rPr>
                    <w:t>³</w:t>
                  </w:r>
                  <w:r>
                    <w:rPr>
                      <w:rFonts w:hint="eastAsia" w:eastAsiaTheme="minorEastAsia"/>
                      <w:color w:val="auto"/>
                      <w:sz w:val="21"/>
                      <w:szCs w:val="21"/>
                      <w:highlight w:val="none"/>
                      <w:lang w:val="en-US" w:eastAsia="zh-CN"/>
                    </w:rPr>
                    <w:t>）初步处理后经供水管线输送，以供生产过程中使用</w:t>
                  </w:r>
                  <w:r>
                    <w:rPr>
                      <w:rFonts w:eastAsiaTheme="minorEastAsia"/>
                      <w:color w:val="auto"/>
                      <w:sz w:val="21"/>
                      <w:szCs w:val="21"/>
                      <w:highlight w:val="none"/>
                    </w:rPr>
                    <w:t>。</w:t>
                  </w:r>
                </w:p>
              </w:tc>
              <w:tc>
                <w:tcPr>
                  <w:tcW w:w="746" w:type="dxa"/>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eastAsiaTheme="minorEastAsia"/>
                      <w:color w:val="auto"/>
                      <w:kern w:val="2"/>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8" w:type="dxa"/>
                  <w:vMerge w:val="continue"/>
                  <w:vAlign w:val="center"/>
                </w:tcPr>
                <w:p>
                  <w:pPr>
                    <w:pStyle w:val="6"/>
                    <w:adjustRightInd w:val="0"/>
                    <w:snapToGrid w:val="0"/>
                    <w:spacing w:after="0"/>
                    <w:ind w:left="0" w:leftChars="0" w:firstLine="0" w:firstLineChars="0"/>
                    <w:jc w:val="center"/>
                    <w:rPr>
                      <w:rFonts w:eastAsiaTheme="minorEastAsia"/>
                      <w:b/>
                      <w:bCs/>
                      <w:color w:val="auto"/>
                      <w:sz w:val="21"/>
                      <w:szCs w:val="21"/>
                    </w:rPr>
                  </w:pPr>
                </w:p>
              </w:tc>
              <w:tc>
                <w:tcPr>
                  <w:tcW w:w="1369" w:type="dxa"/>
                  <w:gridSpan w:val="2"/>
                  <w:vAlign w:val="center"/>
                </w:tcPr>
                <w:p>
                  <w:pPr>
                    <w:adjustRightInd w:val="0"/>
                    <w:snapToGrid w:val="0"/>
                    <w:jc w:val="center"/>
                    <w:rPr>
                      <w:rFonts w:eastAsiaTheme="minorEastAsia"/>
                      <w:color w:val="auto"/>
                      <w:szCs w:val="21"/>
                    </w:rPr>
                  </w:pPr>
                  <w:r>
                    <w:rPr>
                      <w:rFonts w:eastAsiaTheme="minorEastAsia"/>
                      <w:color w:val="auto"/>
                      <w:szCs w:val="21"/>
                    </w:rPr>
                    <w:t>排水</w:t>
                  </w:r>
                </w:p>
              </w:tc>
              <w:tc>
                <w:tcPr>
                  <w:tcW w:w="5726" w:type="dxa"/>
                  <w:vAlign w:val="center"/>
                </w:tcPr>
                <w:p>
                  <w:pPr>
                    <w:adjustRightInd w:val="0"/>
                    <w:snapToGrid w:val="0"/>
                    <w:ind w:firstLine="420" w:firstLineChars="200"/>
                    <w:jc w:val="both"/>
                    <w:rPr>
                      <w:rFonts w:hint="eastAsia" w:eastAsia="宋体"/>
                      <w:color w:val="auto"/>
                      <w:kern w:val="0"/>
                      <w:sz w:val="18"/>
                      <w:szCs w:val="18"/>
                      <w:lang w:eastAsia="zh-CN"/>
                    </w:rPr>
                  </w:pPr>
                  <w:r>
                    <w:rPr>
                      <w:rFonts w:hint="eastAsia" w:eastAsiaTheme="minorEastAsia"/>
                      <w:color w:val="auto"/>
                      <w:szCs w:val="21"/>
                      <w:lang w:val="en-US" w:eastAsia="zh-CN"/>
                    </w:rPr>
                    <w:t>项目部设置</w:t>
                  </w:r>
                  <w:r>
                    <w:rPr>
                      <w:rFonts w:eastAsiaTheme="minorEastAsia"/>
                      <w:color w:val="auto"/>
                      <w:kern w:val="0"/>
                      <w:szCs w:val="21"/>
                    </w:rPr>
                    <w:t>环保</w:t>
                  </w:r>
                  <w:r>
                    <w:rPr>
                      <w:rFonts w:hint="eastAsia" w:eastAsiaTheme="minorEastAsia"/>
                      <w:color w:val="auto"/>
                      <w:kern w:val="0"/>
                      <w:szCs w:val="21"/>
                      <w:lang w:val="en-US" w:eastAsia="zh-CN"/>
                    </w:rPr>
                    <w:t>厕所</w:t>
                  </w:r>
                  <w:r>
                    <w:rPr>
                      <w:rFonts w:eastAsiaTheme="minorEastAsia"/>
                      <w:color w:val="auto"/>
                      <w:kern w:val="0"/>
                      <w:szCs w:val="21"/>
                    </w:rPr>
                    <w:t>供工作人员</w:t>
                  </w:r>
                  <w:r>
                    <w:rPr>
                      <w:rFonts w:eastAsiaTheme="minorEastAsia"/>
                      <w:color w:val="auto"/>
                      <w:kern w:val="0"/>
                      <w:szCs w:val="21"/>
                      <w:highlight w:val="none"/>
                    </w:rPr>
                    <w:t>方便，生活污水经</w:t>
                  </w:r>
                  <w:r>
                    <w:rPr>
                      <w:rFonts w:hint="eastAsia" w:eastAsiaTheme="minorEastAsia"/>
                      <w:color w:val="auto"/>
                      <w:kern w:val="0"/>
                      <w:szCs w:val="21"/>
                      <w:highlight w:val="none"/>
                      <w:lang w:val="en-US" w:eastAsia="zh-CN"/>
                    </w:rPr>
                    <w:t>化粪池（3m</w:t>
                  </w:r>
                  <w:r>
                    <w:rPr>
                      <w:rFonts w:hint="eastAsia" w:eastAsiaTheme="minorEastAsia"/>
                      <w:color w:val="auto"/>
                      <w:kern w:val="0"/>
                      <w:szCs w:val="21"/>
                      <w:highlight w:val="none"/>
                      <w:vertAlign w:val="superscript"/>
                      <w:lang w:val="en-US" w:eastAsia="zh-CN"/>
                    </w:rPr>
                    <w:t>3</w:t>
                  </w:r>
                  <w:r>
                    <w:rPr>
                      <w:rFonts w:hint="eastAsia" w:eastAsiaTheme="minorEastAsia"/>
                      <w:color w:val="auto"/>
                      <w:kern w:val="0"/>
                      <w:szCs w:val="21"/>
                      <w:highlight w:val="none"/>
                      <w:lang w:val="en-US" w:eastAsia="zh-CN"/>
                    </w:rPr>
                    <w:t>）初步处理后，</w:t>
                  </w:r>
                  <w:r>
                    <w:rPr>
                      <w:rFonts w:hint="eastAsia"/>
                      <w:color w:val="auto"/>
                      <w:kern w:val="0"/>
                      <w:szCs w:val="21"/>
                      <w:highlight w:val="none"/>
                      <w:lang w:bidi="ar"/>
                    </w:rPr>
                    <w:t>定期</w:t>
                  </w:r>
                  <w:r>
                    <w:rPr>
                      <w:rFonts w:hint="eastAsia"/>
                      <w:color w:val="auto"/>
                      <w:kern w:val="0"/>
                      <w:szCs w:val="21"/>
                      <w:highlight w:val="none"/>
                      <w:lang w:val="en-US" w:eastAsia="zh-CN" w:bidi="ar"/>
                    </w:rPr>
                    <w:t>拉运至中卫市第一污水处理厂进</w:t>
                  </w:r>
                  <w:r>
                    <w:rPr>
                      <w:rFonts w:hint="eastAsia"/>
                      <w:color w:val="auto"/>
                      <w:kern w:val="0"/>
                      <w:szCs w:val="21"/>
                      <w:lang w:val="en-US" w:eastAsia="zh-CN" w:bidi="ar"/>
                    </w:rPr>
                    <w:t>行处理。</w:t>
                  </w:r>
                </w:p>
                <w:p>
                  <w:pPr>
                    <w:pStyle w:val="31"/>
                    <w:adjustRightInd w:val="0"/>
                    <w:snapToGrid w:val="0"/>
                    <w:spacing w:line="240" w:lineRule="auto"/>
                    <w:ind w:firstLine="420"/>
                    <w:jc w:val="both"/>
                    <w:rPr>
                      <w:rFonts w:eastAsiaTheme="minorEastAsia"/>
                      <w:color w:val="auto"/>
                      <w:sz w:val="21"/>
                      <w:szCs w:val="21"/>
                    </w:rPr>
                  </w:pPr>
                  <w:r>
                    <w:rPr>
                      <w:rFonts w:eastAsiaTheme="minorEastAsia"/>
                      <w:color w:val="auto"/>
                      <w:kern w:val="0"/>
                      <w:sz w:val="21"/>
                      <w:szCs w:val="21"/>
                    </w:rPr>
                    <w:t>生产废水设置沉淀池、洗车平台，搅拌机清洗废水及车辆冲洗废水沉淀后回用于道路洒水降尘；</w:t>
                  </w:r>
                  <w:r>
                    <w:rPr>
                      <w:rFonts w:eastAsiaTheme="minorEastAsia"/>
                      <w:color w:val="auto"/>
                      <w:sz w:val="21"/>
                      <w:szCs w:val="21"/>
                    </w:rPr>
                    <w:t>降尘用水自然蒸发。</w:t>
                  </w:r>
                </w:p>
              </w:tc>
              <w:tc>
                <w:tcPr>
                  <w:tcW w:w="746" w:type="dxa"/>
                  <w:vAlign w:val="center"/>
                </w:tcPr>
                <w:p>
                  <w:pPr>
                    <w:adjustRightInd w:val="0"/>
                    <w:snapToGrid w:val="0"/>
                    <w:jc w:val="center"/>
                    <w:rPr>
                      <w:rFonts w:hint="eastAsia" w:eastAsiaTheme="minorEastAsia"/>
                      <w:color w:val="auto"/>
                      <w:szCs w:val="21"/>
                      <w:lang w:eastAsia="zh-CN"/>
                    </w:rPr>
                  </w:pPr>
                  <w:r>
                    <w:rPr>
                      <w:rFonts w:hint="eastAsia" w:eastAsiaTheme="minorEastAsia"/>
                      <w:color w:val="auto"/>
                      <w:szCs w:val="21"/>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8" w:type="dxa"/>
                  <w:vMerge w:val="continue"/>
                  <w:vAlign w:val="center"/>
                </w:tcPr>
                <w:p>
                  <w:pPr>
                    <w:pStyle w:val="6"/>
                    <w:adjustRightInd w:val="0"/>
                    <w:snapToGrid w:val="0"/>
                    <w:spacing w:after="0"/>
                    <w:ind w:left="0" w:leftChars="0" w:firstLine="0" w:firstLineChars="0"/>
                    <w:jc w:val="center"/>
                    <w:rPr>
                      <w:rFonts w:eastAsiaTheme="minorEastAsia"/>
                      <w:b/>
                      <w:bCs/>
                      <w:color w:val="auto"/>
                      <w:sz w:val="21"/>
                      <w:szCs w:val="21"/>
                    </w:rPr>
                  </w:pPr>
                </w:p>
              </w:tc>
              <w:tc>
                <w:tcPr>
                  <w:tcW w:w="1369" w:type="dxa"/>
                  <w:gridSpan w:val="2"/>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eastAsiaTheme="minorEastAsia"/>
                      <w:color w:val="auto"/>
                      <w:kern w:val="2"/>
                      <w:sz w:val="21"/>
                      <w:szCs w:val="21"/>
                    </w:rPr>
                    <w:t>供电</w:t>
                  </w:r>
                </w:p>
              </w:tc>
              <w:tc>
                <w:tcPr>
                  <w:tcW w:w="5726" w:type="dxa"/>
                  <w:vAlign w:val="center"/>
                </w:tcPr>
                <w:p>
                  <w:pPr>
                    <w:pStyle w:val="31"/>
                    <w:adjustRightInd w:val="0"/>
                    <w:snapToGrid w:val="0"/>
                    <w:spacing w:line="240" w:lineRule="auto"/>
                    <w:ind w:firstLine="420"/>
                    <w:rPr>
                      <w:rFonts w:hint="eastAsia" w:eastAsiaTheme="minorEastAsia"/>
                      <w:color w:val="auto"/>
                      <w:sz w:val="21"/>
                      <w:szCs w:val="21"/>
                      <w:lang w:eastAsia="zh-CN"/>
                    </w:rPr>
                  </w:pPr>
                  <w:r>
                    <w:rPr>
                      <w:rFonts w:eastAsiaTheme="minorEastAsia"/>
                      <w:color w:val="auto"/>
                      <w:sz w:val="21"/>
                      <w:szCs w:val="21"/>
                    </w:rPr>
                    <w:t>生产用电由</w:t>
                  </w:r>
                  <w:r>
                    <w:rPr>
                      <w:rFonts w:hint="eastAsia" w:eastAsiaTheme="minorEastAsia"/>
                      <w:color w:val="auto"/>
                      <w:sz w:val="21"/>
                      <w:szCs w:val="21"/>
                      <w:lang w:val="en-US" w:eastAsia="zh-CN"/>
                    </w:rPr>
                    <w:t>沙坡头区东园镇</w:t>
                  </w:r>
                  <w:r>
                    <w:rPr>
                      <w:rFonts w:eastAsiaTheme="minorEastAsia"/>
                      <w:color w:val="auto"/>
                      <w:sz w:val="21"/>
                      <w:szCs w:val="21"/>
                    </w:rPr>
                    <w:t>电网提供</w:t>
                  </w:r>
                  <w:r>
                    <w:rPr>
                      <w:rFonts w:hint="eastAsia" w:eastAsiaTheme="minorEastAsia"/>
                      <w:color w:val="auto"/>
                      <w:sz w:val="21"/>
                      <w:szCs w:val="21"/>
                      <w:lang w:eastAsia="zh-CN"/>
                    </w:rPr>
                    <w:t>。</w:t>
                  </w:r>
                </w:p>
              </w:tc>
              <w:tc>
                <w:tcPr>
                  <w:tcW w:w="746" w:type="dxa"/>
                  <w:vAlign w:val="center"/>
                </w:tcPr>
                <w:p>
                  <w:pPr>
                    <w:adjustRightInd w:val="0"/>
                    <w:snapToGrid w:val="0"/>
                    <w:jc w:val="center"/>
                    <w:rPr>
                      <w:rFonts w:eastAsiaTheme="minorEastAsia"/>
                      <w:color w:val="auto"/>
                      <w:szCs w:val="21"/>
                    </w:rPr>
                  </w:pPr>
                  <w:r>
                    <w:rPr>
                      <w:rFonts w:eastAsiaTheme="minorEastAsia"/>
                      <w:color w:val="auto"/>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8" w:type="dxa"/>
                  <w:vMerge w:val="restart"/>
                  <w:vAlign w:val="center"/>
                </w:tcPr>
                <w:p>
                  <w:pPr>
                    <w:pStyle w:val="6"/>
                    <w:adjustRightInd w:val="0"/>
                    <w:snapToGrid w:val="0"/>
                    <w:spacing w:after="0"/>
                    <w:ind w:left="0" w:leftChars="0" w:firstLine="0" w:firstLineChars="0"/>
                    <w:jc w:val="center"/>
                    <w:rPr>
                      <w:rFonts w:eastAsiaTheme="minorEastAsia"/>
                      <w:b/>
                      <w:bCs/>
                      <w:color w:val="auto"/>
                      <w:kern w:val="2"/>
                      <w:sz w:val="21"/>
                      <w:szCs w:val="21"/>
                    </w:rPr>
                  </w:pPr>
                  <w:r>
                    <w:rPr>
                      <w:rFonts w:eastAsiaTheme="minorEastAsia"/>
                      <w:b/>
                      <w:bCs/>
                      <w:color w:val="auto"/>
                      <w:kern w:val="2"/>
                      <w:sz w:val="21"/>
                      <w:szCs w:val="21"/>
                    </w:rPr>
                    <w:t>环保工程</w:t>
                  </w:r>
                </w:p>
              </w:tc>
              <w:tc>
                <w:tcPr>
                  <w:tcW w:w="1369" w:type="dxa"/>
                  <w:gridSpan w:val="2"/>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eastAsiaTheme="minorEastAsia"/>
                      <w:color w:val="auto"/>
                      <w:kern w:val="2"/>
                      <w:sz w:val="21"/>
                      <w:szCs w:val="21"/>
                    </w:rPr>
                    <w:t>废气治理措施</w:t>
                  </w:r>
                </w:p>
              </w:tc>
              <w:tc>
                <w:tcPr>
                  <w:tcW w:w="5726" w:type="dxa"/>
                  <w:vAlign w:val="center"/>
                </w:tcPr>
                <w:p>
                  <w:pPr>
                    <w:pStyle w:val="6"/>
                    <w:adjustRightInd w:val="0"/>
                    <w:snapToGrid w:val="0"/>
                    <w:spacing w:after="0"/>
                    <w:ind w:left="0" w:leftChars="0"/>
                    <w:jc w:val="both"/>
                    <w:rPr>
                      <w:rFonts w:eastAsiaTheme="minorEastAsia"/>
                      <w:color w:val="auto"/>
                      <w:sz w:val="21"/>
                      <w:szCs w:val="21"/>
                    </w:rPr>
                  </w:pPr>
                  <w:r>
                    <w:rPr>
                      <w:rFonts w:eastAsiaTheme="minorEastAsia"/>
                      <w:color w:val="auto"/>
                      <w:kern w:val="2"/>
                      <w:sz w:val="21"/>
                      <w:szCs w:val="21"/>
                    </w:rPr>
                    <w:t>①原料仓粉尘G1：</w:t>
                  </w:r>
                  <w:r>
                    <w:rPr>
                      <w:rFonts w:hint="eastAsia" w:eastAsiaTheme="minorEastAsia"/>
                      <w:color w:val="auto"/>
                      <w:kern w:val="2"/>
                      <w:sz w:val="21"/>
                      <w:szCs w:val="21"/>
                      <w:lang w:val="en-US" w:eastAsia="zh-CN"/>
                    </w:rPr>
                    <w:t>设置</w:t>
                  </w:r>
                  <w:r>
                    <w:rPr>
                      <w:b w:val="0"/>
                      <w:bCs w:val="0"/>
                      <w:color w:val="auto"/>
                      <w:sz w:val="21"/>
                      <w:szCs w:val="21"/>
                    </w:rPr>
                    <w:t>封闭式原料仓，物料</w:t>
                  </w:r>
                  <w:r>
                    <w:rPr>
                      <w:rFonts w:hint="eastAsia"/>
                      <w:b w:val="0"/>
                      <w:bCs w:val="0"/>
                      <w:color w:val="auto"/>
                      <w:sz w:val="21"/>
                      <w:szCs w:val="21"/>
                      <w:lang w:val="en-US" w:eastAsia="zh-CN"/>
                    </w:rPr>
                    <w:t>采用防尘网</w:t>
                  </w:r>
                  <w:r>
                    <w:rPr>
                      <w:b w:val="0"/>
                      <w:bCs w:val="0"/>
                      <w:color w:val="auto"/>
                      <w:sz w:val="21"/>
                      <w:szCs w:val="21"/>
                    </w:rPr>
                    <w:t>全覆盖措施</w:t>
                  </w:r>
                  <w:r>
                    <w:rPr>
                      <w:rFonts w:hint="eastAsia"/>
                      <w:b w:val="0"/>
                      <w:bCs w:val="0"/>
                      <w:color w:val="auto"/>
                      <w:sz w:val="21"/>
                      <w:szCs w:val="21"/>
                      <w:lang w:val="en-US" w:eastAsia="zh-CN"/>
                    </w:rPr>
                    <w:t>，厂区道路</w:t>
                  </w:r>
                  <w:r>
                    <w:rPr>
                      <w:rFonts w:hint="eastAsia"/>
                      <w:b w:val="0"/>
                      <w:bCs w:val="0"/>
                      <w:color w:val="auto"/>
                      <w:sz w:val="21"/>
                      <w:szCs w:val="21"/>
                      <w:lang w:eastAsia="zh-CN"/>
                    </w:rPr>
                    <w:t>及时</w:t>
                  </w:r>
                  <w:r>
                    <w:rPr>
                      <w:rFonts w:hint="eastAsia"/>
                      <w:b w:val="0"/>
                      <w:bCs w:val="0"/>
                      <w:color w:val="auto"/>
                      <w:sz w:val="21"/>
                      <w:szCs w:val="21"/>
                      <w:lang w:val="en-US" w:eastAsia="zh-CN"/>
                    </w:rPr>
                    <w:t>进行</w:t>
                  </w:r>
                  <w:r>
                    <w:rPr>
                      <w:b w:val="0"/>
                      <w:bCs w:val="0"/>
                      <w:color w:val="auto"/>
                      <w:sz w:val="21"/>
                      <w:szCs w:val="21"/>
                    </w:rPr>
                    <w:t>洒水降尘</w:t>
                  </w:r>
                  <w:r>
                    <w:rPr>
                      <w:rFonts w:eastAsiaTheme="minorEastAsia"/>
                      <w:color w:val="auto"/>
                      <w:sz w:val="21"/>
                      <w:szCs w:val="21"/>
                    </w:rPr>
                    <w:t>；</w:t>
                  </w:r>
                </w:p>
                <w:p>
                  <w:pPr>
                    <w:pStyle w:val="6"/>
                    <w:adjustRightInd w:val="0"/>
                    <w:snapToGrid w:val="0"/>
                    <w:spacing w:after="0"/>
                    <w:ind w:left="0" w:leftChars="0"/>
                    <w:jc w:val="both"/>
                    <w:rPr>
                      <w:rFonts w:eastAsiaTheme="minorEastAsia"/>
                      <w:color w:val="auto"/>
                      <w:sz w:val="21"/>
                      <w:szCs w:val="21"/>
                    </w:rPr>
                  </w:pPr>
                  <w:r>
                    <w:rPr>
                      <w:rFonts w:eastAsiaTheme="minorEastAsia"/>
                      <w:color w:val="auto"/>
                      <w:kern w:val="2"/>
                      <w:sz w:val="21"/>
                      <w:szCs w:val="21"/>
                    </w:rPr>
                    <w:t>②由铲车</w:t>
                  </w:r>
                  <w:r>
                    <w:rPr>
                      <w:rFonts w:hint="eastAsia" w:eastAsiaTheme="minorEastAsia"/>
                      <w:color w:val="auto"/>
                      <w:kern w:val="2"/>
                      <w:sz w:val="21"/>
                      <w:szCs w:val="21"/>
                      <w:lang w:val="en-US" w:eastAsia="zh-CN"/>
                    </w:rPr>
                    <w:t>运送</w:t>
                  </w:r>
                  <w:r>
                    <w:rPr>
                      <w:rFonts w:eastAsiaTheme="minorEastAsia"/>
                      <w:color w:val="auto"/>
                      <w:kern w:val="2"/>
                      <w:sz w:val="21"/>
                      <w:szCs w:val="21"/>
                    </w:rPr>
                    <w:t>石料、水洗砂至配料机</w:t>
                  </w:r>
                  <w:r>
                    <w:rPr>
                      <w:rFonts w:hint="eastAsia" w:eastAsiaTheme="minorEastAsia"/>
                      <w:color w:val="auto"/>
                      <w:kern w:val="2"/>
                      <w:sz w:val="21"/>
                      <w:szCs w:val="21"/>
                      <w:lang w:val="en-US" w:eastAsia="zh-CN"/>
                    </w:rPr>
                    <w:t>过程产生的</w:t>
                  </w:r>
                  <w:r>
                    <w:rPr>
                      <w:rFonts w:eastAsiaTheme="minorEastAsia"/>
                      <w:color w:val="auto"/>
                      <w:kern w:val="2"/>
                      <w:sz w:val="21"/>
                      <w:szCs w:val="21"/>
                    </w:rPr>
                    <w:t>废气G2：</w:t>
                  </w:r>
                  <w:r>
                    <w:rPr>
                      <w:rFonts w:hint="eastAsia" w:eastAsiaTheme="minorEastAsia"/>
                      <w:color w:val="auto"/>
                      <w:kern w:val="2"/>
                      <w:sz w:val="21"/>
                      <w:szCs w:val="21"/>
                      <w:lang w:val="en-US" w:eastAsia="zh-CN"/>
                    </w:rPr>
                    <w:t>运输</w:t>
                  </w:r>
                  <w:r>
                    <w:rPr>
                      <w:rFonts w:hint="eastAsia"/>
                      <w:b w:val="0"/>
                      <w:bCs w:val="0"/>
                      <w:color w:val="auto"/>
                      <w:sz w:val="21"/>
                      <w:szCs w:val="21"/>
                      <w:lang w:val="en-US" w:eastAsia="zh-CN"/>
                    </w:rPr>
                    <w:t>作业避开大风天气，</w:t>
                  </w:r>
                  <w:r>
                    <w:rPr>
                      <w:color w:val="auto"/>
                      <w:sz w:val="21"/>
                      <w:szCs w:val="21"/>
                    </w:rPr>
                    <w:t>配料机顶部设置防静电挡尘帘</w:t>
                  </w:r>
                  <w:r>
                    <w:rPr>
                      <w:rFonts w:hint="eastAsia"/>
                      <w:color w:val="auto"/>
                      <w:sz w:val="21"/>
                      <w:szCs w:val="21"/>
                    </w:rPr>
                    <w:t>，</w:t>
                  </w:r>
                  <w:r>
                    <w:rPr>
                      <w:color w:val="auto"/>
                      <w:sz w:val="21"/>
                      <w:szCs w:val="21"/>
                    </w:rPr>
                    <w:t>并采取定期洒水措施</w:t>
                  </w:r>
                  <w:r>
                    <w:rPr>
                      <w:rFonts w:eastAsiaTheme="minorEastAsia"/>
                      <w:color w:val="auto"/>
                      <w:sz w:val="21"/>
                      <w:szCs w:val="21"/>
                    </w:rPr>
                    <w:t>；</w:t>
                  </w:r>
                </w:p>
                <w:p>
                  <w:pPr>
                    <w:pStyle w:val="6"/>
                    <w:adjustRightInd w:val="0"/>
                    <w:snapToGrid w:val="0"/>
                    <w:spacing w:after="0"/>
                    <w:ind w:left="0" w:leftChars="0"/>
                    <w:jc w:val="both"/>
                    <w:rPr>
                      <w:rFonts w:eastAsiaTheme="minorEastAsia"/>
                      <w:color w:val="auto"/>
                      <w:kern w:val="2"/>
                      <w:sz w:val="21"/>
                      <w:szCs w:val="21"/>
                    </w:rPr>
                  </w:pPr>
                  <w:r>
                    <w:rPr>
                      <w:rFonts w:eastAsiaTheme="minorEastAsia"/>
                      <w:color w:val="auto"/>
                      <w:kern w:val="2"/>
                      <w:sz w:val="21"/>
                      <w:szCs w:val="21"/>
                    </w:rPr>
                    <w:t>③</w:t>
                  </w:r>
                  <w:r>
                    <w:rPr>
                      <w:rFonts w:eastAsiaTheme="minorEastAsia"/>
                      <w:color w:val="auto"/>
                      <w:sz w:val="21"/>
                      <w:szCs w:val="21"/>
                    </w:rPr>
                    <w:t>由</w:t>
                  </w:r>
                  <w:r>
                    <w:rPr>
                      <w:rFonts w:hint="eastAsia" w:eastAsiaTheme="minorEastAsia"/>
                      <w:color w:val="auto"/>
                      <w:sz w:val="21"/>
                      <w:szCs w:val="21"/>
                    </w:rPr>
                    <w:t>皮带输送机</w:t>
                  </w:r>
                  <w:r>
                    <w:rPr>
                      <w:rFonts w:hint="eastAsia" w:eastAsiaTheme="minorEastAsia"/>
                      <w:color w:val="auto"/>
                      <w:sz w:val="21"/>
                      <w:szCs w:val="21"/>
                      <w:lang w:val="en-US" w:eastAsia="zh-CN"/>
                    </w:rPr>
                    <w:t>输送</w:t>
                  </w:r>
                  <w:r>
                    <w:rPr>
                      <w:rFonts w:eastAsiaTheme="minorEastAsia"/>
                      <w:color w:val="auto"/>
                      <w:kern w:val="2"/>
                      <w:sz w:val="21"/>
                      <w:szCs w:val="21"/>
                    </w:rPr>
                    <w:t>石料、水洗砂</w:t>
                  </w:r>
                  <w:r>
                    <w:rPr>
                      <w:rFonts w:eastAsiaTheme="minorEastAsia"/>
                      <w:color w:val="auto"/>
                      <w:sz w:val="21"/>
                      <w:szCs w:val="21"/>
                    </w:rPr>
                    <w:t>至骨料中间仓</w:t>
                  </w:r>
                  <w:r>
                    <w:rPr>
                      <w:rFonts w:hint="eastAsia" w:eastAsiaTheme="minorEastAsia"/>
                      <w:color w:val="auto"/>
                      <w:sz w:val="21"/>
                      <w:szCs w:val="21"/>
                      <w:lang w:val="en-US" w:eastAsia="zh-CN"/>
                    </w:rPr>
                    <w:t>过程产生的</w:t>
                  </w:r>
                  <w:r>
                    <w:rPr>
                      <w:rFonts w:hint="eastAsia" w:eastAsiaTheme="minorEastAsia"/>
                      <w:color w:val="auto"/>
                      <w:sz w:val="21"/>
                      <w:szCs w:val="21"/>
                    </w:rPr>
                    <w:t>废气</w:t>
                  </w:r>
                  <w:r>
                    <w:rPr>
                      <w:rFonts w:eastAsiaTheme="minorEastAsia"/>
                      <w:color w:val="auto"/>
                      <w:sz w:val="21"/>
                      <w:szCs w:val="21"/>
                    </w:rPr>
                    <w:t>G3：</w:t>
                  </w:r>
                  <w:r>
                    <w:rPr>
                      <w:rFonts w:hint="eastAsia" w:eastAsiaTheme="minorEastAsia"/>
                      <w:color w:val="auto"/>
                      <w:sz w:val="21"/>
                      <w:szCs w:val="21"/>
                      <w:lang w:val="en-US" w:eastAsia="zh-CN"/>
                    </w:rPr>
                    <w:t>使用</w:t>
                  </w:r>
                  <w:r>
                    <w:rPr>
                      <w:color w:val="auto"/>
                      <w:sz w:val="21"/>
                      <w:szCs w:val="21"/>
                    </w:rPr>
                    <w:t>密闭输送皮带</w:t>
                  </w:r>
                  <w:r>
                    <w:rPr>
                      <w:rFonts w:hint="eastAsia"/>
                      <w:color w:val="auto"/>
                      <w:sz w:val="21"/>
                      <w:szCs w:val="21"/>
                      <w:lang w:eastAsia="zh-CN"/>
                    </w:rPr>
                    <w:t>，</w:t>
                  </w:r>
                  <w:r>
                    <w:rPr>
                      <w:color w:val="auto"/>
                      <w:sz w:val="21"/>
                      <w:szCs w:val="21"/>
                    </w:rPr>
                    <w:t>搅拌机配套</w:t>
                  </w:r>
                  <w:r>
                    <w:rPr>
                      <w:rFonts w:ascii="Times New Roman" w:hAnsi="Times New Roman" w:eastAsia="宋体" w:cs="Times New Roman"/>
                      <w:bCs/>
                      <w:color w:val="auto"/>
                      <w:kern w:val="1"/>
                      <w:sz w:val="21"/>
                      <w:szCs w:val="21"/>
                      <w:highlight w:val="none"/>
                    </w:rPr>
                    <w:t>布袋除尘</w:t>
                  </w:r>
                  <w:r>
                    <w:rPr>
                      <w:rFonts w:hint="eastAsia" w:ascii="Times New Roman" w:hAnsi="Times New Roman" w:eastAsia="宋体" w:cs="Times New Roman"/>
                      <w:bCs/>
                      <w:color w:val="auto"/>
                      <w:kern w:val="1"/>
                      <w:sz w:val="21"/>
                      <w:szCs w:val="21"/>
                      <w:highlight w:val="none"/>
                      <w:lang w:val="en-US" w:eastAsia="zh-CN"/>
                    </w:rPr>
                    <w:t>器</w:t>
                  </w:r>
                  <w:r>
                    <w:rPr>
                      <w:rFonts w:hint="eastAsia" w:cs="Times New Roman"/>
                      <w:bCs/>
                      <w:color w:val="auto"/>
                      <w:kern w:val="1"/>
                      <w:sz w:val="21"/>
                      <w:szCs w:val="21"/>
                      <w:highlight w:val="none"/>
                      <w:lang w:val="en-US" w:eastAsia="zh-CN"/>
                    </w:rPr>
                    <w:t>，经处理后无组织排放</w:t>
                  </w:r>
                  <w:r>
                    <w:rPr>
                      <w:rFonts w:eastAsiaTheme="minorEastAsia"/>
                      <w:color w:val="auto"/>
                      <w:sz w:val="21"/>
                      <w:szCs w:val="21"/>
                    </w:rPr>
                    <w:t>；</w:t>
                  </w:r>
                </w:p>
                <w:p>
                  <w:pPr>
                    <w:pStyle w:val="6"/>
                    <w:adjustRightInd w:val="0"/>
                    <w:snapToGrid w:val="0"/>
                    <w:spacing w:after="0"/>
                    <w:ind w:left="0" w:leftChars="0"/>
                    <w:jc w:val="both"/>
                    <w:rPr>
                      <w:rFonts w:eastAsiaTheme="minorEastAsia"/>
                      <w:color w:val="auto"/>
                      <w:kern w:val="2"/>
                      <w:sz w:val="21"/>
                      <w:szCs w:val="21"/>
                    </w:rPr>
                  </w:pPr>
                  <w:r>
                    <w:rPr>
                      <w:rFonts w:eastAsiaTheme="minorEastAsia"/>
                      <w:color w:val="auto"/>
                      <w:kern w:val="2"/>
                      <w:sz w:val="21"/>
                      <w:szCs w:val="21"/>
                    </w:rPr>
                    <w:t>④水泥筒仓呼吸口废气G4：</w:t>
                  </w:r>
                  <w:r>
                    <w:rPr>
                      <w:color w:val="auto"/>
                      <w:sz w:val="21"/>
                      <w:szCs w:val="21"/>
                    </w:rPr>
                    <w:t>筒仓仓顶配套</w:t>
                  </w:r>
                  <w:r>
                    <w:rPr>
                      <w:rFonts w:ascii="Times New Roman" w:hAnsi="Times New Roman" w:eastAsia="宋体" w:cs="Times New Roman"/>
                      <w:bCs/>
                      <w:color w:val="auto"/>
                      <w:kern w:val="1"/>
                      <w:sz w:val="21"/>
                      <w:szCs w:val="21"/>
                      <w:highlight w:val="none"/>
                    </w:rPr>
                    <w:t>布袋除尘</w:t>
                  </w:r>
                  <w:r>
                    <w:rPr>
                      <w:rFonts w:hint="eastAsia" w:ascii="Times New Roman" w:hAnsi="Times New Roman" w:eastAsia="宋体" w:cs="Times New Roman"/>
                      <w:bCs/>
                      <w:color w:val="auto"/>
                      <w:kern w:val="1"/>
                      <w:sz w:val="21"/>
                      <w:szCs w:val="21"/>
                      <w:highlight w:val="none"/>
                      <w:lang w:val="en-US" w:eastAsia="zh-CN"/>
                    </w:rPr>
                    <w:t>器</w:t>
                  </w:r>
                  <w:r>
                    <w:rPr>
                      <w:rFonts w:hint="eastAsia" w:cs="Times New Roman"/>
                      <w:bCs/>
                      <w:color w:val="auto"/>
                      <w:kern w:val="1"/>
                      <w:sz w:val="21"/>
                      <w:szCs w:val="21"/>
                      <w:highlight w:val="none"/>
                      <w:lang w:eastAsia="zh-CN"/>
                    </w:rPr>
                    <w:t>，</w:t>
                  </w:r>
                  <w:r>
                    <w:rPr>
                      <w:rFonts w:hint="eastAsia" w:cs="Times New Roman"/>
                      <w:bCs/>
                      <w:color w:val="auto"/>
                      <w:kern w:val="1"/>
                      <w:sz w:val="21"/>
                      <w:szCs w:val="21"/>
                      <w:highlight w:val="none"/>
                      <w:lang w:val="en-US" w:eastAsia="zh-CN"/>
                    </w:rPr>
                    <w:t>经处理后无组织排放</w:t>
                  </w:r>
                  <w:r>
                    <w:rPr>
                      <w:rFonts w:eastAsiaTheme="minorEastAsia"/>
                      <w:color w:val="auto"/>
                      <w:kern w:val="2"/>
                      <w:sz w:val="21"/>
                      <w:szCs w:val="21"/>
                    </w:rPr>
                    <w:t>；</w:t>
                  </w:r>
                </w:p>
                <w:p>
                  <w:pPr>
                    <w:pStyle w:val="6"/>
                    <w:adjustRightInd w:val="0"/>
                    <w:snapToGrid w:val="0"/>
                    <w:spacing w:after="0"/>
                    <w:ind w:left="0" w:leftChars="0"/>
                    <w:jc w:val="both"/>
                    <w:rPr>
                      <w:rFonts w:eastAsiaTheme="minorEastAsia"/>
                      <w:color w:val="auto"/>
                      <w:kern w:val="2"/>
                      <w:sz w:val="21"/>
                      <w:szCs w:val="21"/>
                    </w:rPr>
                  </w:pPr>
                  <w:r>
                    <w:rPr>
                      <w:rFonts w:eastAsiaTheme="minorEastAsia"/>
                      <w:color w:val="auto"/>
                      <w:kern w:val="2"/>
                      <w:sz w:val="21"/>
                      <w:szCs w:val="21"/>
                    </w:rPr>
                    <w:t>⑤搅拌机搅拌废气G5：</w:t>
                  </w:r>
                  <w:r>
                    <w:rPr>
                      <w:rFonts w:hint="eastAsia" w:eastAsiaTheme="minorEastAsia"/>
                      <w:color w:val="auto"/>
                      <w:kern w:val="2"/>
                      <w:sz w:val="21"/>
                      <w:szCs w:val="21"/>
                      <w:lang w:val="en-US" w:eastAsia="zh-CN"/>
                    </w:rPr>
                    <w:t>全封闭式</w:t>
                  </w:r>
                  <w:r>
                    <w:rPr>
                      <w:rFonts w:hint="eastAsia" w:eastAsiaTheme="minorEastAsia"/>
                      <w:color w:val="auto"/>
                      <w:kern w:val="2"/>
                      <w:sz w:val="21"/>
                      <w:szCs w:val="21"/>
                      <w:lang w:eastAsia="zh-CN"/>
                    </w:rPr>
                    <w:t>搅拌机配套</w:t>
                  </w:r>
                  <w:r>
                    <w:rPr>
                      <w:rFonts w:ascii="Times New Roman" w:hAnsi="Times New Roman" w:eastAsia="宋体" w:cs="Times New Roman"/>
                      <w:bCs/>
                      <w:color w:val="auto"/>
                      <w:kern w:val="1"/>
                      <w:sz w:val="21"/>
                      <w:szCs w:val="21"/>
                      <w:highlight w:val="none"/>
                    </w:rPr>
                    <w:t>布袋除尘</w:t>
                  </w:r>
                  <w:r>
                    <w:rPr>
                      <w:rFonts w:hint="eastAsia" w:ascii="Times New Roman" w:hAnsi="Times New Roman" w:eastAsia="宋体" w:cs="Times New Roman"/>
                      <w:bCs/>
                      <w:color w:val="auto"/>
                      <w:kern w:val="1"/>
                      <w:sz w:val="21"/>
                      <w:szCs w:val="21"/>
                      <w:highlight w:val="none"/>
                      <w:lang w:val="en-US" w:eastAsia="zh-CN"/>
                    </w:rPr>
                    <w:t>器</w:t>
                  </w:r>
                  <w:r>
                    <w:rPr>
                      <w:rFonts w:hint="eastAsia" w:cs="Times New Roman"/>
                      <w:bCs/>
                      <w:color w:val="auto"/>
                      <w:kern w:val="1"/>
                      <w:sz w:val="21"/>
                      <w:szCs w:val="21"/>
                      <w:highlight w:val="none"/>
                      <w:lang w:eastAsia="zh-CN"/>
                    </w:rPr>
                    <w:t>，</w:t>
                  </w:r>
                  <w:r>
                    <w:rPr>
                      <w:rFonts w:hint="eastAsia" w:cs="Times New Roman"/>
                      <w:bCs/>
                      <w:color w:val="auto"/>
                      <w:kern w:val="1"/>
                      <w:sz w:val="21"/>
                      <w:szCs w:val="21"/>
                      <w:highlight w:val="none"/>
                      <w:lang w:val="en-US" w:eastAsia="zh-CN"/>
                    </w:rPr>
                    <w:t>经处理后无组织排放</w:t>
                  </w:r>
                  <w:r>
                    <w:rPr>
                      <w:rFonts w:eastAsiaTheme="minorEastAsia"/>
                      <w:color w:val="auto"/>
                      <w:sz w:val="21"/>
                      <w:szCs w:val="21"/>
                    </w:rPr>
                    <w:t>；</w:t>
                  </w:r>
                </w:p>
                <w:p>
                  <w:pPr>
                    <w:pStyle w:val="6"/>
                    <w:adjustRightInd w:val="0"/>
                    <w:snapToGrid w:val="0"/>
                    <w:spacing w:after="0"/>
                    <w:ind w:left="0" w:leftChars="0"/>
                    <w:jc w:val="both"/>
                    <w:rPr>
                      <w:rFonts w:eastAsiaTheme="minorEastAsia"/>
                      <w:color w:val="auto"/>
                      <w:sz w:val="21"/>
                      <w:szCs w:val="21"/>
                    </w:rPr>
                  </w:pPr>
                  <w:r>
                    <w:rPr>
                      <w:rFonts w:eastAsiaTheme="minorEastAsia"/>
                      <w:color w:val="auto"/>
                      <w:kern w:val="2"/>
                      <w:sz w:val="21"/>
                      <w:szCs w:val="21"/>
                    </w:rPr>
                    <w:t>⑥车辆运输扬尘G6：运输车辆缓慢行驶且不得超载</w:t>
                  </w:r>
                  <w:r>
                    <w:rPr>
                      <w:rFonts w:hint="eastAsia" w:eastAsiaTheme="minorEastAsia"/>
                      <w:color w:val="auto"/>
                      <w:kern w:val="2"/>
                      <w:sz w:val="21"/>
                      <w:szCs w:val="21"/>
                      <w:lang w:eastAsia="zh-CN"/>
                    </w:rPr>
                    <w:t>；</w:t>
                  </w:r>
                  <w:r>
                    <w:rPr>
                      <w:rFonts w:eastAsiaTheme="minorEastAsia"/>
                      <w:color w:val="auto"/>
                      <w:kern w:val="2"/>
                      <w:sz w:val="21"/>
                      <w:szCs w:val="21"/>
                    </w:rPr>
                    <w:t>厂区门口设置车辆冲洗平台，并采取定期道路洒水降尘</w:t>
                  </w:r>
                  <w:r>
                    <w:rPr>
                      <w:rFonts w:hint="eastAsia" w:eastAsiaTheme="minorEastAsia"/>
                      <w:color w:val="auto"/>
                      <w:kern w:val="2"/>
                      <w:sz w:val="21"/>
                      <w:szCs w:val="21"/>
                      <w:lang w:eastAsia="zh-CN"/>
                    </w:rPr>
                    <w:t>、</w:t>
                  </w:r>
                  <w:r>
                    <w:rPr>
                      <w:rFonts w:hint="eastAsia" w:eastAsiaTheme="minorEastAsia"/>
                      <w:color w:val="auto"/>
                      <w:kern w:val="2"/>
                      <w:sz w:val="21"/>
                      <w:szCs w:val="21"/>
                      <w:lang w:val="en-US" w:eastAsia="zh-CN"/>
                    </w:rPr>
                    <w:t>物料苫盖遮挡</w:t>
                  </w:r>
                  <w:r>
                    <w:rPr>
                      <w:rFonts w:eastAsiaTheme="minorEastAsia"/>
                      <w:color w:val="auto"/>
                      <w:kern w:val="2"/>
                      <w:sz w:val="21"/>
                      <w:szCs w:val="21"/>
                    </w:rPr>
                    <w:t>措施。</w:t>
                  </w:r>
                </w:p>
              </w:tc>
              <w:tc>
                <w:tcPr>
                  <w:tcW w:w="746" w:type="dxa"/>
                  <w:vAlign w:val="center"/>
                </w:tcPr>
                <w:p>
                  <w:pPr>
                    <w:pStyle w:val="6"/>
                    <w:adjustRightInd w:val="0"/>
                    <w:snapToGrid w:val="0"/>
                    <w:spacing w:after="0"/>
                    <w:ind w:left="0" w:leftChars="0" w:firstLine="0" w:firstLineChars="0"/>
                    <w:jc w:val="center"/>
                    <w:rPr>
                      <w:rFonts w:eastAsiaTheme="minorEastAsia"/>
                      <w:color w:val="auto"/>
                      <w:sz w:val="21"/>
                      <w:szCs w:val="21"/>
                    </w:rPr>
                  </w:pPr>
                  <w:r>
                    <w:rPr>
                      <w:rFonts w:eastAsiaTheme="minorEastAsia"/>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8" w:type="dxa"/>
                  <w:vMerge w:val="continue"/>
                  <w:vAlign w:val="center"/>
                </w:tcPr>
                <w:p>
                  <w:pPr>
                    <w:pStyle w:val="6"/>
                    <w:adjustRightInd w:val="0"/>
                    <w:snapToGrid w:val="0"/>
                    <w:spacing w:after="0"/>
                    <w:ind w:left="0" w:leftChars="0" w:firstLine="0" w:firstLineChars="0"/>
                    <w:jc w:val="center"/>
                    <w:rPr>
                      <w:rFonts w:eastAsiaTheme="minorEastAsia"/>
                      <w:b/>
                      <w:bCs/>
                      <w:color w:val="auto"/>
                      <w:kern w:val="2"/>
                      <w:sz w:val="21"/>
                      <w:szCs w:val="21"/>
                    </w:rPr>
                  </w:pPr>
                </w:p>
              </w:tc>
              <w:tc>
                <w:tcPr>
                  <w:tcW w:w="1369" w:type="dxa"/>
                  <w:gridSpan w:val="2"/>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eastAsiaTheme="minorEastAsia"/>
                      <w:color w:val="auto"/>
                      <w:kern w:val="2"/>
                      <w:sz w:val="21"/>
                      <w:szCs w:val="21"/>
                    </w:rPr>
                    <w:t>废水治理措施</w:t>
                  </w:r>
                </w:p>
              </w:tc>
              <w:tc>
                <w:tcPr>
                  <w:tcW w:w="5726" w:type="dxa"/>
                  <w:vAlign w:val="center"/>
                </w:tcPr>
                <w:p>
                  <w:pPr>
                    <w:adjustRightInd w:val="0"/>
                    <w:snapToGrid w:val="0"/>
                    <w:ind w:firstLine="420" w:firstLineChars="200"/>
                    <w:rPr>
                      <w:rFonts w:eastAsiaTheme="minorEastAsia"/>
                      <w:color w:val="auto"/>
                      <w:kern w:val="0"/>
                      <w:szCs w:val="21"/>
                      <w:highlight w:val="none"/>
                    </w:rPr>
                  </w:pPr>
                  <w:r>
                    <w:rPr>
                      <w:rFonts w:hint="eastAsia" w:eastAsiaTheme="minorEastAsia"/>
                      <w:color w:val="auto"/>
                      <w:kern w:val="0"/>
                      <w:szCs w:val="21"/>
                      <w:lang w:val="en-US" w:eastAsia="zh-CN"/>
                    </w:rPr>
                    <w:t>厂区设置</w:t>
                  </w:r>
                  <w:r>
                    <w:rPr>
                      <w:rFonts w:eastAsiaTheme="minorEastAsia"/>
                      <w:color w:val="auto"/>
                      <w:kern w:val="0"/>
                      <w:szCs w:val="21"/>
                    </w:rPr>
                    <w:t>环</w:t>
                  </w:r>
                  <w:r>
                    <w:rPr>
                      <w:rFonts w:eastAsiaTheme="minorEastAsia"/>
                      <w:color w:val="auto"/>
                      <w:kern w:val="0"/>
                      <w:szCs w:val="21"/>
                      <w:highlight w:val="none"/>
                    </w:rPr>
                    <w:t>保</w:t>
                  </w:r>
                  <w:r>
                    <w:rPr>
                      <w:rFonts w:hint="eastAsia" w:eastAsiaTheme="minorEastAsia"/>
                      <w:color w:val="auto"/>
                      <w:kern w:val="0"/>
                      <w:szCs w:val="21"/>
                      <w:highlight w:val="none"/>
                      <w:lang w:val="en-US" w:eastAsia="zh-CN"/>
                    </w:rPr>
                    <w:t>厕所</w:t>
                  </w:r>
                  <w:r>
                    <w:rPr>
                      <w:rFonts w:eastAsiaTheme="minorEastAsia"/>
                      <w:color w:val="auto"/>
                      <w:kern w:val="0"/>
                      <w:szCs w:val="21"/>
                      <w:highlight w:val="none"/>
                    </w:rPr>
                    <w:t>供工作人员方便，生活污水经</w:t>
                  </w:r>
                  <w:r>
                    <w:rPr>
                      <w:rFonts w:hint="eastAsia" w:eastAsiaTheme="minorEastAsia"/>
                      <w:color w:val="auto"/>
                      <w:kern w:val="0"/>
                      <w:szCs w:val="21"/>
                      <w:highlight w:val="none"/>
                      <w:lang w:val="en-US" w:eastAsia="zh-CN"/>
                    </w:rPr>
                    <w:t>化粪池（3m</w:t>
                  </w:r>
                  <w:r>
                    <w:rPr>
                      <w:rFonts w:hint="eastAsia" w:eastAsiaTheme="minorEastAsia"/>
                      <w:color w:val="auto"/>
                      <w:kern w:val="0"/>
                      <w:szCs w:val="21"/>
                      <w:highlight w:val="none"/>
                      <w:vertAlign w:val="superscript"/>
                      <w:lang w:val="en-US" w:eastAsia="zh-CN"/>
                    </w:rPr>
                    <w:t>3</w:t>
                  </w:r>
                  <w:r>
                    <w:rPr>
                      <w:rFonts w:hint="eastAsia" w:eastAsiaTheme="minorEastAsia"/>
                      <w:color w:val="auto"/>
                      <w:kern w:val="0"/>
                      <w:szCs w:val="21"/>
                      <w:highlight w:val="none"/>
                      <w:lang w:val="en-US" w:eastAsia="zh-CN"/>
                    </w:rPr>
                    <w:t>）初步处理后</w:t>
                  </w:r>
                  <w:r>
                    <w:rPr>
                      <w:rFonts w:hint="eastAsia" w:eastAsiaTheme="minorEastAsia"/>
                      <w:color w:val="auto"/>
                      <w:kern w:val="0"/>
                      <w:szCs w:val="21"/>
                      <w:highlight w:val="none"/>
                    </w:rPr>
                    <w:t>定期</w:t>
                  </w:r>
                  <w:r>
                    <w:rPr>
                      <w:rFonts w:hint="eastAsia" w:eastAsiaTheme="minorEastAsia"/>
                      <w:color w:val="auto"/>
                      <w:kern w:val="0"/>
                      <w:szCs w:val="21"/>
                      <w:highlight w:val="none"/>
                      <w:lang w:val="en-US" w:eastAsia="zh-CN"/>
                    </w:rPr>
                    <w:t>运往中卫市第一污水处理厂进行处理；</w:t>
                  </w:r>
                </w:p>
                <w:p>
                  <w:pPr>
                    <w:adjustRightInd w:val="0"/>
                    <w:snapToGrid w:val="0"/>
                    <w:ind w:firstLine="420" w:firstLineChars="200"/>
                    <w:rPr>
                      <w:rFonts w:eastAsiaTheme="minorEastAsia"/>
                      <w:color w:val="auto"/>
                      <w:kern w:val="2"/>
                      <w:sz w:val="21"/>
                      <w:szCs w:val="21"/>
                    </w:rPr>
                  </w:pPr>
                  <w:r>
                    <w:rPr>
                      <w:rFonts w:hint="eastAsia" w:eastAsiaTheme="minorEastAsia"/>
                      <w:color w:val="auto"/>
                      <w:kern w:val="0"/>
                      <w:szCs w:val="21"/>
                      <w:lang w:val="en-US" w:eastAsia="zh-CN"/>
                    </w:rPr>
                    <w:t>厂区</w:t>
                  </w:r>
                  <w:r>
                    <w:rPr>
                      <w:rFonts w:eastAsiaTheme="minorEastAsia"/>
                      <w:color w:val="auto"/>
                      <w:kern w:val="0"/>
                      <w:szCs w:val="21"/>
                    </w:rPr>
                    <w:t>设置沉淀池、洗车平台，搅拌机清洗废水及车辆冲洗废水</w:t>
                  </w:r>
                  <w:r>
                    <w:rPr>
                      <w:rFonts w:hint="eastAsia" w:eastAsiaTheme="minorEastAsia"/>
                      <w:color w:val="auto"/>
                      <w:kern w:val="0"/>
                      <w:szCs w:val="21"/>
                      <w:lang w:val="en-US" w:eastAsia="zh-CN"/>
                    </w:rPr>
                    <w:t>经沉淀池</w:t>
                  </w:r>
                  <w:r>
                    <w:rPr>
                      <w:rFonts w:eastAsiaTheme="minorEastAsia"/>
                      <w:color w:val="auto"/>
                      <w:kern w:val="0"/>
                      <w:szCs w:val="21"/>
                    </w:rPr>
                    <w:t>沉淀后回用于道路洒水降尘；道路</w:t>
                  </w:r>
                  <w:r>
                    <w:rPr>
                      <w:rFonts w:eastAsiaTheme="minorEastAsia"/>
                      <w:color w:val="auto"/>
                      <w:szCs w:val="21"/>
                    </w:rPr>
                    <w:t>降尘用水自然蒸发。</w:t>
                  </w:r>
                </w:p>
              </w:tc>
              <w:tc>
                <w:tcPr>
                  <w:tcW w:w="746" w:type="dxa"/>
                  <w:vAlign w:val="center"/>
                </w:tcPr>
                <w:p>
                  <w:pPr>
                    <w:pStyle w:val="6"/>
                    <w:adjustRightInd w:val="0"/>
                    <w:snapToGrid w:val="0"/>
                    <w:spacing w:after="0"/>
                    <w:ind w:left="0" w:leftChars="0" w:firstLine="0" w:firstLineChars="0"/>
                    <w:jc w:val="center"/>
                    <w:rPr>
                      <w:rFonts w:eastAsiaTheme="minorEastAsia"/>
                      <w:color w:val="auto"/>
                      <w:sz w:val="21"/>
                      <w:szCs w:val="21"/>
                    </w:rPr>
                  </w:pPr>
                  <w:r>
                    <w:rPr>
                      <w:rFonts w:eastAsiaTheme="minorEastAsia"/>
                      <w:color w:val="auto"/>
                      <w:kern w:val="2"/>
                      <w:sz w:val="21"/>
                      <w:szCs w:val="21"/>
                    </w:rPr>
                    <w:t>新建</w:t>
                  </w:r>
                </w:p>
              </w:tc>
            </w:tr>
          </w:tbl>
          <w:p>
            <w:pPr>
              <w:pStyle w:val="6"/>
              <w:adjustRightInd w:val="0"/>
              <w:snapToGrid w:val="0"/>
              <w:jc w:val="center"/>
              <w:rPr>
                <w:color w:val="auto"/>
              </w:rPr>
            </w:pPr>
            <w:r>
              <w:rPr>
                <w:rFonts w:hint="eastAsia"/>
                <w:b/>
                <w:bCs/>
                <w:color w:val="auto"/>
                <w:sz w:val="21"/>
                <w:szCs w:val="21"/>
                <w:lang w:eastAsia="zh-CN"/>
              </w:rPr>
              <w:t>（</w:t>
            </w:r>
            <w:r>
              <w:rPr>
                <w:rFonts w:hint="eastAsia"/>
                <w:b/>
                <w:bCs/>
                <w:color w:val="auto"/>
                <w:sz w:val="21"/>
                <w:szCs w:val="21"/>
                <w:lang w:val="en-US" w:eastAsia="zh-CN"/>
              </w:rPr>
              <w:t>续</w:t>
            </w:r>
            <w:r>
              <w:rPr>
                <w:rFonts w:hint="eastAsia"/>
                <w:b/>
                <w:bCs/>
                <w:color w:val="auto"/>
                <w:sz w:val="21"/>
                <w:szCs w:val="21"/>
                <w:lang w:eastAsia="zh-CN"/>
              </w:rPr>
              <w:t>）</w:t>
            </w:r>
            <w:r>
              <w:rPr>
                <w:b/>
                <w:bCs/>
                <w:color w:val="auto"/>
                <w:sz w:val="21"/>
                <w:szCs w:val="21"/>
              </w:rPr>
              <w:t xml:space="preserve">表2-1  </w:t>
            </w:r>
            <w:r>
              <w:rPr>
                <w:rFonts w:hint="eastAsia"/>
                <w:b/>
                <w:bCs/>
                <w:color w:val="auto"/>
                <w:sz w:val="21"/>
                <w:szCs w:val="21"/>
              </w:rPr>
              <w:t xml:space="preserve"> </w:t>
            </w:r>
            <w:r>
              <w:rPr>
                <w:b/>
                <w:bCs/>
                <w:color w:val="auto"/>
                <w:sz w:val="21"/>
                <w:szCs w:val="21"/>
              </w:rPr>
              <w:t>本项目工程组成一览表</w:t>
            </w:r>
          </w:p>
          <w:tbl>
            <w:tblPr>
              <w:tblStyle w:val="25"/>
              <w:tblW w:w="826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2"/>
              <w:gridCol w:w="1367"/>
              <w:gridCol w:w="5818"/>
              <w:gridCol w:w="6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57" w:type="dxa"/>
                  <w:gridSpan w:val="2"/>
                  <w:shd w:val="clear" w:color="auto" w:fill="auto"/>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eastAsiaTheme="minorEastAsia"/>
                      <w:b/>
                      <w:bCs/>
                      <w:color w:val="auto"/>
                      <w:kern w:val="2"/>
                      <w:sz w:val="21"/>
                      <w:szCs w:val="21"/>
                    </w:rPr>
                    <w:t>项目</w:t>
                  </w:r>
                </w:p>
              </w:tc>
              <w:tc>
                <w:tcPr>
                  <w:tcW w:w="5566" w:type="dxa"/>
                  <w:shd w:val="clear" w:color="auto" w:fill="auto"/>
                  <w:vAlign w:val="center"/>
                </w:tcPr>
                <w:p>
                  <w:pPr>
                    <w:pStyle w:val="6"/>
                    <w:adjustRightInd w:val="0"/>
                    <w:snapToGrid w:val="0"/>
                    <w:spacing w:after="0"/>
                    <w:ind w:left="0" w:leftChars="0" w:firstLine="0" w:firstLineChars="0"/>
                    <w:jc w:val="center"/>
                    <w:rPr>
                      <w:rFonts w:eastAsiaTheme="minorEastAsia"/>
                      <w:color w:val="auto"/>
                      <w:sz w:val="21"/>
                      <w:szCs w:val="21"/>
                    </w:rPr>
                  </w:pPr>
                  <w:r>
                    <w:rPr>
                      <w:rFonts w:eastAsiaTheme="minorEastAsia"/>
                      <w:b/>
                      <w:bCs/>
                      <w:color w:val="auto"/>
                      <w:kern w:val="2"/>
                      <w:sz w:val="21"/>
                      <w:szCs w:val="21"/>
                    </w:rPr>
                    <w:t>建设内容</w:t>
                  </w:r>
                </w:p>
              </w:tc>
              <w:tc>
                <w:tcPr>
                  <w:tcW w:w="746" w:type="dxa"/>
                  <w:shd w:val="clear" w:color="auto" w:fill="auto"/>
                  <w:vAlign w:val="center"/>
                </w:tcPr>
                <w:p>
                  <w:pPr>
                    <w:pStyle w:val="6"/>
                    <w:adjustRightInd w:val="0"/>
                    <w:snapToGrid w:val="0"/>
                    <w:spacing w:after="0"/>
                    <w:ind w:left="0" w:leftChars="0" w:firstLine="0" w:firstLineChars="0"/>
                    <w:jc w:val="center"/>
                    <w:rPr>
                      <w:rFonts w:eastAsiaTheme="minorEastAsia"/>
                      <w:color w:val="auto"/>
                      <w:kern w:val="2"/>
                      <w:sz w:val="21"/>
                      <w:szCs w:val="21"/>
                    </w:rPr>
                  </w:pPr>
                  <w:r>
                    <w:rPr>
                      <w:rFonts w:eastAsiaTheme="minorEastAsia"/>
                      <w:b/>
                      <w:bCs/>
                      <w:color w:val="auto"/>
                      <w:kern w:val="2"/>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8" w:type="dxa"/>
                  <w:vMerge w:val="restart"/>
                  <w:shd w:val="clear" w:color="auto" w:fill="auto"/>
                  <w:vAlign w:val="center"/>
                </w:tcPr>
                <w:p>
                  <w:pPr>
                    <w:pStyle w:val="6"/>
                    <w:adjustRightInd w:val="0"/>
                    <w:snapToGrid w:val="0"/>
                    <w:spacing w:after="0"/>
                    <w:ind w:left="0" w:leftChars="0" w:firstLine="0" w:firstLineChars="0"/>
                    <w:jc w:val="center"/>
                    <w:rPr>
                      <w:rFonts w:ascii="Times New Roman" w:hAnsi="Times New Roman" w:cs="Times New Roman" w:eastAsiaTheme="minorEastAsia"/>
                      <w:color w:val="auto"/>
                      <w:kern w:val="2"/>
                      <w:sz w:val="21"/>
                      <w:szCs w:val="21"/>
                      <w:lang w:val="en-US" w:eastAsia="zh-CN" w:bidi="ar-SA"/>
                    </w:rPr>
                  </w:pPr>
                  <w:r>
                    <w:rPr>
                      <w:rFonts w:eastAsiaTheme="minorEastAsia"/>
                      <w:b/>
                      <w:bCs/>
                      <w:color w:val="auto"/>
                      <w:kern w:val="2"/>
                      <w:sz w:val="21"/>
                      <w:szCs w:val="21"/>
                    </w:rPr>
                    <w:t>环保工程</w:t>
                  </w:r>
                </w:p>
              </w:tc>
              <w:tc>
                <w:tcPr>
                  <w:tcW w:w="1529" w:type="dxa"/>
                  <w:shd w:val="clear" w:color="auto" w:fill="auto"/>
                  <w:vAlign w:val="center"/>
                </w:tcPr>
                <w:p>
                  <w:pPr>
                    <w:pStyle w:val="6"/>
                    <w:adjustRightInd w:val="0"/>
                    <w:snapToGrid w:val="0"/>
                    <w:spacing w:after="0"/>
                    <w:ind w:left="0" w:leftChars="0" w:firstLine="0" w:firstLineChars="0"/>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kern w:val="2"/>
                      <w:sz w:val="21"/>
                      <w:szCs w:val="21"/>
                    </w:rPr>
                    <w:t>噪声防治措施</w:t>
                  </w:r>
                </w:p>
              </w:tc>
              <w:tc>
                <w:tcPr>
                  <w:tcW w:w="5566" w:type="dxa"/>
                  <w:shd w:val="clear" w:color="auto" w:fill="auto"/>
                  <w:vAlign w:val="center"/>
                </w:tcPr>
                <w:p>
                  <w:pPr>
                    <w:pStyle w:val="6"/>
                    <w:adjustRightInd w:val="0"/>
                    <w:snapToGrid w:val="0"/>
                    <w:spacing w:after="0"/>
                    <w:ind w:left="0" w:leftChars="0" w:firstLine="420" w:firstLineChars="200"/>
                    <w:rPr>
                      <w:rFonts w:ascii="Times New Roman" w:hAnsi="Times New Roman" w:cs="Times New Roman" w:eastAsiaTheme="minorEastAsia"/>
                      <w:color w:val="auto"/>
                      <w:kern w:val="2"/>
                      <w:sz w:val="21"/>
                      <w:szCs w:val="21"/>
                      <w:lang w:val="en-US" w:eastAsia="zh-CN" w:bidi="ar-SA"/>
                    </w:rPr>
                  </w:pPr>
                  <w:r>
                    <w:rPr>
                      <w:rFonts w:eastAsiaTheme="minorEastAsia"/>
                      <w:color w:val="auto"/>
                      <w:sz w:val="21"/>
                      <w:szCs w:val="21"/>
                    </w:rPr>
                    <w:t>选择低噪声设备，采取基础减振等降噪措施</w:t>
                  </w:r>
                  <w:r>
                    <w:rPr>
                      <w:rFonts w:hint="eastAsia" w:eastAsiaTheme="minorEastAsia"/>
                      <w:color w:val="auto"/>
                      <w:kern w:val="2"/>
                      <w:sz w:val="21"/>
                      <w:szCs w:val="21"/>
                      <w:lang w:eastAsia="zh-CN"/>
                    </w:rPr>
                    <w:t>；</w:t>
                  </w:r>
                  <w:r>
                    <w:rPr>
                      <w:rFonts w:eastAsiaTheme="minorEastAsia"/>
                      <w:color w:val="auto"/>
                      <w:kern w:val="2"/>
                      <w:sz w:val="21"/>
                      <w:szCs w:val="21"/>
                    </w:rPr>
                    <w:t>运输车辆路过</w:t>
                  </w:r>
                  <w:r>
                    <w:rPr>
                      <w:rFonts w:hint="eastAsia" w:eastAsiaTheme="minorEastAsia"/>
                      <w:color w:val="auto"/>
                      <w:kern w:val="2"/>
                      <w:sz w:val="21"/>
                      <w:szCs w:val="21"/>
                      <w:lang w:val="en-US" w:eastAsia="zh-CN"/>
                    </w:rPr>
                    <w:t>村居</w:t>
                  </w:r>
                  <w:r>
                    <w:rPr>
                      <w:rFonts w:eastAsiaTheme="minorEastAsia"/>
                      <w:color w:val="auto"/>
                      <w:kern w:val="2"/>
                      <w:sz w:val="21"/>
                      <w:szCs w:val="21"/>
                    </w:rPr>
                    <w:t>时禁止鸣笛</w:t>
                  </w:r>
                  <w:r>
                    <w:rPr>
                      <w:rFonts w:hint="eastAsia" w:eastAsiaTheme="minorEastAsia"/>
                      <w:color w:val="auto"/>
                      <w:kern w:val="2"/>
                      <w:sz w:val="21"/>
                      <w:szCs w:val="21"/>
                      <w:lang w:val="en-US" w:eastAsia="zh-CN"/>
                    </w:rPr>
                    <w:t>，做到缓慢</w:t>
                  </w:r>
                  <w:r>
                    <w:rPr>
                      <w:rFonts w:eastAsiaTheme="minorEastAsia"/>
                      <w:color w:val="auto"/>
                      <w:kern w:val="2"/>
                      <w:sz w:val="21"/>
                      <w:szCs w:val="21"/>
                    </w:rPr>
                    <w:t>行驶。</w:t>
                  </w:r>
                </w:p>
              </w:tc>
              <w:tc>
                <w:tcPr>
                  <w:tcW w:w="746" w:type="dxa"/>
                  <w:shd w:val="clear" w:color="auto" w:fill="auto"/>
                  <w:vAlign w:val="center"/>
                </w:tcPr>
                <w:p>
                  <w:pPr>
                    <w:pStyle w:val="6"/>
                    <w:adjustRightInd w:val="0"/>
                    <w:snapToGrid w:val="0"/>
                    <w:spacing w:after="0"/>
                    <w:ind w:left="0" w:leftChars="0" w:firstLine="0" w:firstLineChars="0"/>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kern w:val="2"/>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8" w:type="dxa"/>
                  <w:vMerge w:val="continue"/>
                </w:tcPr>
                <w:p>
                  <w:pPr>
                    <w:pStyle w:val="6"/>
                    <w:adjustRightInd w:val="0"/>
                    <w:snapToGrid w:val="0"/>
                    <w:spacing w:after="0"/>
                    <w:ind w:left="0" w:leftChars="0" w:firstLine="0" w:firstLineChars="0"/>
                    <w:jc w:val="center"/>
                    <w:rPr>
                      <w:rFonts w:eastAsiaTheme="minorEastAsia"/>
                      <w:b/>
                      <w:bCs/>
                      <w:color w:val="auto"/>
                      <w:kern w:val="2"/>
                      <w:sz w:val="21"/>
                      <w:szCs w:val="21"/>
                    </w:rPr>
                  </w:pPr>
                </w:p>
              </w:tc>
              <w:tc>
                <w:tcPr>
                  <w:tcW w:w="750" w:type="dxa"/>
                  <w:shd w:val="clear" w:color="auto" w:fill="auto"/>
                  <w:vAlign w:val="center"/>
                </w:tcPr>
                <w:p>
                  <w:pPr>
                    <w:pStyle w:val="6"/>
                    <w:adjustRightInd w:val="0"/>
                    <w:snapToGrid w:val="0"/>
                    <w:spacing w:after="0"/>
                    <w:ind w:left="0" w:leftChars="0" w:firstLine="0" w:firstLineChars="0"/>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kern w:val="2"/>
                      <w:sz w:val="21"/>
                      <w:szCs w:val="21"/>
                    </w:rPr>
                    <w:t>固体废物治理措施</w:t>
                  </w:r>
                </w:p>
              </w:tc>
              <w:tc>
                <w:tcPr>
                  <w:tcW w:w="6610" w:type="dxa"/>
                  <w:shd w:val="clear" w:color="auto" w:fill="auto"/>
                  <w:vAlign w:val="center"/>
                </w:tcPr>
                <w:p>
                  <w:pPr>
                    <w:widowControl/>
                    <w:adjustRightInd w:val="0"/>
                    <w:snapToGrid w:val="0"/>
                    <w:spacing w:after="0"/>
                    <w:ind w:left="0" w:leftChars="0" w:firstLine="420" w:firstLineChars="200"/>
                    <w:jc w:val="both"/>
                    <w:rPr>
                      <w:rFonts w:hint="default" w:eastAsiaTheme="minorEastAsia"/>
                      <w:color w:val="auto"/>
                      <w:kern w:val="2"/>
                      <w:sz w:val="21"/>
                      <w:szCs w:val="21"/>
                      <w:lang w:val="en-US" w:eastAsia="zh-CN"/>
                    </w:rPr>
                  </w:pPr>
                  <w:r>
                    <w:rPr>
                      <w:rFonts w:hint="default" w:eastAsiaTheme="minorEastAsia"/>
                      <w:color w:val="auto"/>
                      <w:kern w:val="2"/>
                      <w:sz w:val="21"/>
                      <w:szCs w:val="21"/>
                      <w:lang w:val="en-US" w:eastAsia="zh-CN"/>
                    </w:rPr>
                    <w:t>①除尘装置收集的粉尘及搅拌系统</w:t>
                  </w:r>
                  <w:r>
                    <w:rPr>
                      <w:rFonts w:hint="eastAsia" w:eastAsiaTheme="minorEastAsia"/>
                      <w:color w:val="auto"/>
                      <w:kern w:val="2"/>
                      <w:sz w:val="21"/>
                      <w:szCs w:val="21"/>
                      <w:lang w:val="en-US" w:eastAsia="zh-CN"/>
                    </w:rPr>
                    <w:t>产生</w:t>
                  </w:r>
                  <w:r>
                    <w:rPr>
                      <w:rFonts w:hint="default" w:eastAsiaTheme="minorEastAsia"/>
                      <w:color w:val="auto"/>
                      <w:kern w:val="2"/>
                      <w:sz w:val="21"/>
                      <w:szCs w:val="21"/>
                      <w:lang w:val="en-US" w:eastAsia="zh-CN"/>
                    </w:rPr>
                    <w:t>的拌合残渣回用于生产；</w:t>
                  </w:r>
                </w:p>
                <w:p>
                  <w:pPr>
                    <w:widowControl/>
                    <w:adjustRightInd w:val="0"/>
                    <w:snapToGrid w:val="0"/>
                    <w:spacing w:after="0"/>
                    <w:ind w:left="0" w:leftChars="0" w:firstLine="420" w:firstLineChars="200"/>
                    <w:jc w:val="both"/>
                    <w:rPr>
                      <w:rFonts w:eastAsiaTheme="minorEastAsia"/>
                      <w:color w:val="auto"/>
                      <w:kern w:val="2"/>
                      <w:sz w:val="21"/>
                      <w:szCs w:val="21"/>
                    </w:rPr>
                  </w:pPr>
                  <w:r>
                    <w:rPr>
                      <w:rFonts w:eastAsiaTheme="minorEastAsia"/>
                      <w:color w:val="auto"/>
                      <w:kern w:val="2"/>
                      <w:sz w:val="21"/>
                      <w:szCs w:val="21"/>
                    </w:rPr>
                    <w:t>②</w:t>
                  </w:r>
                  <w:r>
                    <w:rPr>
                      <w:rFonts w:hint="eastAsia" w:eastAsiaTheme="minorEastAsia"/>
                      <w:color w:val="auto"/>
                      <w:kern w:val="2"/>
                      <w:sz w:val="21"/>
                      <w:szCs w:val="21"/>
                      <w:lang w:val="en-US" w:eastAsia="zh-CN"/>
                    </w:rPr>
                    <w:t>筛选出的</w:t>
                  </w:r>
                  <w:r>
                    <w:rPr>
                      <w:rFonts w:eastAsiaTheme="minorEastAsia"/>
                      <w:color w:val="auto"/>
                      <w:sz w:val="21"/>
                      <w:szCs w:val="21"/>
                      <w:lang w:bidi="ar"/>
                    </w:rPr>
                    <w:t>废石料暂存于原料仓，由生产厂家回收；</w:t>
                  </w:r>
                </w:p>
                <w:p>
                  <w:pPr>
                    <w:widowControl/>
                    <w:adjustRightInd w:val="0"/>
                    <w:snapToGrid w:val="0"/>
                    <w:spacing w:after="0"/>
                    <w:ind w:left="0" w:leftChars="0" w:firstLine="420" w:firstLineChars="200"/>
                    <w:jc w:val="both"/>
                    <w:rPr>
                      <w:rFonts w:eastAsiaTheme="minorEastAsia"/>
                      <w:color w:val="auto"/>
                      <w:sz w:val="21"/>
                      <w:szCs w:val="21"/>
                    </w:rPr>
                  </w:pPr>
                  <w:r>
                    <w:rPr>
                      <w:rFonts w:eastAsiaTheme="minorEastAsia"/>
                      <w:color w:val="auto"/>
                      <w:sz w:val="21"/>
                      <w:szCs w:val="21"/>
                    </w:rPr>
                    <w:t>③</w:t>
                  </w:r>
                  <w:r>
                    <w:rPr>
                      <w:rFonts w:eastAsiaTheme="minorEastAsia"/>
                      <w:color w:val="auto"/>
                      <w:sz w:val="21"/>
                      <w:szCs w:val="21"/>
                      <w:lang w:bidi="ar"/>
                    </w:rPr>
                    <w:t>废水沉淀沉渣送至政府指定地点处置；</w:t>
                  </w:r>
                </w:p>
                <w:p>
                  <w:pPr>
                    <w:widowControl/>
                    <w:adjustRightInd w:val="0"/>
                    <w:snapToGrid w:val="0"/>
                    <w:spacing w:after="0"/>
                    <w:ind w:left="0" w:leftChars="0" w:firstLine="420" w:firstLineChars="200"/>
                    <w:jc w:val="both"/>
                    <w:rPr>
                      <w:rFonts w:eastAsiaTheme="minorEastAsia"/>
                      <w:color w:val="auto"/>
                      <w:sz w:val="21"/>
                      <w:szCs w:val="21"/>
                    </w:rPr>
                  </w:pPr>
                  <w:r>
                    <w:rPr>
                      <w:rFonts w:eastAsiaTheme="minorEastAsia"/>
                      <w:color w:val="auto"/>
                      <w:sz w:val="21"/>
                      <w:szCs w:val="21"/>
                    </w:rPr>
                    <w:t>④厂区设置2个垃圾桶收集生活垃圾，运至附近的垃圾转运点处理；</w:t>
                  </w:r>
                </w:p>
                <w:p>
                  <w:pPr>
                    <w:widowControl/>
                    <w:adjustRightInd w:val="0"/>
                    <w:snapToGrid w:val="0"/>
                    <w:ind w:firstLine="420" w:firstLineChars="200"/>
                    <w:rPr>
                      <w:rFonts w:hint="eastAsia" w:eastAsiaTheme="minorEastAsia"/>
                      <w:color w:val="auto"/>
                      <w:kern w:val="0"/>
                      <w:szCs w:val="21"/>
                      <w:lang w:eastAsia="zh-CN" w:bidi="ar"/>
                    </w:rPr>
                  </w:pPr>
                  <w:r>
                    <w:rPr>
                      <w:rFonts w:hint="eastAsia" w:eastAsiaTheme="minorEastAsia"/>
                      <w:color w:val="auto"/>
                      <w:kern w:val="0"/>
                      <w:szCs w:val="21"/>
                      <w:lang w:val="en-US" w:eastAsia="zh-CN" w:bidi="ar"/>
                    </w:rPr>
                    <w:t>⑤拌合</w:t>
                  </w:r>
                  <w:r>
                    <w:rPr>
                      <w:rFonts w:eastAsiaTheme="minorEastAsia"/>
                      <w:color w:val="auto"/>
                      <w:kern w:val="0"/>
                      <w:szCs w:val="21"/>
                      <w:lang w:bidi="ar"/>
                    </w:rPr>
                    <w:t>站拆除后的建筑垃圾送至政府指定地点处置</w:t>
                  </w:r>
                  <w:r>
                    <w:rPr>
                      <w:rFonts w:hint="eastAsia" w:eastAsiaTheme="minorEastAsia"/>
                      <w:color w:val="auto"/>
                      <w:kern w:val="0"/>
                      <w:szCs w:val="21"/>
                      <w:lang w:eastAsia="zh-CN" w:bidi="ar"/>
                    </w:rPr>
                    <w:t>；</w:t>
                  </w:r>
                </w:p>
                <w:p>
                  <w:pPr>
                    <w:widowControl/>
                    <w:adjustRightInd w:val="0"/>
                    <w:snapToGrid w:val="0"/>
                    <w:ind w:firstLine="420" w:firstLineChars="200"/>
                    <w:rPr>
                      <w:rFonts w:hint="default" w:ascii="Times New Roman" w:hAnsi="Times New Roman" w:eastAsia="宋体" w:cs="Times New Roman"/>
                      <w:color w:val="auto"/>
                      <w:kern w:val="2"/>
                      <w:sz w:val="21"/>
                      <w:szCs w:val="24"/>
                      <w:lang w:val="en-US" w:eastAsia="zh-CN" w:bidi="ar-SA"/>
                    </w:rPr>
                  </w:pPr>
                  <w:r>
                    <w:rPr>
                      <w:rFonts w:hint="eastAsia" w:eastAsiaTheme="minorEastAsia"/>
                      <w:color w:val="auto"/>
                      <w:kern w:val="0"/>
                      <w:szCs w:val="21"/>
                      <w:lang w:val="en-US" w:eastAsia="zh-CN" w:bidi="ar"/>
                    </w:rPr>
                    <w:t>⑥项目运行产生的废机油、废机油桶等危险废物暂存于场区内危险废物贮存点。</w:t>
                  </w:r>
                </w:p>
              </w:tc>
              <w:tc>
                <w:tcPr>
                  <w:tcW w:w="482" w:type="dxa"/>
                  <w:shd w:val="clear" w:color="auto" w:fill="auto"/>
                  <w:vAlign w:val="center"/>
                </w:tcPr>
                <w:p>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8" w:type="dxa"/>
                  <w:vMerge w:val="continue"/>
                </w:tcPr>
                <w:p>
                  <w:pPr>
                    <w:pStyle w:val="6"/>
                    <w:adjustRightInd w:val="0"/>
                    <w:snapToGrid w:val="0"/>
                    <w:spacing w:after="0"/>
                    <w:ind w:left="0" w:leftChars="0" w:firstLine="0" w:firstLineChars="0"/>
                    <w:jc w:val="center"/>
                    <w:rPr>
                      <w:rFonts w:eastAsiaTheme="minorEastAsia"/>
                      <w:b/>
                      <w:bCs/>
                      <w:color w:val="auto"/>
                      <w:kern w:val="2"/>
                      <w:sz w:val="21"/>
                      <w:szCs w:val="21"/>
                    </w:rPr>
                  </w:pPr>
                </w:p>
              </w:tc>
              <w:tc>
                <w:tcPr>
                  <w:tcW w:w="750" w:type="dxa"/>
                  <w:shd w:val="clear" w:color="auto" w:fill="auto"/>
                  <w:vAlign w:val="center"/>
                </w:tcPr>
                <w:p>
                  <w:pPr>
                    <w:pStyle w:val="6"/>
                    <w:adjustRightInd w:val="0"/>
                    <w:snapToGrid w:val="0"/>
                    <w:spacing w:after="0"/>
                    <w:ind w:left="0" w:leftChars="0" w:firstLine="0" w:firstLineChars="0"/>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kern w:val="2"/>
                      <w:sz w:val="21"/>
                      <w:szCs w:val="21"/>
                    </w:rPr>
                    <w:t>土壤及地下水防治措施</w:t>
                  </w:r>
                </w:p>
              </w:tc>
              <w:tc>
                <w:tcPr>
                  <w:tcW w:w="6610" w:type="dxa"/>
                  <w:shd w:val="clear" w:color="auto" w:fill="auto"/>
                  <w:vAlign w:val="center"/>
                </w:tcPr>
                <w:p>
                  <w:pPr>
                    <w:pStyle w:val="6"/>
                    <w:adjustRightInd w:val="0"/>
                    <w:snapToGrid w:val="0"/>
                    <w:spacing w:after="0"/>
                    <w:ind w:left="0" w:leftChars="0"/>
                    <w:jc w:val="both"/>
                    <w:rPr>
                      <w:rFonts w:eastAsiaTheme="minorEastAsia"/>
                      <w:color w:val="auto"/>
                      <w:kern w:val="2"/>
                      <w:sz w:val="21"/>
                      <w:szCs w:val="21"/>
                    </w:rPr>
                  </w:pPr>
                  <w:r>
                    <w:rPr>
                      <w:rFonts w:eastAsiaTheme="minorEastAsia"/>
                      <w:color w:val="auto"/>
                      <w:kern w:val="2"/>
                      <w:sz w:val="21"/>
                      <w:szCs w:val="21"/>
                    </w:rPr>
                    <w:t>①厂区地面采用碎石铺设，</w:t>
                  </w:r>
                  <w:r>
                    <w:rPr>
                      <w:rFonts w:hint="eastAsia" w:eastAsiaTheme="minorEastAsia"/>
                      <w:color w:val="auto"/>
                      <w:kern w:val="2"/>
                      <w:sz w:val="21"/>
                      <w:szCs w:val="21"/>
                    </w:rPr>
                    <w:t>外加剂罐</w:t>
                  </w:r>
                  <w:r>
                    <w:rPr>
                      <w:rFonts w:hint="eastAsia" w:eastAsiaTheme="minorEastAsia"/>
                      <w:color w:val="auto"/>
                      <w:kern w:val="2"/>
                      <w:sz w:val="21"/>
                      <w:szCs w:val="21"/>
                      <w:lang w:eastAsia="zh-CN"/>
                    </w:rPr>
                    <w:t>、</w:t>
                  </w:r>
                  <w:r>
                    <w:rPr>
                      <w:rFonts w:eastAsiaTheme="minorEastAsia"/>
                      <w:color w:val="auto"/>
                      <w:kern w:val="2"/>
                      <w:sz w:val="21"/>
                      <w:szCs w:val="21"/>
                    </w:rPr>
                    <w:t>沉淀池</w:t>
                  </w:r>
                  <w:r>
                    <w:rPr>
                      <w:rFonts w:hint="eastAsia" w:eastAsiaTheme="minorEastAsia"/>
                      <w:color w:val="auto"/>
                      <w:kern w:val="2"/>
                      <w:sz w:val="21"/>
                      <w:szCs w:val="21"/>
                      <w:lang w:val="en-US" w:eastAsia="zh-CN"/>
                    </w:rPr>
                    <w:t>及化粪池进行一般防渗，防渗层的采用不低于1.5m厚渗透系数为1.0×10</w:t>
                  </w:r>
                  <w:r>
                    <w:rPr>
                      <w:rFonts w:hint="eastAsia" w:eastAsiaTheme="minorEastAsia"/>
                      <w:color w:val="auto"/>
                      <w:kern w:val="2"/>
                      <w:sz w:val="21"/>
                      <w:szCs w:val="21"/>
                      <w:vertAlign w:val="superscript"/>
                      <w:lang w:val="en-US" w:eastAsia="zh-CN"/>
                    </w:rPr>
                    <w:t>-7</w:t>
                  </w:r>
                  <w:r>
                    <w:rPr>
                      <w:rFonts w:hint="eastAsia" w:eastAsiaTheme="minorEastAsia"/>
                      <w:color w:val="auto"/>
                      <w:kern w:val="2"/>
                      <w:sz w:val="21"/>
                      <w:szCs w:val="21"/>
                      <w:lang w:val="en-US" w:eastAsia="zh-CN"/>
                    </w:rPr>
                    <w:t>cm/s的黏土层进行</w:t>
                  </w:r>
                  <w:r>
                    <w:rPr>
                      <w:rFonts w:eastAsiaTheme="minorEastAsia"/>
                      <w:color w:val="auto"/>
                      <w:kern w:val="2"/>
                      <w:sz w:val="21"/>
                      <w:szCs w:val="21"/>
                    </w:rPr>
                    <w:t>防渗处理；</w:t>
                  </w:r>
                  <w:r>
                    <w:rPr>
                      <w:rFonts w:hint="eastAsia" w:eastAsiaTheme="minorEastAsia"/>
                      <w:color w:val="auto"/>
                      <w:kern w:val="2"/>
                      <w:sz w:val="21"/>
                      <w:szCs w:val="21"/>
                      <w:lang w:val="en-US" w:eastAsia="zh-CN"/>
                    </w:rPr>
                    <w:t>危险废物贮存点应设置防渗层为至少1m厚黏土层（渗透系数不大于10</w:t>
                  </w:r>
                  <w:r>
                    <w:rPr>
                      <w:rFonts w:hint="eastAsia" w:eastAsiaTheme="minorEastAsia"/>
                      <w:color w:val="auto"/>
                      <w:kern w:val="2"/>
                      <w:sz w:val="21"/>
                      <w:szCs w:val="21"/>
                      <w:vertAlign w:val="superscript"/>
                      <w:lang w:val="en-US" w:eastAsia="zh-CN"/>
                    </w:rPr>
                    <w:t>-7</w:t>
                  </w:r>
                  <w:r>
                    <w:rPr>
                      <w:rFonts w:hint="eastAsia" w:eastAsiaTheme="minorEastAsia"/>
                      <w:color w:val="auto"/>
                      <w:kern w:val="2"/>
                      <w:sz w:val="21"/>
                      <w:szCs w:val="21"/>
                      <w:lang w:val="en-US" w:eastAsia="zh-CN"/>
                    </w:rPr>
                    <w:t>cm/s），或至少2mm厚高密度聚乙烯膜等人工防渗材料（渗透系数不大于10</w:t>
                  </w:r>
                  <w:r>
                    <w:rPr>
                      <w:rFonts w:hint="eastAsia" w:eastAsiaTheme="minorEastAsia"/>
                      <w:color w:val="auto"/>
                      <w:kern w:val="2"/>
                      <w:sz w:val="21"/>
                      <w:szCs w:val="21"/>
                      <w:vertAlign w:val="superscript"/>
                      <w:lang w:val="en-US" w:eastAsia="zh-CN"/>
                    </w:rPr>
                    <w:t>-10</w:t>
                  </w:r>
                  <w:r>
                    <w:rPr>
                      <w:rFonts w:hint="eastAsia" w:eastAsiaTheme="minorEastAsia"/>
                      <w:color w:val="auto"/>
                      <w:kern w:val="2"/>
                      <w:sz w:val="21"/>
                      <w:szCs w:val="21"/>
                      <w:lang w:val="en-US" w:eastAsia="zh-CN"/>
                    </w:rPr>
                    <w:t>cm/s），或其他防渗性能等效的材料；</w:t>
                  </w:r>
                </w:p>
                <w:p>
                  <w:pPr>
                    <w:adjustRightInd w:val="0"/>
                    <w:snapToGrid w:val="0"/>
                    <w:ind w:firstLine="420" w:firstLineChars="200"/>
                    <w:jc w:val="both"/>
                    <w:rPr>
                      <w:rFonts w:eastAsiaTheme="minorEastAsia"/>
                      <w:color w:val="auto"/>
                      <w:szCs w:val="21"/>
                    </w:rPr>
                  </w:pPr>
                  <w:r>
                    <w:rPr>
                      <w:rFonts w:eastAsiaTheme="minorEastAsia"/>
                      <w:color w:val="auto"/>
                      <w:szCs w:val="21"/>
                    </w:rPr>
                    <w:t>②厂区周边种植具有较强吸附能力的植物；</w:t>
                  </w:r>
                </w:p>
                <w:p>
                  <w:pPr>
                    <w:pStyle w:val="16"/>
                    <w:adjustRightInd w:val="0"/>
                    <w:ind w:firstLine="420" w:firstLineChars="200"/>
                    <w:jc w:val="both"/>
                    <w:rPr>
                      <w:rFonts w:ascii="Times New Roman" w:hAnsi="Times New Roman" w:cs="Times New Roman" w:eastAsiaTheme="minorEastAsia"/>
                      <w:color w:val="auto"/>
                      <w:kern w:val="0"/>
                      <w:sz w:val="21"/>
                      <w:szCs w:val="21"/>
                      <w:lang w:val="en-US" w:eastAsia="zh-CN" w:bidi="ar-SA"/>
                    </w:rPr>
                  </w:pPr>
                  <w:r>
                    <w:rPr>
                      <w:rFonts w:eastAsiaTheme="minorEastAsia"/>
                      <w:color w:val="auto"/>
                      <w:kern w:val="2"/>
                      <w:sz w:val="21"/>
                      <w:szCs w:val="21"/>
                    </w:rPr>
                    <w:t>③定期清扫厂区，做好设备维护工作。</w:t>
                  </w:r>
                </w:p>
              </w:tc>
              <w:tc>
                <w:tcPr>
                  <w:tcW w:w="482" w:type="dxa"/>
                  <w:shd w:val="clear" w:color="auto" w:fill="auto"/>
                  <w:vAlign w:val="center"/>
                </w:tcPr>
                <w:p>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8" w:type="dxa"/>
                  <w:vMerge w:val="continue"/>
                </w:tcPr>
                <w:p>
                  <w:pPr>
                    <w:pStyle w:val="6"/>
                    <w:adjustRightInd w:val="0"/>
                    <w:snapToGrid w:val="0"/>
                    <w:spacing w:after="0"/>
                    <w:ind w:left="0" w:leftChars="0" w:firstLine="0" w:firstLineChars="0"/>
                    <w:jc w:val="center"/>
                    <w:rPr>
                      <w:rFonts w:eastAsiaTheme="minorEastAsia"/>
                      <w:b/>
                      <w:bCs/>
                      <w:color w:val="auto"/>
                      <w:kern w:val="2"/>
                      <w:sz w:val="21"/>
                      <w:szCs w:val="21"/>
                    </w:rPr>
                  </w:pPr>
                </w:p>
              </w:tc>
              <w:tc>
                <w:tcPr>
                  <w:tcW w:w="750" w:type="dxa"/>
                  <w:shd w:val="clear" w:color="auto" w:fill="auto"/>
                  <w:vAlign w:val="center"/>
                </w:tcPr>
                <w:p>
                  <w:pPr>
                    <w:pStyle w:val="6"/>
                    <w:adjustRightInd w:val="0"/>
                    <w:snapToGrid w:val="0"/>
                    <w:spacing w:after="0"/>
                    <w:ind w:left="0" w:leftChars="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eastAsiaTheme="minorEastAsia"/>
                      <w:color w:val="auto"/>
                      <w:kern w:val="2"/>
                      <w:sz w:val="21"/>
                      <w:szCs w:val="21"/>
                      <w:lang w:val="en-US" w:eastAsia="zh-CN"/>
                    </w:rPr>
                    <w:t>环境风险防范措施</w:t>
                  </w:r>
                </w:p>
              </w:tc>
              <w:tc>
                <w:tcPr>
                  <w:tcW w:w="6610" w:type="dxa"/>
                  <w:shd w:val="clear" w:color="auto" w:fill="auto"/>
                  <w:vAlign w:val="center"/>
                </w:tcPr>
                <w:p>
                  <w:pPr>
                    <w:adjustRightInd w:val="0"/>
                    <w:snapToGrid w:val="0"/>
                    <w:ind w:firstLine="420" w:firstLineChars="200"/>
                    <w:rPr>
                      <w:rFonts w:eastAsiaTheme="minorEastAsia"/>
                      <w:color w:val="auto"/>
                      <w:szCs w:val="21"/>
                    </w:rPr>
                  </w:pPr>
                  <w:r>
                    <w:rPr>
                      <w:rFonts w:eastAsiaTheme="minorEastAsia"/>
                      <w:color w:val="auto"/>
                      <w:szCs w:val="21"/>
                    </w:rPr>
                    <w:t>①</w:t>
                  </w:r>
                  <w:r>
                    <w:rPr>
                      <w:rFonts w:hint="eastAsia" w:eastAsiaTheme="minorEastAsia"/>
                      <w:color w:val="auto"/>
                      <w:szCs w:val="21"/>
                      <w:lang w:val="en-US" w:eastAsia="zh-CN"/>
                    </w:rPr>
                    <w:t>定期检查并观察环保设施运行情况</w:t>
                  </w:r>
                  <w:r>
                    <w:rPr>
                      <w:rFonts w:eastAsiaTheme="minorEastAsia"/>
                      <w:color w:val="auto"/>
                      <w:szCs w:val="21"/>
                    </w:rPr>
                    <w:t>；</w:t>
                  </w:r>
                </w:p>
                <w:p>
                  <w:pPr>
                    <w:adjustRightInd w:val="0"/>
                    <w:snapToGrid w:val="0"/>
                    <w:ind w:firstLine="420" w:firstLineChars="200"/>
                    <w:rPr>
                      <w:rFonts w:ascii="Times New Roman" w:hAnsi="Times New Roman" w:cs="Times New Roman" w:eastAsiaTheme="minorEastAsia"/>
                      <w:color w:val="auto"/>
                      <w:kern w:val="2"/>
                      <w:sz w:val="21"/>
                      <w:szCs w:val="21"/>
                      <w:lang w:val="en-US" w:eastAsia="zh-CN" w:bidi="ar-SA"/>
                    </w:rPr>
                  </w:pPr>
                  <w:r>
                    <w:rPr>
                      <w:rFonts w:eastAsiaTheme="minorEastAsia"/>
                      <w:color w:val="auto"/>
                      <w:szCs w:val="21"/>
                    </w:rPr>
                    <w:t>②</w:t>
                  </w:r>
                  <w:r>
                    <w:rPr>
                      <w:rFonts w:hint="eastAsia" w:eastAsiaTheme="minorEastAsia"/>
                      <w:color w:val="auto"/>
                      <w:szCs w:val="21"/>
                      <w:lang w:val="en-US" w:eastAsia="zh-CN"/>
                    </w:rPr>
                    <w:t>厂区配备相应的消防设施，禁止明火</w:t>
                  </w:r>
                  <w:r>
                    <w:rPr>
                      <w:rFonts w:eastAsiaTheme="minorEastAsia"/>
                      <w:color w:val="auto"/>
                      <w:szCs w:val="21"/>
                    </w:rPr>
                    <w:t>。</w:t>
                  </w:r>
                </w:p>
              </w:tc>
              <w:tc>
                <w:tcPr>
                  <w:tcW w:w="482" w:type="dxa"/>
                  <w:shd w:val="clear" w:color="auto" w:fill="auto"/>
                  <w:vAlign w:val="center"/>
                </w:tcPr>
                <w:p>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8" w:type="dxa"/>
                  <w:vMerge w:val="continue"/>
                </w:tcPr>
                <w:p>
                  <w:pPr>
                    <w:pStyle w:val="6"/>
                    <w:adjustRightInd w:val="0"/>
                    <w:snapToGrid w:val="0"/>
                    <w:spacing w:after="0"/>
                    <w:ind w:left="0" w:leftChars="0" w:firstLine="0" w:firstLineChars="0"/>
                    <w:jc w:val="center"/>
                    <w:rPr>
                      <w:rFonts w:eastAsiaTheme="minorEastAsia"/>
                      <w:b/>
                      <w:bCs/>
                      <w:color w:val="auto"/>
                      <w:kern w:val="2"/>
                      <w:sz w:val="21"/>
                      <w:szCs w:val="21"/>
                    </w:rPr>
                  </w:pPr>
                </w:p>
              </w:tc>
              <w:tc>
                <w:tcPr>
                  <w:tcW w:w="750" w:type="dxa"/>
                  <w:shd w:val="clear" w:color="auto" w:fill="auto"/>
                  <w:vAlign w:val="center"/>
                </w:tcPr>
                <w:p>
                  <w:pPr>
                    <w:pStyle w:val="6"/>
                    <w:adjustRightInd w:val="0"/>
                    <w:snapToGrid w:val="0"/>
                    <w:spacing w:after="0"/>
                    <w:ind w:left="0" w:leftChars="0" w:firstLine="0" w:firstLineChars="0"/>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kern w:val="2"/>
                      <w:sz w:val="21"/>
                      <w:szCs w:val="21"/>
                    </w:rPr>
                    <w:t>生态环境保护措施</w:t>
                  </w:r>
                </w:p>
              </w:tc>
              <w:tc>
                <w:tcPr>
                  <w:tcW w:w="6610" w:type="dxa"/>
                  <w:shd w:val="clear" w:color="auto" w:fill="auto"/>
                  <w:vAlign w:val="center"/>
                </w:tcPr>
                <w:p>
                  <w:pPr>
                    <w:adjustRightInd w:val="0"/>
                    <w:snapToGrid w:val="0"/>
                    <w:ind w:firstLine="420" w:firstLineChars="200"/>
                    <w:rPr>
                      <w:rFonts w:eastAsiaTheme="minorEastAsia"/>
                      <w:color w:val="auto"/>
                      <w:szCs w:val="21"/>
                    </w:rPr>
                  </w:pPr>
                  <w:r>
                    <w:rPr>
                      <w:rFonts w:eastAsiaTheme="minorEastAsia"/>
                      <w:color w:val="auto"/>
                      <w:szCs w:val="21"/>
                    </w:rPr>
                    <w:t>①项目服务期满后，</w:t>
                  </w:r>
                  <w:r>
                    <w:rPr>
                      <w:rFonts w:hint="eastAsia" w:eastAsiaTheme="minorEastAsia"/>
                      <w:color w:val="auto"/>
                      <w:szCs w:val="21"/>
                      <w:lang w:eastAsia="zh-CN"/>
                    </w:rPr>
                    <w:t>对</w:t>
                  </w:r>
                  <w:r>
                    <w:rPr>
                      <w:rFonts w:hint="eastAsia" w:eastAsiaTheme="minorEastAsia"/>
                      <w:color w:val="auto"/>
                      <w:szCs w:val="21"/>
                      <w:lang w:val="en-US" w:eastAsia="zh-CN"/>
                    </w:rPr>
                    <w:t>拌合</w:t>
                  </w:r>
                  <w:r>
                    <w:rPr>
                      <w:rFonts w:hint="eastAsia" w:eastAsiaTheme="minorEastAsia"/>
                      <w:color w:val="auto"/>
                      <w:szCs w:val="21"/>
                      <w:lang w:eastAsia="zh-CN"/>
                    </w:rPr>
                    <w:t>站进行拆除，拆除过程产生的</w:t>
                  </w:r>
                  <w:r>
                    <w:rPr>
                      <w:rFonts w:eastAsiaTheme="minorEastAsia"/>
                      <w:color w:val="auto"/>
                      <w:szCs w:val="21"/>
                    </w:rPr>
                    <w:t>建筑垃圾</w:t>
                  </w:r>
                  <w:r>
                    <w:rPr>
                      <w:rFonts w:hint="eastAsia" w:eastAsiaTheme="minorEastAsia"/>
                      <w:color w:val="auto"/>
                      <w:szCs w:val="21"/>
                    </w:rPr>
                    <w:t>运至政府指定地点处置</w:t>
                  </w:r>
                  <w:r>
                    <w:rPr>
                      <w:rFonts w:eastAsiaTheme="minorEastAsia"/>
                      <w:color w:val="auto"/>
                      <w:szCs w:val="21"/>
                    </w:rPr>
                    <w:t>；</w:t>
                  </w:r>
                </w:p>
                <w:p>
                  <w:pPr>
                    <w:adjustRightInd w:val="0"/>
                    <w:snapToGrid w:val="0"/>
                    <w:ind w:firstLine="420" w:firstLineChars="200"/>
                    <w:rPr>
                      <w:rFonts w:ascii="Times New Roman" w:hAnsi="Times New Roman" w:cs="Times New Roman" w:eastAsiaTheme="minorEastAsia"/>
                      <w:color w:val="auto"/>
                      <w:kern w:val="2"/>
                      <w:sz w:val="21"/>
                      <w:szCs w:val="21"/>
                      <w:lang w:val="en-US" w:eastAsia="zh-CN" w:bidi="ar-SA"/>
                    </w:rPr>
                  </w:pPr>
                  <w:r>
                    <w:rPr>
                      <w:rFonts w:eastAsiaTheme="minorEastAsia"/>
                      <w:color w:val="auto"/>
                      <w:szCs w:val="21"/>
                    </w:rPr>
                    <w:t>②采取场地平整</w:t>
                  </w:r>
                  <w:r>
                    <w:rPr>
                      <w:rFonts w:hint="eastAsia" w:eastAsiaTheme="minorEastAsia"/>
                      <w:color w:val="auto"/>
                      <w:szCs w:val="21"/>
                      <w:lang w:eastAsia="zh-CN"/>
                    </w:rPr>
                    <w:t>、</w:t>
                  </w:r>
                  <w:r>
                    <w:rPr>
                      <w:rFonts w:hint="eastAsia" w:eastAsiaTheme="minorEastAsia"/>
                      <w:color w:val="auto"/>
                      <w:szCs w:val="21"/>
                      <w:lang w:val="en-US" w:eastAsia="zh-CN"/>
                    </w:rPr>
                    <w:t>撒播草籽等相应的生态恢复与补偿</w:t>
                  </w:r>
                  <w:r>
                    <w:rPr>
                      <w:rFonts w:eastAsiaTheme="minorEastAsia"/>
                      <w:color w:val="auto"/>
                      <w:szCs w:val="21"/>
                    </w:rPr>
                    <w:t>措施，确保项目区域生态环境逐步得到恢复。</w:t>
                  </w:r>
                </w:p>
              </w:tc>
              <w:tc>
                <w:tcPr>
                  <w:tcW w:w="482" w:type="dxa"/>
                  <w:shd w:val="clear" w:color="auto" w:fill="auto"/>
                  <w:vAlign w:val="center"/>
                </w:tcPr>
                <w:p>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szCs w:val="21"/>
                    </w:rPr>
                    <w:t>新建</w:t>
                  </w:r>
                </w:p>
              </w:tc>
            </w:tr>
          </w:tbl>
          <w:p>
            <w:pPr>
              <w:pStyle w:val="6"/>
              <w:keepNext w:val="0"/>
              <w:keepLines w:val="0"/>
              <w:pageBreakBefore w:val="0"/>
              <w:widowControl w:val="0"/>
              <w:kinsoku/>
              <w:wordWrap/>
              <w:overflowPunct/>
              <w:topLinePunct w:val="0"/>
              <w:autoSpaceDE/>
              <w:autoSpaceDN/>
              <w:bidi w:val="0"/>
              <w:adjustRightInd w:val="0"/>
              <w:snapToGrid w:val="0"/>
              <w:spacing w:before="156" w:beforeLines="50" w:after="0" w:line="360" w:lineRule="auto"/>
              <w:ind w:firstLine="0" w:firstLineChars="0"/>
              <w:textAlignment w:val="auto"/>
              <w:rPr>
                <w:b/>
                <w:bCs/>
                <w:color w:val="auto"/>
                <w:szCs w:val="24"/>
              </w:rPr>
            </w:pPr>
            <w:r>
              <w:rPr>
                <w:rFonts w:hint="eastAsia"/>
                <w:b/>
                <w:bCs/>
                <w:color w:val="auto"/>
                <w:szCs w:val="24"/>
                <w:lang w:val="en-US" w:eastAsia="zh-CN"/>
              </w:rPr>
              <w:t>4</w:t>
            </w:r>
            <w:r>
              <w:rPr>
                <w:rFonts w:hint="eastAsia"/>
                <w:b/>
                <w:bCs/>
                <w:color w:val="auto"/>
                <w:szCs w:val="24"/>
              </w:rPr>
              <w:t>、</w:t>
            </w:r>
            <w:r>
              <w:rPr>
                <w:b/>
                <w:bCs/>
                <w:color w:val="auto"/>
                <w:szCs w:val="24"/>
              </w:rPr>
              <w:t>主要产品及产能</w:t>
            </w:r>
          </w:p>
          <w:p>
            <w:pPr>
              <w:pStyle w:val="6"/>
              <w:keepNext w:val="0"/>
              <w:keepLines w:val="0"/>
              <w:pageBreakBefore w:val="0"/>
              <w:widowControl w:val="0"/>
              <w:kinsoku/>
              <w:wordWrap/>
              <w:overflowPunct/>
              <w:topLinePunct w:val="0"/>
              <w:autoSpaceDE/>
              <w:autoSpaceDN/>
              <w:bidi w:val="0"/>
              <w:adjustRightInd w:val="0"/>
              <w:snapToGrid w:val="0"/>
              <w:spacing w:before="0" w:beforeLines="0" w:after="0" w:line="360" w:lineRule="auto"/>
              <w:ind w:left="0" w:leftChars="0" w:firstLine="480" w:firstLineChars="200"/>
              <w:textAlignment w:val="auto"/>
              <w:rPr>
                <w:rFonts w:hint="default"/>
                <w:b w:val="0"/>
                <w:bCs w:val="0"/>
                <w:color w:val="auto"/>
                <w:szCs w:val="24"/>
              </w:rPr>
            </w:pPr>
            <w:r>
              <w:rPr>
                <w:rFonts w:hint="default"/>
                <w:b w:val="0"/>
                <w:bCs w:val="0"/>
                <w:color w:val="auto"/>
                <w:szCs w:val="24"/>
              </w:rPr>
              <w:t>本项目</w:t>
            </w:r>
            <w:r>
              <w:rPr>
                <w:rFonts w:hint="eastAsia" w:ascii="Times New Roman" w:hAnsi="Times New Roman" w:eastAsia="宋体" w:cs="Times New Roman"/>
                <w:b w:val="0"/>
                <w:bCs w:val="0"/>
                <w:color w:val="auto"/>
                <w:szCs w:val="24"/>
                <w:lang w:val="en-US" w:eastAsia="zh-CN"/>
              </w:rPr>
              <w:t>为</w:t>
            </w:r>
            <w:r>
              <w:rPr>
                <w:rFonts w:hint="default"/>
                <w:b w:val="0"/>
                <w:bCs w:val="0"/>
                <w:color w:val="auto"/>
                <w:szCs w:val="24"/>
                <w:lang w:val="en-US" w:eastAsia="zh-CN"/>
              </w:rPr>
              <w:t>临时混凝土拌合站，运营周期</w:t>
            </w:r>
            <w:r>
              <w:rPr>
                <w:rFonts w:hint="eastAsia" w:ascii="Times New Roman" w:hAnsi="Times New Roman" w:eastAsia="宋体" w:cs="Times New Roman"/>
                <w:b w:val="0"/>
                <w:bCs w:val="0"/>
                <w:color w:val="auto"/>
                <w:szCs w:val="24"/>
                <w:lang w:val="en-US" w:eastAsia="zh-CN"/>
              </w:rPr>
              <w:t>3个月，根据建设单位提供资料和《预拌混凝土》（GB14902-2012）中规定，本项目主要产品为设计强度C25、抗冻抗渗强度F150。</w:t>
            </w:r>
          </w:p>
          <w:p>
            <w:pPr>
              <w:pStyle w:val="6"/>
              <w:adjustRightInd w:val="0"/>
              <w:snapToGrid w:val="0"/>
              <w:spacing w:after="0"/>
              <w:ind w:left="0" w:leftChars="0" w:firstLine="0" w:firstLineChars="0"/>
              <w:jc w:val="center"/>
              <w:rPr>
                <w:b/>
                <w:bCs/>
                <w:color w:val="auto"/>
                <w:sz w:val="21"/>
                <w:szCs w:val="21"/>
              </w:rPr>
            </w:pPr>
            <w:r>
              <w:rPr>
                <w:b/>
                <w:bCs/>
                <w:color w:val="auto"/>
                <w:sz w:val="21"/>
                <w:szCs w:val="21"/>
              </w:rPr>
              <w:t xml:space="preserve">表2-2  </w:t>
            </w:r>
            <w:r>
              <w:rPr>
                <w:rFonts w:hint="eastAsia"/>
                <w:b/>
                <w:bCs/>
                <w:color w:val="auto"/>
                <w:sz w:val="21"/>
                <w:szCs w:val="21"/>
              </w:rPr>
              <w:t xml:space="preserve"> </w:t>
            </w:r>
            <w:r>
              <w:rPr>
                <w:b/>
                <w:bCs/>
                <w:color w:val="auto"/>
                <w:sz w:val="21"/>
                <w:szCs w:val="21"/>
              </w:rPr>
              <w:t>产品方案及生产规模一览表</w:t>
            </w:r>
          </w:p>
          <w:tbl>
            <w:tblPr>
              <w:tblStyle w:val="25"/>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7"/>
              <w:gridCol w:w="936"/>
              <w:gridCol w:w="806"/>
              <w:gridCol w:w="1855"/>
              <w:gridCol w:w="1177"/>
              <w:gridCol w:w="27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dxa"/>
                  <w:vAlign w:val="center"/>
                </w:tcPr>
                <w:p>
                  <w:pPr>
                    <w:pStyle w:val="6"/>
                    <w:adjustRightInd w:val="0"/>
                    <w:snapToGrid w:val="0"/>
                    <w:spacing w:after="0"/>
                    <w:ind w:left="0" w:leftChars="0" w:firstLine="0" w:firstLineChars="0"/>
                    <w:jc w:val="center"/>
                    <w:rPr>
                      <w:rFonts w:eastAsiaTheme="minorEastAsia"/>
                      <w:b/>
                      <w:bCs/>
                      <w:color w:val="auto"/>
                      <w:sz w:val="21"/>
                      <w:szCs w:val="21"/>
                    </w:rPr>
                  </w:pPr>
                  <w:r>
                    <w:rPr>
                      <w:rFonts w:eastAsiaTheme="minorEastAsia"/>
                      <w:b/>
                      <w:bCs/>
                      <w:color w:val="auto"/>
                      <w:sz w:val="21"/>
                      <w:szCs w:val="21"/>
                    </w:rPr>
                    <w:t>产品名称</w:t>
                  </w:r>
                </w:p>
              </w:tc>
              <w:tc>
                <w:tcPr>
                  <w:tcW w:w="936" w:type="dxa"/>
                  <w:vAlign w:val="center"/>
                </w:tcPr>
                <w:p>
                  <w:pPr>
                    <w:pStyle w:val="6"/>
                    <w:adjustRightInd w:val="0"/>
                    <w:snapToGrid w:val="0"/>
                    <w:spacing w:after="0"/>
                    <w:ind w:left="0" w:leftChars="0" w:firstLine="0" w:firstLineChars="0"/>
                    <w:jc w:val="center"/>
                    <w:rPr>
                      <w:rFonts w:eastAsiaTheme="minorEastAsia"/>
                      <w:b/>
                      <w:bCs/>
                      <w:color w:val="auto"/>
                      <w:sz w:val="21"/>
                      <w:szCs w:val="21"/>
                    </w:rPr>
                  </w:pPr>
                  <w:r>
                    <w:rPr>
                      <w:rFonts w:eastAsiaTheme="minorEastAsia"/>
                      <w:b/>
                      <w:bCs/>
                      <w:color w:val="auto"/>
                      <w:sz w:val="21"/>
                      <w:szCs w:val="21"/>
                    </w:rPr>
                    <w:t>总产量</w:t>
                  </w:r>
                </w:p>
              </w:tc>
              <w:tc>
                <w:tcPr>
                  <w:tcW w:w="806" w:type="dxa"/>
                  <w:vAlign w:val="center"/>
                </w:tcPr>
                <w:p>
                  <w:pPr>
                    <w:pStyle w:val="6"/>
                    <w:adjustRightInd w:val="0"/>
                    <w:snapToGrid w:val="0"/>
                    <w:spacing w:after="0"/>
                    <w:ind w:left="0" w:leftChars="0" w:firstLine="0" w:firstLineChars="0"/>
                    <w:jc w:val="center"/>
                    <w:rPr>
                      <w:rFonts w:eastAsiaTheme="minorEastAsia"/>
                      <w:b/>
                      <w:bCs/>
                      <w:color w:val="auto"/>
                      <w:sz w:val="21"/>
                      <w:szCs w:val="21"/>
                    </w:rPr>
                  </w:pPr>
                  <w:r>
                    <w:rPr>
                      <w:rFonts w:eastAsiaTheme="minorEastAsia"/>
                      <w:b/>
                      <w:bCs/>
                      <w:color w:val="auto"/>
                      <w:sz w:val="21"/>
                      <w:szCs w:val="21"/>
                    </w:rPr>
                    <w:t>运营周期</w:t>
                  </w:r>
                </w:p>
              </w:tc>
              <w:tc>
                <w:tcPr>
                  <w:tcW w:w="1855" w:type="dxa"/>
                  <w:vAlign w:val="center"/>
                </w:tcPr>
                <w:p>
                  <w:pPr>
                    <w:pStyle w:val="6"/>
                    <w:adjustRightInd w:val="0"/>
                    <w:snapToGrid w:val="0"/>
                    <w:spacing w:after="0"/>
                    <w:ind w:left="0" w:leftChars="0" w:firstLine="0" w:firstLineChars="0"/>
                    <w:jc w:val="center"/>
                    <w:rPr>
                      <w:rFonts w:eastAsiaTheme="minorEastAsia"/>
                      <w:b/>
                      <w:bCs/>
                      <w:color w:val="auto"/>
                      <w:sz w:val="21"/>
                      <w:szCs w:val="21"/>
                    </w:rPr>
                  </w:pPr>
                  <w:r>
                    <w:rPr>
                      <w:rFonts w:eastAsiaTheme="minorEastAsia"/>
                      <w:b/>
                      <w:bCs/>
                      <w:color w:val="auto"/>
                      <w:sz w:val="21"/>
                      <w:szCs w:val="21"/>
                    </w:rPr>
                    <w:t>产能</w:t>
                  </w:r>
                </w:p>
              </w:tc>
              <w:tc>
                <w:tcPr>
                  <w:tcW w:w="1177" w:type="dxa"/>
                  <w:vAlign w:val="center"/>
                </w:tcPr>
                <w:p>
                  <w:pPr>
                    <w:pStyle w:val="6"/>
                    <w:adjustRightInd w:val="0"/>
                    <w:snapToGrid w:val="0"/>
                    <w:spacing w:after="0"/>
                    <w:ind w:left="0" w:leftChars="0" w:firstLine="0" w:firstLineChars="0"/>
                    <w:jc w:val="center"/>
                    <w:rPr>
                      <w:rFonts w:eastAsiaTheme="minorEastAsia"/>
                      <w:b/>
                      <w:bCs/>
                      <w:color w:val="auto"/>
                      <w:sz w:val="21"/>
                      <w:szCs w:val="21"/>
                    </w:rPr>
                  </w:pPr>
                  <w:r>
                    <w:rPr>
                      <w:rFonts w:eastAsiaTheme="minorEastAsia"/>
                      <w:b/>
                      <w:bCs/>
                      <w:color w:val="auto"/>
                      <w:sz w:val="21"/>
                      <w:szCs w:val="21"/>
                    </w:rPr>
                    <w:t>混凝土强度等级</w:t>
                  </w:r>
                </w:p>
              </w:tc>
              <w:tc>
                <w:tcPr>
                  <w:tcW w:w="2719" w:type="dxa"/>
                  <w:vAlign w:val="center"/>
                </w:tcPr>
                <w:p>
                  <w:pPr>
                    <w:pStyle w:val="6"/>
                    <w:adjustRightInd w:val="0"/>
                    <w:snapToGrid w:val="0"/>
                    <w:spacing w:after="0"/>
                    <w:ind w:left="0" w:leftChars="0" w:firstLine="0" w:firstLineChars="0"/>
                    <w:jc w:val="center"/>
                    <w:rPr>
                      <w:rFonts w:eastAsiaTheme="minorEastAsia"/>
                      <w:b/>
                      <w:bCs/>
                      <w:color w:val="auto"/>
                      <w:sz w:val="21"/>
                      <w:szCs w:val="21"/>
                    </w:rPr>
                  </w:pPr>
                  <w:r>
                    <w:rPr>
                      <w:rFonts w:eastAsiaTheme="minorEastAsia"/>
                      <w:b/>
                      <w:bCs/>
                      <w:color w:val="auto"/>
                      <w:sz w:val="21"/>
                      <w:szCs w:val="21"/>
                    </w:rPr>
                    <w:t>用途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dxa"/>
                  <w:vAlign w:val="center"/>
                </w:tcPr>
                <w:p>
                  <w:pPr>
                    <w:pStyle w:val="6"/>
                    <w:adjustRightInd w:val="0"/>
                    <w:snapToGrid w:val="0"/>
                    <w:spacing w:after="0"/>
                    <w:ind w:left="0" w:leftChars="0" w:firstLine="0" w:firstLineChars="0"/>
                    <w:jc w:val="center"/>
                    <w:rPr>
                      <w:rFonts w:eastAsiaTheme="minorEastAsia"/>
                      <w:color w:val="auto"/>
                      <w:sz w:val="21"/>
                      <w:szCs w:val="21"/>
                    </w:rPr>
                  </w:pPr>
                  <w:r>
                    <w:rPr>
                      <w:rFonts w:eastAsiaTheme="minorEastAsia"/>
                      <w:color w:val="auto"/>
                      <w:sz w:val="21"/>
                      <w:szCs w:val="21"/>
                    </w:rPr>
                    <w:t>混凝土</w:t>
                  </w:r>
                </w:p>
              </w:tc>
              <w:tc>
                <w:tcPr>
                  <w:tcW w:w="936" w:type="dxa"/>
                  <w:vAlign w:val="center"/>
                </w:tcPr>
                <w:p>
                  <w:pPr>
                    <w:pStyle w:val="6"/>
                    <w:adjustRightInd w:val="0"/>
                    <w:snapToGrid w:val="0"/>
                    <w:spacing w:after="0"/>
                    <w:ind w:left="0" w:leftChars="0" w:firstLine="0" w:firstLineChars="0"/>
                    <w:jc w:val="center"/>
                    <w:rPr>
                      <w:rFonts w:eastAsiaTheme="minorEastAsia"/>
                      <w:color w:val="auto"/>
                      <w:sz w:val="21"/>
                      <w:szCs w:val="21"/>
                    </w:rPr>
                  </w:pPr>
                  <w:r>
                    <w:rPr>
                      <w:rFonts w:hint="eastAsia" w:eastAsiaTheme="minorEastAsia"/>
                      <w:color w:val="auto"/>
                      <w:sz w:val="21"/>
                      <w:szCs w:val="21"/>
                      <w:lang w:val="en-US" w:eastAsia="zh-CN"/>
                    </w:rPr>
                    <w:t>3.9436</w:t>
                  </w:r>
                  <w:r>
                    <w:rPr>
                      <w:rFonts w:eastAsiaTheme="minorEastAsia"/>
                      <w:color w:val="auto"/>
                      <w:sz w:val="21"/>
                      <w:szCs w:val="21"/>
                    </w:rPr>
                    <w:t>万m</w:t>
                  </w:r>
                  <w:r>
                    <w:rPr>
                      <w:rFonts w:eastAsiaTheme="minorEastAsia"/>
                      <w:color w:val="auto"/>
                      <w:sz w:val="21"/>
                      <w:szCs w:val="21"/>
                      <w:vertAlign w:val="superscript"/>
                    </w:rPr>
                    <w:t>3</w:t>
                  </w:r>
                </w:p>
              </w:tc>
              <w:tc>
                <w:tcPr>
                  <w:tcW w:w="806" w:type="dxa"/>
                  <w:vAlign w:val="center"/>
                </w:tcPr>
                <w:p>
                  <w:pPr>
                    <w:pStyle w:val="6"/>
                    <w:adjustRightInd w:val="0"/>
                    <w:snapToGrid w:val="0"/>
                    <w:spacing w:after="0"/>
                    <w:ind w:left="0" w:leftChars="0" w:firstLine="0" w:firstLineChars="0"/>
                    <w:jc w:val="center"/>
                    <w:rPr>
                      <w:rFonts w:hint="default" w:eastAsiaTheme="minorEastAsia"/>
                      <w:color w:val="auto"/>
                      <w:sz w:val="21"/>
                      <w:szCs w:val="21"/>
                      <w:lang w:val="en-US"/>
                    </w:rPr>
                  </w:pPr>
                  <w:r>
                    <w:rPr>
                      <w:rFonts w:hint="eastAsia" w:eastAsiaTheme="minorEastAsia"/>
                      <w:color w:val="auto"/>
                      <w:sz w:val="21"/>
                      <w:szCs w:val="21"/>
                      <w:lang w:val="en-US" w:eastAsia="zh-CN"/>
                    </w:rPr>
                    <w:t>92d</w:t>
                  </w:r>
                </w:p>
              </w:tc>
              <w:tc>
                <w:tcPr>
                  <w:tcW w:w="1855" w:type="dxa"/>
                  <w:vAlign w:val="center"/>
                </w:tcPr>
                <w:p>
                  <w:pPr>
                    <w:pStyle w:val="6"/>
                    <w:adjustRightInd w:val="0"/>
                    <w:snapToGrid w:val="0"/>
                    <w:spacing w:after="0"/>
                    <w:ind w:left="0" w:leftChars="0" w:firstLine="0" w:firstLineChars="0"/>
                    <w:jc w:val="center"/>
                    <w:rPr>
                      <w:rFonts w:hint="eastAsia" w:eastAsiaTheme="minorEastAsia"/>
                      <w:color w:val="auto"/>
                      <w:sz w:val="21"/>
                      <w:szCs w:val="21"/>
                      <w:lang w:eastAsia="zh-CN"/>
                    </w:rPr>
                  </w:pPr>
                  <w:r>
                    <w:rPr>
                      <w:rFonts w:hint="eastAsia" w:eastAsiaTheme="minorEastAsia"/>
                      <w:color w:val="auto"/>
                      <w:sz w:val="21"/>
                      <w:szCs w:val="21"/>
                      <w:lang w:val="en-US" w:eastAsia="zh-CN"/>
                    </w:rPr>
                    <w:t>428.65</w:t>
                  </w:r>
                  <w:r>
                    <w:rPr>
                      <w:rFonts w:eastAsiaTheme="minorEastAsia"/>
                      <w:color w:val="auto"/>
                      <w:sz w:val="21"/>
                      <w:szCs w:val="21"/>
                    </w:rPr>
                    <w:t>m</w:t>
                  </w:r>
                  <w:r>
                    <w:rPr>
                      <w:rFonts w:eastAsiaTheme="minorEastAsia"/>
                      <w:color w:val="auto"/>
                      <w:sz w:val="21"/>
                      <w:szCs w:val="21"/>
                      <w:vertAlign w:val="superscript"/>
                    </w:rPr>
                    <w:t>3</w:t>
                  </w:r>
                  <w:r>
                    <w:rPr>
                      <w:rFonts w:eastAsiaTheme="minorEastAsia"/>
                      <w:color w:val="auto"/>
                      <w:sz w:val="21"/>
                      <w:szCs w:val="21"/>
                    </w:rPr>
                    <w:t>/d</w:t>
                  </w:r>
                </w:p>
              </w:tc>
              <w:tc>
                <w:tcPr>
                  <w:tcW w:w="1177" w:type="dxa"/>
                  <w:vAlign w:val="center"/>
                </w:tcPr>
                <w:p>
                  <w:pPr>
                    <w:widowControl/>
                    <w:jc w:val="left"/>
                    <w:rPr>
                      <w:rFonts w:eastAsiaTheme="minorEastAsia"/>
                      <w:color w:val="auto"/>
                      <w:szCs w:val="21"/>
                    </w:rPr>
                  </w:pPr>
                  <w:r>
                    <w:rPr>
                      <w:rFonts w:eastAsiaTheme="minorEastAsia"/>
                      <w:color w:val="auto"/>
                      <w:kern w:val="0"/>
                      <w:szCs w:val="21"/>
                      <w:lang w:bidi="ar"/>
                    </w:rPr>
                    <w:t>配制强度：</w:t>
                  </w:r>
                  <w:r>
                    <w:rPr>
                      <w:rFonts w:hint="eastAsia" w:eastAsiaTheme="minorEastAsia"/>
                      <w:color w:val="auto"/>
                      <w:kern w:val="0"/>
                      <w:sz w:val="21"/>
                      <w:szCs w:val="21"/>
                    </w:rPr>
                    <w:t>C25</w:t>
                  </w:r>
                  <w:r>
                    <w:rPr>
                      <w:rFonts w:hint="eastAsia" w:eastAsiaTheme="minorEastAsia"/>
                      <w:color w:val="auto"/>
                      <w:kern w:val="0"/>
                      <w:sz w:val="21"/>
                      <w:szCs w:val="21"/>
                      <w:lang w:val="en-US" w:eastAsia="zh-CN"/>
                    </w:rPr>
                    <w:t xml:space="preserve"> </w:t>
                  </w:r>
                  <w:r>
                    <w:rPr>
                      <w:rFonts w:hint="eastAsia" w:eastAsiaTheme="minorEastAsia"/>
                      <w:color w:val="auto"/>
                      <w:kern w:val="0"/>
                      <w:sz w:val="21"/>
                      <w:szCs w:val="21"/>
                    </w:rPr>
                    <w:t>F150</w:t>
                  </w:r>
                </w:p>
              </w:tc>
              <w:tc>
                <w:tcPr>
                  <w:tcW w:w="2719" w:type="dxa"/>
                  <w:vAlign w:val="center"/>
                </w:tcPr>
                <w:p>
                  <w:pPr>
                    <w:pStyle w:val="6"/>
                    <w:adjustRightInd w:val="0"/>
                    <w:snapToGrid w:val="0"/>
                    <w:spacing w:after="0"/>
                    <w:ind w:left="0" w:leftChars="0" w:firstLine="0" w:firstLineChars="0"/>
                    <w:jc w:val="center"/>
                    <w:rPr>
                      <w:rFonts w:hint="eastAsia" w:eastAsiaTheme="minorEastAsia"/>
                      <w:color w:val="auto"/>
                      <w:sz w:val="21"/>
                      <w:szCs w:val="21"/>
                      <w:lang w:val="en-US" w:eastAsia="zh-CN"/>
                    </w:rPr>
                  </w:pPr>
                  <w:r>
                    <w:rPr>
                      <w:rFonts w:eastAsiaTheme="minorEastAsia"/>
                      <w:color w:val="auto"/>
                      <w:sz w:val="21"/>
                      <w:szCs w:val="21"/>
                    </w:rPr>
                    <w:t>用于</w:t>
                  </w:r>
                  <w:r>
                    <w:rPr>
                      <w:rFonts w:hint="eastAsia" w:eastAsiaTheme="minorEastAsia"/>
                      <w:color w:val="auto"/>
                      <w:sz w:val="21"/>
                      <w:szCs w:val="21"/>
                      <w:lang w:val="en-US" w:eastAsia="zh-CN"/>
                    </w:rPr>
                    <w:t>黄河宁夏段河道治理工程(中卫段)2024年第一批建设项目一标段（砼四脚体预制1）</w:t>
                  </w:r>
                  <w:r>
                    <w:rPr>
                      <w:rFonts w:eastAsiaTheme="minorEastAsia"/>
                      <w:color w:val="auto"/>
                      <w:sz w:val="21"/>
                      <w:szCs w:val="21"/>
                    </w:rPr>
                    <w:t>项目</w:t>
                  </w:r>
                  <w:r>
                    <w:rPr>
                      <w:rFonts w:hint="eastAsia" w:eastAsiaTheme="minorEastAsia"/>
                      <w:color w:val="auto"/>
                      <w:sz w:val="21"/>
                      <w:szCs w:val="21"/>
                      <w:lang w:val="en-US" w:eastAsia="zh-CN"/>
                    </w:rPr>
                    <w:t>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0" w:type="dxa"/>
                  <w:gridSpan w:val="6"/>
                  <w:vAlign w:val="center"/>
                </w:tcPr>
                <w:p>
                  <w:pPr>
                    <w:pStyle w:val="6"/>
                    <w:adjustRightInd w:val="0"/>
                    <w:snapToGrid w:val="0"/>
                    <w:spacing w:after="0"/>
                    <w:ind w:left="0" w:leftChars="0" w:firstLine="0" w:firstLineChars="0"/>
                    <w:jc w:val="both"/>
                    <w:rPr>
                      <w:rFonts w:hint="default" w:eastAsiaTheme="minorEastAsia"/>
                      <w:color w:val="auto"/>
                      <w:sz w:val="21"/>
                      <w:szCs w:val="21"/>
                      <w:lang w:val="en-US" w:eastAsia="zh-CN"/>
                    </w:rPr>
                  </w:pPr>
                  <w:r>
                    <w:rPr>
                      <w:rFonts w:hint="eastAsia" w:eastAsiaTheme="minorEastAsia"/>
                      <w:color w:val="auto"/>
                      <w:sz w:val="21"/>
                      <w:szCs w:val="21"/>
                      <w:lang w:val="en-US" w:eastAsia="zh-CN"/>
                    </w:rPr>
                    <w:t>注：本项目生产混凝土密度约为2300kg/</w:t>
                  </w:r>
                  <w:r>
                    <w:rPr>
                      <w:rFonts w:eastAsiaTheme="minorEastAsia"/>
                      <w:color w:val="auto"/>
                      <w:sz w:val="21"/>
                      <w:szCs w:val="21"/>
                    </w:rPr>
                    <w:t>m</w:t>
                  </w:r>
                  <w:r>
                    <w:rPr>
                      <w:rFonts w:eastAsiaTheme="minorEastAsia"/>
                      <w:color w:val="auto"/>
                      <w:sz w:val="21"/>
                      <w:szCs w:val="21"/>
                      <w:vertAlign w:val="superscript"/>
                    </w:rPr>
                    <w:t>3</w:t>
                  </w:r>
                  <w:r>
                    <w:rPr>
                      <w:rFonts w:hint="eastAsia" w:eastAsiaTheme="minorEastAsia"/>
                      <w:color w:val="auto"/>
                      <w:sz w:val="21"/>
                      <w:szCs w:val="21"/>
                      <w:lang w:val="en-US" w:eastAsia="zh-CN"/>
                    </w:rPr>
                    <w:t>-2400kg/</w:t>
                  </w:r>
                  <w:r>
                    <w:rPr>
                      <w:rFonts w:eastAsiaTheme="minorEastAsia"/>
                      <w:color w:val="auto"/>
                      <w:sz w:val="21"/>
                      <w:szCs w:val="21"/>
                    </w:rPr>
                    <w:t>m</w:t>
                  </w:r>
                  <w:r>
                    <w:rPr>
                      <w:rFonts w:eastAsiaTheme="minorEastAsia"/>
                      <w:color w:val="auto"/>
                      <w:sz w:val="21"/>
                      <w:szCs w:val="21"/>
                      <w:vertAlign w:val="superscript"/>
                    </w:rPr>
                    <w:t>3</w:t>
                  </w:r>
                  <w:r>
                    <w:rPr>
                      <w:rFonts w:hint="eastAsia" w:eastAsiaTheme="minorEastAsia"/>
                      <w:color w:val="auto"/>
                      <w:sz w:val="21"/>
                      <w:szCs w:val="21"/>
                      <w:vertAlign w:val="baseline"/>
                      <w:lang w:eastAsia="zh-CN"/>
                    </w:rPr>
                    <w:t>，</w:t>
                  </w:r>
                  <w:r>
                    <w:rPr>
                      <w:rFonts w:hint="eastAsia" w:eastAsiaTheme="minorEastAsia"/>
                      <w:color w:val="auto"/>
                      <w:sz w:val="21"/>
                      <w:szCs w:val="21"/>
                      <w:vertAlign w:val="baseline"/>
                      <w:lang w:val="en-US" w:eastAsia="zh-CN"/>
                    </w:rPr>
                    <w:t>本次按2346</w:t>
                  </w:r>
                  <w:r>
                    <w:rPr>
                      <w:rFonts w:hint="eastAsia" w:eastAsiaTheme="minorEastAsia"/>
                      <w:color w:val="auto"/>
                      <w:sz w:val="21"/>
                      <w:szCs w:val="21"/>
                      <w:lang w:val="en-US" w:eastAsia="zh-CN"/>
                    </w:rPr>
                    <w:t>kg/</w:t>
                  </w:r>
                  <w:r>
                    <w:rPr>
                      <w:rFonts w:eastAsiaTheme="minorEastAsia"/>
                      <w:color w:val="auto"/>
                      <w:sz w:val="21"/>
                      <w:szCs w:val="21"/>
                    </w:rPr>
                    <w:t>m</w:t>
                  </w:r>
                  <w:r>
                    <w:rPr>
                      <w:rFonts w:eastAsiaTheme="minorEastAsia"/>
                      <w:color w:val="auto"/>
                      <w:sz w:val="21"/>
                      <w:szCs w:val="21"/>
                      <w:vertAlign w:val="superscript"/>
                    </w:rPr>
                    <w:t>3</w:t>
                  </w:r>
                  <w:r>
                    <w:rPr>
                      <w:rFonts w:hint="eastAsia" w:eastAsiaTheme="minorEastAsia"/>
                      <w:color w:val="auto"/>
                      <w:sz w:val="21"/>
                      <w:szCs w:val="21"/>
                      <w:vertAlign w:val="baseline"/>
                      <w:lang w:val="en-US" w:eastAsia="zh-CN"/>
                    </w:rPr>
                    <w:t>取值计算。具体</w:t>
                  </w:r>
                  <w:r>
                    <w:rPr>
                      <w:rFonts w:hint="eastAsia" w:ascii="Times New Roman" w:hAnsi="Times New Roman" w:cs="Times New Roman"/>
                      <w:color w:val="auto"/>
                      <w:sz w:val="20"/>
                      <w:szCs w:val="24"/>
                      <w:lang w:val="en-US" w:eastAsia="zh-CN"/>
                    </w:rPr>
                    <w:t>根据施工现场实际混凝土需求进行生产。</w:t>
                  </w:r>
                </w:p>
              </w:tc>
            </w:tr>
          </w:tbl>
          <w:p>
            <w:pPr>
              <w:pStyle w:val="6"/>
              <w:keepNext w:val="0"/>
              <w:keepLines w:val="0"/>
              <w:pageBreakBefore w:val="0"/>
              <w:widowControl w:val="0"/>
              <w:kinsoku/>
              <w:wordWrap/>
              <w:overflowPunct/>
              <w:topLinePunct w:val="0"/>
              <w:autoSpaceDE/>
              <w:autoSpaceDN/>
              <w:bidi w:val="0"/>
              <w:adjustRightInd w:val="0"/>
              <w:snapToGrid w:val="0"/>
              <w:spacing w:before="156" w:beforeLines="50" w:after="0" w:line="360" w:lineRule="auto"/>
              <w:ind w:firstLine="0" w:firstLineChars="0"/>
              <w:textAlignment w:val="auto"/>
              <w:rPr>
                <w:rFonts w:hint="eastAsia"/>
                <w:b/>
                <w:bCs/>
                <w:color w:val="auto"/>
                <w:szCs w:val="24"/>
                <w:lang w:val="en-US" w:eastAsia="zh-CN"/>
              </w:rPr>
            </w:pPr>
            <w:r>
              <w:rPr>
                <w:rFonts w:hint="eastAsia"/>
                <w:b/>
                <w:bCs/>
                <w:color w:val="auto"/>
                <w:szCs w:val="24"/>
                <w:lang w:val="en-US" w:eastAsia="zh-CN"/>
              </w:rPr>
              <w:t>5、主要生产单元及工艺</w:t>
            </w:r>
          </w:p>
          <w:p>
            <w:pPr>
              <w:adjustRightInd w:val="0"/>
              <w:snapToGrid w:val="0"/>
              <w:ind w:firstLine="421" w:firstLineChars="200"/>
              <w:jc w:val="center"/>
            </w:pPr>
            <w:r>
              <w:rPr>
                <w:b/>
                <w:bCs/>
                <w:color w:val="auto"/>
                <w:sz w:val="21"/>
                <w:szCs w:val="21"/>
              </w:rPr>
              <w:t>表</w:t>
            </w:r>
            <w:r>
              <w:rPr>
                <w:rFonts w:hint="eastAsia"/>
                <w:b/>
                <w:bCs/>
                <w:color w:val="auto"/>
                <w:sz w:val="21"/>
                <w:szCs w:val="21"/>
              </w:rPr>
              <w:t>2-3</w:t>
            </w:r>
            <w:r>
              <w:rPr>
                <w:b/>
                <w:bCs/>
                <w:color w:val="auto"/>
                <w:sz w:val="21"/>
                <w:szCs w:val="21"/>
              </w:rPr>
              <w:t xml:space="preserve">   主要生产</w:t>
            </w:r>
            <w:r>
              <w:rPr>
                <w:rFonts w:hint="eastAsia"/>
                <w:b/>
                <w:bCs/>
                <w:color w:val="auto"/>
                <w:sz w:val="21"/>
                <w:szCs w:val="21"/>
              </w:rPr>
              <w:t>单元及工艺</w:t>
            </w:r>
            <w:r>
              <w:rPr>
                <w:b/>
                <w:bCs/>
                <w:color w:val="auto"/>
                <w:sz w:val="21"/>
                <w:szCs w:val="21"/>
              </w:rPr>
              <w:t>一览表</w:t>
            </w:r>
          </w:p>
          <w:tbl>
            <w:tblPr>
              <w:tblStyle w:val="24"/>
              <w:tblW w:w="8220"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98"/>
              <w:gridCol w:w="1212"/>
              <w:gridCol w:w="641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98" w:type="dxa"/>
                  <w:tcBorders>
                    <w:tl2br w:val="nil"/>
                    <w:tr2bl w:val="nil"/>
                  </w:tcBorders>
                  <w:vAlign w:val="center"/>
                </w:tcPr>
                <w:p>
                  <w:pPr>
                    <w:jc w:val="center"/>
                    <w:rPr>
                      <w:rFonts w:eastAsiaTheme="minorEastAsia"/>
                      <w:b/>
                      <w:color w:val="auto"/>
                      <w:szCs w:val="21"/>
                    </w:rPr>
                  </w:pPr>
                  <w:r>
                    <w:rPr>
                      <w:rFonts w:eastAsiaTheme="minorEastAsia"/>
                      <w:color w:val="auto"/>
                      <w:szCs w:val="21"/>
                      <w:lang w:bidi="ar"/>
                    </w:rPr>
                    <w:t>1</w:t>
                  </w:r>
                </w:p>
              </w:tc>
              <w:tc>
                <w:tcPr>
                  <w:tcW w:w="1212" w:type="dxa"/>
                  <w:tcBorders>
                    <w:tl2br w:val="nil"/>
                    <w:tr2bl w:val="nil"/>
                  </w:tcBorders>
                  <w:vAlign w:val="center"/>
                </w:tcPr>
                <w:p>
                  <w:pPr>
                    <w:jc w:val="center"/>
                    <w:rPr>
                      <w:rFonts w:eastAsiaTheme="minorEastAsia"/>
                      <w:b/>
                      <w:color w:val="auto"/>
                      <w:szCs w:val="21"/>
                      <w:lang w:bidi="ar"/>
                    </w:rPr>
                  </w:pPr>
                  <w:r>
                    <w:rPr>
                      <w:rFonts w:eastAsiaTheme="minorEastAsia"/>
                      <w:color w:val="auto"/>
                      <w:kern w:val="0"/>
                      <w:szCs w:val="21"/>
                      <w:lang w:bidi="ar"/>
                    </w:rPr>
                    <w:t>骨料计量输送</w:t>
                  </w:r>
                </w:p>
              </w:tc>
              <w:tc>
                <w:tcPr>
                  <w:tcW w:w="6410" w:type="dxa"/>
                  <w:tcBorders>
                    <w:tl2br w:val="nil"/>
                    <w:tr2bl w:val="nil"/>
                  </w:tcBorders>
                  <w:vAlign w:val="center"/>
                </w:tcPr>
                <w:p>
                  <w:pPr>
                    <w:ind w:firstLine="420" w:firstLineChars="200"/>
                    <w:jc w:val="left"/>
                    <w:rPr>
                      <w:rFonts w:hint="eastAsia" w:eastAsiaTheme="minorEastAsia"/>
                      <w:b/>
                      <w:color w:val="auto"/>
                      <w:szCs w:val="21"/>
                      <w:lang w:eastAsia="zh-CN" w:bidi="ar"/>
                    </w:rPr>
                  </w:pPr>
                  <w:r>
                    <w:rPr>
                      <w:rFonts w:eastAsiaTheme="minorEastAsia"/>
                      <w:color w:val="auto"/>
                      <w:szCs w:val="21"/>
                    </w:rPr>
                    <w:t>不同规格的石料和水洗砂由铲车送至配料机储料仓内，骨料通过自动控制的气缸卸入称量斗中称量，由密闭皮带机输送至骨料中间仓</w:t>
                  </w:r>
                  <w:r>
                    <w:rPr>
                      <w:rFonts w:hint="eastAsia" w:eastAsiaTheme="minorEastAsia"/>
                      <w:color w:val="auto"/>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98" w:type="dxa"/>
                  <w:tcBorders>
                    <w:tl2br w:val="nil"/>
                    <w:tr2bl w:val="nil"/>
                  </w:tcBorders>
                  <w:vAlign w:val="center"/>
                </w:tcPr>
                <w:p>
                  <w:pPr>
                    <w:jc w:val="center"/>
                    <w:rPr>
                      <w:rFonts w:eastAsiaTheme="minorEastAsia"/>
                      <w:color w:val="auto"/>
                      <w:szCs w:val="21"/>
                      <w:lang w:bidi="ar"/>
                    </w:rPr>
                  </w:pPr>
                  <w:r>
                    <w:rPr>
                      <w:rFonts w:eastAsiaTheme="minorEastAsia"/>
                      <w:color w:val="auto"/>
                      <w:szCs w:val="21"/>
                      <w:lang w:bidi="ar"/>
                    </w:rPr>
                    <w:t>2</w:t>
                  </w:r>
                </w:p>
              </w:tc>
              <w:tc>
                <w:tcPr>
                  <w:tcW w:w="1212" w:type="dxa"/>
                  <w:tcBorders>
                    <w:tl2br w:val="nil"/>
                    <w:tr2bl w:val="nil"/>
                  </w:tcBorders>
                  <w:vAlign w:val="center"/>
                </w:tcPr>
                <w:p>
                  <w:pPr>
                    <w:jc w:val="center"/>
                    <w:rPr>
                      <w:rFonts w:eastAsiaTheme="minorEastAsia"/>
                      <w:color w:val="auto"/>
                      <w:kern w:val="0"/>
                      <w:szCs w:val="21"/>
                      <w:lang w:bidi="ar"/>
                    </w:rPr>
                  </w:pPr>
                  <w:r>
                    <w:rPr>
                      <w:rFonts w:eastAsiaTheme="minorEastAsia"/>
                      <w:color w:val="auto"/>
                      <w:szCs w:val="21"/>
                    </w:rPr>
                    <w:t>粉料供给计量</w:t>
                  </w:r>
                </w:p>
              </w:tc>
              <w:tc>
                <w:tcPr>
                  <w:tcW w:w="6410" w:type="dxa"/>
                  <w:tcBorders>
                    <w:tl2br w:val="nil"/>
                    <w:tr2bl w:val="nil"/>
                  </w:tcBorders>
                  <w:vAlign w:val="center"/>
                </w:tcPr>
                <w:p>
                  <w:pPr>
                    <w:ind w:firstLine="420" w:firstLineChars="200"/>
                    <w:jc w:val="left"/>
                    <w:rPr>
                      <w:rFonts w:hint="eastAsia" w:eastAsiaTheme="minorEastAsia"/>
                      <w:color w:val="auto"/>
                      <w:szCs w:val="21"/>
                      <w:lang w:eastAsia="zh-CN"/>
                    </w:rPr>
                  </w:pPr>
                  <w:r>
                    <w:rPr>
                      <w:rFonts w:eastAsiaTheme="minorEastAsia"/>
                      <w:color w:val="auto"/>
                      <w:szCs w:val="21"/>
                    </w:rPr>
                    <w:t>水泥由螺旋输送机送至称量斗称量，达到称量要求时停止供料</w:t>
                  </w:r>
                  <w:r>
                    <w:rPr>
                      <w:rFonts w:hint="eastAsia" w:eastAsiaTheme="minorEastAsia"/>
                      <w:color w:val="auto"/>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98" w:type="dxa"/>
                  <w:tcBorders>
                    <w:tl2br w:val="nil"/>
                    <w:tr2bl w:val="nil"/>
                  </w:tcBorders>
                  <w:vAlign w:val="center"/>
                </w:tcPr>
                <w:p>
                  <w:pPr>
                    <w:jc w:val="center"/>
                    <w:rPr>
                      <w:rFonts w:eastAsiaTheme="minorEastAsia"/>
                      <w:color w:val="auto"/>
                      <w:szCs w:val="21"/>
                      <w:lang w:bidi="ar"/>
                    </w:rPr>
                  </w:pPr>
                  <w:r>
                    <w:rPr>
                      <w:rFonts w:eastAsiaTheme="minorEastAsia"/>
                      <w:color w:val="auto"/>
                      <w:szCs w:val="21"/>
                      <w:lang w:bidi="ar"/>
                    </w:rPr>
                    <w:t>3</w:t>
                  </w:r>
                </w:p>
              </w:tc>
              <w:tc>
                <w:tcPr>
                  <w:tcW w:w="1212" w:type="dxa"/>
                  <w:tcBorders>
                    <w:tl2br w:val="nil"/>
                    <w:tr2bl w:val="nil"/>
                  </w:tcBorders>
                  <w:vAlign w:val="center"/>
                </w:tcPr>
                <w:p>
                  <w:pPr>
                    <w:jc w:val="center"/>
                    <w:rPr>
                      <w:rFonts w:eastAsiaTheme="minorEastAsia"/>
                      <w:color w:val="auto"/>
                      <w:kern w:val="0"/>
                      <w:szCs w:val="21"/>
                      <w:lang w:bidi="ar"/>
                    </w:rPr>
                  </w:pPr>
                  <w:r>
                    <w:rPr>
                      <w:rFonts w:eastAsiaTheme="minorEastAsia"/>
                      <w:color w:val="auto"/>
                      <w:szCs w:val="21"/>
                    </w:rPr>
                    <w:t>液体供给计量</w:t>
                  </w:r>
                </w:p>
              </w:tc>
              <w:tc>
                <w:tcPr>
                  <w:tcW w:w="6410" w:type="dxa"/>
                  <w:tcBorders>
                    <w:tl2br w:val="nil"/>
                    <w:tr2bl w:val="nil"/>
                  </w:tcBorders>
                  <w:vAlign w:val="center"/>
                </w:tcPr>
                <w:p>
                  <w:pPr>
                    <w:ind w:firstLine="420" w:firstLineChars="200"/>
                    <w:jc w:val="left"/>
                    <w:rPr>
                      <w:rFonts w:hint="eastAsia" w:eastAsiaTheme="minorEastAsia"/>
                      <w:color w:val="auto"/>
                      <w:szCs w:val="21"/>
                      <w:lang w:eastAsia="zh-CN"/>
                    </w:rPr>
                  </w:pPr>
                  <w:r>
                    <w:rPr>
                      <w:rFonts w:eastAsiaTheme="minorEastAsia"/>
                      <w:color w:val="auto"/>
                      <w:szCs w:val="21"/>
                    </w:rPr>
                    <w:t>水、外加剂分别由泵从</w:t>
                  </w:r>
                  <w:r>
                    <w:rPr>
                      <w:rFonts w:hint="eastAsia" w:eastAsiaTheme="minorEastAsia"/>
                      <w:color w:val="auto"/>
                      <w:szCs w:val="21"/>
                      <w:lang w:eastAsia="zh-CN"/>
                    </w:rPr>
                    <w:t>储水箱</w:t>
                  </w:r>
                  <w:r>
                    <w:rPr>
                      <w:rFonts w:eastAsiaTheme="minorEastAsia"/>
                      <w:color w:val="auto"/>
                      <w:szCs w:val="21"/>
                    </w:rPr>
                    <w:t>、外加剂罐抽至各自计量斗中配比称量</w:t>
                  </w:r>
                  <w:r>
                    <w:rPr>
                      <w:rFonts w:hint="eastAsia" w:eastAsiaTheme="minorEastAsia"/>
                      <w:color w:val="auto"/>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98" w:type="dxa"/>
                  <w:tcBorders>
                    <w:tl2br w:val="nil"/>
                    <w:tr2bl w:val="nil"/>
                  </w:tcBorders>
                  <w:vAlign w:val="center"/>
                </w:tcPr>
                <w:p>
                  <w:pPr>
                    <w:jc w:val="center"/>
                    <w:rPr>
                      <w:rFonts w:eastAsiaTheme="minorEastAsia"/>
                      <w:color w:val="auto"/>
                      <w:szCs w:val="21"/>
                      <w:lang w:bidi="ar"/>
                    </w:rPr>
                  </w:pPr>
                  <w:r>
                    <w:rPr>
                      <w:rFonts w:eastAsiaTheme="minorEastAsia"/>
                      <w:color w:val="auto"/>
                      <w:szCs w:val="21"/>
                      <w:lang w:bidi="ar"/>
                    </w:rPr>
                    <w:t>4</w:t>
                  </w:r>
                </w:p>
              </w:tc>
              <w:tc>
                <w:tcPr>
                  <w:tcW w:w="1212" w:type="dxa"/>
                  <w:tcBorders>
                    <w:tl2br w:val="nil"/>
                    <w:tr2bl w:val="nil"/>
                  </w:tcBorders>
                  <w:vAlign w:val="center"/>
                </w:tcPr>
                <w:p>
                  <w:pPr>
                    <w:jc w:val="center"/>
                    <w:rPr>
                      <w:rFonts w:eastAsiaTheme="minorEastAsia"/>
                      <w:color w:val="auto"/>
                      <w:szCs w:val="21"/>
                    </w:rPr>
                  </w:pPr>
                  <w:r>
                    <w:rPr>
                      <w:rFonts w:eastAsiaTheme="minorEastAsia"/>
                      <w:color w:val="auto"/>
                      <w:szCs w:val="21"/>
                    </w:rPr>
                    <w:t>搅拌机搅拌</w:t>
                  </w:r>
                </w:p>
              </w:tc>
              <w:tc>
                <w:tcPr>
                  <w:tcW w:w="6410" w:type="dxa"/>
                  <w:tcBorders>
                    <w:tl2br w:val="nil"/>
                    <w:tr2bl w:val="nil"/>
                  </w:tcBorders>
                  <w:vAlign w:val="center"/>
                </w:tcPr>
                <w:p>
                  <w:pPr>
                    <w:ind w:firstLine="420" w:firstLineChars="200"/>
                    <w:jc w:val="left"/>
                    <w:rPr>
                      <w:rFonts w:hint="eastAsia" w:eastAsiaTheme="minorEastAsia"/>
                      <w:color w:val="auto"/>
                      <w:szCs w:val="21"/>
                      <w:lang w:eastAsia="zh-CN"/>
                    </w:rPr>
                  </w:pPr>
                  <w:r>
                    <w:rPr>
                      <w:rFonts w:eastAsiaTheme="minorEastAsia"/>
                      <w:color w:val="auto"/>
                      <w:kern w:val="0"/>
                      <w:szCs w:val="21"/>
                      <w:lang w:bidi="ar"/>
                    </w:rPr>
                    <w:t>进入搅拌机的石料、水洗砂、水泥、水和外加剂进行充分混合搅拌，搅拌均匀后即为混凝土半成品，检验合格后由罐车在30min内运送至施工场地</w:t>
                  </w:r>
                  <w:r>
                    <w:rPr>
                      <w:rFonts w:hint="eastAsia" w:eastAsiaTheme="minorEastAsia"/>
                      <w:color w:val="auto"/>
                      <w:kern w:val="0"/>
                      <w:szCs w:val="21"/>
                      <w:lang w:eastAsia="zh-CN" w:bidi="ar"/>
                    </w:rPr>
                    <w:t>。</w:t>
                  </w:r>
                </w:p>
              </w:tc>
            </w:tr>
          </w:tbl>
          <w:p>
            <w:pPr>
              <w:pStyle w:val="6"/>
              <w:keepNext w:val="0"/>
              <w:keepLines w:val="0"/>
              <w:pageBreakBefore w:val="0"/>
              <w:widowControl w:val="0"/>
              <w:numPr>
                <w:ilvl w:val="0"/>
                <w:numId w:val="5"/>
              </w:numPr>
              <w:kinsoku/>
              <w:wordWrap/>
              <w:overflowPunct/>
              <w:topLinePunct w:val="0"/>
              <w:autoSpaceDE/>
              <w:autoSpaceDN/>
              <w:bidi w:val="0"/>
              <w:adjustRightInd w:val="0"/>
              <w:snapToGrid w:val="0"/>
              <w:spacing w:before="156" w:beforeLines="50" w:after="0" w:line="360" w:lineRule="auto"/>
              <w:ind w:firstLine="0" w:firstLineChars="0"/>
              <w:textAlignment w:val="auto"/>
              <w:rPr>
                <w:rFonts w:hint="eastAsia"/>
                <w:b/>
                <w:bCs/>
                <w:color w:val="auto"/>
                <w:szCs w:val="24"/>
                <w:lang w:val="en-US" w:eastAsia="zh-CN"/>
              </w:rPr>
            </w:pPr>
            <w:r>
              <w:rPr>
                <w:rFonts w:hint="eastAsia"/>
                <w:b/>
                <w:bCs/>
                <w:color w:val="auto"/>
                <w:szCs w:val="24"/>
                <w:lang w:val="en-US" w:eastAsia="zh-CN"/>
              </w:rPr>
              <w:t>主要生产设施及设施参数</w:t>
            </w:r>
          </w:p>
          <w:p>
            <w:pPr>
              <w:pStyle w:val="31"/>
              <w:keepNext w:val="0"/>
              <w:keepLines w:val="0"/>
              <w:pageBreakBefore w:val="0"/>
              <w:kinsoku/>
              <w:wordWrap/>
              <w:overflowPunct/>
              <w:topLinePunct w:val="0"/>
              <w:autoSpaceDE/>
              <w:autoSpaceDN/>
              <w:bidi w:val="0"/>
              <w:adjustRightInd w:val="0"/>
              <w:snapToGrid w:val="0"/>
              <w:spacing w:line="240" w:lineRule="auto"/>
              <w:ind w:firstLine="421" w:firstLineChars="200"/>
              <w:jc w:val="center"/>
              <w:textAlignment w:val="auto"/>
              <w:rPr>
                <w:b/>
                <w:bCs/>
                <w:color w:val="auto"/>
                <w:sz w:val="21"/>
                <w:szCs w:val="21"/>
              </w:rPr>
            </w:pPr>
            <w:r>
              <w:rPr>
                <w:b/>
                <w:bCs/>
                <w:color w:val="auto"/>
                <w:sz w:val="21"/>
                <w:szCs w:val="21"/>
              </w:rPr>
              <w:t>表2-4  主要生产设备信息一览表</w:t>
            </w:r>
          </w:p>
          <w:tbl>
            <w:tblPr>
              <w:tblStyle w:val="25"/>
              <w:tblW w:w="81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4"/>
              <w:gridCol w:w="57"/>
              <w:gridCol w:w="1722"/>
              <w:gridCol w:w="1546"/>
              <w:gridCol w:w="2415"/>
              <w:gridCol w:w="1035"/>
              <w:gridCol w:w="51"/>
              <w:gridCol w:w="6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gridSpan w:val="2"/>
                  <w:tcBorders>
                    <w:tl2br w:val="nil"/>
                    <w:tr2bl w:val="nil"/>
                  </w:tcBorders>
                  <w:vAlign w:val="center"/>
                </w:tcPr>
                <w:p>
                  <w:pPr>
                    <w:pStyle w:val="59"/>
                    <w:rPr>
                      <w:rFonts w:eastAsiaTheme="minorEastAsia"/>
                      <w:color w:val="auto"/>
                      <w:szCs w:val="21"/>
                    </w:rPr>
                  </w:pPr>
                  <w:r>
                    <w:rPr>
                      <w:rFonts w:eastAsiaTheme="minorEastAsia"/>
                      <w:bCs/>
                      <w:color w:val="auto"/>
                      <w:szCs w:val="21"/>
                    </w:rPr>
                    <w:t>序号</w:t>
                  </w:r>
                </w:p>
              </w:tc>
              <w:tc>
                <w:tcPr>
                  <w:tcW w:w="1722" w:type="dxa"/>
                  <w:tcBorders>
                    <w:tl2br w:val="nil"/>
                    <w:tr2bl w:val="nil"/>
                  </w:tcBorders>
                  <w:vAlign w:val="center"/>
                </w:tcPr>
                <w:p>
                  <w:pPr>
                    <w:pStyle w:val="59"/>
                    <w:rPr>
                      <w:rFonts w:eastAsiaTheme="minorEastAsia"/>
                      <w:color w:val="auto"/>
                      <w:szCs w:val="21"/>
                    </w:rPr>
                  </w:pPr>
                  <w:r>
                    <w:rPr>
                      <w:rFonts w:eastAsiaTheme="minorEastAsia"/>
                      <w:color w:val="auto"/>
                      <w:szCs w:val="21"/>
                    </w:rPr>
                    <w:t>系统/设施</w:t>
                  </w:r>
                </w:p>
              </w:tc>
              <w:tc>
                <w:tcPr>
                  <w:tcW w:w="1546" w:type="dxa"/>
                  <w:tcBorders>
                    <w:tl2br w:val="nil"/>
                    <w:tr2bl w:val="nil"/>
                  </w:tcBorders>
                  <w:vAlign w:val="center"/>
                </w:tcPr>
                <w:p>
                  <w:pPr>
                    <w:jc w:val="center"/>
                    <w:rPr>
                      <w:rFonts w:eastAsiaTheme="minorEastAsia"/>
                      <w:color w:val="auto"/>
                      <w:szCs w:val="21"/>
                    </w:rPr>
                  </w:pPr>
                  <w:r>
                    <w:rPr>
                      <w:rFonts w:eastAsiaTheme="minorEastAsia"/>
                      <w:b/>
                      <w:bCs/>
                      <w:color w:val="auto"/>
                      <w:szCs w:val="21"/>
                    </w:rPr>
                    <w:t>设备名称</w:t>
                  </w:r>
                </w:p>
              </w:tc>
              <w:tc>
                <w:tcPr>
                  <w:tcW w:w="2415" w:type="dxa"/>
                  <w:tcBorders>
                    <w:tl2br w:val="nil"/>
                    <w:tr2bl w:val="nil"/>
                  </w:tcBorders>
                  <w:vAlign w:val="center"/>
                </w:tcPr>
                <w:p>
                  <w:pPr>
                    <w:jc w:val="center"/>
                    <w:rPr>
                      <w:rFonts w:eastAsiaTheme="minorEastAsia"/>
                      <w:color w:val="auto"/>
                      <w:szCs w:val="21"/>
                    </w:rPr>
                  </w:pPr>
                  <w:r>
                    <w:rPr>
                      <w:rFonts w:eastAsiaTheme="minorEastAsia"/>
                      <w:b/>
                      <w:bCs/>
                      <w:color w:val="auto"/>
                      <w:szCs w:val="21"/>
                    </w:rPr>
                    <w:t>规格型号</w:t>
                  </w:r>
                </w:p>
              </w:tc>
              <w:tc>
                <w:tcPr>
                  <w:tcW w:w="1035" w:type="dxa"/>
                  <w:tcBorders>
                    <w:tl2br w:val="nil"/>
                    <w:tr2bl w:val="nil"/>
                  </w:tcBorders>
                  <w:vAlign w:val="center"/>
                </w:tcPr>
                <w:p>
                  <w:pPr>
                    <w:jc w:val="center"/>
                    <w:rPr>
                      <w:rFonts w:eastAsiaTheme="minorEastAsia"/>
                      <w:color w:val="auto"/>
                      <w:szCs w:val="21"/>
                    </w:rPr>
                  </w:pPr>
                  <w:r>
                    <w:rPr>
                      <w:rFonts w:eastAsiaTheme="minorEastAsia"/>
                      <w:b/>
                      <w:bCs/>
                      <w:color w:val="auto"/>
                      <w:szCs w:val="21"/>
                    </w:rPr>
                    <w:t>单位</w:t>
                  </w:r>
                </w:p>
              </w:tc>
              <w:tc>
                <w:tcPr>
                  <w:tcW w:w="750" w:type="dxa"/>
                  <w:gridSpan w:val="2"/>
                  <w:tcBorders>
                    <w:tl2br w:val="nil"/>
                    <w:tr2bl w:val="nil"/>
                  </w:tcBorders>
                  <w:vAlign w:val="center"/>
                </w:tcPr>
                <w:p>
                  <w:pPr>
                    <w:jc w:val="center"/>
                    <w:rPr>
                      <w:rFonts w:eastAsiaTheme="minorEastAsia"/>
                      <w:color w:val="auto"/>
                      <w:szCs w:val="21"/>
                    </w:rPr>
                  </w:pPr>
                  <w:r>
                    <w:rPr>
                      <w:rFonts w:eastAsiaTheme="minorEastAsia"/>
                      <w:b/>
                      <w:bCs/>
                      <w:color w:val="auto"/>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9" w:type="dxa"/>
                  <w:gridSpan w:val="8"/>
                  <w:tcBorders>
                    <w:tl2br w:val="nil"/>
                    <w:tr2bl w:val="nil"/>
                  </w:tcBorders>
                  <w:vAlign w:val="center"/>
                </w:tcPr>
                <w:p>
                  <w:pPr>
                    <w:rPr>
                      <w:rFonts w:eastAsiaTheme="minorEastAsia"/>
                      <w:b/>
                      <w:bCs/>
                      <w:color w:val="auto"/>
                      <w:szCs w:val="21"/>
                    </w:rPr>
                  </w:pPr>
                  <w:r>
                    <w:rPr>
                      <w:rFonts w:eastAsiaTheme="minorEastAsia"/>
                      <w:color w:val="auto"/>
                      <w:szCs w:val="21"/>
                    </w:rPr>
                    <w:t>一、</w:t>
                  </w:r>
                  <w:r>
                    <w:rPr>
                      <w:rFonts w:hint="eastAsia" w:eastAsiaTheme="minorEastAsia"/>
                      <w:color w:val="auto"/>
                      <w:szCs w:val="21"/>
                    </w:rPr>
                    <w:t>混凝土</w:t>
                  </w:r>
                  <w:r>
                    <w:rPr>
                      <w:rFonts w:eastAsiaTheme="minorEastAsia"/>
                      <w:color w:val="auto"/>
                      <w:szCs w:val="21"/>
                    </w:rPr>
                    <w:t>拌合站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gridSpan w:val="2"/>
                  <w:tcBorders>
                    <w:tl2br w:val="nil"/>
                    <w:tr2bl w:val="nil"/>
                  </w:tcBorders>
                  <w:vAlign w:val="center"/>
                </w:tcPr>
                <w:p>
                  <w:pPr>
                    <w:jc w:val="center"/>
                    <w:rPr>
                      <w:rFonts w:eastAsiaTheme="minorEastAsia"/>
                      <w:color w:val="auto"/>
                      <w:szCs w:val="21"/>
                    </w:rPr>
                  </w:pPr>
                  <w:r>
                    <w:rPr>
                      <w:rFonts w:eastAsiaTheme="minorEastAsia"/>
                      <w:color w:val="auto"/>
                      <w:szCs w:val="21"/>
                    </w:rPr>
                    <w:t>1</w:t>
                  </w:r>
                </w:p>
              </w:tc>
              <w:tc>
                <w:tcPr>
                  <w:tcW w:w="1722" w:type="dxa"/>
                  <w:vMerge w:val="restart"/>
                  <w:tcBorders>
                    <w:tl2br w:val="nil"/>
                    <w:tr2bl w:val="nil"/>
                  </w:tcBorders>
                  <w:vAlign w:val="center"/>
                </w:tcPr>
                <w:p>
                  <w:pPr>
                    <w:pStyle w:val="59"/>
                    <w:rPr>
                      <w:rFonts w:eastAsiaTheme="minorEastAsia"/>
                      <w:color w:val="auto"/>
                      <w:szCs w:val="21"/>
                    </w:rPr>
                  </w:pPr>
                  <w:r>
                    <w:rPr>
                      <w:rFonts w:eastAsiaTheme="minorEastAsia"/>
                      <w:b w:val="0"/>
                      <w:bCs/>
                      <w:color w:val="auto"/>
                      <w:szCs w:val="21"/>
                    </w:rPr>
                    <w:t>投料系统</w:t>
                  </w:r>
                </w:p>
              </w:tc>
              <w:tc>
                <w:tcPr>
                  <w:tcW w:w="1546" w:type="dxa"/>
                  <w:tcBorders>
                    <w:tl2br w:val="nil"/>
                    <w:tr2bl w:val="nil"/>
                  </w:tcBorders>
                  <w:vAlign w:val="center"/>
                </w:tcPr>
                <w:p>
                  <w:pPr>
                    <w:pStyle w:val="59"/>
                    <w:rPr>
                      <w:rFonts w:hint="eastAsia" w:eastAsiaTheme="minorEastAsia"/>
                      <w:b w:val="0"/>
                      <w:bCs/>
                      <w:color w:val="auto"/>
                      <w:szCs w:val="21"/>
                      <w:lang w:eastAsia="zh-CN"/>
                    </w:rPr>
                  </w:pPr>
                  <w:r>
                    <w:rPr>
                      <w:rFonts w:hint="eastAsia" w:eastAsiaTheme="minorEastAsia"/>
                      <w:b w:val="0"/>
                      <w:color w:val="auto"/>
                      <w:szCs w:val="21"/>
                      <w:lang w:val="en-US" w:eastAsia="zh-CN"/>
                    </w:rPr>
                    <w:t>配料机</w:t>
                  </w:r>
                </w:p>
              </w:tc>
              <w:tc>
                <w:tcPr>
                  <w:tcW w:w="2415" w:type="dxa"/>
                  <w:tcBorders>
                    <w:tl2br w:val="nil"/>
                    <w:tr2bl w:val="nil"/>
                  </w:tcBorders>
                  <w:vAlign w:val="center"/>
                </w:tcPr>
                <w:p>
                  <w:pPr>
                    <w:pStyle w:val="59"/>
                    <w:rPr>
                      <w:rFonts w:eastAsiaTheme="minorEastAsia"/>
                      <w:b w:val="0"/>
                      <w:bCs/>
                      <w:color w:val="auto"/>
                      <w:szCs w:val="21"/>
                    </w:rPr>
                  </w:pPr>
                  <w:r>
                    <w:rPr>
                      <w:rFonts w:hint="eastAsia" w:eastAsiaTheme="minorEastAsia"/>
                      <w:b w:val="0"/>
                      <w:bCs/>
                      <w:color w:val="auto"/>
                      <w:szCs w:val="21"/>
                    </w:rPr>
                    <w:t>HPDQ2400</w:t>
                  </w:r>
                </w:p>
              </w:tc>
              <w:tc>
                <w:tcPr>
                  <w:tcW w:w="1035" w:type="dxa"/>
                  <w:tcBorders>
                    <w:tl2br w:val="nil"/>
                    <w:tr2bl w:val="nil"/>
                  </w:tcBorders>
                  <w:vAlign w:val="center"/>
                </w:tcPr>
                <w:p>
                  <w:pPr>
                    <w:jc w:val="center"/>
                    <w:rPr>
                      <w:rFonts w:hint="eastAsia" w:eastAsiaTheme="minorEastAsia"/>
                      <w:color w:val="auto"/>
                      <w:szCs w:val="21"/>
                      <w:lang w:eastAsia="zh-CN"/>
                    </w:rPr>
                  </w:pPr>
                  <w:r>
                    <w:rPr>
                      <w:rFonts w:hint="eastAsia" w:eastAsiaTheme="minorEastAsia"/>
                      <w:color w:val="auto"/>
                      <w:szCs w:val="21"/>
                      <w:lang w:val="en-US" w:eastAsia="zh-CN"/>
                    </w:rPr>
                    <w:t>台</w:t>
                  </w:r>
                </w:p>
              </w:tc>
              <w:tc>
                <w:tcPr>
                  <w:tcW w:w="750" w:type="dxa"/>
                  <w:gridSpan w:val="2"/>
                  <w:tcBorders>
                    <w:tl2br w:val="nil"/>
                    <w:tr2bl w:val="nil"/>
                  </w:tcBorders>
                  <w:vAlign w:val="center"/>
                </w:tcPr>
                <w:p>
                  <w:pPr>
                    <w:jc w:val="center"/>
                    <w:rPr>
                      <w:rFonts w:hint="eastAsia" w:eastAsiaTheme="minorEastAsia"/>
                      <w:color w:val="auto"/>
                      <w:szCs w:val="21"/>
                      <w:lang w:eastAsia="zh-CN"/>
                    </w:rPr>
                  </w:pPr>
                  <w:r>
                    <w:rPr>
                      <w:rFonts w:hint="eastAsia" w:eastAsiaTheme="minorEastAsia"/>
                      <w:color w:val="auto"/>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gridSpan w:val="2"/>
                  <w:tcBorders>
                    <w:tl2br w:val="nil"/>
                    <w:tr2bl w:val="nil"/>
                  </w:tcBorders>
                  <w:vAlign w:val="center"/>
                </w:tcPr>
                <w:p>
                  <w:pPr>
                    <w:jc w:val="center"/>
                    <w:rPr>
                      <w:rFonts w:eastAsiaTheme="minorEastAsia"/>
                      <w:color w:val="auto"/>
                      <w:szCs w:val="21"/>
                    </w:rPr>
                  </w:pPr>
                  <w:r>
                    <w:rPr>
                      <w:rFonts w:eastAsiaTheme="minorEastAsia"/>
                      <w:color w:val="auto"/>
                      <w:szCs w:val="21"/>
                    </w:rPr>
                    <w:t>2</w:t>
                  </w:r>
                </w:p>
              </w:tc>
              <w:tc>
                <w:tcPr>
                  <w:tcW w:w="1722" w:type="dxa"/>
                  <w:vMerge w:val="continue"/>
                  <w:tcBorders>
                    <w:tl2br w:val="nil"/>
                    <w:tr2bl w:val="nil"/>
                  </w:tcBorders>
                  <w:vAlign w:val="center"/>
                </w:tcPr>
                <w:p>
                  <w:pPr>
                    <w:jc w:val="center"/>
                    <w:rPr>
                      <w:rFonts w:eastAsiaTheme="minorEastAsia"/>
                      <w:color w:val="auto"/>
                      <w:szCs w:val="21"/>
                    </w:rPr>
                  </w:pPr>
                </w:p>
              </w:tc>
              <w:tc>
                <w:tcPr>
                  <w:tcW w:w="1546" w:type="dxa"/>
                  <w:tcBorders>
                    <w:tl2br w:val="nil"/>
                    <w:tr2bl w:val="nil"/>
                  </w:tcBorders>
                  <w:vAlign w:val="center"/>
                </w:tcPr>
                <w:p>
                  <w:pPr>
                    <w:pStyle w:val="59"/>
                    <w:rPr>
                      <w:rFonts w:eastAsiaTheme="minorEastAsia"/>
                      <w:b w:val="0"/>
                      <w:bCs/>
                      <w:color w:val="auto"/>
                      <w:szCs w:val="21"/>
                    </w:rPr>
                  </w:pPr>
                  <w:r>
                    <w:rPr>
                      <w:rFonts w:hint="eastAsia" w:eastAsiaTheme="minorEastAsia"/>
                      <w:b w:val="0"/>
                      <w:bCs/>
                      <w:color w:val="auto"/>
                      <w:szCs w:val="21"/>
                    </w:rPr>
                    <w:t>皮带机</w:t>
                  </w:r>
                </w:p>
              </w:tc>
              <w:tc>
                <w:tcPr>
                  <w:tcW w:w="2415" w:type="dxa"/>
                  <w:tcBorders>
                    <w:tl2br w:val="nil"/>
                    <w:tr2bl w:val="nil"/>
                  </w:tcBorders>
                  <w:vAlign w:val="center"/>
                </w:tcPr>
                <w:p>
                  <w:pPr>
                    <w:pStyle w:val="59"/>
                    <w:rPr>
                      <w:rFonts w:eastAsiaTheme="minorEastAsia"/>
                      <w:b w:val="0"/>
                      <w:bCs/>
                      <w:color w:val="auto"/>
                      <w:szCs w:val="21"/>
                    </w:rPr>
                  </w:pPr>
                  <w:r>
                    <w:rPr>
                      <w:rFonts w:eastAsiaTheme="minorEastAsia"/>
                      <w:b w:val="0"/>
                      <w:bCs/>
                      <w:color w:val="auto"/>
                      <w:szCs w:val="21"/>
                    </w:rPr>
                    <w:t>长度：20m</w:t>
                  </w:r>
                </w:p>
              </w:tc>
              <w:tc>
                <w:tcPr>
                  <w:tcW w:w="1035" w:type="dxa"/>
                  <w:tcBorders>
                    <w:tl2br w:val="nil"/>
                    <w:tr2bl w:val="nil"/>
                  </w:tcBorders>
                  <w:vAlign w:val="center"/>
                </w:tcPr>
                <w:p>
                  <w:pPr>
                    <w:pStyle w:val="59"/>
                    <w:rPr>
                      <w:rFonts w:eastAsiaTheme="minorEastAsia"/>
                      <w:b w:val="0"/>
                      <w:bCs/>
                      <w:color w:val="auto"/>
                      <w:szCs w:val="21"/>
                    </w:rPr>
                  </w:pPr>
                  <w:r>
                    <w:rPr>
                      <w:rFonts w:eastAsiaTheme="minorEastAsia"/>
                      <w:b w:val="0"/>
                      <w:bCs/>
                      <w:color w:val="auto"/>
                      <w:szCs w:val="21"/>
                    </w:rPr>
                    <w:t>条</w:t>
                  </w:r>
                </w:p>
              </w:tc>
              <w:tc>
                <w:tcPr>
                  <w:tcW w:w="750" w:type="dxa"/>
                  <w:gridSpan w:val="2"/>
                  <w:tcBorders>
                    <w:tl2br w:val="nil"/>
                    <w:tr2bl w:val="nil"/>
                  </w:tcBorders>
                  <w:vAlign w:val="center"/>
                </w:tcPr>
                <w:p>
                  <w:pPr>
                    <w:pStyle w:val="59"/>
                    <w:rPr>
                      <w:rFonts w:hint="eastAsia" w:eastAsiaTheme="minorEastAsia"/>
                      <w:b w:val="0"/>
                      <w:bCs/>
                      <w:color w:val="auto"/>
                      <w:szCs w:val="21"/>
                      <w:lang w:eastAsia="zh-CN"/>
                    </w:rPr>
                  </w:pPr>
                  <w:r>
                    <w:rPr>
                      <w:rFonts w:hint="eastAsia" w:eastAsiaTheme="minorEastAsia"/>
                      <w:b w:val="0"/>
                      <w:bCs/>
                      <w:color w:val="auto"/>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gridSpan w:val="2"/>
                  <w:tcBorders>
                    <w:tl2br w:val="nil"/>
                    <w:tr2bl w:val="nil"/>
                  </w:tcBorders>
                  <w:vAlign w:val="center"/>
                </w:tcPr>
                <w:p>
                  <w:pPr>
                    <w:jc w:val="center"/>
                    <w:rPr>
                      <w:rFonts w:eastAsiaTheme="minorEastAsia"/>
                      <w:color w:val="auto"/>
                      <w:szCs w:val="21"/>
                    </w:rPr>
                  </w:pPr>
                  <w:r>
                    <w:rPr>
                      <w:rFonts w:eastAsiaTheme="minorEastAsia"/>
                      <w:color w:val="auto"/>
                      <w:szCs w:val="21"/>
                    </w:rPr>
                    <w:t>3</w:t>
                  </w:r>
                </w:p>
              </w:tc>
              <w:tc>
                <w:tcPr>
                  <w:tcW w:w="1722" w:type="dxa"/>
                  <w:vMerge w:val="continue"/>
                  <w:tcBorders>
                    <w:tl2br w:val="nil"/>
                    <w:tr2bl w:val="nil"/>
                  </w:tcBorders>
                  <w:vAlign w:val="center"/>
                </w:tcPr>
                <w:p>
                  <w:pPr>
                    <w:jc w:val="center"/>
                    <w:rPr>
                      <w:rFonts w:eastAsiaTheme="minorEastAsia"/>
                      <w:color w:val="auto"/>
                      <w:szCs w:val="21"/>
                    </w:rPr>
                  </w:pPr>
                </w:p>
              </w:tc>
              <w:tc>
                <w:tcPr>
                  <w:tcW w:w="1546" w:type="dxa"/>
                  <w:tcBorders>
                    <w:tl2br w:val="nil"/>
                    <w:tr2bl w:val="nil"/>
                  </w:tcBorders>
                  <w:vAlign w:val="center"/>
                </w:tcPr>
                <w:p>
                  <w:pPr>
                    <w:pStyle w:val="59"/>
                    <w:rPr>
                      <w:rFonts w:eastAsiaTheme="minorEastAsia"/>
                      <w:b w:val="0"/>
                      <w:bCs/>
                      <w:color w:val="auto"/>
                      <w:szCs w:val="21"/>
                    </w:rPr>
                  </w:pPr>
                  <w:r>
                    <w:rPr>
                      <w:rFonts w:eastAsiaTheme="minorEastAsia"/>
                      <w:b w:val="0"/>
                      <w:bCs/>
                      <w:color w:val="auto"/>
                      <w:szCs w:val="21"/>
                    </w:rPr>
                    <w:t>砂石料库</w:t>
                  </w:r>
                </w:p>
              </w:tc>
              <w:tc>
                <w:tcPr>
                  <w:tcW w:w="2415" w:type="dxa"/>
                  <w:tcBorders>
                    <w:tl2br w:val="nil"/>
                    <w:tr2bl w:val="nil"/>
                  </w:tcBorders>
                  <w:vAlign w:val="center"/>
                </w:tcPr>
                <w:p>
                  <w:pPr>
                    <w:pStyle w:val="59"/>
                    <w:rPr>
                      <w:rFonts w:hint="default" w:eastAsiaTheme="minorEastAsia"/>
                      <w:b w:val="0"/>
                      <w:bCs/>
                      <w:color w:val="auto"/>
                      <w:szCs w:val="21"/>
                      <w:lang w:val="en-US" w:eastAsia="zh-CN"/>
                    </w:rPr>
                  </w:pPr>
                  <w:r>
                    <w:rPr>
                      <w:rFonts w:hint="eastAsia" w:eastAsiaTheme="minorEastAsia"/>
                      <w:b w:val="0"/>
                      <w:bCs/>
                      <w:color w:val="auto"/>
                      <w:szCs w:val="21"/>
                      <w:lang w:val="en-US" w:eastAsia="zh-CN"/>
                    </w:rPr>
                    <w:t>占地面积：1092m</w:t>
                  </w:r>
                  <w:r>
                    <w:rPr>
                      <w:rFonts w:hint="eastAsia" w:eastAsiaTheme="minorEastAsia"/>
                      <w:b w:val="0"/>
                      <w:bCs/>
                      <w:color w:val="auto"/>
                      <w:szCs w:val="21"/>
                      <w:vertAlign w:val="superscript"/>
                      <w:lang w:val="en-US" w:eastAsia="zh-CN"/>
                    </w:rPr>
                    <w:t>2</w:t>
                  </w:r>
                </w:p>
              </w:tc>
              <w:tc>
                <w:tcPr>
                  <w:tcW w:w="1035" w:type="dxa"/>
                  <w:tcBorders>
                    <w:tl2br w:val="nil"/>
                    <w:tr2bl w:val="nil"/>
                  </w:tcBorders>
                  <w:vAlign w:val="center"/>
                </w:tcPr>
                <w:p>
                  <w:pPr>
                    <w:pStyle w:val="59"/>
                    <w:rPr>
                      <w:rFonts w:eastAsiaTheme="minorEastAsia"/>
                      <w:b w:val="0"/>
                      <w:bCs/>
                      <w:color w:val="auto"/>
                      <w:szCs w:val="21"/>
                    </w:rPr>
                  </w:pPr>
                  <w:r>
                    <w:rPr>
                      <w:rFonts w:eastAsiaTheme="minorEastAsia"/>
                      <w:b w:val="0"/>
                      <w:bCs/>
                      <w:color w:val="auto"/>
                      <w:szCs w:val="21"/>
                    </w:rPr>
                    <w:t>个</w:t>
                  </w:r>
                </w:p>
              </w:tc>
              <w:tc>
                <w:tcPr>
                  <w:tcW w:w="750" w:type="dxa"/>
                  <w:gridSpan w:val="2"/>
                  <w:tcBorders>
                    <w:tl2br w:val="nil"/>
                    <w:tr2bl w:val="nil"/>
                  </w:tcBorders>
                  <w:vAlign w:val="center"/>
                </w:tcPr>
                <w:p>
                  <w:pPr>
                    <w:pStyle w:val="59"/>
                    <w:rPr>
                      <w:rFonts w:eastAsiaTheme="minorEastAsia"/>
                      <w:b w:val="0"/>
                      <w:bCs/>
                      <w:color w:val="auto"/>
                      <w:szCs w:val="21"/>
                    </w:rPr>
                  </w:pPr>
                  <w:r>
                    <w:rPr>
                      <w:rFonts w:eastAsiaTheme="minorEastAsia"/>
                      <w:b w:val="0"/>
                      <w:bCs/>
                      <w:color w:val="auto"/>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gridSpan w:val="2"/>
                  <w:tcBorders>
                    <w:tl2br w:val="nil"/>
                    <w:tr2bl w:val="nil"/>
                  </w:tcBorders>
                  <w:vAlign w:val="center"/>
                </w:tcPr>
                <w:p>
                  <w:pPr>
                    <w:jc w:val="center"/>
                    <w:rPr>
                      <w:rFonts w:eastAsiaTheme="minorEastAsia"/>
                      <w:color w:val="auto"/>
                      <w:szCs w:val="21"/>
                    </w:rPr>
                  </w:pPr>
                  <w:r>
                    <w:rPr>
                      <w:rFonts w:eastAsiaTheme="minorEastAsia"/>
                      <w:color w:val="auto"/>
                      <w:szCs w:val="21"/>
                    </w:rPr>
                    <w:t>4</w:t>
                  </w:r>
                </w:p>
              </w:tc>
              <w:tc>
                <w:tcPr>
                  <w:tcW w:w="1722" w:type="dxa"/>
                  <w:vMerge w:val="continue"/>
                  <w:tcBorders>
                    <w:tl2br w:val="nil"/>
                    <w:tr2bl w:val="nil"/>
                  </w:tcBorders>
                  <w:vAlign w:val="center"/>
                </w:tcPr>
                <w:p>
                  <w:pPr>
                    <w:jc w:val="center"/>
                    <w:rPr>
                      <w:rFonts w:eastAsiaTheme="minorEastAsia"/>
                      <w:color w:val="auto"/>
                      <w:szCs w:val="21"/>
                    </w:rPr>
                  </w:pPr>
                </w:p>
              </w:tc>
              <w:tc>
                <w:tcPr>
                  <w:tcW w:w="1546" w:type="dxa"/>
                  <w:tcBorders>
                    <w:tl2br w:val="nil"/>
                    <w:tr2bl w:val="nil"/>
                  </w:tcBorders>
                  <w:vAlign w:val="center"/>
                </w:tcPr>
                <w:p>
                  <w:pPr>
                    <w:pStyle w:val="59"/>
                    <w:rPr>
                      <w:rFonts w:eastAsiaTheme="minorEastAsia"/>
                      <w:b w:val="0"/>
                      <w:bCs/>
                      <w:color w:val="auto"/>
                      <w:szCs w:val="21"/>
                    </w:rPr>
                  </w:pPr>
                  <w:r>
                    <w:rPr>
                      <w:rFonts w:eastAsiaTheme="minorEastAsia"/>
                      <w:b w:val="0"/>
                      <w:bCs/>
                      <w:color w:val="auto"/>
                      <w:szCs w:val="21"/>
                    </w:rPr>
                    <w:t>水泥筒仓</w:t>
                  </w:r>
                </w:p>
              </w:tc>
              <w:tc>
                <w:tcPr>
                  <w:tcW w:w="2415" w:type="dxa"/>
                  <w:tcBorders>
                    <w:tl2br w:val="nil"/>
                    <w:tr2bl w:val="nil"/>
                  </w:tcBorders>
                  <w:vAlign w:val="center"/>
                </w:tcPr>
                <w:p>
                  <w:pPr>
                    <w:jc w:val="center"/>
                    <w:rPr>
                      <w:rFonts w:eastAsiaTheme="minorEastAsia"/>
                      <w:bCs/>
                      <w:color w:val="auto"/>
                      <w:szCs w:val="21"/>
                    </w:rPr>
                  </w:pPr>
                  <w:r>
                    <w:rPr>
                      <w:rFonts w:hint="eastAsia" w:eastAsiaTheme="minorEastAsia"/>
                      <w:bCs/>
                      <w:color w:val="auto"/>
                      <w:szCs w:val="21"/>
                      <w:lang w:val="en-US" w:eastAsia="zh-CN"/>
                    </w:rPr>
                    <w:t>100t</w:t>
                  </w:r>
                </w:p>
              </w:tc>
              <w:tc>
                <w:tcPr>
                  <w:tcW w:w="1035" w:type="dxa"/>
                  <w:tcBorders>
                    <w:tl2br w:val="nil"/>
                    <w:tr2bl w:val="nil"/>
                  </w:tcBorders>
                  <w:vAlign w:val="center"/>
                </w:tcPr>
                <w:p>
                  <w:pPr>
                    <w:pStyle w:val="59"/>
                    <w:rPr>
                      <w:rFonts w:eastAsiaTheme="minorEastAsia"/>
                      <w:b w:val="0"/>
                      <w:bCs/>
                      <w:color w:val="auto"/>
                      <w:szCs w:val="21"/>
                    </w:rPr>
                  </w:pPr>
                  <w:r>
                    <w:rPr>
                      <w:rFonts w:eastAsiaTheme="minorEastAsia"/>
                      <w:b w:val="0"/>
                      <w:bCs/>
                      <w:color w:val="auto"/>
                      <w:szCs w:val="21"/>
                    </w:rPr>
                    <w:t>个</w:t>
                  </w:r>
                </w:p>
              </w:tc>
              <w:tc>
                <w:tcPr>
                  <w:tcW w:w="750" w:type="dxa"/>
                  <w:gridSpan w:val="2"/>
                  <w:tcBorders>
                    <w:tl2br w:val="nil"/>
                    <w:tr2bl w:val="nil"/>
                  </w:tcBorders>
                  <w:vAlign w:val="center"/>
                </w:tcPr>
                <w:p>
                  <w:pPr>
                    <w:pStyle w:val="59"/>
                    <w:rPr>
                      <w:rFonts w:hint="eastAsia" w:eastAsiaTheme="minorEastAsia"/>
                      <w:b w:val="0"/>
                      <w:bCs/>
                      <w:color w:val="auto"/>
                      <w:szCs w:val="21"/>
                      <w:lang w:eastAsia="zh-CN"/>
                    </w:rPr>
                  </w:pPr>
                  <w:r>
                    <w:rPr>
                      <w:rFonts w:hint="eastAsia" w:eastAsiaTheme="minorEastAsia"/>
                      <w:b w:val="0"/>
                      <w:bCs/>
                      <w:color w:val="auto"/>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gridSpan w:val="2"/>
                  <w:tcBorders>
                    <w:tl2br w:val="nil"/>
                    <w:tr2bl w:val="nil"/>
                  </w:tcBorders>
                  <w:vAlign w:val="center"/>
                </w:tcPr>
                <w:p>
                  <w:pPr>
                    <w:jc w:val="center"/>
                    <w:rPr>
                      <w:rFonts w:hint="eastAsia" w:eastAsiaTheme="minorEastAsia"/>
                      <w:color w:val="auto"/>
                      <w:szCs w:val="21"/>
                      <w:lang w:eastAsia="zh-CN"/>
                    </w:rPr>
                  </w:pPr>
                  <w:r>
                    <w:rPr>
                      <w:rFonts w:hint="eastAsia" w:eastAsiaTheme="minorEastAsia"/>
                      <w:color w:val="auto"/>
                      <w:szCs w:val="21"/>
                      <w:lang w:val="en-US" w:eastAsia="zh-CN"/>
                    </w:rPr>
                    <w:t>5</w:t>
                  </w:r>
                </w:p>
              </w:tc>
              <w:tc>
                <w:tcPr>
                  <w:tcW w:w="1722" w:type="dxa"/>
                  <w:vMerge w:val="continue"/>
                  <w:tcBorders>
                    <w:tl2br w:val="nil"/>
                    <w:tr2bl w:val="nil"/>
                  </w:tcBorders>
                  <w:vAlign w:val="center"/>
                </w:tcPr>
                <w:p>
                  <w:pPr>
                    <w:jc w:val="center"/>
                    <w:rPr>
                      <w:rFonts w:eastAsiaTheme="minorEastAsia"/>
                      <w:color w:val="auto"/>
                      <w:szCs w:val="21"/>
                    </w:rPr>
                  </w:pPr>
                </w:p>
              </w:tc>
              <w:tc>
                <w:tcPr>
                  <w:tcW w:w="1546" w:type="dxa"/>
                  <w:tcBorders>
                    <w:tl2br w:val="nil"/>
                    <w:tr2bl w:val="nil"/>
                  </w:tcBorders>
                  <w:vAlign w:val="center"/>
                </w:tcPr>
                <w:p>
                  <w:pPr>
                    <w:pStyle w:val="59"/>
                    <w:rPr>
                      <w:rFonts w:eastAsiaTheme="minorEastAsia"/>
                      <w:b w:val="0"/>
                      <w:bCs/>
                      <w:color w:val="auto"/>
                      <w:szCs w:val="21"/>
                    </w:rPr>
                  </w:pPr>
                  <w:r>
                    <w:rPr>
                      <w:rFonts w:eastAsiaTheme="minorEastAsia"/>
                      <w:b w:val="0"/>
                      <w:color w:val="auto"/>
                      <w:kern w:val="0"/>
                      <w:szCs w:val="21"/>
                    </w:rPr>
                    <w:t>减水剂罐</w:t>
                  </w:r>
                </w:p>
              </w:tc>
              <w:tc>
                <w:tcPr>
                  <w:tcW w:w="2415" w:type="dxa"/>
                  <w:tcBorders>
                    <w:tl2br w:val="nil"/>
                    <w:tr2bl w:val="nil"/>
                  </w:tcBorders>
                  <w:vAlign w:val="center"/>
                </w:tcPr>
                <w:p>
                  <w:pPr>
                    <w:pStyle w:val="59"/>
                    <w:rPr>
                      <w:rFonts w:hint="eastAsia" w:eastAsiaTheme="minorEastAsia"/>
                      <w:b w:val="0"/>
                      <w:bCs/>
                      <w:color w:val="auto"/>
                      <w:szCs w:val="21"/>
                      <w:lang w:eastAsia="zh-CN"/>
                    </w:rPr>
                  </w:pPr>
                  <w:r>
                    <w:rPr>
                      <w:rFonts w:eastAsiaTheme="minorEastAsia"/>
                      <w:b w:val="0"/>
                      <w:color w:val="auto"/>
                      <w:szCs w:val="21"/>
                    </w:rPr>
                    <w:t>5</w:t>
                  </w:r>
                  <w:r>
                    <w:rPr>
                      <w:rFonts w:hint="eastAsia" w:eastAsiaTheme="minorEastAsia"/>
                      <w:b w:val="0"/>
                      <w:color w:val="auto"/>
                      <w:szCs w:val="21"/>
                      <w:lang w:val="en-US" w:eastAsia="zh-CN"/>
                    </w:rPr>
                    <w:t>t</w:t>
                  </w:r>
                </w:p>
              </w:tc>
              <w:tc>
                <w:tcPr>
                  <w:tcW w:w="1035" w:type="dxa"/>
                  <w:tcBorders>
                    <w:tl2br w:val="nil"/>
                    <w:tr2bl w:val="nil"/>
                  </w:tcBorders>
                  <w:vAlign w:val="center"/>
                </w:tcPr>
                <w:p>
                  <w:pPr>
                    <w:pStyle w:val="59"/>
                    <w:rPr>
                      <w:rFonts w:eastAsiaTheme="minorEastAsia"/>
                      <w:b w:val="0"/>
                      <w:bCs/>
                      <w:color w:val="auto"/>
                      <w:szCs w:val="21"/>
                    </w:rPr>
                  </w:pPr>
                  <w:r>
                    <w:rPr>
                      <w:rFonts w:eastAsiaTheme="minorEastAsia"/>
                      <w:b w:val="0"/>
                      <w:bCs/>
                      <w:color w:val="auto"/>
                      <w:szCs w:val="21"/>
                    </w:rPr>
                    <w:t>个</w:t>
                  </w:r>
                </w:p>
              </w:tc>
              <w:tc>
                <w:tcPr>
                  <w:tcW w:w="750" w:type="dxa"/>
                  <w:gridSpan w:val="2"/>
                  <w:tcBorders>
                    <w:tl2br w:val="nil"/>
                    <w:tr2bl w:val="nil"/>
                  </w:tcBorders>
                  <w:vAlign w:val="center"/>
                </w:tcPr>
                <w:p>
                  <w:pPr>
                    <w:pStyle w:val="59"/>
                    <w:rPr>
                      <w:rFonts w:hint="eastAsia" w:eastAsiaTheme="minorEastAsia"/>
                      <w:b w:val="0"/>
                      <w:bCs/>
                      <w:color w:val="auto"/>
                      <w:szCs w:val="21"/>
                      <w:lang w:eastAsia="zh-CN"/>
                    </w:rPr>
                  </w:pPr>
                  <w:r>
                    <w:rPr>
                      <w:rFonts w:hint="eastAsia" w:eastAsiaTheme="minorEastAsia"/>
                      <w:b w:val="0"/>
                      <w:bCs/>
                      <w:color w:val="auto"/>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gridSpan w:val="2"/>
                  <w:tcBorders>
                    <w:tl2br w:val="nil"/>
                    <w:tr2bl w:val="nil"/>
                  </w:tcBorders>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6</w:t>
                  </w:r>
                </w:p>
              </w:tc>
              <w:tc>
                <w:tcPr>
                  <w:tcW w:w="1722" w:type="dxa"/>
                  <w:vMerge w:val="continue"/>
                  <w:tcBorders>
                    <w:tl2br w:val="nil"/>
                    <w:tr2bl w:val="nil"/>
                  </w:tcBorders>
                  <w:vAlign w:val="center"/>
                </w:tcPr>
                <w:p>
                  <w:pPr>
                    <w:jc w:val="center"/>
                    <w:rPr>
                      <w:rFonts w:eastAsiaTheme="minorEastAsia"/>
                      <w:color w:val="auto"/>
                      <w:szCs w:val="21"/>
                    </w:rPr>
                  </w:pPr>
                </w:p>
              </w:tc>
              <w:tc>
                <w:tcPr>
                  <w:tcW w:w="1546" w:type="dxa"/>
                  <w:tcBorders>
                    <w:tl2br w:val="nil"/>
                    <w:tr2bl w:val="nil"/>
                  </w:tcBorders>
                  <w:vAlign w:val="center"/>
                </w:tcPr>
                <w:p>
                  <w:pPr>
                    <w:pStyle w:val="59"/>
                    <w:rPr>
                      <w:rFonts w:eastAsiaTheme="minorEastAsia"/>
                      <w:b w:val="0"/>
                      <w:bCs/>
                      <w:color w:val="auto"/>
                      <w:szCs w:val="21"/>
                    </w:rPr>
                  </w:pPr>
                  <w:r>
                    <w:rPr>
                      <w:rFonts w:eastAsiaTheme="minorEastAsia"/>
                      <w:b w:val="0"/>
                      <w:color w:val="auto"/>
                      <w:szCs w:val="21"/>
                    </w:rPr>
                    <w:t>引气剂罐</w:t>
                  </w:r>
                </w:p>
              </w:tc>
              <w:tc>
                <w:tcPr>
                  <w:tcW w:w="2415" w:type="dxa"/>
                  <w:tcBorders>
                    <w:tl2br w:val="nil"/>
                    <w:tr2bl w:val="nil"/>
                  </w:tcBorders>
                  <w:vAlign w:val="center"/>
                </w:tcPr>
                <w:p>
                  <w:pPr>
                    <w:pStyle w:val="59"/>
                    <w:rPr>
                      <w:rFonts w:hint="eastAsia" w:eastAsiaTheme="minorEastAsia"/>
                      <w:b w:val="0"/>
                      <w:bCs/>
                      <w:color w:val="auto"/>
                      <w:szCs w:val="21"/>
                      <w:lang w:eastAsia="zh-CN"/>
                    </w:rPr>
                  </w:pPr>
                  <w:r>
                    <w:rPr>
                      <w:rFonts w:hint="eastAsia" w:eastAsiaTheme="minorEastAsia"/>
                      <w:b w:val="0"/>
                      <w:color w:val="auto"/>
                      <w:kern w:val="0"/>
                      <w:szCs w:val="21"/>
                      <w:lang w:val="en-US" w:eastAsia="zh-CN"/>
                    </w:rPr>
                    <w:t>3t</w:t>
                  </w:r>
                </w:p>
              </w:tc>
              <w:tc>
                <w:tcPr>
                  <w:tcW w:w="1035" w:type="dxa"/>
                  <w:tcBorders>
                    <w:tl2br w:val="nil"/>
                    <w:tr2bl w:val="nil"/>
                  </w:tcBorders>
                  <w:vAlign w:val="center"/>
                </w:tcPr>
                <w:p>
                  <w:pPr>
                    <w:pStyle w:val="59"/>
                    <w:rPr>
                      <w:rFonts w:eastAsiaTheme="minorEastAsia"/>
                      <w:b w:val="0"/>
                      <w:bCs/>
                      <w:color w:val="auto"/>
                      <w:szCs w:val="21"/>
                    </w:rPr>
                  </w:pPr>
                  <w:r>
                    <w:rPr>
                      <w:rFonts w:eastAsiaTheme="minorEastAsia"/>
                      <w:b w:val="0"/>
                      <w:bCs/>
                      <w:color w:val="auto"/>
                      <w:szCs w:val="21"/>
                    </w:rPr>
                    <w:t>个</w:t>
                  </w:r>
                </w:p>
              </w:tc>
              <w:tc>
                <w:tcPr>
                  <w:tcW w:w="750" w:type="dxa"/>
                  <w:gridSpan w:val="2"/>
                  <w:tcBorders>
                    <w:tl2br w:val="nil"/>
                    <w:tr2bl w:val="nil"/>
                  </w:tcBorders>
                  <w:vAlign w:val="center"/>
                </w:tcPr>
                <w:p>
                  <w:pPr>
                    <w:pStyle w:val="59"/>
                    <w:rPr>
                      <w:rFonts w:hint="eastAsia" w:eastAsiaTheme="minorEastAsia"/>
                      <w:b w:val="0"/>
                      <w:bCs/>
                      <w:color w:val="auto"/>
                      <w:szCs w:val="21"/>
                      <w:lang w:eastAsia="zh-CN"/>
                    </w:rPr>
                  </w:pPr>
                  <w:r>
                    <w:rPr>
                      <w:rFonts w:hint="eastAsia" w:eastAsiaTheme="minorEastAsia"/>
                      <w:b w:val="0"/>
                      <w:bCs/>
                      <w:color w:val="auto"/>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gridSpan w:val="2"/>
                  <w:tcBorders>
                    <w:tl2br w:val="nil"/>
                    <w:tr2bl w:val="nil"/>
                  </w:tcBorders>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7</w:t>
                  </w:r>
                </w:p>
              </w:tc>
              <w:tc>
                <w:tcPr>
                  <w:tcW w:w="1722" w:type="dxa"/>
                  <w:vMerge w:val="continue"/>
                  <w:tcBorders>
                    <w:tl2br w:val="nil"/>
                    <w:tr2bl w:val="nil"/>
                  </w:tcBorders>
                  <w:vAlign w:val="center"/>
                </w:tcPr>
                <w:p>
                  <w:pPr>
                    <w:jc w:val="center"/>
                    <w:rPr>
                      <w:rFonts w:eastAsiaTheme="minorEastAsia"/>
                      <w:color w:val="auto"/>
                      <w:szCs w:val="21"/>
                    </w:rPr>
                  </w:pPr>
                </w:p>
              </w:tc>
              <w:tc>
                <w:tcPr>
                  <w:tcW w:w="1546" w:type="dxa"/>
                  <w:tcBorders>
                    <w:tl2br w:val="nil"/>
                    <w:tr2bl w:val="nil"/>
                  </w:tcBorders>
                  <w:vAlign w:val="center"/>
                </w:tcPr>
                <w:p>
                  <w:pPr>
                    <w:pStyle w:val="59"/>
                    <w:rPr>
                      <w:rFonts w:hint="eastAsia" w:eastAsiaTheme="minorEastAsia"/>
                      <w:b w:val="0"/>
                      <w:bCs/>
                      <w:color w:val="auto"/>
                      <w:szCs w:val="21"/>
                      <w:lang w:eastAsia="zh-CN"/>
                    </w:rPr>
                  </w:pPr>
                  <w:r>
                    <w:rPr>
                      <w:rFonts w:hint="eastAsia" w:eastAsiaTheme="minorEastAsia"/>
                      <w:b w:val="0"/>
                      <w:color w:val="auto"/>
                      <w:szCs w:val="21"/>
                      <w:lang w:eastAsia="zh-CN"/>
                    </w:rPr>
                    <w:t>储水箱</w:t>
                  </w:r>
                </w:p>
              </w:tc>
              <w:tc>
                <w:tcPr>
                  <w:tcW w:w="2415" w:type="dxa"/>
                  <w:tcBorders>
                    <w:tl2br w:val="nil"/>
                    <w:tr2bl w:val="nil"/>
                  </w:tcBorders>
                  <w:vAlign w:val="center"/>
                </w:tcPr>
                <w:p>
                  <w:pPr>
                    <w:pStyle w:val="59"/>
                    <w:rPr>
                      <w:rFonts w:eastAsiaTheme="minorEastAsia"/>
                      <w:b w:val="0"/>
                      <w:bCs/>
                      <w:color w:val="auto"/>
                      <w:szCs w:val="21"/>
                    </w:rPr>
                  </w:pPr>
                  <w:r>
                    <w:rPr>
                      <w:rFonts w:hint="eastAsia" w:eastAsiaTheme="minorEastAsia"/>
                      <w:b w:val="0"/>
                      <w:color w:val="auto"/>
                      <w:szCs w:val="21"/>
                      <w:lang w:val="en-US" w:eastAsia="zh-CN"/>
                    </w:rPr>
                    <w:t>20</w:t>
                  </w:r>
                  <w:r>
                    <w:rPr>
                      <w:rFonts w:eastAsiaTheme="minorEastAsia"/>
                      <w:b w:val="0"/>
                      <w:color w:val="auto"/>
                      <w:szCs w:val="21"/>
                    </w:rPr>
                    <w:t>m</w:t>
                  </w:r>
                  <w:r>
                    <w:rPr>
                      <w:rFonts w:eastAsiaTheme="minorEastAsia"/>
                      <w:b w:val="0"/>
                      <w:color w:val="auto"/>
                      <w:szCs w:val="21"/>
                      <w:vertAlign w:val="superscript"/>
                    </w:rPr>
                    <w:t>3</w:t>
                  </w:r>
                </w:p>
              </w:tc>
              <w:tc>
                <w:tcPr>
                  <w:tcW w:w="1035" w:type="dxa"/>
                  <w:tcBorders>
                    <w:tl2br w:val="nil"/>
                    <w:tr2bl w:val="nil"/>
                  </w:tcBorders>
                  <w:vAlign w:val="center"/>
                </w:tcPr>
                <w:p>
                  <w:pPr>
                    <w:pStyle w:val="59"/>
                    <w:rPr>
                      <w:rFonts w:eastAsiaTheme="minorEastAsia"/>
                      <w:b w:val="0"/>
                      <w:bCs/>
                      <w:color w:val="auto"/>
                      <w:szCs w:val="21"/>
                    </w:rPr>
                  </w:pPr>
                  <w:r>
                    <w:rPr>
                      <w:rFonts w:eastAsiaTheme="minorEastAsia"/>
                      <w:b w:val="0"/>
                      <w:bCs/>
                      <w:color w:val="auto"/>
                      <w:szCs w:val="21"/>
                    </w:rPr>
                    <w:t>个</w:t>
                  </w:r>
                </w:p>
              </w:tc>
              <w:tc>
                <w:tcPr>
                  <w:tcW w:w="750" w:type="dxa"/>
                  <w:gridSpan w:val="2"/>
                  <w:tcBorders>
                    <w:tl2br w:val="nil"/>
                    <w:tr2bl w:val="nil"/>
                  </w:tcBorders>
                  <w:vAlign w:val="center"/>
                </w:tcPr>
                <w:p>
                  <w:pPr>
                    <w:pStyle w:val="59"/>
                    <w:rPr>
                      <w:rFonts w:eastAsiaTheme="minorEastAsia"/>
                      <w:b w:val="0"/>
                      <w:bCs/>
                      <w:color w:val="auto"/>
                      <w:szCs w:val="21"/>
                    </w:rPr>
                  </w:pPr>
                  <w:r>
                    <w:rPr>
                      <w:rFonts w:eastAsiaTheme="minorEastAsia"/>
                      <w:b w:val="0"/>
                      <w:bCs/>
                      <w:color w:val="auto"/>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gridSpan w:val="2"/>
                  <w:tcBorders>
                    <w:tl2br w:val="nil"/>
                    <w:tr2bl w:val="nil"/>
                  </w:tcBorders>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8</w:t>
                  </w:r>
                </w:p>
              </w:tc>
              <w:tc>
                <w:tcPr>
                  <w:tcW w:w="1722" w:type="dxa"/>
                  <w:tcBorders>
                    <w:tl2br w:val="nil"/>
                    <w:tr2bl w:val="nil"/>
                  </w:tcBorders>
                  <w:vAlign w:val="center"/>
                </w:tcPr>
                <w:p>
                  <w:pPr>
                    <w:jc w:val="center"/>
                    <w:rPr>
                      <w:rFonts w:eastAsiaTheme="minorEastAsia"/>
                      <w:color w:val="auto"/>
                      <w:szCs w:val="21"/>
                    </w:rPr>
                  </w:pPr>
                  <w:r>
                    <w:rPr>
                      <w:rFonts w:hint="eastAsia" w:eastAsiaTheme="minorEastAsia"/>
                      <w:color w:val="auto"/>
                      <w:szCs w:val="21"/>
                    </w:rPr>
                    <w:t>提升系统</w:t>
                  </w:r>
                </w:p>
              </w:tc>
              <w:tc>
                <w:tcPr>
                  <w:tcW w:w="1546" w:type="dxa"/>
                  <w:tcBorders>
                    <w:tl2br w:val="nil"/>
                    <w:tr2bl w:val="nil"/>
                  </w:tcBorders>
                  <w:vAlign w:val="center"/>
                </w:tcPr>
                <w:p>
                  <w:pPr>
                    <w:pStyle w:val="59"/>
                    <w:rPr>
                      <w:rFonts w:eastAsiaTheme="minorEastAsia"/>
                      <w:b w:val="0"/>
                      <w:color w:val="auto"/>
                      <w:szCs w:val="21"/>
                    </w:rPr>
                  </w:pPr>
                  <w:r>
                    <w:rPr>
                      <w:rFonts w:hint="eastAsia" w:eastAsiaTheme="minorEastAsia"/>
                      <w:b w:val="0"/>
                      <w:color w:val="auto"/>
                      <w:szCs w:val="21"/>
                    </w:rPr>
                    <w:t>提升机</w:t>
                  </w:r>
                </w:p>
              </w:tc>
              <w:tc>
                <w:tcPr>
                  <w:tcW w:w="2415" w:type="dxa"/>
                  <w:tcBorders>
                    <w:tl2br w:val="nil"/>
                    <w:tr2bl w:val="nil"/>
                  </w:tcBorders>
                  <w:vAlign w:val="center"/>
                </w:tcPr>
                <w:p>
                  <w:pPr>
                    <w:pStyle w:val="59"/>
                    <w:rPr>
                      <w:rFonts w:eastAsiaTheme="minorEastAsia"/>
                      <w:b w:val="0"/>
                      <w:color w:val="auto"/>
                      <w:szCs w:val="21"/>
                    </w:rPr>
                  </w:pPr>
                  <w:r>
                    <w:rPr>
                      <w:rFonts w:hint="eastAsia" w:eastAsiaTheme="minorEastAsia"/>
                      <w:b w:val="0"/>
                      <w:color w:val="auto"/>
                      <w:szCs w:val="21"/>
                    </w:rPr>
                    <w:t>/</w:t>
                  </w:r>
                </w:p>
              </w:tc>
              <w:tc>
                <w:tcPr>
                  <w:tcW w:w="1035" w:type="dxa"/>
                  <w:tcBorders>
                    <w:tl2br w:val="nil"/>
                    <w:tr2bl w:val="nil"/>
                  </w:tcBorders>
                  <w:vAlign w:val="center"/>
                </w:tcPr>
                <w:p>
                  <w:pPr>
                    <w:pStyle w:val="59"/>
                    <w:rPr>
                      <w:rFonts w:eastAsiaTheme="minorEastAsia"/>
                      <w:b w:val="0"/>
                      <w:bCs/>
                      <w:color w:val="auto"/>
                      <w:szCs w:val="21"/>
                    </w:rPr>
                  </w:pPr>
                  <w:r>
                    <w:rPr>
                      <w:rFonts w:hint="eastAsia" w:eastAsiaTheme="minorEastAsia"/>
                      <w:b w:val="0"/>
                      <w:bCs/>
                      <w:color w:val="auto"/>
                      <w:szCs w:val="21"/>
                    </w:rPr>
                    <w:t>个</w:t>
                  </w:r>
                </w:p>
              </w:tc>
              <w:tc>
                <w:tcPr>
                  <w:tcW w:w="750" w:type="dxa"/>
                  <w:gridSpan w:val="2"/>
                  <w:tcBorders>
                    <w:tl2br w:val="nil"/>
                    <w:tr2bl w:val="nil"/>
                  </w:tcBorders>
                  <w:vAlign w:val="center"/>
                </w:tcPr>
                <w:p>
                  <w:pPr>
                    <w:pStyle w:val="59"/>
                    <w:rPr>
                      <w:rFonts w:hint="eastAsia" w:eastAsiaTheme="minorEastAsia"/>
                      <w:b w:val="0"/>
                      <w:bCs/>
                      <w:color w:val="auto"/>
                      <w:szCs w:val="21"/>
                      <w:lang w:eastAsia="zh-CN"/>
                    </w:rPr>
                  </w:pPr>
                  <w:r>
                    <w:rPr>
                      <w:rFonts w:hint="eastAsia" w:eastAsiaTheme="minorEastAsia"/>
                      <w:b w:val="0"/>
                      <w:bCs/>
                      <w:color w:val="auto"/>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gridSpan w:val="2"/>
                  <w:tcBorders>
                    <w:tl2br w:val="nil"/>
                    <w:tr2bl w:val="nil"/>
                  </w:tcBorders>
                  <w:vAlign w:val="center"/>
                </w:tcPr>
                <w:p>
                  <w:pPr>
                    <w:jc w:val="center"/>
                    <w:rPr>
                      <w:rFonts w:hint="eastAsia" w:eastAsiaTheme="minorEastAsia"/>
                      <w:color w:val="auto"/>
                      <w:szCs w:val="21"/>
                      <w:lang w:eastAsia="zh-CN"/>
                    </w:rPr>
                  </w:pPr>
                  <w:r>
                    <w:rPr>
                      <w:rFonts w:hint="eastAsia" w:eastAsiaTheme="minorEastAsia"/>
                      <w:color w:val="auto"/>
                      <w:szCs w:val="21"/>
                      <w:lang w:val="en-US" w:eastAsia="zh-CN"/>
                    </w:rPr>
                    <w:t>9</w:t>
                  </w:r>
                </w:p>
              </w:tc>
              <w:tc>
                <w:tcPr>
                  <w:tcW w:w="1722" w:type="dxa"/>
                  <w:vMerge w:val="restart"/>
                  <w:tcBorders>
                    <w:tl2br w:val="nil"/>
                    <w:tr2bl w:val="nil"/>
                  </w:tcBorders>
                  <w:vAlign w:val="center"/>
                </w:tcPr>
                <w:p>
                  <w:pPr>
                    <w:pStyle w:val="59"/>
                    <w:rPr>
                      <w:rFonts w:eastAsiaTheme="minorEastAsia"/>
                      <w:color w:val="auto"/>
                      <w:szCs w:val="21"/>
                    </w:rPr>
                  </w:pPr>
                  <w:r>
                    <w:rPr>
                      <w:rFonts w:eastAsiaTheme="minorEastAsia"/>
                      <w:b w:val="0"/>
                      <w:bCs/>
                      <w:color w:val="auto"/>
                      <w:szCs w:val="21"/>
                    </w:rPr>
                    <w:t>称重计量系统</w:t>
                  </w:r>
                </w:p>
              </w:tc>
              <w:tc>
                <w:tcPr>
                  <w:tcW w:w="1546" w:type="dxa"/>
                  <w:tcBorders>
                    <w:tl2br w:val="nil"/>
                    <w:tr2bl w:val="nil"/>
                  </w:tcBorders>
                  <w:vAlign w:val="center"/>
                </w:tcPr>
                <w:p>
                  <w:pPr>
                    <w:pStyle w:val="59"/>
                    <w:rPr>
                      <w:rFonts w:eastAsiaTheme="minorEastAsia"/>
                      <w:b w:val="0"/>
                      <w:bCs/>
                      <w:color w:val="auto"/>
                      <w:szCs w:val="21"/>
                    </w:rPr>
                  </w:pPr>
                  <w:r>
                    <w:rPr>
                      <w:rFonts w:eastAsiaTheme="minorEastAsia"/>
                      <w:b w:val="0"/>
                      <w:bCs/>
                      <w:color w:val="auto"/>
                      <w:szCs w:val="21"/>
                    </w:rPr>
                    <w:t>砂石称重计量装置</w:t>
                  </w:r>
                </w:p>
              </w:tc>
              <w:tc>
                <w:tcPr>
                  <w:tcW w:w="2415"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2m</w:t>
                  </w:r>
                  <w:r>
                    <w:rPr>
                      <w:rFonts w:eastAsiaTheme="minorEastAsia"/>
                      <w:bCs/>
                      <w:color w:val="auto"/>
                      <w:szCs w:val="21"/>
                      <w:vertAlign w:val="superscript"/>
                    </w:rPr>
                    <w:t>3</w:t>
                  </w:r>
                </w:p>
              </w:tc>
              <w:tc>
                <w:tcPr>
                  <w:tcW w:w="1035"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台</w:t>
                  </w:r>
                </w:p>
              </w:tc>
              <w:tc>
                <w:tcPr>
                  <w:tcW w:w="750" w:type="dxa"/>
                  <w:gridSpan w:val="2"/>
                  <w:tcBorders>
                    <w:tl2br w:val="nil"/>
                    <w:tr2bl w:val="nil"/>
                  </w:tcBorders>
                  <w:vAlign w:val="center"/>
                </w:tcPr>
                <w:p>
                  <w:pPr>
                    <w:jc w:val="center"/>
                    <w:rPr>
                      <w:rFonts w:hint="eastAsia" w:eastAsiaTheme="minorEastAsia"/>
                      <w:bCs/>
                      <w:color w:val="auto"/>
                      <w:szCs w:val="21"/>
                      <w:lang w:eastAsia="zh-CN"/>
                    </w:rPr>
                  </w:pPr>
                  <w:r>
                    <w:rPr>
                      <w:rFonts w:hint="eastAsia" w:eastAsiaTheme="minorEastAsia"/>
                      <w:bCs/>
                      <w:color w:val="auto"/>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gridSpan w:val="2"/>
                  <w:tcBorders>
                    <w:tl2br w:val="nil"/>
                    <w:tr2bl w:val="nil"/>
                  </w:tcBorders>
                  <w:vAlign w:val="center"/>
                </w:tcPr>
                <w:p>
                  <w:pPr>
                    <w:jc w:val="center"/>
                    <w:rPr>
                      <w:rFonts w:hint="eastAsia" w:eastAsiaTheme="minorEastAsia"/>
                      <w:color w:val="auto"/>
                      <w:szCs w:val="21"/>
                      <w:lang w:val="en-US" w:eastAsia="zh-CN"/>
                    </w:rPr>
                  </w:pPr>
                  <w:r>
                    <w:rPr>
                      <w:rFonts w:eastAsiaTheme="minorEastAsia"/>
                      <w:color w:val="auto"/>
                      <w:szCs w:val="21"/>
                    </w:rPr>
                    <w:t>1</w:t>
                  </w:r>
                  <w:r>
                    <w:rPr>
                      <w:rFonts w:hint="eastAsia" w:eastAsiaTheme="minorEastAsia"/>
                      <w:color w:val="auto"/>
                      <w:szCs w:val="21"/>
                      <w:lang w:val="en-US" w:eastAsia="zh-CN"/>
                    </w:rPr>
                    <w:t>0</w:t>
                  </w:r>
                </w:p>
              </w:tc>
              <w:tc>
                <w:tcPr>
                  <w:tcW w:w="1722" w:type="dxa"/>
                  <w:vMerge w:val="continue"/>
                  <w:tcBorders>
                    <w:tl2br w:val="nil"/>
                    <w:tr2bl w:val="nil"/>
                  </w:tcBorders>
                  <w:vAlign w:val="center"/>
                </w:tcPr>
                <w:p>
                  <w:pPr>
                    <w:jc w:val="center"/>
                    <w:rPr>
                      <w:rFonts w:eastAsiaTheme="minorEastAsia"/>
                      <w:color w:val="auto"/>
                      <w:szCs w:val="21"/>
                    </w:rPr>
                  </w:pPr>
                </w:p>
              </w:tc>
              <w:tc>
                <w:tcPr>
                  <w:tcW w:w="1546" w:type="dxa"/>
                  <w:tcBorders>
                    <w:tl2br w:val="nil"/>
                    <w:tr2bl w:val="nil"/>
                  </w:tcBorders>
                  <w:vAlign w:val="center"/>
                </w:tcPr>
                <w:p>
                  <w:pPr>
                    <w:pStyle w:val="59"/>
                    <w:rPr>
                      <w:rFonts w:eastAsiaTheme="minorEastAsia"/>
                      <w:b w:val="0"/>
                      <w:bCs/>
                      <w:color w:val="auto"/>
                      <w:szCs w:val="21"/>
                    </w:rPr>
                  </w:pPr>
                  <w:r>
                    <w:rPr>
                      <w:rFonts w:eastAsiaTheme="minorEastAsia"/>
                      <w:b w:val="0"/>
                      <w:bCs/>
                      <w:color w:val="auto"/>
                      <w:szCs w:val="21"/>
                    </w:rPr>
                    <w:t>水泥计量斗</w:t>
                  </w:r>
                </w:p>
              </w:tc>
              <w:tc>
                <w:tcPr>
                  <w:tcW w:w="2415" w:type="dxa"/>
                  <w:tcBorders>
                    <w:tl2br w:val="nil"/>
                    <w:tr2bl w:val="nil"/>
                  </w:tcBorders>
                  <w:vAlign w:val="center"/>
                </w:tcPr>
                <w:p>
                  <w:pPr>
                    <w:jc w:val="center"/>
                    <w:rPr>
                      <w:rFonts w:eastAsiaTheme="minorEastAsia"/>
                      <w:bCs/>
                      <w:color w:val="auto"/>
                      <w:szCs w:val="21"/>
                      <w:vertAlign w:val="superscript"/>
                    </w:rPr>
                  </w:pPr>
                  <w:r>
                    <w:rPr>
                      <w:rFonts w:eastAsiaTheme="minorEastAsia"/>
                      <w:bCs/>
                      <w:color w:val="auto"/>
                      <w:szCs w:val="21"/>
                    </w:rPr>
                    <w:t>0.6m</w:t>
                  </w:r>
                  <w:r>
                    <w:rPr>
                      <w:rFonts w:eastAsiaTheme="minorEastAsia"/>
                      <w:bCs/>
                      <w:color w:val="auto"/>
                      <w:szCs w:val="21"/>
                      <w:vertAlign w:val="superscript"/>
                    </w:rPr>
                    <w:t>3</w:t>
                  </w:r>
                </w:p>
              </w:tc>
              <w:tc>
                <w:tcPr>
                  <w:tcW w:w="1035"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台</w:t>
                  </w:r>
                </w:p>
              </w:tc>
              <w:tc>
                <w:tcPr>
                  <w:tcW w:w="750" w:type="dxa"/>
                  <w:gridSpan w:val="2"/>
                  <w:tcBorders>
                    <w:tl2br w:val="nil"/>
                    <w:tr2bl w:val="nil"/>
                  </w:tcBorders>
                  <w:vAlign w:val="center"/>
                </w:tcPr>
                <w:p>
                  <w:pPr>
                    <w:jc w:val="center"/>
                    <w:rPr>
                      <w:rFonts w:hint="eastAsia" w:eastAsiaTheme="minorEastAsia"/>
                      <w:bCs/>
                      <w:color w:val="auto"/>
                      <w:szCs w:val="21"/>
                      <w:lang w:eastAsia="zh-CN"/>
                    </w:rPr>
                  </w:pPr>
                  <w:r>
                    <w:rPr>
                      <w:rFonts w:hint="eastAsia" w:eastAsiaTheme="minorEastAsia"/>
                      <w:bCs/>
                      <w:color w:val="auto"/>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gridSpan w:val="2"/>
                  <w:tcBorders>
                    <w:tl2br w:val="nil"/>
                    <w:tr2bl w:val="nil"/>
                  </w:tcBorders>
                  <w:vAlign w:val="center"/>
                </w:tcPr>
                <w:p>
                  <w:pPr>
                    <w:jc w:val="center"/>
                    <w:rPr>
                      <w:rFonts w:hint="eastAsia" w:eastAsiaTheme="minorEastAsia"/>
                      <w:color w:val="auto"/>
                      <w:szCs w:val="21"/>
                      <w:lang w:val="en-US" w:eastAsia="zh-CN"/>
                    </w:rPr>
                  </w:pPr>
                  <w:r>
                    <w:rPr>
                      <w:rFonts w:eastAsiaTheme="minorEastAsia"/>
                      <w:color w:val="auto"/>
                      <w:szCs w:val="21"/>
                    </w:rPr>
                    <w:t>1</w:t>
                  </w:r>
                  <w:r>
                    <w:rPr>
                      <w:rFonts w:hint="eastAsia" w:eastAsiaTheme="minorEastAsia"/>
                      <w:color w:val="auto"/>
                      <w:szCs w:val="21"/>
                      <w:lang w:val="en-US" w:eastAsia="zh-CN"/>
                    </w:rPr>
                    <w:t>1</w:t>
                  </w:r>
                </w:p>
              </w:tc>
              <w:tc>
                <w:tcPr>
                  <w:tcW w:w="1722" w:type="dxa"/>
                  <w:vMerge w:val="continue"/>
                  <w:tcBorders>
                    <w:tl2br w:val="nil"/>
                    <w:tr2bl w:val="nil"/>
                  </w:tcBorders>
                  <w:vAlign w:val="center"/>
                </w:tcPr>
                <w:p>
                  <w:pPr>
                    <w:jc w:val="center"/>
                    <w:rPr>
                      <w:rFonts w:eastAsiaTheme="minorEastAsia"/>
                      <w:color w:val="auto"/>
                      <w:szCs w:val="21"/>
                    </w:rPr>
                  </w:pPr>
                </w:p>
              </w:tc>
              <w:tc>
                <w:tcPr>
                  <w:tcW w:w="1546"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水计量装置</w:t>
                  </w:r>
                </w:p>
              </w:tc>
              <w:tc>
                <w:tcPr>
                  <w:tcW w:w="2415"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32L</w:t>
                  </w:r>
                </w:p>
              </w:tc>
              <w:tc>
                <w:tcPr>
                  <w:tcW w:w="1035"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台</w:t>
                  </w:r>
                </w:p>
              </w:tc>
              <w:tc>
                <w:tcPr>
                  <w:tcW w:w="750" w:type="dxa"/>
                  <w:gridSpan w:val="2"/>
                  <w:tcBorders>
                    <w:tl2br w:val="nil"/>
                    <w:tr2bl w:val="nil"/>
                  </w:tcBorders>
                  <w:vAlign w:val="center"/>
                </w:tcPr>
                <w:p>
                  <w:pPr>
                    <w:jc w:val="center"/>
                    <w:rPr>
                      <w:rFonts w:eastAsiaTheme="minorEastAsia"/>
                      <w:bCs/>
                      <w:color w:val="auto"/>
                      <w:szCs w:val="21"/>
                    </w:rPr>
                  </w:pPr>
                  <w:r>
                    <w:rPr>
                      <w:rFonts w:hint="eastAsia" w:eastAsiaTheme="minorEastAsia"/>
                      <w:bCs/>
                      <w:color w:val="auto"/>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gridSpan w:val="2"/>
                  <w:tcBorders>
                    <w:tl2br w:val="nil"/>
                    <w:tr2bl w:val="nil"/>
                  </w:tcBorders>
                  <w:vAlign w:val="center"/>
                </w:tcPr>
                <w:p>
                  <w:pPr>
                    <w:jc w:val="center"/>
                    <w:rPr>
                      <w:rFonts w:hint="eastAsia" w:eastAsiaTheme="minorEastAsia"/>
                      <w:color w:val="auto"/>
                      <w:szCs w:val="21"/>
                      <w:lang w:val="en-US" w:eastAsia="zh-CN"/>
                    </w:rPr>
                  </w:pPr>
                  <w:r>
                    <w:rPr>
                      <w:rFonts w:eastAsiaTheme="minorEastAsia"/>
                      <w:color w:val="auto"/>
                      <w:szCs w:val="21"/>
                    </w:rPr>
                    <w:t>1</w:t>
                  </w:r>
                  <w:r>
                    <w:rPr>
                      <w:rFonts w:hint="eastAsia" w:eastAsiaTheme="minorEastAsia"/>
                      <w:color w:val="auto"/>
                      <w:szCs w:val="21"/>
                      <w:lang w:val="en-US" w:eastAsia="zh-CN"/>
                    </w:rPr>
                    <w:t>2</w:t>
                  </w:r>
                </w:p>
              </w:tc>
              <w:tc>
                <w:tcPr>
                  <w:tcW w:w="1722" w:type="dxa"/>
                  <w:tcBorders>
                    <w:tl2br w:val="nil"/>
                    <w:tr2bl w:val="nil"/>
                  </w:tcBorders>
                  <w:vAlign w:val="center"/>
                </w:tcPr>
                <w:p>
                  <w:pPr>
                    <w:pStyle w:val="59"/>
                    <w:rPr>
                      <w:rFonts w:eastAsiaTheme="minorEastAsia"/>
                      <w:b w:val="0"/>
                      <w:bCs/>
                      <w:color w:val="auto"/>
                      <w:szCs w:val="21"/>
                    </w:rPr>
                  </w:pPr>
                  <w:r>
                    <w:rPr>
                      <w:rFonts w:eastAsiaTheme="minorEastAsia"/>
                      <w:b w:val="0"/>
                      <w:bCs/>
                      <w:color w:val="auto"/>
                      <w:szCs w:val="21"/>
                    </w:rPr>
                    <w:t>搅拌系统</w:t>
                  </w:r>
                </w:p>
              </w:tc>
              <w:tc>
                <w:tcPr>
                  <w:tcW w:w="1546" w:type="dxa"/>
                  <w:tcBorders>
                    <w:tl2br w:val="nil"/>
                    <w:tr2bl w:val="nil"/>
                  </w:tcBorders>
                  <w:vAlign w:val="center"/>
                </w:tcPr>
                <w:p>
                  <w:pPr>
                    <w:pStyle w:val="59"/>
                    <w:rPr>
                      <w:rFonts w:eastAsiaTheme="minorEastAsia"/>
                      <w:b w:val="0"/>
                      <w:bCs/>
                      <w:color w:val="auto"/>
                      <w:szCs w:val="21"/>
                    </w:rPr>
                  </w:pPr>
                  <w:r>
                    <w:rPr>
                      <w:rFonts w:eastAsiaTheme="minorEastAsia"/>
                      <w:b w:val="0"/>
                      <w:bCs/>
                      <w:color w:val="auto"/>
                      <w:szCs w:val="21"/>
                    </w:rPr>
                    <w:t>搅拌机</w:t>
                  </w:r>
                </w:p>
              </w:tc>
              <w:tc>
                <w:tcPr>
                  <w:tcW w:w="2415" w:type="dxa"/>
                  <w:tcBorders>
                    <w:tl2br w:val="nil"/>
                    <w:tr2bl w:val="nil"/>
                  </w:tcBorders>
                  <w:vAlign w:val="center"/>
                </w:tcPr>
                <w:p>
                  <w:pPr>
                    <w:pStyle w:val="59"/>
                    <w:rPr>
                      <w:rFonts w:hint="default" w:eastAsiaTheme="minorEastAsia"/>
                      <w:b w:val="0"/>
                      <w:bCs/>
                      <w:color w:val="auto"/>
                      <w:szCs w:val="21"/>
                      <w:lang w:val="en-US" w:eastAsia="zh-CN"/>
                    </w:rPr>
                  </w:pPr>
                  <w:r>
                    <w:rPr>
                      <w:rFonts w:hint="eastAsia" w:eastAsiaTheme="minorEastAsia"/>
                      <w:b w:val="0"/>
                      <w:bCs/>
                      <w:color w:val="auto"/>
                      <w:szCs w:val="21"/>
                      <w:lang w:val="en-US" w:eastAsia="zh-CN"/>
                    </w:rPr>
                    <w:t>JS1000</w:t>
                  </w:r>
                </w:p>
              </w:tc>
              <w:tc>
                <w:tcPr>
                  <w:tcW w:w="1035" w:type="dxa"/>
                  <w:tcBorders>
                    <w:tl2br w:val="nil"/>
                    <w:tr2bl w:val="nil"/>
                  </w:tcBorders>
                  <w:vAlign w:val="center"/>
                </w:tcPr>
                <w:p>
                  <w:pPr>
                    <w:pStyle w:val="59"/>
                    <w:rPr>
                      <w:rFonts w:eastAsiaTheme="minorEastAsia"/>
                      <w:b w:val="0"/>
                      <w:bCs/>
                      <w:color w:val="auto"/>
                      <w:szCs w:val="21"/>
                    </w:rPr>
                  </w:pPr>
                  <w:r>
                    <w:rPr>
                      <w:rFonts w:eastAsiaTheme="minorEastAsia"/>
                      <w:b w:val="0"/>
                      <w:bCs/>
                      <w:color w:val="auto"/>
                      <w:szCs w:val="21"/>
                    </w:rPr>
                    <w:t>个</w:t>
                  </w:r>
                </w:p>
              </w:tc>
              <w:tc>
                <w:tcPr>
                  <w:tcW w:w="750" w:type="dxa"/>
                  <w:gridSpan w:val="2"/>
                  <w:tcBorders>
                    <w:tl2br w:val="nil"/>
                    <w:tr2bl w:val="nil"/>
                  </w:tcBorders>
                  <w:vAlign w:val="center"/>
                </w:tcPr>
                <w:p>
                  <w:pPr>
                    <w:pStyle w:val="59"/>
                    <w:rPr>
                      <w:rFonts w:hint="eastAsia" w:eastAsiaTheme="minorEastAsia"/>
                      <w:b w:val="0"/>
                      <w:bCs/>
                      <w:color w:val="auto"/>
                      <w:szCs w:val="21"/>
                      <w:lang w:eastAsia="zh-CN"/>
                    </w:rPr>
                  </w:pPr>
                  <w:r>
                    <w:rPr>
                      <w:rFonts w:hint="eastAsia" w:eastAsiaTheme="minorEastAsia"/>
                      <w:b w:val="0"/>
                      <w:bCs/>
                      <w:color w:val="auto"/>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gridSpan w:val="2"/>
                  <w:tcBorders>
                    <w:tl2br w:val="nil"/>
                    <w:tr2bl w:val="nil"/>
                  </w:tcBorders>
                  <w:vAlign w:val="center"/>
                </w:tcPr>
                <w:p>
                  <w:pPr>
                    <w:jc w:val="center"/>
                    <w:rPr>
                      <w:rFonts w:hint="eastAsia" w:eastAsiaTheme="minorEastAsia"/>
                      <w:color w:val="auto"/>
                      <w:szCs w:val="21"/>
                      <w:lang w:val="en-US" w:eastAsia="zh-CN"/>
                    </w:rPr>
                  </w:pPr>
                  <w:r>
                    <w:rPr>
                      <w:rFonts w:hint="eastAsia" w:eastAsiaTheme="minorEastAsia"/>
                      <w:color w:val="auto"/>
                      <w:szCs w:val="21"/>
                    </w:rPr>
                    <w:t>1</w:t>
                  </w:r>
                  <w:r>
                    <w:rPr>
                      <w:rFonts w:hint="eastAsia" w:eastAsiaTheme="minorEastAsia"/>
                      <w:color w:val="auto"/>
                      <w:szCs w:val="21"/>
                      <w:lang w:val="en-US" w:eastAsia="zh-CN"/>
                    </w:rPr>
                    <w:t>3</w:t>
                  </w:r>
                </w:p>
              </w:tc>
              <w:tc>
                <w:tcPr>
                  <w:tcW w:w="1722" w:type="dxa"/>
                  <w:vMerge w:val="restart"/>
                  <w:tcBorders>
                    <w:tl2br w:val="nil"/>
                    <w:tr2bl w:val="nil"/>
                  </w:tcBorders>
                  <w:vAlign w:val="center"/>
                </w:tcPr>
                <w:p>
                  <w:pPr>
                    <w:pStyle w:val="59"/>
                    <w:rPr>
                      <w:rFonts w:eastAsiaTheme="minorEastAsia"/>
                      <w:b w:val="0"/>
                      <w:bCs/>
                      <w:color w:val="auto"/>
                      <w:szCs w:val="21"/>
                    </w:rPr>
                  </w:pPr>
                  <w:r>
                    <w:rPr>
                      <w:rFonts w:eastAsiaTheme="minorEastAsia"/>
                      <w:b w:val="0"/>
                      <w:bCs/>
                      <w:color w:val="auto"/>
                      <w:szCs w:val="21"/>
                    </w:rPr>
                    <w:t>环保设施</w:t>
                  </w:r>
                </w:p>
              </w:tc>
              <w:tc>
                <w:tcPr>
                  <w:tcW w:w="1546" w:type="dxa"/>
                  <w:vMerge w:val="restart"/>
                  <w:tcBorders>
                    <w:tl2br w:val="nil"/>
                    <w:tr2bl w:val="nil"/>
                  </w:tcBorders>
                  <w:vAlign w:val="center"/>
                </w:tcPr>
                <w:p>
                  <w:pPr>
                    <w:pStyle w:val="59"/>
                    <w:rPr>
                      <w:rFonts w:eastAsiaTheme="minorEastAsia"/>
                      <w:b w:val="0"/>
                      <w:bCs/>
                      <w:color w:val="auto"/>
                      <w:szCs w:val="21"/>
                    </w:rPr>
                  </w:pPr>
                  <w:r>
                    <w:rPr>
                      <w:rFonts w:eastAsiaTheme="minorEastAsia"/>
                      <w:b w:val="0"/>
                      <w:bCs/>
                      <w:color w:val="auto"/>
                      <w:szCs w:val="21"/>
                    </w:rPr>
                    <w:t>除尘系统</w:t>
                  </w:r>
                </w:p>
              </w:tc>
              <w:tc>
                <w:tcPr>
                  <w:tcW w:w="2415" w:type="dxa"/>
                  <w:tcBorders>
                    <w:tl2br w:val="nil"/>
                    <w:tr2bl w:val="nil"/>
                  </w:tcBorders>
                  <w:vAlign w:val="center"/>
                </w:tcPr>
                <w:p>
                  <w:pPr>
                    <w:pStyle w:val="59"/>
                    <w:rPr>
                      <w:rFonts w:eastAsiaTheme="minorEastAsia"/>
                      <w:b w:val="0"/>
                      <w:color w:val="auto"/>
                      <w:szCs w:val="21"/>
                    </w:rPr>
                  </w:pPr>
                  <w:r>
                    <w:rPr>
                      <w:rFonts w:eastAsiaTheme="minorEastAsia"/>
                      <w:b w:val="0"/>
                      <w:color w:val="auto"/>
                      <w:szCs w:val="21"/>
                    </w:rPr>
                    <w:t>布袋除尘器（搅拌机配套）</w:t>
                  </w:r>
                </w:p>
              </w:tc>
              <w:tc>
                <w:tcPr>
                  <w:tcW w:w="1035" w:type="dxa"/>
                  <w:tcBorders>
                    <w:tl2br w:val="nil"/>
                    <w:tr2bl w:val="nil"/>
                  </w:tcBorders>
                  <w:vAlign w:val="center"/>
                </w:tcPr>
                <w:p>
                  <w:pPr>
                    <w:pStyle w:val="59"/>
                    <w:rPr>
                      <w:rFonts w:eastAsiaTheme="minorEastAsia"/>
                      <w:b w:val="0"/>
                      <w:bCs/>
                      <w:color w:val="auto"/>
                      <w:szCs w:val="21"/>
                    </w:rPr>
                  </w:pPr>
                  <w:r>
                    <w:rPr>
                      <w:rFonts w:eastAsiaTheme="minorEastAsia"/>
                      <w:b w:val="0"/>
                      <w:bCs/>
                      <w:color w:val="auto"/>
                      <w:szCs w:val="21"/>
                    </w:rPr>
                    <w:t>套</w:t>
                  </w:r>
                </w:p>
              </w:tc>
              <w:tc>
                <w:tcPr>
                  <w:tcW w:w="750" w:type="dxa"/>
                  <w:gridSpan w:val="2"/>
                  <w:tcBorders>
                    <w:tl2br w:val="nil"/>
                    <w:tr2bl w:val="nil"/>
                  </w:tcBorders>
                  <w:vAlign w:val="center"/>
                </w:tcPr>
                <w:p>
                  <w:pPr>
                    <w:pStyle w:val="59"/>
                    <w:rPr>
                      <w:rFonts w:hint="eastAsia" w:eastAsiaTheme="minorEastAsia"/>
                      <w:b w:val="0"/>
                      <w:bCs/>
                      <w:color w:val="auto"/>
                      <w:szCs w:val="21"/>
                      <w:lang w:eastAsia="zh-CN"/>
                    </w:rPr>
                  </w:pPr>
                  <w:r>
                    <w:rPr>
                      <w:rFonts w:hint="eastAsia" w:eastAsiaTheme="minorEastAsia"/>
                      <w:b w:val="0"/>
                      <w:bCs/>
                      <w:color w:val="auto"/>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gridSpan w:val="2"/>
                  <w:tcBorders>
                    <w:tl2br w:val="nil"/>
                    <w:tr2bl w:val="nil"/>
                  </w:tcBorders>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14</w:t>
                  </w:r>
                </w:p>
              </w:tc>
              <w:tc>
                <w:tcPr>
                  <w:tcW w:w="1722" w:type="dxa"/>
                  <w:vMerge w:val="continue"/>
                  <w:tcBorders>
                    <w:tl2br w:val="nil"/>
                    <w:tr2bl w:val="nil"/>
                  </w:tcBorders>
                  <w:vAlign w:val="center"/>
                </w:tcPr>
                <w:p>
                  <w:pPr>
                    <w:pStyle w:val="59"/>
                    <w:jc w:val="center"/>
                    <w:rPr>
                      <w:rFonts w:eastAsiaTheme="minorEastAsia"/>
                      <w:b w:val="0"/>
                      <w:bCs/>
                      <w:color w:val="auto"/>
                      <w:szCs w:val="21"/>
                    </w:rPr>
                  </w:pPr>
                </w:p>
              </w:tc>
              <w:tc>
                <w:tcPr>
                  <w:tcW w:w="1546" w:type="dxa"/>
                  <w:vMerge w:val="continue"/>
                  <w:tcBorders>
                    <w:tl2br w:val="nil"/>
                    <w:tr2bl w:val="nil"/>
                  </w:tcBorders>
                  <w:vAlign w:val="center"/>
                </w:tcPr>
                <w:p>
                  <w:pPr>
                    <w:pStyle w:val="59"/>
                    <w:jc w:val="center"/>
                    <w:rPr>
                      <w:rFonts w:eastAsiaTheme="minorEastAsia"/>
                      <w:b w:val="0"/>
                      <w:bCs/>
                      <w:color w:val="auto"/>
                      <w:szCs w:val="21"/>
                    </w:rPr>
                  </w:pPr>
                </w:p>
              </w:tc>
              <w:tc>
                <w:tcPr>
                  <w:tcW w:w="2415" w:type="dxa"/>
                  <w:tcBorders>
                    <w:tl2br w:val="nil"/>
                    <w:tr2bl w:val="nil"/>
                  </w:tcBorders>
                  <w:vAlign w:val="center"/>
                </w:tcPr>
                <w:p>
                  <w:pPr>
                    <w:pStyle w:val="59"/>
                    <w:jc w:val="center"/>
                    <w:rPr>
                      <w:rFonts w:eastAsiaTheme="minorEastAsia"/>
                      <w:b w:val="0"/>
                      <w:color w:val="auto"/>
                      <w:szCs w:val="21"/>
                    </w:rPr>
                  </w:pPr>
                  <w:r>
                    <w:rPr>
                      <w:rFonts w:eastAsiaTheme="minorEastAsia"/>
                      <w:b w:val="0"/>
                      <w:color w:val="auto"/>
                      <w:szCs w:val="21"/>
                    </w:rPr>
                    <w:t>布袋除尘器（</w:t>
                  </w:r>
                  <w:r>
                    <w:rPr>
                      <w:rFonts w:eastAsiaTheme="minorEastAsia"/>
                      <w:b w:val="0"/>
                      <w:bCs/>
                      <w:color w:val="auto"/>
                      <w:szCs w:val="21"/>
                    </w:rPr>
                    <w:t>水泥筒仓</w:t>
                  </w:r>
                  <w:r>
                    <w:rPr>
                      <w:rFonts w:eastAsiaTheme="minorEastAsia"/>
                      <w:b w:val="0"/>
                      <w:color w:val="auto"/>
                      <w:szCs w:val="21"/>
                    </w:rPr>
                    <w:t>配套）</w:t>
                  </w:r>
                </w:p>
              </w:tc>
              <w:tc>
                <w:tcPr>
                  <w:tcW w:w="1035" w:type="dxa"/>
                  <w:tcBorders>
                    <w:tl2br w:val="nil"/>
                    <w:tr2bl w:val="nil"/>
                  </w:tcBorders>
                  <w:vAlign w:val="center"/>
                </w:tcPr>
                <w:p>
                  <w:pPr>
                    <w:pStyle w:val="59"/>
                    <w:rPr>
                      <w:rFonts w:eastAsiaTheme="minorEastAsia"/>
                      <w:b w:val="0"/>
                      <w:bCs/>
                      <w:color w:val="auto"/>
                      <w:szCs w:val="21"/>
                    </w:rPr>
                  </w:pPr>
                  <w:r>
                    <w:rPr>
                      <w:rFonts w:eastAsiaTheme="minorEastAsia"/>
                      <w:b w:val="0"/>
                      <w:bCs/>
                      <w:color w:val="auto"/>
                      <w:szCs w:val="21"/>
                    </w:rPr>
                    <w:t>套</w:t>
                  </w:r>
                </w:p>
              </w:tc>
              <w:tc>
                <w:tcPr>
                  <w:tcW w:w="750" w:type="dxa"/>
                  <w:gridSpan w:val="2"/>
                  <w:tcBorders>
                    <w:tl2br w:val="nil"/>
                    <w:tr2bl w:val="nil"/>
                  </w:tcBorders>
                  <w:vAlign w:val="center"/>
                </w:tcPr>
                <w:p>
                  <w:pPr>
                    <w:pStyle w:val="59"/>
                    <w:rPr>
                      <w:rFonts w:hint="eastAsia" w:eastAsiaTheme="minorEastAsia"/>
                      <w:b w:val="0"/>
                      <w:bCs/>
                      <w:color w:val="auto"/>
                      <w:szCs w:val="21"/>
                      <w:lang w:eastAsia="zh-CN"/>
                    </w:rPr>
                  </w:pPr>
                  <w:r>
                    <w:rPr>
                      <w:rFonts w:hint="eastAsia" w:eastAsiaTheme="minorEastAsia"/>
                      <w:b w:val="0"/>
                      <w:bCs/>
                      <w:color w:val="auto"/>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gridSpan w:val="2"/>
                  <w:tcBorders>
                    <w:tl2br w:val="nil"/>
                    <w:tr2bl w:val="nil"/>
                  </w:tcBorders>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15</w:t>
                  </w:r>
                </w:p>
              </w:tc>
              <w:tc>
                <w:tcPr>
                  <w:tcW w:w="1722" w:type="dxa"/>
                  <w:vMerge w:val="continue"/>
                  <w:tcBorders>
                    <w:tl2br w:val="nil"/>
                    <w:tr2bl w:val="nil"/>
                  </w:tcBorders>
                  <w:vAlign w:val="center"/>
                </w:tcPr>
                <w:p>
                  <w:pPr>
                    <w:pStyle w:val="59"/>
                    <w:jc w:val="center"/>
                    <w:rPr>
                      <w:rFonts w:eastAsiaTheme="minorEastAsia"/>
                      <w:b w:val="0"/>
                      <w:bCs/>
                      <w:color w:val="auto"/>
                      <w:szCs w:val="21"/>
                    </w:rPr>
                  </w:pPr>
                </w:p>
              </w:tc>
              <w:tc>
                <w:tcPr>
                  <w:tcW w:w="1546" w:type="dxa"/>
                  <w:tcBorders>
                    <w:tl2br w:val="nil"/>
                    <w:tr2bl w:val="nil"/>
                  </w:tcBorders>
                  <w:vAlign w:val="center"/>
                </w:tcPr>
                <w:p>
                  <w:pPr>
                    <w:pStyle w:val="59"/>
                    <w:jc w:val="center"/>
                    <w:rPr>
                      <w:rFonts w:hint="default" w:eastAsiaTheme="minorEastAsia"/>
                      <w:b w:val="0"/>
                      <w:bCs/>
                      <w:color w:val="auto"/>
                      <w:szCs w:val="21"/>
                      <w:lang w:val="en-US" w:eastAsia="zh-CN"/>
                    </w:rPr>
                  </w:pPr>
                  <w:r>
                    <w:rPr>
                      <w:rFonts w:hint="eastAsia" w:eastAsiaTheme="minorEastAsia"/>
                      <w:b w:val="0"/>
                      <w:bCs/>
                      <w:color w:val="auto"/>
                      <w:szCs w:val="21"/>
                      <w:lang w:val="en-US" w:eastAsia="zh-CN"/>
                    </w:rPr>
                    <w:t>化粪池</w:t>
                  </w:r>
                </w:p>
              </w:tc>
              <w:tc>
                <w:tcPr>
                  <w:tcW w:w="2415" w:type="dxa"/>
                  <w:tcBorders>
                    <w:tl2br w:val="nil"/>
                    <w:tr2bl w:val="nil"/>
                  </w:tcBorders>
                  <w:vAlign w:val="center"/>
                </w:tcPr>
                <w:p>
                  <w:pPr>
                    <w:pStyle w:val="59"/>
                    <w:jc w:val="center"/>
                    <w:rPr>
                      <w:rFonts w:hint="default" w:eastAsiaTheme="minorEastAsia"/>
                      <w:b w:val="0"/>
                      <w:color w:val="auto"/>
                      <w:szCs w:val="21"/>
                      <w:lang w:val="en-US" w:eastAsia="zh-CN"/>
                    </w:rPr>
                  </w:pPr>
                  <w:r>
                    <w:rPr>
                      <w:rFonts w:hint="eastAsia" w:eastAsiaTheme="minorEastAsia"/>
                      <w:b w:val="0"/>
                      <w:color w:val="auto"/>
                      <w:szCs w:val="21"/>
                      <w:lang w:val="en-US" w:eastAsia="zh-CN"/>
                    </w:rPr>
                    <w:t>3m</w:t>
                  </w:r>
                  <w:r>
                    <w:rPr>
                      <w:rFonts w:hint="eastAsia" w:eastAsiaTheme="minorEastAsia"/>
                      <w:b w:val="0"/>
                      <w:color w:val="auto"/>
                      <w:szCs w:val="21"/>
                      <w:vertAlign w:val="superscript"/>
                      <w:lang w:val="en-US" w:eastAsia="zh-CN"/>
                    </w:rPr>
                    <w:t>3</w:t>
                  </w:r>
                </w:p>
              </w:tc>
              <w:tc>
                <w:tcPr>
                  <w:tcW w:w="1035" w:type="dxa"/>
                  <w:tcBorders>
                    <w:tl2br w:val="nil"/>
                    <w:tr2bl w:val="nil"/>
                  </w:tcBorders>
                  <w:vAlign w:val="center"/>
                </w:tcPr>
                <w:p>
                  <w:pPr>
                    <w:pStyle w:val="59"/>
                    <w:rPr>
                      <w:rFonts w:hint="eastAsia" w:eastAsiaTheme="minorEastAsia"/>
                      <w:b w:val="0"/>
                      <w:bCs/>
                      <w:color w:val="auto"/>
                      <w:szCs w:val="21"/>
                      <w:lang w:val="en-US" w:eastAsia="zh-CN"/>
                    </w:rPr>
                  </w:pPr>
                  <w:r>
                    <w:rPr>
                      <w:rFonts w:hint="eastAsia" w:eastAsiaTheme="minorEastAsia"/>
                      <w:b w:val="0"/>
                      <w:bCs/>
                      <w:color w:val="auto"/>
                      <w:szCs w:val="21"/>
                      <w:lang w:val="en-US" w:eastAsia="zh-CN"/>
                    </w:rPr>
                    <w:t>座</w:t>
                  </w:r>
                </w:p>
              </w:tc>
              <w:tc>
                <w:tcPr>
                  <w:tcW w:w="750" w:type="dxa"/>
                  <w:gridSpan w:val="2"/>
                  <w:tcBorders>
                    <w:tl2br w:val="nil"/>
                    <w:tr2bl w:val="nil"/>
                  </w:tcBorders>
                  <w:vAlign w:val="center"/>
                </w:tcPr>
                <w:p>
                  <w:pPr>
                    <w:pStyle w:val="59"/>
                    <w:rPr>
                      <w:rFonts w:hint="default" w:eastAsiaTheme="minorEastAsia"/>
                      <w:b w:val="0"/>
                      <w:bCs/>
                      <w:color w:val="auto"/>
                      <w:szCs w:val="21"/>
                      <w:lang w:val="en-US" w:eastAsia="zh-CN"/>
                    </w:rPr>
                  </w:pPr>
                  <w:r>
                    <w:rPr>
                      <w:rFonts w:hint="eastAsia" w:eastAsiaTheme="minorEastAsia"/>
                      <w:b w:val="0"/>
                      <w:bCs/>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dxa"/>
                  <w:gridSpan w:val="2"/>
                  <w:tcBorders>
                    <w:tl2br w:val="nil"/>
                    <w:tr2bl w:val="nil"/>
                  </w:tcBorders>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16</w:t>
                  </w:r>
                </w:p>
              </w:tc>
              <w:tc>
                <w:tcPr>
                  <w:tcW w:w="1722" w:type="dxa"/>
                  <w:vMerge w:val="continue"/>
                  <w:tcBorders>
                    <w:tl2br w:val="nil"/>
                    <w:tr2bl w:val="nil"/>
                  </w:tcBorders>
                  <w:vAlign w:val="center"/>
                </w:tcPr>
                <w:p>
                  <w:pPr>
                    <w:pStyle w:val="59"/>
                    <w:jc w:val="center"/>
                    <w:rPr>
                      <w:rFonts w:eastAsiaTheme="minorEastAsia"/>
                      <w:b w:val="0"/>
                      <w:bCs/>
                      <w:color w:val="auto"/>
                      <w:szCs w:val="21"/>
                    </w:rPr>
                  </w:pPr>
                </w:p>
              </w:tc>
              <w:tc>
                <w:tcPr>
                  <w:tcW w:w="1546" w:type="dxa"/>
                  <w:tcBorders>
                    <w:tl2br w:val="nil"/>
                    <w:tr2bl w:val="nil"/>
                  </w:tcBorders>
                  <w:vAlign w:val="center"/>
                </w:tcPr>
                <w:p>
                  <w:pPr>
                    <w:pStyle w:val="59"/>
                    <w:jc w:val="center"/>
                    <w:rPr>
                      <w:rFonts w:hint="default" w:eastAsiaTheme="minorEastAsia"/>
                      <w:b w:val="0"/>
                      <w:bCs/>
                      <w:color w:val="auto"/>
                      <w:szCs w:val="21"/>
                      <w:lang w:val="en-US" w:eastAsia="zh-CN"/>
                    </w:rPr>
                  </w:pPr>
                  <w:r>
                    <w:rPr>
                      <w:rFonts w:hint="eastAsia" w:eastAsiaTheme="minorEastAsia"/>
                      <w:b w:val="0"/>
                      <w:bCs/>
                      <w:color w:val="auto"/>
                      <w:szCs w:val="21"/>
                      <w:lang w:val="en-US" w:eastAsia="zh-CN"/>
                    </w:rPr>
                    <w:t>危险废物贮存点</w:t>
                  </w:r>
                </w:p>
              </w:tc>
              <w:tc>
                <w:tcPr>
                  <w:tcW w:w="2415" w:type="dxa"/>
                  <w:tcBorders>
                    <w:tl2br w:val="nil"/>
                    <w:tr2bl w:val="nil"/>
                  </w:tcBorders>
                  <w:vAlign w:val="center"/>
                </w:tcPr>
                <w:p>
                  <w:pPr>
                    <w:pStyle w:val="59"/>
                    <w:jc w:val="center"/>
                    <w:rPr>
                      <w:rFonts w:hint="default" w:eastAsiaTheme="minorEastAsia"/>
                      <w:b w:val="0"/>
                      <w:color w:val="auto"/>
                      <w:szCs w:val="21"/>
                      <w:lang w:val="en-US" w:eastAsia="zh-CN"/>
                    </w:rPr>
                  </w:pPr>
                  <w:r>
                    <w:rPr>
                      <w:rFonts w:hint="eastAsia" w:eastAsiaTheme="minorEastAsia"/>
                      <w:b w:val="0"/>
                      <w:color w:val="auto"/>
                      <w:szCs w:val="21"/>
                      <w:lang w:val="en-US" w:eastAsia="zh-CN"/>
                    </w:rPr>
                    <w:t>5m</w:t>
                  </w:r>
                  <w:r>
                    <w:rPr>
                      <w:rFonts w:hint="eastAsia" w:eastAsiaTheme="minorEastAsia"/>
                      <w:b w:val="0"/>
                      <w:color w:val="auto"/>
                      <w:szCs w:val="21"/>
                      <w:vertAlign w:val="superscript"/>
                      <w:lang w:val="en-US" w:eastAsia="zh-CN"/>
                    </w:rPr>
                    <w:t>2</w:t>
                  </w:r>
                </w:p>
              </w:tc>
              <w:tc>
                <w:tcPr>
                  <w:tcW w:w="1035" w:type="dxa"/>
                  <w:tcBorders>
                    <w:tl2br w:val="nil"/>
                    <w:tr2bl w:val="nil"/>
                  </w:tcBorders>
                  <w:vAlign w:val="center"/>
                </w:tcPr>
                <w:p>
                  <w:pPr>
                    <w:pStyle w:val="59"/>
                    <w:rPr>
                      <w:rFonts w:hint="default" w:eastAsiaTheme="minorEastAsia"/>
                      <w:b w:val="0"/>
                      <w:bCs/>
                      <w:color w:val="auto"/>
                      <w:szCs w:val="21"/>
                      <w:lang w:val="en-US" w:eastAsia="zh-CN"/>
                    </w:rPr>
                  </w:pPr>
                  <w:r>
                    <w:rPr>
                      <w:rFonts w:hint="eastAsia" w:eastAsiaTheme="minorEastAsia"/>
                      <w:b w:val="0"/>
                      <w:bCs/>
                      <w:color w:val="auto"/>
                      <w:szCs w:val="21"/>
                      <w:lang w:val="en-US" w:eastAsia="zh-CN"/>
                    </w:rPr>
                    <w:t>个</w:t>
                  </w:r>
                </w:p>
              </w:tc>
              <w:tc>
                <w:tcPr>
                  <w:tcW w:w="750" w:type="dxa"/>
                  <w:gridSpan w:val="2"/>
                  <w:tcBorders>
                    <w:tl2br w:val="nil"/>
                    <w:tr2bl w:val="nil"/>
                  </w:tcBorders>
                  <w:vAlign w:val="center"/>
                </w:tcPr>
                <w:p>
                  <w:pPr>
                    <w:pStyle w:val="59"/>
                    <w:rPr>
                      <w:rFonts w:hint="default" w:eastAsiaTheme="minorEastAsia"/>
                      <w:b w:val="0"/>
                      <w:bCs/>
                      <w:color w:val="auto"/>
                      <w:szCs w:val="21"/>
                      <w:lang w:val="en-US" w:eastAsia="zh-CN"/>
                    </w:rPr>
                  </w:pPr>
                  <w:r>
                    <w:rPr>
                      <w:rFonts w:hint="eastAsia" w:eastAsiaTheme="minorEastAsia"/>
                      <w:b w:val="0"/>
                      <w:bCs/>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9" w:type="dxa"/>
                  <w:gridSpan w:val="8"/>
                  <w:tcBorders>
                    <w:tl2br w:val="nil"/>
                    <w:tr2bl w:val="nil"/>
                  </w:tcBorders>
                  <w:vAlign w:val="center"/>
                </w:tcPr>
                <w:p>
                  <w:pPr>
                    <w:pStyle w:val="59"/>
                    <w:jc w:val="both"/>
                    <w:rPr>
                      <w:rFonts w:eastAsiaTheme="minorEastAsia"/>
                      <w:color w:val="auto"/>
                      <w:szCs w:val="21"/>
                    </w:rPr>
                  </w:pPr>
                  <w:r>
                    <w:rPr>
                      <w:rFonts w:eastAsiaTheme="minorEastAsia"/>
                      <w:b w:val="0"/>
                      <w:bCs/>
                      <w:color w:val="auto"/>
                      <w:szCs w:val="21"/>
                    </w:rPr>
                    <w:t>二、其他设施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vAlign w:val="center"/>
                </w:tcPr>
                <w:p>
                  <w:pPr>
                    <w:jc w:val="center"/>
                    <w:rPr>
                      <w:rFonts w:eastAsiaTheme="minorEastAsia"/>
                      <w:color w:val="auto"/>
                      <w:szCs w:val="21"/>
                    </w:rPr>
                  </w:pPr>
                  <w:r>
                    <w:rPr>
                      <w:rFonts w:eastAsiaTheme="minorEastAsia"/>
                      <w:color w:val="auto"/>
                      <w:szCs w:val="21"/>
                    </w:rPr>
                    <w:t>1</w:t>
                  </w:r>
                </w:p>
              </w:tc>
              <w:tc>
                <w:tcPr>
                  <w:tcW w:w="3325" w:type="dxa"/>
                  <w:gridSpan w:val="3"/>
                  <w:tcBorders>
                    <w:tl2br w:val="nil"/>
                    <w:tr2bl w:val="nil"/>
                  </w:tcBorders>
                  <w:vAlign w:val="center"/>
                </w:tcPr>
                <w:p>
                  <w:pPr>
                    <w:jc w:val="center"/>
                    <w:rPr>
                      <w:rFonts w:eastAsiaTheme="minorEastAsia"/>
                      <w:color w:val="auto"/>
                      <w:szCs w:val="21"/>
                    </w:rPr>
                  </w:pPr>
                  <w:r>
                    <w:rPr>
                      <w:rFonts w:eastAsiaTheme="minorEastAsia"/>
                      <w:color w:val="auto"/>
                      <w:szCs w:val="21"/>
                    </w:rPr>
                    <w:t>地磅</w:t>
                  </w:r>
                </w:p>
              </w:tc>
              <w:tc>
                <w:tcPr>
                  <w:tcW w:w="2415" w:type="dxa"/>
                  <w:tcBorders>
                    <w:tl2br w:val="nil"/>
                    <w:tr2bl w:val="nil"/>
                  </w:tcBorders>
                  <w:vAlign w:val="center"/>
                </w:tcPr>
                <w:p>
                  <w:pPr>
                    <w:jc w:val="center"/>
                    <w:rPr>
                      <w:rFonts w:hint="eastAsia" w:eastAsiaTheme="minorEastAsia"/>
                      <w:color w:val="auto"/>
                      <w:szCs w:val="21"/>
                      <w:lang w:eastAsia="zh-CN"/>
                    </w:rPr>
                  </w:pPr>
                  <w:r>
                    <w:rPr>
                      <w:rFonts w:eastAsiaTheme="minorEastAsia"/>
                      <w:color w:val="auto"/>
                      <w:szCs w:val="21"/>
                    </w:rPr>
                    <w:t>150</w:t>
                  </w:r>
                  <w:r>
                    <w:rPr>
                      <w:rFonts w:hint="eastAsia" w:eastAsiaTheme="minorEastAsia"/>
                      <w:color w:val="auto"/>
                      <w:szCs w:val="21"/>
                      <w:lang w:val="en-US" w:eastAsia="zh-CN"/>
                    </w:rPr>
                    <w:t>t</w:t>
                  </w:r>
                </w:p>
              </w:tc>
              <w:tc>
                <w:tcPr>
                  <w:tcW w:w="1086" w:type="dxa"/>
                  <w:gridSpan w:val="2"/>
                  <w:tcBorders>
                    <w:tl2br w:val="nil"/>
                    <w:tr2bl w:val="nil"/>
                  </w:tcBorders>
                  <w:vAlign w:val="center"/>
                </w:tcPr>
                <w:p>
                  <w:pPr>
                    <w:jc w:val="center"/>
                    <w:rPr>
                      <w:rFonts w:eastAsiaTheme="minorEastAsia"/>
                      <w:color w:val="auto"/>
                      <w:szCs w:val="21"/>
                    </w:rPr>
                  </w:pPr>
                  <w:r>
                    <w:rPr>
                      <w:rFonts w:eastAsiaTheme="minorEastAsia"/>
                      <w:color w:val="auto"/>
                      <w:szCs w:val="21"/>
                    </w:rPr>
                    <w:t>台</w:t>
                  </w:r>
                </w:p>
              </w:tc>
              <w:tc>
                <w:tcPr>
                  <w:tcW w:w="699" w:type="dxa"/>
                  <w:tcBorders>
                    <w:tl2br w:val="nil"/>
                    <w:tr2bl w:val="nil"/>
                  </w:tcBorders>
                  <w:vAlign w:val="center"/>
                </w:tcPr>
                <w:p>
                  <w:pPr>
                    <w:jc w:val="center"/>
                    <w:rPr>
                      <w:rFonts w:eastAsiaTheme="minorEastAsia"/>
                      <w:color w:val="auto"/>
                      <w:szCs w:val="21"/>
                    </w:rPr>
                  </w:pPr>
                  <w:r>
                    <w:rPr>
                      <w:rFonts w:eastAsiaTheme="minorEastAsia"/>
                      <w:color w:val="auto"/>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vAlign w:val="center"/>
                </w:tcPr>
                <w:p>
                  <w:pPr>
                    <w:jc w:val="center"/>
                    <w:rPr>
                      <w:rFonts w:eastAsiaTheme="minorEastAsia"/>
                      <w:color w:val="auto"/>
                      <w:szCs w:val="21"/>
                    </w:rPr>
                  </w:pPr>
                  <w:r>
                    <w:rPr>
                      <w:rFonts w:eastAsiaTheme="minorEastAsia"/>
                      <w:color w:val="auto"/>
                      <w:szCs w:val="21"/>
                    </w:rPr>
                    <w:t>2</w:t>
                  </w:r>
                </w:p>
              </w:tc>
              <w:tc>
                <w:tcPr>
                  <w:tcW w:w="3325" w:type="dxa"/>
                  <w:gridSpan w:val="3"/>
                  <w:tcBorders>
                    <w:tl2br w:val="nil"/>
                    <w:tr2bl w:val="nil"/>
                  </w:tcBorders>
                  <w:vAlign w:val="center"/>
                </w:tcPr>
                <w:p>
                  <w:pPr>
                    <w:jc w:val="center"/>
                    <w:rPr>
                      <w:rFonts w:hint="eastAsia" w:eastAsiaTheme="minorEastAsia"/>
                      <w:color w:val="auto"/>
                      <w:szCs w:val="21"/>
                      <w:lang w:eastAsia="zh-CN"/>
                    </w:rPr>
                  </w:pPr>
                  <w:r>
                    <w:rPr>
                      <w:rFonts w:hint="eastAsia" w:eastAsiaTheme="minorEastAsia"/>
                      <w:color w:val="auto"/>
                      <w:szCs w:val="21"/>
                      <w:lang w:val="en-US" w:eastAsia="zh-CN"/>
                    </w:rPr>
                    <w:t>铲车</w:t>
                  </w:r>
                </w:p>
              </w:tc>
              <w:tc>
                <w:tcPr>
                  <w:tcW w:w="2415" w:type="dxa"/>
                  <w:tcBorders>
                    <w:tl2br w:val="nil"/>
                    <w:tr2bl w:val="nil"/>
                  </w:tcBorders>
                  <w:vAlign w:val="center"/>
                </w:tcPr>
                <w:p>
                  <w:pPr>
                    <w:jc w:val="center"/>
                    <w:rPr>
                      <w:rFonts w:hint="eastAsia" w:eastAsiaTheme="minorEastAsia"/>
                      <w:color w:val="auto"/>
                      <w:szCs w:val="21"/>
                      <w:lang w:eastAsia="zh-CN"/>
                    </w:rPr>
                  </w:pPr>
                  <w:r>
                    <w:rPr>
                      <w:rFonts w:eastAsiaTheme="minorEastAsia"/>
                      <w:color w:val="auto"/>
                      <w:szCs w:val="21"/>
                    </w:rPr>
                    <w:t>5</w:t>
                  </w:r>
                  <w:r>
                    <w:rPr>
                      <w:rFonts w:hint="eastAsia" w:eastAsiaTheme="minorEastAsia"/>
                      <w:color w:val="auto"/>
                      <w:szCs w:val="21"/>
                      <w:lang w:val="en-US" w:eastAsia="zh-CN"/>
                    </w:rPr>
                    <w:t>t</w:t>
                  </w:r>
                </w:p>
              </w:tc>
              <w:tc>
                <w:tcPr>
                  <w:tcW w:w="1086" w:type="dxa"/>
                  <w:gridSpan w:val="2"/>
                  <w:tcBorders>
                    <w:tl2br w:val="nil"/>
                    <w:tr2bl w:val="nil"/>
                  </w:tcBorders>
                  <w:vAlign w:val="center"/>
                </w:tcPr>
                <w:p>
                  <w:pPr>
                    <w:jc w:val="center"/>
                    <w:rPr>
                      <w:rFonts w:eastAsiaTheme="minorEastAsia"/>
                      <w:color w:val="auto"/>
                      <w:szCs w:val="21"/>
                    </w:rPr>
                  </w:pPr>
                  <w:r>
                    <w:rPr>
                      <w:rFonts w:eastAsiaTheme="minorEastAsia"/>
                      <w:color w:val="auto"/>
                      <w:szCs w:val="21"/>
                    </w:rPr>
                    <w:t>台</w:t>
                  </w:r>
                </w:p>
              </w:tc>
              <w:tc>
                <w:tcPr>
                  <w:tcW w:w="699" w:type="dxa"/>
                  <w:tcBorders>
                    <w:tl2br w:val="nil"/>
                    <w:tr2bl w:val="nil"/>
                  </w:tcBorders>
                  <w:vAlign w:val="center"/>
                </w:tcPr>
                <w:p>
                  <w:pPr>
                    <w:jc w:val="center"/>
                    <w:rPr>
                      <w:rFonts w:eastAsiaTheme="minorEastAsia"/>
                      <w:color w:val="auto"/>
                      <w:szCs w:val="21"/>
                    </w:rPr>
                  </w:pPr>
                  <w:r>
                    <w:rPr>
                      <w:rFonts w:eastAsiaTheme="minorEastAsia"/>
                      <w:color w:val="auto"/>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vAlign w:val="center"/>
                </w:tcPr>
                <w:p>
                  <w:pPr>
                    <w:jc w:val="center"/>
                    <w:rPr>
                      <w:rFonts w:eastAsiaTheme="minorEastAsia"/>
                      <w:color w:val="auto"/>
                      <w:szCs w:val="21"/>
                    </w:rPr>
                  </w:pPr>
                  <w:r>
                    <w:rPr>
                      <w:rFonts w:eastAsiaTheme="minorEastAsia"/>
                      <w:color w:val="auto"/>
                      <w:szCs w:val="21"/>
                    </w:rPr>
                    <w:t>3</w:t>
                  </w:r>
                </w:p>
              </w:tc>
              <w:tc>
                <w:tcPr>
                  <w:tcW w:w="3325" w:type="dxa"/>
                  <w:gridSpan w:val="3"/>
                  <w:tcBorders>
                    <w:tl2br w:val="nil"/>
                    <w:tr2bl w:val="nil"/>
                  </w:tcBorders>
                  <w:vAlign w:val="center"/>
                </w:tcPr>
                <w:p>
                  <w:pPr>
                    <w:jc w:val="center"/>
                    <w:rPr>
                      <w:rFonts w:eastAsiaTheme="minorEastAsia"/>
                      <w:color w:val="auto"/>
                      <w:szCs w:val="21"/>
                    </w:rPr>
                  </w:pPr>
                  <w:r>
                    <w:rPr>
                      <w:rFonts w:eastAsiaTheme="minorEastAsia"/>
                      <w:color w:val="auto"/>
                      <w:szCs w:val="21"/>
                    </w:rPr>
                    <w:t>装载车</w:t>
                  </w:r>
                </w:p>
              </w:tc>
              <w:tc>
                <w:tcPr>
                  <w:tcW w:w="2415" w:type="dxa"/>
                  <w:tcBorders>
                    <w:tl2br w:val="nil"/>
                    <w:tr2bl w:val="nil"/>
                  </w:tcBorders>
                  <w:vAlign w:val="center"/>
                </w:tcPr>
                <w:p>
                  <w:pPr>
                    <w:jc w:val="center"/>
                    <w:rPr>
                      <w:rFonts w:eastAsiaTheme="minorEastAsia"/>
                      <w:color w:val="auto"/>
                      <w:szCs w:val="21"/>
                    </w:rPr>
                  </w:pPr>
                  <w:r>
                    <w:rPr>
                      <w:rFonts w:eastAsiaTheme="minorEastAsia"/>
                      <w:color w:val="auto"/>
                      <w:szCs w:val="21"/>
                    </w:rPr>
                    <w:t>50</w:t>
                  </w:r>
                </w:p>
              </w:tc>
              <w:tc>
                <w:tcPr>
                  <w:tcW w:w="1086" w:type="dxa"/>
                  <w:gridSpan w:val="2"/>
                  <w:tcBorders>
                    <w:tl2br w:val="nil"/>
                    <w:tr2bl w:val="nil"/>
                  </w:tcBorders>
                  <w:vAlign w:val="center"/>
                </w:tcPr>
                <w:p>
                  <w:pPr>
                    <w:jc w:val="center"/>
                    <w:rPr>
                      <w:rFonts w:eastAsiaTheme="minorEastAsia"/>
                      <w:color w:val="auto"/>
                      <w:szCs w:val="21"/>
                    </w:rPr>
                  </w:pPr>
                  <w:r>
                    <w:rPr>
                      <w:rFonts w:eastAsiaTheme="minorEastAsia"/>
                      <w:color w:val="auto"/>
                      <w:szCs w:val="21"/>
                    </w:rPr>
                    <w:t>台</w:t>
                  </w:r>
                </w:p>
              </w:tc>
              <w:tc>
                <w:tcPr>
                  <w:tcW w:w="699" w:type="dxa"/>
                  <w:tcBorders>
                    <w:tl2br w:val="nil"/>
                    <w:tr2bl w:val="nil"/>
                  </w:tcBorders>
                  <w:vAlign w:val="center"/>
                </w:tcPr>
                <w:p>
                  <w:pPr>
                    <w:jc w:val="center"/>
                    <w:rPr>
                      <w:rFonts w:eastAsiaTheme="minorEastAsia"/>
                      <w:color w:val="auto"/>
                      <w:szCs w:val="21"/>
                    </w:rPr>
                  </w:pPr>
                  <w:r>
                    <w:rPr>
                      <w:rFonts w:eastAsiaTheme="minorEastAsia"/>
                      <w:color w:val="auto"/>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vAlign w:val="center"/>
                </w:tcPr>
                <w:p>
                  <w:pPr>
                    <w:jc w:val="center"/>
                    <w:rPr>
                      <w:rFonts w:eastAsiaTheme="minorEastAsia"/>
                      <w:color w:val="auto"/>
                      <w:szCs w:val="21"/>
                    </w:rPr>
                  </w:pPr>
                  <w:r>
                    <w:rPr>
                      <w:rFonts w:eastAsiaTheme="minorEastAsia"/>
                      <w:color w:val="auto"/>
                      <w:szCs w:val="21"/>
                    </w:rPr>
                    <w:t>4</w:t>
                  </w:r>
                </w:p>
              </w:tc>
              <w:tc>
                <w:tcPr>
                  <w:tcW w:w="3325" w:type="dxa"/>
                  <w:gridSpan w:val="3"/>
                  <w:tcBorders>
                    <w:tl2br w:val="nil"/>
                    <w:tr2bl w:val="nil"/>
                  </w:tcBorders>
                  <w:vAlign w:val="center"/>
                </w:tcPr>
                <w:p>
                  <w:pPr>
                    <w:jc w:val="center"/>
                    <w:rPr>
                      <w:rFonts w:eastAsiaTheme="minorEastAsia"/>
                      <w:color w:val="auto"/>
                      <w:szCs w:val="21"/>
                    </w:rPr>
                  </w:pPr>
                  <w:r>
                    <w:rPr>
                      <w:rFonts w:eastAsiaTheme="minorEastAsia"/>
                      <w:color w:val="auto"/>
                      <w:szCs w:val="21"/>
                    </w:rPr>
                    <w:t>实验室设备</w:t>
                  </w:r>
                </w:p>
              </w:tc>
              <w:tc>
                <w:tcPr>
                  <w:tcW w:w="2415" w:type="dxa"/>
                  <w:tcBorders>
                    <w:tl2br w:val="nil"/>
                    <w:tr2bl w:val="nil"/>
                  </w:tcBorders>
                  <w:vAlign w:val="center"/>
                </w:tcPr>
                <w:p>
                  <w:pPr>
                    <w:jc w:val="center"/>
                    <w:rPr>
                      <w:rFonts w:eastAsiaTheme="minorEastAsia"/>
                      <w:color w:val="auto"/>
                      <w:szCs w:val="21"/>
                    </w:rPr>
                  </w:pPr>
                  <w:r>
                    <w:rPr>
                      <w:rFonts w:eastAsiaTheme="minorEastAsia"/>
                      <w:color w:val="auto"/>
                      <w:szCs w:val="21"/>
                    </w:rPr>
                    <w:t>/</w:t>
                  </w:r>
                </w:p>
              </w:tc>
              <w:tc>
                <w:tcPr>
                  <w:tcW w:w="1086" w:type="dxa"/>
                  <w:gridSpan w:val="2"/>
                  <w:tcBorders>
                    <w:tl2br w:val="nil"/>
                    <w:tr2bl w:val="nil"/>
                  </w:tcBorders>
                  <w:vAlign w:val="center"/>
                </w:tcPr>
                <w:p>
                  <w:pPr>
                    <w:jc w:val="center"/>
                    <w:rPr>
                      <w:rFonts w:eastAsiaTheme="minorEastAsia"/>
                      <w:color w:val="auto"/>
                      <w:szCs w:val="21"/>
                    </w:rPr>
                  </w:pPr>
                  <w:r>
                    <w:rPr>
                      <w:rFonts w:eastAsiaTheme="minorEastAsia"/>
                      <w:color w:val="auto"/>
                      <w:szCs w:val="21"/>
                    </w:rPr>
                    <w:t>套</w:t>
                  </w:r>
                </w:p>
              </w:tc>
              <w:tc>
                <w:tcPr>
                  <w:tcW w:w="699" w:type="dxa"/>
                  <w:tcBorders>
                    <w:tl2br w:val="nil"/>
                    <w:tr2bl w:val="nil"/>
                  </w:tcBorders>
                  <w:vAlign w:val="center"/>
                </w:tcPr>
                <w:p>
                  <w:pPr>
                    <w:jc w:val="center"/>
                    <w:rPr>
                      <w:rFonts w:eastAsiaTheme="minorEastAsia"/>
                      <w:color w:val="auto"/>
                      <w:szCs w:val="21"/>
                    </w:rPr>
                  </w:pPr>
                  <w:r>
                    <w:rPr>
                      <w:rFonts w:eastAsiaTheme="minorEastAsia"/>
                      <w:color w:val="auto"/>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vAlign w:val="center"/>
                </w:tcPr>
                <w:p>
                  <w:pPr>
                    <w:jc w:val="center"/>
                    <w:rPr>
                      <w:rFonts w:eastAsiaTheme="minorEastAsia"/>
                      <w:color w:val="auto"/>
                      <w:szCs w:val="21"/>
                    </w:rPr>
                  </w:pPr>
                  <w:r>
                    <w:rPr>
                      <w:rFonts w:eastAsiaTheme="minorEastAsia"/>
                      <w:color w:val="auto"/>
                      <w:szCs w:val="21"/>
                    </w:rPr>
                    <w:t>5</w:t>
                  </w:r>
                </w:p>
              </w:tc>
              <w:tc>
                <w:tcPr>
                  <w:tcW w:w="3325" w:type="dxa"/>
                  <w:gridSpan w:val="3"/>
                  <w:tcBorders>
                    <w:tl2br w:val="nil"/>
                    <w:tr2bl w:val="nil"/>
                  </w:tcBorders>
                  <w:vAlign w:val="center"/>
                </w:tcPr>
                <w:p>
                  <w:pPr>
                    <w:jc w:val="center"/>
                    <w:rPr>
                      <w:rFonts w:eastAsiaTheme="minorEastAsia"/>
                      <w:color w:val="auto"/>
                      <w:szCs w:val="21"/>
                    </w:rPr>
                  </w:pPr>
                  <w:r>
                    <w:rPr>
                      <w:rFonts w:eastAsiaTheme="minorEastAsia"/>
                      <w:color w:val="auto"/>
                      <w:szCs w:val="21"/>
                    </w:rPr>
                    <w:t>电控系统</w:t>
                  </w:r>
                </w:p>
              </w:tc>
              <w:tc>
                <w:tcPr>
                  <w:tcW w:w="2415" w:type="dxa"/>
                  <w:tcBorders>
                    <w:tl2br w:val="nil"/>
                    <w:tr2bl w:val="nil"/>
                  </w:tcBorders>
                  <w:vAlign w:val="center"/>
                </w:tcPr>
                <w:p>
                  <w:pPr>
                    <w:jc w:val="center"/>
                    <w:rPr>
                      <w:rFonts w:eastAsiaTheme="minorEastAsia"/>
                      <w:color w:val="auto"/>
                      <w:szCs w:val="21"/>
                    </w:rPr>
                  </w:pPr>
                  <w:r>
                    <w:rPr>
                      <w:rFonts w:eastAsiaTheme="minorEastAsia"/>
                      <w:color w:val="auto"/>
                      <w:szCs w:val="21"/>
                    </w:rPr>
                    <w:t>/</w:t>
                  </w:r>
                </w:p>
              </w:tc>
              <w:tc>
                <w:tcPr>
                  <w:tcW w:w="1086" w:type="dxa"/>
                  <w:gridSpan w:val="2"/>
                  <w:tcBorders>
                    <w:tl2br w:val="nil"/>
                    <w:tr2bl w:val="nil"/>
                  </w:tcBorders>
                  <w:vAlign w:val="center"/>
                </w:tcPr>
                <w:p>
                  <w:pPr>
                    <w:jc w:val="center"/>
                    <w:rPr>
                      <w:rFonts w:eastAsiaTheme="minorEastAsia"/>
                      <w:color w:val="auto"/>
                      <w:szCs w:val="21"/>
                    </w:rPr>
                  </w:pPr>
                  <w:r>
                    <w:rPr>
                      <w:rFonts w:eastAsiaTheme="minorEastAsia"/>
                      <w:color w:val="auto"/>
                      <w:szCs w:val="21"/>
                    </w:rPr>
                    <w:t>套</w:t>
                  </w:r>
                </w:p>
              </w:tc>
              <w:tc>
                <w:tcPr>
                  <w:tcW w:w="699" w:type="dxa"/>
                  <w:tcBorders>
                    <w:tl2br w:val="nil"/>
                    <w:tr2bl w:val="nil"/>
                  </w:tcBorders>
                  <w:vAlign w:val="center"/>
                </w:tcPr>
                <w:p>
                  <w:pPr>
                    <w:jc w:val="center"/>
                    <w:rPr>
                      <w:rFonts w:eastAsiaTheme="minorEastAsia"/>
                      <w:color w:val="auto"/>
                      <w:szCs w:val="21"/>
                    </w:rPr>
                  </w:pPr>
                  <w:r>
                    <w:rPr>
                      <w:rFonts w:eastAsiaTheme="minorEastAsia"/>
                      <w:color w:val="auto"/>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vAlign w:val="center"/>
                </w:tcPr>
                <w:p>
                  <w:pPr>
                    <w:jc w:val="center"/>
                    <w:rPr>
                      <w:rFonts w:eastAsiaTheme="minorEastAsia"/>
                      <w:color w:val="auto"/>
                      <w:szCs w:val="21"/>
                    </w:rPr>
                  </w:pPr>
                  <w:r>
                    <w:rPr>
                      <w:rFonts w:eastAsiaTheme="minorEastAsia"/>
                      <w:color w:val="auto"/>
                      <w:szCs w:val="21"/>
                    </w:rPr>
                    <w:t>6</w:t>
                  </w:r>
                </w:p>
              </w:tc>
              <w:tc>
                <w:tcPr>
                  <w:tcW w:w="3325" w:type="dxa"/>
                  <w:gridSpan w:val="3"/>
                  <w:tcBorders>
                    <w:tl2br w:val="nil"/>
                    <w:tr2bl w:val="nil"/>
                  </w:tcBorders>
                  <w:vAlign w:val="center"/>
                </w:tcPr>
                <w:p>
                  <w:pPr>
                    <w:jc w:val="center"/>
                    <w:rPr>
                      <w:rFonts w:eastAsiaTheme="minorEastAsia"/>
                      <w:color w:val="auto"/>
                      <w:szCs w:val="21"/>
                    </w:rPr>
                  </w:pPr>
                  <w:r>
                    <w:rPr>
                      <w:rFonts w:eastAsiaTheme="minorEastAsia"/>
                      <w:color w:val="auto"/>
                      <w:kern w:val="0"/>
                      <w:szCs w:val="21"/>
                    </w:rPr>
                    <w:t>洒水车</w:t>
                  </w:r>
                </w:p>
              </w:tc>
              <w:tc>
                <w:tcPr>
                  <w:tcW w:w="2415" w:type="dxa"/>
                  <w:tcBorders>
                    <w:tl2br w:val="nil"/>
                    <w:tr2bl w:val="nil"/>
                  </w:tcBorders>
                  <w:vAlign w:val="center"/>
                </w:tcPr>
                <w:p>
                  <w:pPr>
                    <w:jc w:val="center"/>
                    <w:rPr>
                      <w:rFonts w:hint="eastAsia" w:eastAsiaTheme="minorEastAsia"/>
                      <w:color w:val="auto"/>
                      <w:szCs w:val="21"/>
                      <w:lang w:eastAsia="zh-CN"/>
                    </w:rPr>
                  </w:pPr>
                  <w:r>
                    <w:rPr>
                      <w:rFonts w:eastAsiaTheme="minorEastAsia"/>
                      <w:color w:val="auto"/>
                      <w:kern w:val="0"/>
                      <w:szCs w:val="21"/>
                    </w:rPr>
                    <w:t>10</w:t>
                  </w:r>
                  <w:r>
                    <w:rPr>
                      <w:rFonts w:hint="eastAsia" w:eastAsiaTheme="minorEastAsia"/>
                      <w:color w:val="auto"/>
                      <w:szCs w:val="21"/>
                      <w:lang w:val="en-US" w:eastAsia="zh-CN"/>
                    </w:rPr>
                    <w:t>t</w:t>
                  </w:r>
                </w:p>
              </w:tc>
              <w:tc>
                <w:tcPr>
                  <w:tcW w:w="1086" w:type="dxa"/>
                  <w:gridSpan w:val="2"/>
                  <w:tcBorders>
                    <w:tl2br w:val="nil"/>
                    <w:tr2bl w:val="nil"/>
                  </w:tcBorders>
                  <w:vAlign w:val="center"/>
                </w:tcPr>
                <w:p>
                  <w:pPr>
                    <w:jc w:val="center"/>
                    <w:rPr>
                      <w:rFonts w:eastAsiaTheme="minorEastAsia"/>
                      <w:color w:val="auto"/>
                      <w:szCs w:val="21"/>
                    </w:rPr>
                  </w:pPr>
                  <w:r>
                    <w:rPr>
                      <w:rFonts w:eastAsiaTheme="minorEastAsia"/>
                      <w:color w:val="auto"/>
                      <w:szCs w:val="21"/>
                    </w:rPr>
                    <w:t>台</w:t>
                  </w:r>
                </w:p>
              </w:tc>
              <w:tc>
                <w:tcPr>
                  <w:tcW w:w="699" w:type="dxa"/>
                  <w:tcBorders>
                    <w:tl2br w:val="nil"/>
                    <w:tr2bl w:val="nil"/>
                  </w:tcBorders>
                  <w:vAlign w:val="center"/>
                </w:tcPr>
                <w:p>
                  <w:pPr>
                    <w:jc w:val="center"/>
                    <w:rPr>
                      <w:rFonts w:eastAsiaTheme="minorEastAsia"/>
                      <w:color w:val="auto"/>
                      <w:szCs w:val="21"/>
                    </w:rPr>
                  </w:pPr>
                  <w:r>
                    <w:rPr>
                      <w:rFonts w:eastAsiaTheme="minorEastAsia"/>
                      <w:color w:val="auto"/>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vAlign w:val="center"/>
                </w:tcPr>
                <w:p>
                  <w:pPr>
                    <w:jc w:val="center"/>
                    <w:rPr>
                      <w:rFonts w:eastAsiaTheme="minorEastAsia"/>
                      <w:color w:val="auto"/>
                      <w:szCs w:val="21"/>
                    </w:rPr>
                  </w:pPr>
                  <w:r>
                    <w:rPr>
                      <w:rFonts w:eastAsiaTheme="minorEastAsia"/>
                      <w:color w:val="auto"/>
                      <w:szCs w:val="21"/>
                    </w:rPr>
                    <w:t>7</w:t>
                  </w:r>
                </w:p>
              </w:tc>
              <w:tc>
                <w:tcPr>
                  <w:tcW w:w="3325" w:type="dxa"/>
                  <w:gridSpan w:val="3"/>
                  <w:tcBorders>
                    <w:tl2br w:val="nil"/>
                    <w:tr2bl w:val="nil"/>
                  </w:tcBorders>
                  <w:vAlign w:val="center"/>
                </w:tcPr>
                <w:p>
                  <w:pPr>
                    <w:jc w:val="center"/>
                    <w:rPr>
                      <w:rFonts w:eastAsiaTheme="minorEastAsia"/>
                      <w:color w:val="auto"/>
                      <w:kern w:val="0"/>
                      <w:szCs w:val="21"/>
                    </w:rPr>
                  </w:pPr>
                  <w:r>
                    <w:rPr>
                      <w:rFonts w:eastAsiaTheme="minorEastAsia"/>
                      <w:color w:val="auto"/>
                      <w:kern w:val="0"/>
                      <w:szCs w:val="21"/>
                    </w:rPr>
                    <w:t>翻斗车</w:t>
                  </w:r>
                </w:p>
              </w:tc>
              <w:tc>
                <w:tcPr>
                  <w:tcW w:w="2415" w:type="dxa"/>
                  <w:tcBorders>
                    <w:tl2br w:val="nil"/>
                    <w:tr2bl w:val="nil"/>
                  </w:tcBorders>
                  <w:vAlign w:val="center"/>
                </w:tcPr>
                <w:p>
                  <w:pPr>
                    <w:jc w:val="center"/>
                    <w:rPr>
                      <w:rFonts w:eastAsiaTheme="minorEastAsia"/>
                      <w:color w:val="auto"/>
                      <w:kern w:val="0"/>
                      <w:szCs w:val="21"/>
                    </w:rPr>
                  </w:pPr>
                  <w:r>
                    <w:rPr>
                      <w:rFonts w:eastAsiaTheme="minorEastAsia"/>
                      <w:color w:val="auto"/>
                      <w:kern w:val="0"/>
                      <w:szCs w:val="21"/>
                    </w:rPr>
                    <w:t>/</w:t>
                  </w:r>
                </w:p>
              </w:tc>
              <w:tc>
                <w:tcPr>
                  <w:tcW w:w="1086" w:type="dxa"/>
                  <w:gridSpan w:val="2"/>
                  <w:tcBorders>
                    <w:tl2br w:val="nil"/>
                    <w:tr2bl w:val="nil"/>
                  </w:tcBorders>
                  <w:vAlign w:val="center"/>
                </w:tcPr>
                <w:p>
                  <w:pPr>
                    <w:jc w:val="center"/>
                    <w:rPr>
                      <w:rFonts w:eastAsiaTheme="minorEastAsia"/>
                      <w:color w:val="auto"/>
                      <w:szCs w:val="21"/>
                    </w:rPr>
                  </w:pPr>
                  <w:r>
                    <w:rPr>
                      <w:rFonts w:eastAsiaTheme="minorEastAsia"/>
                      <w:color w:val="auto"/>
                      <w:szCs w:val="21"/>
                    </w:rPr>
                    <w:t>台</w:t>
                  </w:r>
                </w:p>
              </w:tc>
              <w:tc>
                <w:tcPr>
                  <w:tcW w:w="699" w:type="dxa"/>
                  <w:tcBorders>
                    <w:tl2br w:val="nil"/>
                    <w:tr2bl w:val="nil"/>
                  </w:tcBorders>
                  <w:vAlign w:val="center"/>
                </w:tcPr>
                <w:p>
                  <w:pPr>
                    <w:jc w:val="center"/>
                    <w:rPr>
                      <w:rFonts w:eastAsiaTheme="minorEastAsia"/>
                      <w:color w:val="auto"/>
                      <w:szCs w:val="21"/>
                    </w:rPr>
                  </w:pPr>
                  <w:r>
                    <w:rPr>
                      <w:rFonts w:eastAsiaTheme="minorEastAsia"/>
                      <w:color w:val="auto"/>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vAlign w:val="center"/>
                </w:tcPr>
                <w:p>
                  <w:pPr>
                    <w:pStyle w:val="59"/>
                    <w:rPr>
                      <w:rFonts w:eastAsiaTheme="minorEastAsia"/>
                      <w:b w:val="0"/>
                      <w:color w:val="auto"/>
                      <w:szCs w:val="21"/>
                    </w:rPr>
                  </w:pPr>
                  <w:r>
                    <w:rPr>
                      <w:rFonts w:eastAsiaTheme="minorEastAsia"/>
                      <w:b w:val="0"/>
                      <w:color w:val="auto"/>
                      <w:szCs w:val="21"/>
                    </w:rPr>
                    <w:t>8</w:t>
                  </w:r>
                </w:p>
              </w:tc>
              <w:tc>
                <w:tcPr>
                  <w:tcW w:w="3325" w:type="dxa"/>
                  <w:gridSpan w:val="3"/>
                  <w:tcBorders>
                    <w:tl2br w:val="nil"/>
                    <w:tr2bl w:val="nil"/>
                  </w:tcBorders>
                  <w:vAlign w:val="center"/>
                </w:tcPr>
                <w:p>
                  <w:pPr>
                    <w:jc w:val="center"/>
                    <w:rPr>
                      <w:rFonts w:eastAsiaTheme="minorEastAsia"/>
                      <w:color w:val="auto"/>
                      <w:kern w:val="0"/>
                      <w:szCs w:val="21"/>
                    </w:rPr>
                  </w:pPr>
                  <w:r>
                    <w:rPr>
                      <w:rFonts w:eastAsiaTheme="minorEastAsia"/>
                      <w:color w:val="auto"/>
                      <w:kern w:val="0"/>
                      <w:szCs w:val="21"/>
                    </w:rPr>
                    <w:t>水泵</w:t>
                  </w:r>
                </w:p>
              </w:tc>
              <w:tc>
                <w:tcPr>
                  <w:tcW w:w="2415" w:type="dxa"/>
                  <w:tcBorders>
                    <w:tl2br w:val="nil"/>
                    <w:tr2bl w:val="nil"/>
                  </w:tcBorders>
                  <w:vAlign w:val="center"/>
                </w:tcPr>
                <w:p>
                  <w:pPr>
                    <w:jc w:val="center"/>
                    <w:rPr>
                      <w:rFonts w:eastAsiaTheme="minorEastAsia"/>
                      <w:color w:val="auto"/>
                      <w:kern w:val="0"/>
                      <w:szCs w:val="21"/>
                    </w:rPr>
                  </w:pPr>
                  <w:r>
                    <w:rPr>
                      <w:rFonts w:eastAsiaTheme="minorEastAsia"/>
                      <w:color w:val="auto"/>
                      <w:kern w:val="0"/>
                      <w:szCs w:val="21"/>
                    </w:rPr>
                    <w:t>/</w:t>
                  </w:r>
                </w:p>
              </w:tc>
              <w:tc>
                <w:tcPr>
                  <w:tcW w:w="1086" w:type="dxa"/>
                  <w:gridSpan w:val="2"/>
                  <w:tcBorders>
                    <w:tl2br w:val="nil"/>
                    <w:tr2bl w:val="nil"/>
                  </w:tcBorders>
                  <w:vAlign w:val="center"/>
                </w:tcPr>
                <w:p>
                  <w:pPr>
                    <w:jc w:val="center"/>
                    <w:rPr>
                      <w:rFonts w:eastAsiaTheme="minorEastAsia"/>
                      <w:color w:val="auto"/>
                      <w:szCs w:val="21"/>
                    </w:rPr>
                  </w:pPr>
                  <w:r>
                    <w:rPr>
                      <w:rFonts w:eastAsiaTheme="minorEastAsia"/>
                      <w:color w:val="auto"/>
                      <w:szCs w:val="21"/>
                    </w:rPr>
                    <w:t>台</w:t>
                  </w:r>
                </w:p>
              </w:tc>
              <w:tc>
                <w:tcPr>
                  <w:tcW w:w="699" w:type="dxa"/>
                  <w:tcBorders>
                    <w:tl2br w:val="nil"/>
                    <w:tr2bl w:val="nil"/>
                  </w:tcBorders>
                  <w:vAlign w:val="center"/>
                </w:tcPr>
                <w:p>
                  <w:pPr>
                    <w:jc w:val="center"/>
                    <w:rPr>
                      <w:rFonts w:eastAsiaTheme="minorEastAsia"/>
                      <w:color w:val="auto"/>
                      <w:szCs w:val="21"/>
                    </w:rPr>
                  </w:pPr>
                  <w:r>
                    <w:rPr>
                      <w:rFonts w:eastAsiaTheme="minorEastAsia"/>
                      <w:color w:val="auto"/>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vAlign w:val="center"/>
                </w:tcPr>
                <w:p>
                  <w:pPr>
                    <w:pStyle w:val="59"/>
                    <w:rPr>
                      <w:rFonts w:eastAsiaTheme="minorEastAsia"/>
                      <w:b w:val="0"/>
                      <w:color w:val="auto"/>
                      <w:szCs w:val="21"/>
                    </w:rPr>
                  </w:pPr>
                  <w:r>
                    <w:rPr>
                      <w:rFonts w:eastAsiaTheme="minorEastAsia"/>
                      <w:b w:val="0"/>
                      <w:color w:val="auto"/>
                      <w:szCs w:val="21"/>
                    </w:rPr>
                    <w:t>9</w:t>
                  </w:r>
                </w:p>
              </w:tc>
              <w:tc>
                <w:tcPr>
                  <w:tcW w:w="3325" w:type="dxa"/>
                  <w:gridSpan w:val="3"/>
                  <w:tcBorders>
                    <w:tl2br w:val="nil"/>
                    <w:tr2bl w:val="nil"/>
                  </w:tcBorders>
                  <w:vAlign w:val="center"/>
                </w:tcPr>
                <w:p>
                  <w:pPr>
                    <w:jc w:val="center"/>
                    <w:rPr>
                      <w:rFonts w:eastAsiaTheme="minorEastAsia"/>
                      <w:color w:val="auto"/>
                      <w:kern w:val="0"/>
                      <w:szCs w:val="21"/>
                    </w:rPr>
                  </w:pPr>
                  <w:r>
                    <w:rPr>
                      <w:rFonts w:eastAsiaTheme="minorEastAsia"/>
                      <w:bCs/>
                      <w:color w:val="auto"/>
                      <w:szCs w:val="21"/>
                    </w:rPr>
                    <w:t>运输车辆</w:t>
                  </w:r>
                </w:p>
              </w:tc>
              <w:tc>
                <w:tcPr>
                  <w:tcW w:w="2415" w:type="dxa"/>
                  <w:tcBorders>
                    <w:tl2br w:val="nil"/>
                    <w:tr2bl w:val="nil"/>
                  </w:tcBorders>
                  <w:vAlign w:val="center"/>
                </w:tcPr>
                <w:p>
                  <w:pPr>
                    <w:jc w:val="center"/>
                    <w:rPr>
                      <w:rFonts w:hint="eastAsia" w:eastAsiaTheme="minorEastAsia"/>
                      <w:color w:val="auto"/>
                      <w:kern w:val="0"/>
                      <w:szCs w:val="21"/>
                      <w:lang w:eastAsia="zh-CN"/>
                    </w:rPr>
                  </w:pPr>
                  <w:r>
                    <w:rPr>
                      <w:rFonts w:eastAsiaTheme="minorEastAsia"/>
                      <w:color w:val="auto"/>
                      <w:kern w:val="0"/>
                      <w:szCs w:val="21"/>
                    </w:rPr>
                    <w:t>30</w:t>
                  </w:r>
                  <w:r>
                    <w:rPr>
                      <w:rFonts w:hint="eastAsia" w:eastAsiaTheme="minorEastAsia"/>
                      <w:color w:val="auto"/>
                      <w:szCs w:val="21"/>
                      <w:lang w:val="en-US" w:eastAsia="zh-CN"/>
                    </w:rPr>
                    <w:t>t</w:t>
                  </w:r>
                </w:p>
              </w:tc>
              <w:tc>
                <w:tcPr>
                  <w:tcW w:w="1086" w:type="dxa"/>
                  <w:gridSpan w:val="2"/>
                  <w:tcBorders>
                    <w:tl2br w:val="nil"/>
                    <w:tr2bl w:val="nil"/>
                  </w:tcBorders>
                  <w:vAlign w:val="center"/>
                </w:tcPr>
                <w:p>
                  <w:pPr>
                    <w:jc w:val="center"/>
                    <w:rPr>
                      <w:rFonts w:eastAsiaTheme="minorEastAsia"/>
                      <w:color w:val="auto"/>
                      <w:szCs w:val="21"/>
                    </w:rPr>
                  </w:pPr>
                  <w:r>
                    <w:rPr>
                      <w:rFonts w:eastAsiaTheme="minorEastAsia"/>
                      <w:color w:val="auto"/>
                      <w:szCs w:val="21"/>
                    </w:rPr>
                    <w:t>台</w:t>
                  </w:r>
                </w:p>
              </w:tc>
              <w:tc>
                <w:tcPr>
                  <w:tcW w:w="699" w:type="dxa"/>
                  <w:tcBorders>
                    <w:tl2br w:val="nil"/>
                    <w:tr2bl w:val="nil"/>
                  </w:tcBorders>
                  <w:vAlign w:val="center"/>
                </w:tcPr>
                <w:p>
                  <w:pPr>
                    <w:jc w:val="center"/>
                    <w:rPr>
                      <w:rFonts w:eastAsiaTheme="minorEastAsia"/>
                      <w:color w:val="auto"/>
                      <w:szCs w:val="21"/>
                    </w:rPr>
                  </w:pPr>
                  <w:r>
                    <w:rPr>
                      <w:rFonts w:eastAsiaTheme="minorEastAsia"/>
                      <w:color w:val="auto"/>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vAlign w:val="center"/>
                </w:tcPr>
                <w:p>
                  <w:pPr>
                    <w:pStyle w:val="59"/>
                    <w:rPr>
                      <w:rFonts w:hint="default" w:eastAsiaTheme="minorEastAsia"/>
                      <w:b w:val="0"/>
                      <w:color w:val="auto"/>
                      <w:szCs w:val="21"/>
                      <w:lang w:val="en-US" w:eastAsia="zh-CN"/>
                    </w:rPr>
                  </w:pPr>
                  <w:r>
                    <w:rPr>
                      <w:rFonts w:hint="eastAsia" w:eastAsiaTheme="minorEastAsia"/>
                      <w:b w:val="0"/>
                      <w:color w:val="auto"/>
                      <w:szCs w:val="21"/>
                      <w:lang w:val="en-US" w:eastAsia="zh-CN"/>
                    </w:rPr>
                    <w:t>10</w:t>
                  </w:r>
                </w:p>
              </w:tc>
              <w:tc>
                <w:tcPr>
                  <w:tcW w:w="3325" w:type="dxa"/>
                  <w:gridSpan w:val="3"/>
                  <w:tcBorders>
                    <w:tl2br w:val="nil"/>
                    <w:tr2bl w:val="nil"/>
                  </w:tcBorders>
                  <w:vAlign w:val="center"/>
                </w:tcPr>
                <w:p>
                  <w:pPr>
                    <w:pStyle w:val="4"/>
                    <w:adjustRightInd w:val="0"/>
                    <w:snapToGrid w:val="0"/>
                    <w:spacing w:before="0" w:after="0" w:line="240" w:lineRule="auto"/>
                    <w:jc w:val="center"/>
                    <w:outlineLvl w:val="3"/>
                    <w:rPr>
                      <w:rFonts w:hint="eastAsia"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eastAsiaTheme="minorEastAsia"/>
                      <w:b w:val="0"/>
                      <w:bCs/>
                      <w:color w:val="auto"/>
                      <w:sz w:val="21"/>
                      <w:szCs w:val="21"/>
                      <w:lang w:val="en-US" w:eastAsia="zh-CN"/>
                    </w:rPr>
                    <w:t>蓄水池</w:t>
                  </w:r>
                </w:p>
              </w:tc>
              <w:tc>
                <w:tcPr>
                  <w:tcW w:w="2415" w:type="dxa"/>
                  <w:tcBorders>
                    <w:tl2br w:val="nil"/>
                    <w:tr2bl w:val="nil"/>
                  </w:tcBorders>
                  <w:vAlign w:val="center"/>
                </w:tcPr>
                <w:p>
                  <w:pPr>
                    <w:pStyle w:val="4"/>
                    <w:adjustRightInd w:val="0"/>
                    <w:snapToGrid w:val="0"/>
                    <w:spacing w:before="0" w:after="0" w:line="240" w:lineRule="auto"/>
                    <w:jc w:val="center"/>
                    <w:outlineLvl w:val="3"/>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eastAsiaTheme="minorEastAsia"/>
                      <w:b w:val="0"/>
                      <w:bCs/>
                      <w:color w:val="auto"/>
                      <w:sz w:val="21"/>
                      <w:szCs w:val="21"/>
                      <w:lang w:val="en-US" w:eastAsia="zh-CN"/>
                    </w:rPr>
                    <w:t>500</w:t>
                  </w:r>
                  <w:r>
                    <w:rPr>
                      <w:rFonts w:ascii="Times New Roman" w:hAnsi="Times New Roman" w:eastAsiaTheme="minorEastAsia"/>
                      <w:b w:val="0"/>
                      <w:bCs/>
                      <w:color w:val="auto"/>
                      <w:sz w:val="21"/>
                      <w:szCs w:val="21"/>
                    </w:rPr>
                    <w:t>m</w:t>
                  </w:r>
                  <w:r>
                    <w:rPr>
                      <w:rFonts w:ascii="Times New Roman" w:hAnsi="Times New Roman" w:eastAsiaTheme="minorEastAsia"/>
                      <w:b w:val="0"/>
                      <w:bCs/>
                      <w:color w:val="auto"/>
                      <w:sz w:val="21"/>
                      <w:szCs w:val="21"/>
                      <w:vertAlign w:val="superscript"/>
                    </w:rPr>
                    <w:t>3</w:t>
                  </w:r>
                </w:p>
              </w:tc>
              <w:tc>
                <w:tcPr>
                  <w:tcW w:w="1086" w:type="dxa"/>
                  <w:gridSpan w:val="2"/>
                  <w:tcBorders>
                    <w:tl2br w:val="nil"/>
                    <w:tr2bl w:val="nil"/>
                  </w:tcBorders>
                  <w:vAlign w:val="center"/>
                </w:tcPr>
                <w:p>
                  <w:pPr>
                    <w:pStyle w:val="4"/>
                    <w:adjustRightInd w:val="0"/>
                    <w:snapToGrid w:val="0"/>
                    <w:spacing w:before="0" w:after="0" w:line="240" w:lineRule="auto"/>
                    <w:jc w:val="center"/>
                    <w:outlineLvl w:val="3"/>
                    <w:rPr>
                      <w:rFonts w:hint="eastAsia"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eastAsiaTheme="minorEastAsia"/>
                      <w:b w:val="0"/>
                      <w:bCs/>
                      <w:color w:val="auto"/>
                      <w:sz w:val="21"/>
                      <w:szCs w:val="21"/>
                      <w:lang w:val="en-US" w:eastAsia="zh-CN"/>
                    </w:rPr>
                    <w:t>1</w:t>
                  </w:r>
                </w:p>
              </w:tc>
              <w:tc>
                <w:tcPr>
                  <w:tcW w:w="699" w:type="dxa"/>
                  <w:tcBorders>
                    <w:tl2br w:val="nil"/>
                    <w:tr2bl w:val="nil"/>
                  </w:tcBorders>
                  <w:vAlign w:val="center"/>
                </w:tcPr>
                <w:p>
                  <w:pPr>
                    <w:pStyle w:val="4"/>
                    <w:adjustRightInd w:val="0"/>
                    <w:snapToGrid w:val="0"/>
                    <w:spacing w:before="0" w:after="0" w:line="240" w:lineRule="auto"/>
                    <w:jc w:val="center"/>
                    <w:outlineLvl w:val="3"/>
                    <w:rPr>
                      <w:rFonts w:hint="eastAsia"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eastAsiaTheme="minorEastAsia"/>
                      <w:b w:val="0"/>
                      <w:bCs/>
                      <w:color w:val="auto"/>
                      <w:sz w:val="21"/>
                      <w:szCs w:val="21"/>
                      <w:lang w:val="en-US" w:eastAsia="zh-CN"/>
                    </w:rPr>
                    <w:t>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vAlign w:val="center"/>
                </w:tcPr>
                <w:p>
                  <w:pPr>
                    <w:pStyle w:val="59"/>
                    <w:rPr>
                      <w:rFonts w:hint="eastAsia" w:eastAsiaTheme="minorEastAsia"/>
                      <w:b w:val="0"/>
                      <w:color w:val="auto"/>
                      <w:szCs w:val="21"/>
                      <w:lang w:val="en-US" w:eastAsia="zh-CN"/>
                    </w:rPr>
                  </w:pPr>
                  <w:r>
                    <w:rPr>
                      <w:rFonts w:eastAsiaTheme="minorEastAsia"/>
                      <w:b w:val="0"/>
                      <w:color w:val="auto"/>
                      <w:szCs w:val="21"/>
                    </w:rPr>
                    <w:t>1</w:t>
                  </w:r>
                  <w:r>
                    <w:rPr>
                      <w:rFonts w:hint="eastAsia" w:eastAsiaTheme="minorEastAsia"/>
                      <w:b w:val="0"/>
                      <w:color w:val="auto"/>
                      <w:szCs w:val="21"/>
                      <w:lang w:val="en-US" w:eastAsia="zh-CN"/>
                    </w:rPr>
                    <w:t>1</w:t>
                  </w:r>
                </w:p>
              </w:tc>
              <w:tc>
                <w:tcPr>
                  <w:tcW w:w="3325" w:type="dxa"/>
                  <w:gridSpan w:val="3"/>
                  <w:tcBorders>
                    <w:tl2br w:val="nil"/>
                    <w:tr2bl w:val="nil"/>
                  </w:tcBorders>
                  <w:vAlign w:val="center"/>
                </w:tcPr>
                <w:p>
                  <w:pPr>
                    <w:pStyle w:val="4"/>
                    <w:adjustRightInd w:val="0"/>
                    <w:snapToGrid w:val="0"/>
                    <w:spacing w:before="0" w:after="0" w:line="240" w:lineRule="auto"/>
                    <w:jc w:val="center"/>
                    <w:outlineLvl w:val="3"/>
                    <w:rPr>
                      <w:rFonts w:hint="eastAsia" w:ascii="Times New Roman" w:hAnsi="Times New Roman" w:eastAsiaTheme="minorEastAsia"/>
                      <w:b w:val="0"/>
                      <w:bCs/>
                      <w:color w:val="auto"/>
                      <w:sz w:val="21"/>
                      <w:szCs w:val="21"/>
                      <w:lang w:eastAsia="zh-CN"/>
                    </w:rPr>
                  </w:pPr>
                  <w:r>
                    <w:rPr>
                      <w:rFonts w:ascii="Times New Roman" w:hAnsi="Times New Roman" w:eastAsiaTheme="minorEastAsia"/>
                      <w:b w:val="0"/>
                      <w:bCs/>
                      <w:color w:val="auto"/>
                      <w:sz w:val="21"/>
                      <w:szCs w:val="21"/>
                    </w:rPr>
                    <w:t>沉淀池</w:t>
                  </w:r>
                  <w:r>
                    <w:rPr>
                      <w:rFonts w:hint="eastAsia" w:ascii="Times New Roman" w:hAnsi="Times New Roman" w:eastAsiaTheme="minorEastAsia"/>
                      <w:b w:val="0"/>
                      <w:bCs/>
                      <w:color w:val="auto"/>
                      <w:sz w:val="21"/>
                      <w:szCs w:val="21"/>
                      <w:lang w:eastAsia="zh-CN"/>
                    </w:rPr>
                    <w:t>（</w:t>
                  </w:r>
                  <w:r>
                    <w:rPr>
                      <w:rFonts w:hint="eastAsia" w:ascii="Times New Roman" w:hAnsi="Times New Roman" w:eastAsiaTheme="minorEastAsia"/>
                      <w:b w:val="0"/>
                      <w:bCs/>
                      <w:color w:val="auto"/>
                      <w:sz w:val="21"/>
                      <w:szCs w:val="21"/>
                      <w:lang w:val="en-US" w:eastAsia="zh-CN"/>
                    </w:rPr>
                    <w:t>蓄水池配套</w:t>
                  </w:r>
                  <w:r>
                    <w:rPr>
                      <w:rFonts w:hint="eastAsia" w:ascii="Times New Roman" w:hAnsi="Times New Roman" w:eastAsiaTheme="minorEastAsia"/>
                      <w:b w:val="0"/>
                      <w:bCs/>
                      <w:color w:val="auto"/>
                      <w:sz w:val="21"/>
                      <w:szCs w:val="21"/>
                      <w:lang w:eastAsia="zh-CN"/>
                    </w:rPr>
                    <w:t>）</w:t>
                  </w:r>
                </w:p>
              </w:tc>
              <w:tc>
                <w:tcPr>
                  <w:tcW w:w="2415" w:type="dxa"/>
                  <w:tcBorders>
                    <w:tl2br w:val="nil"/>
                    <w:tr2bl w:val="nil"/>
                  </w:tcBorders>
                  <w:vAlign w:val="center"/>
                </w:tcPr>
                <w:p>
                  <w:pPr>
                    <w:pStyle w:val="4"/>
                    <w:adjustRightInd w:val="0"/>
                    <w:snapToGrid w:val="0"/>
                    <w:spacing w:before="0" w:after="0" w:line="240" w:lineRule="auto"/>
                    <w:jc w:val="center"/>
                    <w:outlineLvl w:val="3"/>
                    <w:rPr>
                      <w:rFonts w:ascii="Times New Roman" w:hAnsi="Times New Roman" w:eastAsiaTheme="minorEastAsia"/>
                      <w:b w:val="0"/>
                      <w:bCs/>
                      <w:color w:val="auto"/>
                      <w:sz w:val="21"/>
                      <w:szCs w:val="21"/>
                    </w:rPr>
                  </w:pPr>
                  <w:r>
                    <w:rPr>
                      <w:rFonts w:hint="eastAsia" w:ascii="Times New Roman" w:hAnsi="Times New Roman" w:eastAsiaTheme="minorEastAsia"/>
                      <w:b w:val="0"/>
                      <w:bCs/>
                      <w:color w:val="auto"/>
                      <w:sz w:val="21"/>
                      <w:szCs w:val="21"/>
                      <w:lang w:val="en-US" w:eastAsia="zh-CN"/>
                    </w:rPr>
                    <w:t>300</w:t>
                  </w:r>
                  <w:r>
                    <w:rPr>
                      <w:rFonts w:ascii="Times New Roman" w:hAnsi="Times New Roman" w:eastAsiaTheme="minorEastAsia"/>
                      <w:b w:val="0"/>
                      <w:bCs/>
                      <w:color w:val="auto"/>
                      <w:sz w:val="21"/>
                      <w:szCs w:val="21"/>
                    </w:rPr>
                    <w:t>m</w:t>
                  </w:r>
                  <w:r>
                    <w:rPr>
                      <w:rFonts w:ascii="Times New Roman" w:hAnsi="Times New Roman" w:eastAsiaTheme="minorEastAsia"/>
                      <w:b w:val="0"/>
                      <w:bCs/>
                      <w:color w:val="auto"/>
                      <w:sz w:val="21"/>
                      <w:szCs w:val="21"/>
                      <w:vertAlign w:val="superscript"/>
                    </w:rPr>
                    <w:t>3</w:t>
                  </w:r>
                </w:p>
              </w:tc>
              <w:tc>
                <w:tcPr>
                  <w:tcW w:w="1086" w:type="dxa"/>
                  <w:gridSpan w:val="2"/>
                  <w:tcBorders>
                    <w:tl2br w:val="nil"/>
                    <w:tr2bl w:val="nil"/>
                  </w:tcBorders>
                  <w:vAlign w:val="center"/>
                </w:tcPr>
                <w:p>
                  <w:pPr>
                    <w:pStyle w:val="4"/>
                    <w:adjustRightInd w:val="0"/>
                    <w:snapToGrid w:val="0"/>
                    <w:spacing w:before="0" w:after="0" w:line="240" w:lineRule="auto"/>
                    <w:jc w:val="center"/>
                    <w:outlineLvl w:val="3"/>
                    <w:rPr>
                      <w:rFonts w:ascii="Times New Roman" w:hAnsi="Times New Roman" w:eastAsiaTheme="minorEastAsia"/>
                      <w:b w:val="0"/>
                      <w:bCs/>
                      <w:color w:val="auto"/>
                      <w:sz w:val="21"/>
                      <w:szCs w:val="21"/>
                    </w:rPr>
                  </w:pPr>
                  <w:r>
                    <w:rPr>
                      <w:rFonts w:ascii="Times New Roman" w:hAnsi="Times New Roman" w:eastAsiaTheme="minorEastAsia"/>
                      <w:b w:val="0"/>
                      <w:bCs/>
                      <w:color w:val="auto"/>
                      <w:sz w:val="21"/>
                      <w:szCs w:val="21"/>
                    </w:rPr>
                    <w:t>1</w:t>
                  </w:r>
                </w:p>
              </w:tc>
              <w:tc>
                <w:tcPr>
                  <w:tcW w:w="699" w:type="dxa"/>
                  <w:tcBorders>
                    <w:tl2br w:val="nil"/>
                    <w:tr2bl w:val="nil"/>
                  </w:tcBorders>
                  <w:vAlign w:val="center"/>
                </w:tcPr>
                <w:p>
                  <w:pPr>
                    <w:pStyle w:val="4"/>
                    <w:adjustRightInd w:val="0"/>
                    <w:snapToGrid w:val="0"/>
                    <w:spacing w:before="0" w:after="0" w:line="240" w:lineRule="auto"/>
                    <w:jc w:val="center"/>
                    <w:outlineLvl w:val="3"/>
                    <w:rPr>
                      <w:rFonts w:ascii="Times New Roman" w:hAnsi="Times New Roman" w:eastAsiaTheme="minorEastAsia"/>
                      <w:b w:val="0"/>
                      <w:bCs/>
                      <w:color w:val="auto"/>
                      <w:sz w:val="21"/>
                      <w:szCs w:val="21"/>
                    </w:rPr>
                  </w:pPr>
                  <w:r>
                    <w:rPr>
                      <w:rFonts w:ascii="Times New Roman" w:hAnsi="Times New Roman" w:eastAsiaTheme="minorEastAsia"/>
                      <w:b w:val="0"/>
                      <w:bCs/>
                      <w:color w:val="auto"/>
                      <w:sz w:val="21"/>
                      <w:szCs w:val="21"/>
                    </w:rPr>
                    <w:t>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4" w:type="dxa"/>
                  <w:tcBorders>
                    <w:tl2br w:val="nil"/>
                    <w:tr2bl w:val="nil"/>
                  </w:tcBorders>
                  <w:vAlign w:val="center"/>
                </w:tcPr>
                <w:p>
                  <w:pPr>
                    <w:pStyle w:val="59"/>
                    <w:rPr>
                      <w:rFonts w:hint="default" w:eastAsiaTheme="minorEastAsia"/>
                      <w:b w:val="0"/>
                      <w:color w:val="auto"/>
                      <w:szCs w:val="21"/>
                      <w:lang w:val="en-US" w:eastAsia="zh-CN"/>
                    </w:rPr>
                  </w:pPr>
                  <w:r>
                    <w:rPr>
                      <w:rFonts w:hint="eastAsia" w:eastAsiaTheme="minorEastAsia"/>
                      <w:b w:val="0"/>
                      <w:color w:val="auto"/>
                      <w:szCs w:val="21"/>
                      <w:lang w:val="en-US" w:eastAsia="zh-CN"/>
                    </w:rPr>
                    <w:t>12</w:t>
                  </w:r>
                </w:p>
              </w:tc>
              <w:tc>
                <w:tcPr>
                  <w:tcW w:w="3325" w:type="dxa"/>
                  <w:gridSpan w:val="3"/>
                  <w:tcBorders>
                    <w:tl2br w:val="nil"/>
                    <w:tr2bl w:val="nil"/>
                  </w:tcBorders>
                  <w:vAlign w:val="center"/>
                </w:tcPr>
                <w:p>
                  <w:pPr>
                    <w:pStyle w:val="4"/>
                    <w:adjustRightInd w:val="0"/>
                    <w:snapToGrid w:val="0"/>
                    <w:spacing w:before="0" w:after="0" w:line="240" w:lineRule="auto"/>
                    <w:jc w:val="center"/>
                    <w:outlineLvl w:val="3"/>
                    <w:rPr>
                      <w:rFonts w:hint="default" w:ascii="Times New Roman" w:hAnsi="Times New Roman" w:eastAsiaTheme="minorEastAsia"/>
                      <w:b w:val="0"/>
                      <w:bCs/>
                      <w:color w:val="auto"/>
                      <w:sz w:val="21"/>
                      <w:szCs w:val="21"/>
                      <w:lang w:val="en-US" w:eastAsia="zh-CN"/>
                    </w:rPr>
                  </w:pPr>
                  <w:r>
                    <w:rPr>
                      <w:rFonts w:hint="eastAsia" w:ascii="Times New Roman" w:hAnsi="Times New Roman" w:eastAsiaTheme="minorEastAsia"/>
                      <w:b w:val="0"/>
                      <w:bCs/>
                      <w:color w:val="auto"/>
                      <w:sz w:val="21"/>
                      <w:szCs w:val="21"/>
                      <w:lang w:val="en-US" w:eastAsia="zh-CN"/>
                    </w:rPr>
                    <w:t>临时沉淀池</w:t>
                  </w:r>
                </w:p>
              </w:tc>
              <w:tc>
                <w:tcPr>
                  <w:tcW w:w="2415" w:type="dxa"/>
                  <w:tcBorders>
                    <w:tl2br w:val="nil"/>
                    <w:tr2bl w:val="nil"/>
                  </w:tcBorders>
                  <w:vAlign w:val="center"/>
                </w:tcPr>
                <w:p>
                  <w:pPr>
                    <w:pStyle w:val="4"/>
                    <w:adjustRightInd w:val="0"/>
                    <w:snapToGrid w:val="0"/>
                    <w:spacing w:before="0" w:after="0" w:line="240" w:lineRule="auto"/>
                    <w:jc w:val="center"/>
                    <w:outlineLvl w:val="3"/>
                    <w:rPr>
                      <w:rFonts w:hint="default" w:ascii="Times New Roman" w:hAnsi="Times New Roman" w:eastAsiaTheme="minorEastAsia"/>
                      <w:b w:val="0"/>
                      <w:bCs/>
                      <w:color w:val="auto"/>
                      <w:sz w:val="21"/>
                      <w:szCs w:val="21"/>
                      <w:lang w:val="en-US" w:eastAsia="zh-CN"/>
                    </w:rPr>
                  </w:pPr>
                  <w:r>
                    <w:rPr>
                      <w:rFonts w:hint="eastAsia" w:ascii="Times New Roman" w:hAnsi="Times New Roman" w:eastAsiaTheme="minorEastAsia"/>
                      <w:b w:val="0"/>
                      <w:bCs/>
                      <w:color w:val="auto"/>
                      <w:sz w:val="21"/>
                      <w:szCs w:val="21"/>
                      <w:lang w:val="en-US" w:eastAsia="zh-CN"/>
                    </w:rPr>
                    <w:t>容积：10</w:t>
                  </w:r>
                  <w:r>
                    <w:rPr>
                      <w:rFonts w:ascii="Times New Roman" w:hAnsi="Times New Roman" w:eastAsiaTheme="minorEastAsia"/>
                      <w:b w:val="0"/>
                      <w:bCs/>
                      <w:color w:val="auto"/>
                      <w:sz w:val="21"/>
                      <w:szCs w:val="21"/>
                    </w:rPr>
                    <w:t>m</w:t>
                  </w:r>
                  <w:r>
                    <w:rPr>
                      <w:rFonts w:ascii="Times New Roman" w:hAnsi="Times New Roman" w:eastAsiaTheme="minorEastAsia"/>
                      <w:b w:val="0"/>
                      <w:bCs/>
                      <w:color w:val="auto"/>
                      <w:sz w:val="21"/>
                      <w:szCs w:val="21"/>
                      <w:vertAlign w:val="superscript"/>
                    </w:rPr>
                    <w:t>3</w:t>
                  </w:r>
                </w:p>
              </w:tc>
              <w:tc>
                <w:tcPr>
                  <w:tcW w:w="1086" w:type="dxa"/>
                  <w:gridSpan w:val="2"/>
                  <w:tcBorders>
                    <w:tl2br w:val="nil"/>
                    <w:tr2bl w:val="nil"/>
                  </w:tcBorders>
                  <w:vAlign w:val="center"/>
                </w:tcPr>
                <w:p>
                  <w:pPr>
                    <w:pStyle w:val="4"/>
                    <w:adjustRightInd w:val="0"/>
                    <w:snapToGrid w:val="0"/>
                    <w:spacing w:before="0" w:after="0" w:line="240" w:lineRule="auto"/>
                    <w:jc w:val="center"/>
                    <w:outlineLvl w:val="3"/>
                    <w:rPr>
                      <w:rFonts w:hint="default" w:ascii="Times New Roman" w:hAnsi="Times New Roman" w:eastAsiaTheme="minorEastAsia"/>
                      <w:b w:val="0"/>
                      <w:bCs/>
                      <w:color w:val="auto"/>
                      <w:sz w:val="21"/>
                      <w:szCs w:val="21"/>
                      <w:lang w:val="en-US" w:eastAsia="zh-CN"/>
                    </w:rPr>
                  </w:pPr>
                  <w:r>
                    <w:rPr>
                      <w:rFonts w:hint="eastAsia" w:ascii="Times New Roman" w:hAnsi="Times New Roman" w:eastAsiaTheme="minorEastAsia"/>
                      <w:b w:val="0"/>
                      <w:bCs/>
                      <w:color w:val="auto"/>
                      <w:sz w:val="21"/>
                      <w:szCs w:val="21"/>
                      <w:lang w:val="en-US" w:eastAsia="zh-CN"/>
                    </w:rPr>
                    <w:t>1</w:t>
                  </w:r>
                </w:p>
              </w:tc>
              <w:tc>
                <w:tcPr>
                  <w:tcW w:w="699" w:type="dxa"/>
                  <w:tcBorders>
                    <w:tl2br w:val="nil"/>
                    <w:tr2bl w:val="nil"/>
                  </w:tcBorders>
                  <w:vAlign w:val="center"/>
                </w:tcPr>
                <w:p>
                  <w:pPr>
                    <w:pStyle w:val="4"/>
                    <w:adjustRightInd w:val="0"/>
                    <w:snapToGrid w:val="0"/>
                    <w:spacing w:before="0" w:after="0" w:line="240" w:lineRule="auto"/>
                    <w:jc w:val="center"/>
                    <w:outlineLvl w:val="3"/>
                    <w:rPr>
                      <w:rFonts w:hint="default" w:ascii="Times New Roman" w:hAnsi="Times New Roman" w:eastAsiaTheme="minorEastAsia"/>
                      <w:b w:val="0"/>
                      <w:bCs/>
                      <w:color w:val="auto"/>
                      <w:sz w:val="21"/>
                      <w:szCs w:val="21"/>
                      <w:lang w:val="en-US" w:eastAsia="zh-CN"/>
                    </w:rPr>
                  </w:pPr>
                  <w:r>
                    <w:rPr>
                      <w:rFonts w:hint="eastAsia" w:ascii="Times New Roman" w:hAnsi="Times New Roman" w:eastAsiaTheme="minorEastAsia"/>
                      <w:b w:val="0"/>
                      <w:bCs/>
                      <w:color w:val="auto"/>
                      <w:sz w:val="21"/>
                      <w:szCs w:val="21"/>
                      <w:lang w:val="en-US" w:eastAsia="zh-CN"/>
                    </w:rPr>
                    <w:t>座</w:t>
                  </w:r>
                </w:p>
              </w:tc>
            </w:tr>
          </w:tbl>
          <w:p>
            <w:pPr>
              <w:pStyle w:val="6"/>
              <w:keepNext w:val="0"/>
              <w:keepLines w:val="0"/>
              <w:pageBreakBefore w:val="0"/>
              <w:widowControl w:val="0"/>
              <w:kinsoku/>
              <w:wordWrap/>
              <w:overflowPunct/>
              <w:topLinePunct w:val="0"/>
              <w:autoSpaceDE/>
              <w:autoSpaceDN/>
              <w:bidi w:val="0"/>
              <w:adjustRightInd w:val="0"/>
              <w:snapToGrid w:val="0"/>
              <w:spacing w:before="156" w:beforeLines="50" w:after="0" w:line="360" w:lineRule="auto"/>
              <w:ind w:firstLine="0" w:firstLineChars="0"/>
              <w:textAlignment w:val="auto"/>
              <w:rPr>
                <w:rFonts w:hint="eastAsia"/>
                <w:b/>
                <w:bCs/>
                <w:color w:val="auto"/>
                <w:szCs w:val="24"/>
                <w:lang w:val="en-US" w:eastAsia="zh-CN"/>
              </w:rPr>
            </w:pPr>
            <w:r>
              <w:rPr>
                <w:rFonts w:hint="eastAsia"/>
                <w:b/>
                <w:bCs/>
                <w:color w:val="auto"/>
                <w:szCs w:val="24"/>
                <w:lang w:val="en-US" w:eastAsia="zh-CN"/>
              </w:rPr>
              <w:t>7、主要原辅材料的种类和用量</w:t>
            </w:r>
          </w:p>
          <w:p>
            <w:pPr>
              <w:pStyle w:val="6"/>
              <w:adjustRightInd w:val="0"/>
              <w:snapToGrid w:val="0"/>
              <w:spacing w:after="0" w:line="360" w:lineRule="auto"/>
              <w:ind w:left="0" w:leftChars="0"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根据建设单位提供资料，混凝土制造主要原料均从市场购买，主要为不同规格碎石、水洗砂、水泥和外加剂等。原辅材料在运营周期内用量情况见表2-</w:t>
            </w:r>
            <w:r>
              <w:rPr>
                <w:rFonts w:hint="eastAsia"/>
                <w:color w:val="000000" w:themeColor="text1"/>
                <w:szCs w:val="24"/>
                <w14:textFill>
                  <w14:solidFill>
                    <w14:schemeClr w14:val="tx1"/>
                  </w14:solidFill>
                </w14:textFill>
              </w:rPr>
              <w:t>5</w:t>
            </w:r>
            <w:r>
              <w:rPr>
                <w:color w:val="000000" w:themeColor="text1"/>
                <w:szCs w:val="24"/>
                <w14:textFill>
                  <w14:solidFill>
                    <w14:schemeClr w14:val="tx1"/>
                  </w14:solidFill>
                </w14:textFill>
              </w:rPr>
              <w:t>。</w:t>
            </w:r>
          </w:p>
          <w:p>
            <w:pPr>
              <w:pStyle w:val="6"/>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表2-</w:t>
            </w:r>
            <w:r>
              <w:rPr>
                <w:rFonts w:hint="eastAsia"/>
                <w:b/>
                <w:bCs/>
                <w:color w:val="000000" w:themeColor="text1"/>
                <w:sz w:val="21"/>
                <w:szCs w:val="21"/>
                <w14:textFill>
                  <w14:solidFill>
                    <w14:schemeClr w14:val="tx1"/>
                  </w14:solidFill>
                </w14:textFill>
              </w:rPr>
              <w:t>5</w:t>
            </w:r>
            <w:r>
              <w:rPr>
                <w:b/>
                <w:bCs/>
                <w:color w:val="000000" w:themeColor="text1"/>
                <w:sz w:val="21"/>
                <w:szCs w:val="21"/>
                <w14:textFill>
                  <w14:solidFill>
                    <w14:schemeClr w14:val="tx1"/>
                  </w14:solidFill>
                </w14:textFill>
              </w:rPr>
              <w:t xml:space="preserve">  </w:t>
            </w:r>
            <w:r>
              <w:rPr>
                <w:rFonts w:hint="eastAsia"/>
                <w:b/>
                <w:bCs/>
                <w:color w:val="000000" w:themeColor="text1"/>
                <w:sz w:val="21"/>
                <w:szCs w:val="21"/>
                <w14:textFill>
                  <w14:solidFill>
                    <w14:schemeClr w14:val="tx1"/>
                  </w14:solidFill>
                </w14:textFill>
              </w:rPr>
              <w:t xml:space="preserve"> </w:t>
            </w:r>
            <w:r>
              <w:rPr>
                <w:b/>
                <w:bCs/>
                <w:color w:val="000000" w:themeColor="text1"/>
                <w:sz w:val="21"/>
                <w:szCs w:val="21"/>
                <w14:textFill>
                  <w14:solidFill>
                    <w14:schemeClr w14:val="tx1"/>
                  </w14:solidFill>
                </w14:textFill>
              </w:rPr>
              <w:t>原辅材料运营周期内用量情况一览表</w:t>
            </w:r>
          </w:p>
          <w:tbl>
            <w:tblPr>
              <w:tblStyle w:val="25"/>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1"/>
              <w:gridCol w:w="543"/>
              <w:gridCol w:w="951"/>
              <w:gridCol w:w="1480"/>
              <w:gridCol w:w="2341"/>
              <w:gridCol w:w="1296"/>
              <w:gridCol w:w="11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dxa"/>
                  <w:vAlign w:val="center"/>
                </w:tcPr>
                <w:p>
                  <w:pPr>
                    <w:pStyle w:val="6"/>
                    <w:adjustRightInd w:val="0"/>
                    <w:snapToGrid w:val="0"/>
                    <w:spacing w:after="0"/>
                    <w:ind w:left="0" w:leftChars="0" w:firstLine="0" w:firstLineChars="0"/>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序号</w:t>
                  </w:r>
                </w:p>
              </w:tc>
              <w:tc>
                <w:tcPr>
                  <w:tcW w:w="1494" w:type="dxa"/>
                  <w:gridSpan w:val="2"/>
                  <w:vAlign w:val="center"/>
                </w:tcPr>
                <w:p>
                  <w:pPr>
                    <w:pStyle w:val="6"/>
                    <w:adjustRightInd w:val="0"/>
                    <w:snapToGrid w:val="0"/>
                    <w:spacing w:after="0"/>
                    <w:ind w:left="0" w:leftChars="0" w:firstLine="0" w:firstLineChars="0"/>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名称</w:t>
                  </w:r>
                </w:p>
              </w:tc>
              <w:tc>
                <w:tcPr>
                  <w:tcW w:w="1480" w:type="dxa"/>
                  <w:vAlign w:val="center"/>
                </w:tcPr>
                <w:p>
                  <w:pPr>
                    <w:pStyle w:val="6"/>
                    <w:adjustRightInd w:val="0"/>
                    <w:snapToGrid w:val="0"/>
                    <w:spacing w:after="0"/>
                    <w:ind w:left="0" w:leftChars="0" w:firstLine="0" w:firstLineChars="0"/>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运营周期内消耗总量（t）</w:t>
                  </w:r>
                </w:p>
              </w:tc>
              <w:tc>
                <w:tcPr>
                  <w:tcW w:w="2341" w:type="dxa"/>
                  <w:vAlign w:val="center"/>
                </w:tcPr>
                <w:p>
                  <w:pPr>
                    <w:pStyle w:val="6"/>
                    <w:adjustRightInd w:val="0"/>
                    <w:snapToGrid w:val="0"/>
                    <w:spacing w:after="0"/>
                    <w:ind w:left="0" w:leftChars="0" w:firstLine="0" w:firstLineChars="0"/>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外购产地</w:t>
                  </w:r>
                </w:p>
              </w:tc>
              <w:tc>
                <w:tcPr>
                  <w:tcW w:w="1296" w:type="dxa"/>
                  <w:vAlign w:val="center"/>
                </w:tcPr>
                <w:p>
                  <w:pPr>
                    <w:pStyle w:val="6"/>
                    <w:adjustRightInd w:val="0"/>
                    <w:snapToGrid w:val="0"/>
                    <w:spacing w:after="0"/>
                    <w:ind w:left="0" w:leftChars="0" w:firstLine="0" w:firstLineChars="0"/>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规格型号</w:t>
                  </w:r>
                </w:p>
              </w:tc>
              <w:tc>
                <w:tcPr>
                  <w:tcW w:w="1178" w:type="dxa"/>
                  <w:vAlign w:val="center"/>
                </w:tcPr>
                <w:p>
                  <w:pPr>
                    <w:pStyle w:val="6"/>
                    <w:adjustRightInd w:val="0"/>
                    <w:snapToGrid w:val="0"/>
                    <w:spacing w:after="0"/>
                    <w:ind w:left="0" w:leftChars="0" w:firstLine="0" w:firstLineChars="0"/>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储存方式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dxa"/>
                  <w:vAlign w:val="center"/>
                </w:tcPr>
                <w:p>
                  <w:pPr>
                    <w:pStyle w:val="6"/>
                    <w:adjustRightInd w:val="0"/>
                    <w:snapToGrid w:val="0"/>
                    <w:spacing w:after="0"/>
                    <w:ind w:left="0" w:leftChars="0" w:firstLine="0" w:firstLineChars="0"/>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1</w:t>
                  </w:r>
                </w:p>
              </w:tc>
              <w:tc>
                <w:tcPr>
                  <w:tcW w:w="1494" w:type="dxa"/>
                  <w:gridSpan w:val="2"/>
                  <w:vAlign w:val="center"/>
                </w:tcPr>
                <w:p>
                  <w:pPr>
                    <w:pStyle w:val="6"/>
                    <w:adjustRightInd w:val="0"/>
                    <w:snapToGrid w:val="0"/>
                    <w:spacing w:after="0"/>
                    <w:ind w:left="0" w:leftChars="0"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水泥</w:t>
                  </w:r>
                </w:p>
              </w:tc>
              <w:tc>
                <w:tcPr>
                  <w:tcW w:w="1480" w:type="dxa"/>
                  <w:vAlign w:val="center"/>
                </w:tcPr>
                <w:p>
                  <w:pPr>
                    <w:pStyle w:val="6"/>
                    <w:adjustRightInd w:val="0"/>
                    <w:snapToGrid w:val="0"/>
                    <w:spacing w:after="0"/>
                    <w:ind w:left="0" w:leftChars="0"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13803</w:t>
                  </w:r>
                </w:p>
              </w:tc>
              <w:tc>
                <w:tcPr>
                  <w:tcW w:w="2341" w:type="dxa"/>
                  <w:vAlign w:val="center"/>
                </w:tcPr>
                <w:p>
                  <w:pPr>
                    <w:pStyle w:val="6"/>
                    <w:adjustRightInd w:val="0"/>
                    <w:snapToGrid w:val="0"/>
                    <w:spacing w:after="0"/>
                    <w:ind w:left="0" w:leftChars="0"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宁夏</w:t>
                  </w:r>
                  <w:r>
                    <w:rPr>
                      <w:rFonts w:hint="eastAsia" w:eastAsiaTheme="minorEastAsia"/>
                      <w:color w:val="000000" w:themeColor="text1"/>
                      <w:sz w:val="21"/>
                      <w:szCs w:val="21"/>
                      <w:lang w:val="en-US" w:eastAsia="zh-CN"/>
                      <w14:textFill>
                        <w14:solidFill>
                          <w14:schemeClr w14:val="tx1"/>
                        </w14:solidFill>
                      </w14:textFill>
                    </w:rPr>
                    <w:t>瀛海天祥</w:t>
                  </w:r>
                  <w:r>
                    <w:rPr>
                      <w:rFonts w:eastAsiaTheme="minorEastAsia"/>
                      <w:color w:val="000000" w:themeColor="text1"/>
                      <w:sz w:val="21"/>
                      <w:szCs w:val="21"/>
                      <w14:textFill>
                        <w14:solidFill>
                          <w14:schemeClr w14:val="tx1"/>
                        </w14:solidFill>
                      </w14:textFill>
                    </w:rPr>
                    <w:t>建材有限公司</w:t>
                  </w:r>
                </w:p>
              </w:tc>
              <w:tc>
                <w:tcPr>
                  <w:tcW w:w="1296" w:type="dxa"/>
                  <w:vAlign w:val="center"/>
                </w:tcPr>
                <w:p>
                  <w:pPr>
                    <w:pStyle w:val="6"/>
                    <w:adjustRightInd w:val="0"/>
                    <w:snapToGrid w:val="0"/>
                    <w:spacing w:after="0"/>
                    <w:ind w:left="0" w:leftChars="0"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P042.5</w:t>
                  </w:r>
                </w:p>
              </w:tc>
              <w:tc>
                <w:tcPr>
                  <w:tcW w:w="1178" w:type="dxa"/>
                  <w:vAlign w:val="center"/>
                </w:tcPr>
                <w:p>
                  <w:pPr>
                    <w:pStyle w:val="6"/>
                    <w:adjustRightInd w:val="0"/>
                    <w:snapToGrid w:val="0"/>
                    <w:spacing w:after="0"/>
                    <w:ind w:left="0" w:leftChars="0" w:firstLine="0" w:firstLineChars="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4个100t</w:t>
                  </w:r>
                  <w:r>
                    <w:rPr>
                      <w:rFonts w:eastAsiaTheme="minorEastAsia"/>
                      <w:color w:val="000000" w:themeColor="text1"/>
                      <w:sz w:val="21"/>
                      <w:szCs w:val="21"/>
                      <w14:textFill>
                        <w14:solidFill>
                          <w14:schemeClr w14:val="tx1"/>
                        </w14:solidFill>
                      </w14:textFill>
                    </w:rPr>
                    <w:t>水泥仓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dxa"/>
                  <w:vAlign w:val="center"/>
                </w:tcPr>
                <w:p>
                  <w:pPr>
                    <w:pStyle w:val="6"/>
                    <w:adjustRightInd w:val="0"/>
                    <w:snapToGrid w:val="0"/>
                    <w:spacing w:after="0"/>
                    <w:ind w:left="0" w:leftChars="0" w:firstLine="0" w:firstLineChars="0"/>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3</w:t>
                  </w:r>
                </w:p>
              </w:tc>
              <w:tc>
                <w:tcPr>
                  <w:tcW w:w="1494" w:type="dxa"/>
                  <w:gridSpan w:val="2"/>
                  <w:vAlign w:val="center"/>
                </w:tcPr>
                <w:p>
                  <w:pPr>
                    <w:pStyle w:val="6"/>
                    <w:adjustRightInd w:val="0"/>
                    <w:snapToGrid w:val="0"/>
                    <w:spacing w:after="0"/>
                    <w:ind w:left="0" w:leftChars="0"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水</w:t>
                  </w:r>
                </w:p>
              </w:tc>
              <w:tc>
                <w:tcPr>
                  <w:tcW w:w="1480" w:type="dxa"/>
                  <w:vAlign w:val="center"/>
                </w:tcPr>
                <w:p>
                  <w:pPr>
                    <w:pStyle w:val="6"/>
                    <w:adjustRightInd w:val="0"/>
                    <w:snapToGrid w:val="0"/>
                    <w:spacing w:after="0"/>
                    <w:ind w:left="0" w:leftChars="0"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5915</w:t>
                  </w:r>
                </w:p>
              </w:tc>
              <w:tc>
                <w:tcPr>
                  <w:tcW w:w="2341" w:type="dxa"/>
                  <w:vAlign w:val="center"/>
                </w:tcPr>
                <w:p>
                  <w:pPr>
                    <w:pStyle w:val="6"/>
                    <w:adjustRightInd w:val="0"/>
                    <w:snapToGrid w:val="0"/>
                    <w:spacing w:after="0"/>
                    <w:ind w:left="0" w:leftChars="0"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1296" w:type="dxa"/>
                  <w:vAlign w:val="center"/>
                </w:tcPr>
                <w:p>
                  <w:pPr>
                    <w:pStyle w:val="6"/>
                    <w:adjustRightInd w:val="0"/>
                    <w:snapToGrid w:val="0"/>
                    <w:spacing w:after="0"/>
                    <w:ind w:left="0" w:leftChars="0"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洁净淡水</w:t>
                  </w:r>
                </w:p>
                <w:p>
                  <w:pPr>
                    <w:pStyle w:val="6"/>
                    <w:adjustRightInd w:val="0"/>
                    <w:snapToGrid w:val="0"/>
                    <w:spacing w:after="0"/>
                    <w:ind w:left="0" w:leftChars="0"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（地表水）</w:t>
                  </w:r>
                </w:p>
              </w:tc>
              <w:tc>
                <w:tcPr>
                  <w:tcW w:w="1178" w:type="dxa"/>
                  <w:vAlign w:val="center"/>
                </w:tcPr>
                <w:p>
                  <w:pPr>
                    <w:adjustRightInd w:val="0"/>
                    <w:snapToGrid w:val="0"/>
                    <w:jc w:val="center"/>
                    <w:rPr>
                      <w:rFonts w:hint="default" w:eastAsiaTheme="minorEastAsia"/>
                      <w:color w:val="000000" w:themeColor="text1"/>
                      <w:kern w:val="0"/>
                      <w:szCs w:val="21"/>
                      <w:lang w:val="en-US" w:eastAsia="zh-CN"/>
                      <w14:textFill>
                        <w14:solidFill>
                          <w14:schemeClr w14:val="tx1"/>
                        </w14:solidFill>
                      </w14:textFill>
                    </w:rPr>
                  </w:pPr>
                  <w:r>
                    <w:rPr>
                      <w:rFonts w:hint="eastAsia" w:eastAsiaTheme="minorEastAsia"/>
                      <w:color w:val="000000" w:themeColor="text1"/>
                      <w:kern w:val="0"/>
                      <w:szCs w:val="21"/>
                      <w:lang w:val="en-US" w:eastAsia="zh-CN"/>
                      <w14:textFill>
                        <w14:solidFill>
                          <w14:schemeClr w14:val="tx1"/>
                        </w14:solidFill>
                      </w14:textFill>
                    </w:rPr>
                    <w:t>蓄水池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dxa"/>
                  <w:vAlign w:val="center"/>
                </w:tcPr>
                <w:p>
                  <w:pPr>
                    <w:pStyle w:val="6"/>
                    <w:adjustRightInd w:val="0"/>
                    <w:snapToGrid w:val="0"/>
                    <w:spacing w:after="0"/>
                    <w:ind w:left="0" w:leftChars="0" w:firstLine="0" w:firstLineChars="0"/>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4</w:t>
                  </w:r>
                </w:p>
              </w:tc>
              <w:tc>
                <w:tcPr>
                  <w:tcW w:w="1494" w:type="dxa"/>
                  <w:gridSpan w:val="2"/>
                  <w:vAlign w:val="center"/>
                </w:tcPr>
                <w:p>
                  <w:pPr>
                    <w:pStyle w:val="6"/>
                    <w:adjustRightInd w:val="0"/>
                    <w:snapToGrid w:val="0"/>
                    <w:spacing w:after="0"/>
                    <w:ind w:left="0" w:leftChars="0"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水洗砂</w:t>
                  </w:r>
                </w:p>
              </w:tc>
              <w:tc>
                <w:tcPr>
                  <w:tcW w:w="1480" w:type="dxa"/>
                  <w:vAlign w:val="center"/>
                </w:tcPr>
                <w:p>
                  <w:pPr>
                    <w:pStyle w:val="6"/>
                    <w:adjustRightInd w:val="0"/>
                    <w:snapToGrid w:val="0"/>
                    <w:spacing w:after="0"/>
                    <w:ind w:left="0" w:leftChars="0"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31312</w:t>
                  </w:r>
                </w:p>
              </w:tc>
              <w:tc>
                <w:tcPr>
                  <w:tcW w:w="2341" w:type="dxa"/>
                  <w:vAlign w:val="center"/>
                </w:tcPr>
                <w:p>
                  <w:pPr>
                    <w:pStyle w:val="6"/>
                    <w:adjustRightInd w:val="0"/>
                    <w:snapToGrid w:val="0"/>
                    <w:spacing w:after="0"/>
                    <w:ind w:left="0" w:leftChars="0" w:firstLine="0" w:firstLineChars="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中卫市常乐镇</w:t>
                  </w:r>
                  <w:r>
                    <w:rPr>
                      <w:rFonts w:eastAsiaTheme="minorEastAsia"/>
                      <w:color w:val="000000" w:themeColor="text1"/>
                      <w:sz w:val="21"/>
                      <w:szCs w:val="21"/>
                      <w14:textFill>
                        <w14:solidFill>
                          <w14:schemeClr w14:val="tx1"/>
                        </w14:solidFill>
                      </w14:textFill>
                    </w:rPr>
                    <w:t>，细模</w:t>
                  </w:r>
                  <w:r>
                    <w:rPr>
                      <w:rFonts w:hint="eastAsia" w:eastAsiaTheme="minorEastAsia"/>
                      <w:color w:val="000000" w:themeColor="text1"/>
                      <w:sz w:val="21"/>
                      <w:szCs w:val="21"/>
                      <w:lang w:val="en-US" w:eastAsia="zh-CN"/>
                      <w14:textFill>
                        <w14:solidFill>
                          <w14:schemeClr w14:val="tx1"/>
                        </w14:solidFill>
                      </w14:textFill>
                    </w:rPr>
                    <w:t>3.0</w:t>
                  </w:r>
                  <w:r>
                    <w:rPr>
                      <w:rFonts w:eastAsiaTheme="minorEastAsia"/>
                      <w:color w:val="000000" w:themeColor="text1"/>
                      <w:sz w:val="21"/>
                      <w:szCs w:val="21"/>
                      <w14:textFill>
                        <w14:solidFill>
                          <w14:schemeClr w14:val="tx1"/>
                        </w14:solidFill>
                      </w14:textFill>
                    </w:rPr>
                    <w:t>，含泥量</w:t>
                  </w:r>
                  <w:r>
                    <w:rPr>
                      <w:rFonts w:hint="eastAsia" w:eastAsiaTheme="minorEastAsia"/>
                      <w:color w:val="000000" w:themeColor="text1"/>
                      <w:sz w:val="21"/>
                      <w:szCs w:val="21"/>
                      <w:lang w:val="en-US" w:eastAsia="zh-CN"/>
                      <w14:textFill>
                        <w14:solidFill>
                          <w14:schemeClr w14:val="tx1"/>
                        </w14:solidFill>
                      </w14:textFill>
                    </w:rPr>
                    <w:t>2.4</w:t>
                  </w:r>
                  <w:r>
                    <w:rPr>
                      <w:rFonts w:eastAsiaTheme="minorEastAsia"/>
                      <w:color w:val="000000" w:themeColor="text1"/>
                      <w:sz w:val="21"/>
                      <w:szCs w:val="21"/>
                      <w14:textFill>
                        <w14:solidFill>
                          <w14:schemeClr w14:val="tx1"/>
                        </w14:solidFill>
                      </w14:textFill>
                    </w:rPr>
                    <w:t>%</w:t>
                  </w:r>
                </w:p>
              </w:tc>
              <w:tc>
                <w:tcPr>
                  <w:tcW w:w="1296" w:type="dxa"/>
                  <w:vAlign w:val="center"/>
                </w:tcPr>
                <w:p>
                  <w:pPr>
                    <w:pStyle w:val="6"/>
                    <w:adjustRightInd w:val="0"/>
                    <w:snapToGrid w:val="0"/>
                    <w:spacing w:after="0"/>
                    <w:ind w:left="0" w:leftChars="0"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水洗砂</w:t>
                  </w:r>
                </w:p>
              </w:tc>
              <w:tc>
                <w:tcPr>
                  <w:tcW w:w="1178" w:type="dxa"/>
                  <w:vAlign w:val="center"/>
                </w:tcPr>
                <w:p>
                  <w:pPr>
                    <w:adjustRightInd w:val="0"/>
                    <w:snapToGrid w:val="0"/>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原料仓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dxa"/>
                  <w:vMerge w:val="restart"/>
                  <w:vAlign w:val="center"/>
                </w:tcPr>
                <w:p>
                  <w:pPr>
                    <w:pStyle w:val="6"/>
                    <w:adjustRightInd w:val="0"/>
                    <w:snapToGrid w:val="0"/>
                    <w:spacing w:after="0"/>
                    <w:ind w:left="0" w:leftChars="0" w:firstLine="0" w:firstLineChars="0"/>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5</w:t>
                  </w:r>
                </w:p>
              </w:tc>
              <w:tc>
                <w:tcPr>
                  <w:tcW w:w="1494" w:type="dxa"/>
                  <w:gridSpan w:val="2"/>
                  <w:vMerge w:val="restart"/>
                  <w:vAlign w:val="center"/>
                </w:tcPr>
                <w:p>
                  <w:pPr>
                    <w:pStyle w:val="6"/>
                    <w:adjustRightInd w:val="0"/>
                    <w:snapToGrid w:val="0"/>
                    <w:spacing w:after="0"/>
                    <w:ind w:left="0" w:leftChars="0"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碎石</w:t>
                  </w:r>
                </w:p>
              </w:tc>
              <w:tc>
                <w:tcPr>
                  <w:tcW w:w="1480" w:type="dxa"/>
                  <w:vAlign w:val="center"/>
                </w:tcPr>
                <w:p>
                  <w:pPr>
                    <w:pStyle w:val="6"/>
                    <w:adjustRightInd w:val="0"/>
                    <w:snapToGrid w:val="0"/>
                    <w:spacing w:after="0"/>
                    <w:ind w:left="0" w:leftChars="0"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18614</w:t>
                  </w:r>
                </w:p>
              </w:tc>
              <w:tc>
                <w:tcPr>
                  <w:tcW w:w="2341" w:type="dxa"/>
                  <w:vMerge w:val="restart"/>
                  <w:vAlign w:val="center"/>
                </w:tcPr>
                <w:p>
                  <w:pPr>
                    <w:pStyle w:val="6"/>
                    <w:adjustRightInd w:val="0"/>
                    <w:snapToGrid w:val="0"/>
                    <w:spacing w:after="0"/>
                    <w:ind w:left="0" w:leftChars="0"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内蒙左旗牛石头山南侧</w:t>
                  </w:r>
                </w:p>
              </w:tc>
              <w:tc>
                <w:tcPr>
                  <w:tcW w:w="1296" w:type="dxa"/>
                  <w:vAlign w:val="center"/>
                </w:tcPr>
                <w:p>
                  <w:pPr>
                    <w:pStyle w:val="6"/>
                    <w:adjustRightInd w:val="0"/>
                    <w:snapToGrid w:val="0"/>
                    <w:spacing w:after="0"/>
                    <w:ind w:left="0" w:leftChars="0"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5-10mm</w:t>
                  </w:r>
                </w:p>
              </w:tc>
              <w:tc>
                <w:tcPr>
                  <w:tcW w:w="1178" w:type="dxa"/>
                  <w:vMerge w:val="restart"/>
                  <w:vAlign w:val="center"/>
                </w:tcPr>
                <w:p>
                  <w:pPr>
                    <w:adjustRightInd w:val="0"/>
                    <w:snapToGrid w:val="0"/>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原料仓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dxa"/>
                  <w:vMerge w:val="continue"/>
                  <w:vAlign w:val="center"/>
                </w:tcPr>
                <w:p>
                  <w:pPr>
                    <w:pStyle w:val="6"/>
                    <w:adjustRightInd w:val="0"/>
                    <w:snapToGrid w:val="0"/>
                    <w:spacing w:after="0"/>
                    <w:ind w:left="0" w:leftChars="0" w:firstLine="0" w:firstLineChars="0"/>
                    <w:jc w:val="center"/>
                    <w:rPr>
                      <w:rFonts w:eastAsiaTheme="minorEastAsia"/>
                      <w:b/>
                      <w:bCs/>
                      <w:color w:val="000000" w:themeColor="text1"/>
                      <w:sz w:val="21"/>
                      <w:szCs w:val="21"/>
                      <w14:textFill>
                        <w14:solidFill>
                          <w14:schemeClr w14:val="tx1"/>
                        </w14:solidFill>
                      </w14:textFill>
                    </w:rPr>
                  </w:pPr>
                </w:p>
              </w:tc>
              <w:tc>
                <w:tcPr>
                  <w:tcW w:w="1494" w:type="dxa"/>
                  <w:gridSpan w:val="2"/>
                  <w:vMerge w:val="continue"/>
                  <w:vAlign w:val="center"/>
                </w:tcPr>
                <w:p>
                  <w:pPr>
                    <w:pStyle w:val="6"/>
                    <w:adjustRightInd w:val="0"/>
                    <w:snapToGrid w:val="0"/>
                    <w:spacing w:after="0"/>
                    <w:ind w:left="0" w:leftChars="0" w:firstLine="0" w:firstLineChars="0"/>
                    <w:jc w:val="center"/>
                    <w:rPr>
                      <w:rFonts w:eastAsiaTheme="minorEastAsia"/>
                      <w:color w:val="000000" w:themeColor="text1"/>
                      <w:sz w:val="21"/>
                      <w:szCs w:val="21"/>
                      <w14:textFill>
                        <w14:solidFill>
                          <w14:schemeClr w14:val="tx1"/>
                        </w14:solidFill>
                      </w14:textFill>
                    </w:rPr>
                  </w:pPr>
                </w:p>
              </w:tc>
              <w:tc>
                <w:tcPr>
                  <w:tcW w:w="1480" w:type="dxa"/>
                  <w:vAlign w:val="center"/>
                </w:tcPr>
                <w:p>
                  <w:pPr>
                    <w:pStyle w:val="6"/>
                    <w:adjustRightInd w:val="0"/>
                    <w:snapToGrid w:val="0"/>
                    <w:spacing w:after="0"/>
                    <w:ind w:left="0" w:leftChars="0"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22833</w:t>
                  </w:r>
                </w:p>
              </w:tc>
              <w:tc>
                <w:tcPr>
                  <w:tcW w:w="2341" w:type="dxa"/>
                  <w:vMerge w:val="continue"/>
                  <w:vAlign w:val="center"/>
                </w:tcPr>
                <w:p>
                  <w:pPr>
                    <w:pStyle w:val="6"/>
                    <w:adjustRightInd w:val="0"/>
                    <w:snapToGrid w:val="0"/>
                    <w:spacing w:after="0"/>
                    <w:ind w:left="0" w:leftChars="0" w:firstLine="0" w:firstLineChars="0"/>
                    <w:jc w:val="center"/>
                    <w:rPr>
                      <w:rFonts w:eastAsiaTheme="minorEastAsia"/>
                      <w:color w:val="FF0000"/>
                      <w:sz w:val="21"/>
                      <w:szCs w:val="21"/>
                    </w:rPr>
                  </w:pPr>
                </w:p>
              </w:tc>
              <w:tc>
                <w:tcPr>
                  <w:tcW w:w="1296" w:type="dxa"/>
                  <w:vAlign w:val="center"/>
                </w:tcPr>
                <w:p>
                  <w:pPr>
                    <w:pStyle w:val="6"/>
                    <w:adjustRightInd w:val="0"/>
                    <w:snapToGrid w:val="0"/>
                    <w:spacing w:after="0"/>
                    <w:ind w:left="0" w:leftChars="0" w:firstLine="0" w:firstLineChars="0"/>
                    <w:jc w:val="center"/>
                    <w:rPr>
                      <w:rFonts w:eastAsiaTheme="minorEastAsia"/>
                      <w:color w:val="FF0000"/>
                      <w:sz w:val="21"/>
                      <w:szCs w:val="21"/>
                    </w:rPr>
                  </w:pPr>
                  <w:r>
                    <w:rPr>
                      <w:rFonts w:hint="eastAsia" w:eastAsiaTheme="minorEastAsia"/>
                      <w:color w:val="000000" w:themeColor="text1"/>
                      <w:sz w:val="21"/>
                      <w:szCs w:val="21"/>
                      <w:lang w:val="en-US" w:eastAsia="zh-CN"/>
                      <w14:textFill>
                        <w14:solidFill>
                          <w14:schemeClr w14:val="tx1"/>
                        </w14:solidFill>
                      </w14:textFill>
                    </w:rPr>
                    <w:t>10</w:t>
                  </w:r>
                  <w:r>
                    <w:rPr>
                      <w:rFonts w:eastAsiaTheme="minorEastAsia"/>
                      <w:color w:val="000000" w:themeColor="text1"/>
                      <w:sz w:val="21"/>
                      <w:szCs w:val="21"/>
                      <w14:textFill>
                        <w14:solidFill>
                          <w14:schemeClr w14:val="tx1"/>
                        </w14:solidFill>
                      </w14:textFill>
                    </w:rPr>
                    <w:t>-</w:t>
                  </w:r>
                  <w:r>
                    <w:rPr>
                      <w:rFonts w:hint="eastAsia" w:eastAsiaTheme="minorEastAsia"/>
                      <w:color w:val="000000" w:themeColor="text1"/>
                      <w:sz w:val="21"/>
                      <w:szCs w:val="21"/>
                      <w:lang w:val="en-US" w:eastAsia="zh-CN"/>
                      <w14:textFill>
                        <w14:solidFill>
                          <w14:schemeClr w14:val="tx1"/>
                        </w14:solidFill>
                      </w14:textFill>
                    </w:rPr>
                    <w:t>31.5</w:t>
                  </w:r>
                  <w:r>
                    <w:rPr>
                      <w:rFonts w:eastAsiaTheme="minorEastAsia"/>
                      <w:color w:val="000000" w:themeColor="text1"/>
                      <w:sz w:val="21"/>
                      <w:szCs w:val="21"/>
                      <w14:textFill>
                        <w14:solidFill>
                          <w14:schemeClr w14:val="tx1"/>
                        </w14:solidFill>
                      </w14:textFill>
                    </w:rPr>
                    <w:t>mm</w:t>
                  </w:r>
                </w:p>
              </w:tc>
              <w:tc>
                <w:tcPr>
                  <w:tcW w:w="1178" w:type="dxa"/>
                  <w:vMerge w:val="continue"/>
                  <w:vAlign w:val="center"/>
                </w:tcPr>
                <w:p>
                  <w:pPr>
                    <w:adjustRightInd w:val="0"/>
                    <w:snapToGrid w:val="0"/>
                    <w:jc w:val="center"/>
                    <w:rPr>
                      <w:rFonts w:eastAsiaTheme="minorEastAsia"/>
                      <w:color w:val="FF000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dxa"/>
                  <w:vMerge w:val="restart"/>
                  <w:vAlign w:val="center"/>
                </w:tcPr>
                <w:p>
                  <w:pPr>
                    <w:pStyle w:val="6"/>
                    <w:adjustRightInd w:val="0"/>
                    <w:snapToGrid w:val="0"/>
                    <w:spacing w:after="0"/>
                    <w:ind w:left="0" w:leftChars="0" w:firstLine="0" w:firstLineChars="0"/>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6</w:t>
                  </w:r>
                </w:p>
              </w:tc>
              <w:tc>
                <w:tcPr>
                  <w:tcW w:w="543" w:type="dxa"/>
                  <w:vMerge w:val="restart"/>
                  <w:vAlign w:val="center"/>
                </w:tcPr>
                <w:p>
                  <w:pPr>
                    <w:pStyle w:val="6"/>
                    <w:adjustRightInd w:val="0"/>
                    <w:snapToGrid w:val="0"/>
                    <w:spacing w:after="0"/>
                    <w:ind w:left="0" w:leftChars="0"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外加剂</w:t>
                  </w:r>
                </w:p>
              </w:tc>
              <w:tc>
                <w:tcPr>
                  <w:tcW w:w="951" w:type="dxa"/>
                  <w:vAlign w:val="center"/>
                </w:tcPr>
                <w:p>
                  <w:pPr>
                    <w:pStyle w:val="6"/>
                    <w:adjustRightInd w:val="0"/>
                    <w:snapToGrid w:val="0"/>
                    <w:spacing w:after="0"/>
                    <w:ind w:left="0" w:leftChars="0"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高效减水剂</w:t>
                  </w:r>
                </w:p>
              </w:tc>
              <w:tc>
                <w:tcPr>
                  <w:tcW w:w="1480" w:type="dxa"/>
                  <w:vMerge w:val="restart"/>
                  <w:vAlign w:val="center"/>
                </w:tcPr>
                <w:p>
                  <w:pPr>
                    <w:pStyle w:val="6"/>
                    <w:adjustRightInd w:val="0"/>
                    <w:snapToGrid w:val="0"/>
                    <w:spacing w:after="0"/>
                    <w:ind w:left="0" w:leftChars="0"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127</w:t>
                  </w:r>
                </w:p>
              </w:tc>
              <w:tc>
                <w:tcPr>
                  <w:tcW w:w="2341" w:type="dxa"/>
                  <w:vAlign w:val="center"/>
                </w:tcPr>
                <w:p>
                  <w:pPr>
                    <w:pStyle w:val="6"/>
                    <w:adjustRightInd w:val="0"/>
                    <w:snapToGrid w:val="0"/>
                    <w:spacing w:after="0"/>
                    <w:ind w:left="0" w:leftChars="0"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宁夏华瀛科技有限公司</w:t>
                  </w:r>
                </w:p>
              </w:tc>
              <w:tc>
                <w:tcPr>
                  <w:tcW w:w="1296" w:type="dxa"/>
                  <w:vAlign w:val="center"/>
                </w:tcPr>
                <w:p>
                  <w:pPr>
                    <w:pStyle w:val="6"/>
                    <w:adjustRightInd w:val="0"/>
                    <w:snapToGrid w:val="0"/>
                    <w:spacing w:after="0"/>
                    <w:ind w:left="0" w:leftChars="0"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液态HY-1</w:t>
                  </w:r>
                </w:p>
              </w:tc>
              <w:tc>
                <w:tcPr>
                  <w:tcW w:w="1178" w:type="dxa"/>
                  <w:vMerge w:val="restart"/>
                  <w:vAlign w:val="center"/>
                </w:tcPr>
                <w:p>
                  <w:pPr>
                    <w:adjustRightInd w:val="0"/>
                    <w:snapToGrid w:val="0"/>
                    <w:jc w:val="center"/>
                    <w:rPr>
                      <w:rFonts w:eastAsiaTheme="minorEastAsia"/>
                      <w:color w:val="FF0000"/>
                      <w:kern w:val="0"/>
                      <w:szCs w:val="21"/>
                    </w:rPr>
                  </w:pPr>
                  <w:r>
                    <w:rPr>
                      <w:rFonts w:eastAsiaTheme="minorEastAsia"/>
                      <w:color w:val="000000" w:themeColor="text1"/>
                      <w:kern w:val="0"/>
                      <w:szCs w:val="21"/>
                      <w14:textFill>
                        <w14:solidFill>
                          <w14:schemeClr w14:val="tx1"/>
                        </w14:solidFill>
                      </w14:textFill>
                    </w:rPr>
                    <w:t>外加剂罐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dxa"/>
                  <w:vMerge w:val="continue"/>
                  <w:vAlign w:val="center"/>
                </w:tcPr>
                <w:p>
                  <w:pPr>
                    <w:pStyle w:val="6"/>
                    <w:adjustRightInd w:val="0"/>
                    <w:snapToGrid w:val="0"/>
                    <w:spacing w:after="0"/>
                    <w:ind w:left="0" w:leftChars="0" w:firstLine="0" w:firstLineChars="0"/>
                    <w:jc w:val="center"/>
                    <w:rPr>
                      <w:rFonts w:eastAsiaTheme="minorEastAsia"/>
                      <w:b/>
                      <w:bCs/>
                      <w:color w:val="000000" w:themeColor="text1"/>
                      <w:sz w:val="21"/>
                      <w:szCs w:val="21"/>
                      <w14:textFill>
                        <w14:solidFill>
                          <w14:schemeClr w14:val="tx1"/>
                        </w14:solidFill>
                      </w14:textFill>
                    </w:rPr>
                  </w:pPr>
                </w:p>
              </w:tc>
              <w:tc>
                <w:tcPr>
                  <w:tcW w:w="543" w:type="dxa"/>
                  <w:vMerge w:val="continue"/>
                  <w:vAlign w:val="center"/>
                </w:tcPr>
                <w:p>
                  <w:pPr>
                    <w:pStyle w:val="6"/>
                    <w:adjustRightInd w:val="0"/>
                    <w:snapToGrid w:val="0"/>
                    <w:spacing w:after="0"/>
                    <w:ind w:left="0" w:leftChars="0" w:firstLine="0" w:firstLineChars="0"/>
                    <w:jc w:val="center"/>
                    <w:rPr>
                      <w:rFonts w:eastAsiaTheme="minorEastAsia"/>
                      <w:color w:val="000000" w:themeColor="text1"/>
                      <w:sz w:val="21"/>
                      <w:szCs w:val="21"/>
                      <w14:textFill>
                        <w14:solidFill>
                          <w14:schemeClr w14:val="tx1"/>
                        </w14:solidFill>
                      </w14:textFill>
                    </w:rPr>
                  </w:pPr>
                </w:p>
              </w:tc>
              <w:tc>
                <w:tcPr>
                  <w:tcW w:w="951" w:type="dxa"/>
                  <w:vAlign w:val="center"/>
                </w:tcPr>
                <w:p>
                  <w:pPr>
                    <w:pStyle w:val="6"/>
                    <w:adjustRightInd w:val="0"/>
                    <w:snapToGrid w:val="0"/>
                    <w:spacing w:after="0"/>
                    <w:ind w:left="0" w:leftChars="0"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引气剂</w:t>
                  </w:r>
                </w:p>
              </w:tc>
              <w:tc>
                <w:tcPr>
                  <w:tcW w:w="1480" w:type="dxa"/>
                  <w:vMerge w:val="continue"/>
                  <w:vAlign w:val="center"/>
                </w:tcPr>
                <w:p>
                  <w:pPr>
                    <w:pStyle w:val="6"/>
                    <w:adjustRightInd w:val="0"/>
                    <w:snapToGrid w:val="0"/>
                    <w:spacing w:after="0"/>
                    <w:ind w:left="0" w:leftChars="0" w:firstLine="0" w:firstLineChars="0"/>
                    <w:jc w:val="center"/>
                    <w:rPr>
                      <w:rFonts w:eastAsiaTheme="minorEastAsia"/>
                      <w:color w:val="000000" w:themeColor="text1"/>
                      <w:sz w:val="21"/>
                      <w:szCs w:val="21"/>
                      <w14:textFill>
                        <w14:solidFill>
                          <w14:schemeClr w14:val="tx1"/>
                        </w14:solidFill>
                      </w14:textFill>
                    </w:rPr>
                  </w:pPr>
                </w:p>
              </w:tc>
              <w:tc>
                <w:tcPr>
                  <w:tcW w:w="2341" w:type="dxa"/>
                  <w:vAlign w:val="center"/>
                </w:tcPr>
                <w:p>
                  <w:pPr>
                    <w:pStyle w:val="6"/>
                    <w:adjustRightInd w:val="0"/>
                    <w:snapToGrid w:val="0"/>
                    <w:spacing w:after="0"/>
                    <w:ind w:left="0" w:leftChars="0"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江苏苏博特新材料股份有限公司</w:t>
                  </w:r>
                </w:p>
              </w:tc>
              <w:tc>
                <w:tcPr>
                  <w:tcW w:w="1296" w:type="dxa"/>
                  <w:vAlign w:val="center"/>
                </w:tcPr>
                <w:p>
                  <w:pPr>
                    <w:adjustRightInd w:val="0"/>
                    <w:snapToGrid w:val="0"/>
                    <w:jc w:val="center"/>
                    <w:rPr>
                      <w:rFonts w:eastAsiaTheme="minorEastAsia"/>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GYQ-1液态</w:t>
                  </w:r>
                </w:p>
              </w:tc>
              <w:tc>
                <w:tcPr>
                  <w:tcW w:w="1178" w:type="dxa"/>
                  <w:vMerge w:val="continue"/>
                  <w:vAlign w:val="center"/>
                </w:tcPr>
                <w:p>
                  <w:pPr>
                    <w:adjustRightInd w:val="0"/>
                    <w:snapToGrid w:val="0"/>
                    <w:jc w:val="center"/>
                    <w:rPr>
                      <w:rFonts w:eastAsiaTheme="minorEastAsia"/>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1" w:type="dxa"/>
                  <w:vAlign w:val="center"/>
                </w:tcPr>
                <w:p>
                  <w:pPr>
                    <w:pStyle w:val="6"/>
                    <w:adjustRightInd w:val="0"/>
                    <w:snapToGrid w:val="0"/>
                    <w:spacing w:after="0"/>
                    <w:ind w:left="0" w:leftChars="0" w:firstLine="0" w:firstLineChars="0"/>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7</w:t>
                  </w:r>
                </w:p>
              </w:tc>
              <w:tc>
                <w:tcPr>
                  <w:tcW w:w="1494" w:type="dxa"/>
                  <w:gridSpan w:val="2"/>
                  <w:vAlign w:val="center"/>
                </w:tcPr>
                <w:p>
                  <w:pPr>
                    <w:pStyle w:val="6"/>
                    <w:adjustRightInd w:val="0"/>
                    <w:snapToGrid w:val="0"/>
                    <w:spacing w:after="0"/>
                    <w:ind w:left="0" w:leftChars="0"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总量</w:t>
                  </w:r>
                </w:p>
              </w:tc>
              <w:tc>
                <w:tcPr>
                  <w:tcW w:w="1480" w:type="dxa"/>
                  <w:vAlign w:val="center"/>
                </w:tcPr>
                <w:p>
                  <w:pPr>
                    <w:pStyle w:val="6"/>
                    <w:adjustRightInd w:val="0"/>
                    <w:snapToGrid w:val="0"/>
                    <w:spacing w:after="0"/>
                    <w:ind w:left="0" w:leftChars="0" w:firstLine="0" w:firstLineChars="0"/>
                    <w:jc w:val="center"/>
                    <w:rPr>
                      <w:rFonts w:hint="default" w:eastAsiaTheme="minorEastAsia"/>
                      <w:color w:val="000000" w:themeColor="text1"/>
                      <w:sz w:val="21"/>
                      <w:szCs w:val="21"/>
                      <w:lang w:val="en-US" w:eastAsia="zh-CN"/>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92604</w:t>
                  </w:r>
                </w:p>
              </w:tc>
              <w:tc>
                <w:tcPr>
                  <w:tcW w:w="2341" w:type="dxa"/>
                  <w:vAlign w:val="center"/>
                </w:tcPr>
                <w:p>
                  <w:pPr>
                    <w:pStyle w:val="6"/>
                    <w:adjustRightInd w:val="0"/>
                    <w:snapToGrid w:val="0"/>
                    <w:spacing w:after="0"/>
                    <w:ind w:left="0" w:leftChars="0" w:firstLine="0" w:firstLineChars="0"/>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w:t>
                  </w:r>
                </w:p>
              </w:tc>
              <w:tc>
                <w:tcPr>
                  <w:tcW w:w="1296" w:type="dxa"/>
                  <w:vAlign w:val="center"/>
                </w:tcPr>
                <w:p>
                  <w:pPr>
                    <w:adjustRightInd w:val="0"/>
                    <w:snapToGrid w:val="0"/>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w:t>
                  </w:r>
                </w:p>
              </w:tc>
              <w:tc>
                <w:tcPr>
                  <w:tcW w:w="1178" w:type="dxa"/>
                  <w:vAlign w:val="center"/>
                </w:tcPr>
                <w:p>
                  <w:pPr>
                    <w:adjustRightInd w:val="0"/>
                    <w:snapToGrid w:val="0"/>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w:t>
                  </w:r>
                </w:p>
              </w:tc>
            </w:tr>
          </w:tbl>
          <w:p>
            <w:pPr>
              <w:adjustRightInd w:val="0"/>
              <w:snapToGrid w:val="0"/>
              <w:spacing w:before="156" w:beforeLines="50" w:line="360" w:lineRule="auto"/>
              <w:ind w:left="420" w:leftChars="200"/>
              <w:rPr>
                <w:b/>
                <w:bCs/>
                <w:color w:val="auto"/>
                <w:sz w:val="24"/>
              </w:rPr>
            </w:pPr>
            <w:r>
              <w:rPr>
                <w:b/>
                <w:bCs/>
                <w:color w:val="auto"/>
                <w:sz w:val="24"/>
              </w:rPr>
              <w:t>主要原辅材料性质：</w:t>
            </w:r>
          </w:p>
          <w:p>
            <w:pPr>
              <w:pStyle w:val="31"/>
              <w:adjustRightInd w:val="0"/>
              <w:snapToGrid w:val="0"/>
              <w:ind w:firstLine="482"/>
              <w:rPr>
                <w:color w:val="auto"/>
              </w:rPr>
            </w:pPr>
            <w:r>
              <w:rPr>
                <w:b/>
                <w:bCs/>
                <w:color w:val="auto"/>
              </w:rPr>
              <w:t>①水泥：</w:t>
            </w:r>
            <w:r>
              <w:rPr>
                <w:color w:val="auto"/>
              </w:rPr>
              <w:t>粉状水硬性无机胶凝材料。加水搅拌后成浆体，能在空气中硬化或者在水中硬化，并能把砂石等材料牢固地胶结在一起。</w:t>
            </w:r>
          </w:p>
          <w:p>
            <w:pPr>
              <w:pStyle w:val="23"/>
              <w:adjustRightInd w:val="0"/>
              <w:snapToGrid w:val="0"/>
              <w:spacing w:after="0" w:line="360" w:lineRule="auto"/>
              <w:ind w:firstLine="481" w:firstLineChars="200"/>
              <w:rPr>
                <w:color w:val="FF0000"/>
              </w:rPr>
            </w:pPr>
            <w:r>
              <w:rPr>
                <w:b/>
                <w:bCs/>
                <w:color w:val="auto"/>
                <w:sz w:val="24"/>
                <w:szCs w:val="24"/>
              </w:rPr>
              <w:t>②碎石：</w:t>
            </w:r>
            <w:r>
              <w:rPr>
                <w:color w:val="auto"/>
                <w:sz w:val="24"/>
                <w:szCs w:val="24"/>
                <w:shd w:val="clear" w:color="auto" w:fill="FFFFFF"/>
              </w:rPr>
              <w:t>破碎的小块</w:t>
            </w:r>
            <w:r>
              <w:rPr>
                <w:color w:val="auto"/>
              </w:rPr>
              <w:fldChar w:fldCharType="begin"/>
            </w:r>
            <w:r>
              <w:rPr>
                <w:color w:val="auto"/>
              </w:rPr>
              <w:instrText xml:space="preserve"> HYPERLINK "https://baike.baidu.com/item/%E5%B2%A9%E7%9F%B3/256753?fromModule=lemma_inlink" \t "https://baike.baidu.com/item/%E7%A2%8E%E7%9F%B3/_blank" </w:instrText>
            </w:r>
            <w:r>
              <w:rPr>
                <w:color w:val="auto"/>
              </w:rPr>
              <w:fldChar w:fldCharType="separate"/>
            </w:r>
            <w:r>
              <w:rPr>
                <w:rStyle w:val="29"/>
                <w:color w:val="auto"/>
                <w:sz w:val="24"/>
                <w:szCs w:val="24"/>
                <w:u w:val="none"/>
                <w:shd w:val="clear" w:color="auto" w:fill="FFFFFF"/>
              </w:rPr>
              <w:t>岩石</w:t>
            </w:r>
            <w:r>
              <w:rPr>
                <w:rStyle w:val="29"/>
                <w:color w:val="auto"/>
                <w:sz w:val="24"/>
                <w:szCs w:val="24"/>
                <w:u w:val="none"/>
                <w:shd w:val="clear" w:color="auto" w:fill="FFFFFF"/>
              </w:rPr>
              <w:fldChar w:fldCharType="end"/>
            </w:r>
            <w:r>
              <w:rPr>
                <w:color w:val="auto"/>
                <w:sz w:val="24"/>
                <w:szCs w:val="24"/>
                <w:shd w:val="clear" w:color="auto" w:fill="FFFFFF"/>
              </w:rPr>
              <w:t>，大小、形状及</w:t>
            </w:r>
            <w:r>
              <w:rPr>
                <w:color w:val="auto"/>
              </w:rPr>
              <w:fldChar w:fldCharType="begin"/>
            </w:r>
            <w:r>
              <w:rPr>
                <w:color w:val="auto"/>
              </w:rPr>
              <w:instrText xml:space="preserve"> HYPERLINK "https://baike.baidu.com/item/%E7%BA%B9%E7%90%86/10413?fromModule=lemma_inlink" \t "https://baike.baidu.com/item/%E7%A2%8E%E7%9F%B3/_blank" </w:instrText>
            </w:r>
            <w:r>
              <w:rPr>
                <w:color w:val="auto"/>
              </w:rPr>
              <w:fldChar w:fldCharType="separate"/>
            </w:r>
            <w:r>
              <w:rPr>
                <w:rStyle w:val="29"/>
                <w:color w:val="auto"/>
                <w:sz w:val="24"/>
                <w:szCs w:val="24"/>
                <w:u w:val="none"/>
                <w:shd w:val="clear" w:color="auto" w:fill="FFFFFF"/>
              </w:rPr>
              <w:t>纹理</w:t>
            </w:r>
            <w:r>
              <w:rPr>
                <w:rStyle w:val="29"/>
                <w:color w:val="auto"/>
                <w:sz w:val="24"/>
                <w:szCs w:val="24"/>
                <w:u w:val="none"/>
                <w:shd w:val="clear" w:color="auto" w:fill="FFFFFF"/>
              </w:rPr>
              <w:fldChar w:fldCharType="end"/>
            </w:r>
            <w:r>
              <w:rPr>
                <w:color w:val="auto"/>
                <w:sz w:val="24"/>
                <w:szCs w:val="24"/>
                <w:shd w:val="clear" w:color="auto" w:fill="FFFFFF"/>
              </w:rPr>
              <w:t>都呈现不规则状态。它可能是因为天然原因，或是人为加以破坏之后产生。</w:t>
            </w:r>
          </w:p>
          <w:p>
            <w:pPr>
              <w:adjustRightInd w:val="0"/>
              <w:snapToGrid w:val="0"/>
              <w:spacing w:line="360" w:lineRule="auto"/>
              <w:ind w:firstLine="481" w:firstLineChars="200"/>
              <w:rPr>
                <w:color w:val="auto"/>
                <w:sz w:val="24"/>
              </w:rPr>
            </w:pPr>
            <w:r>
              <w:rPr>
                <w:rFonts w:hint="eastAsia"/>
                <w:b/>
                <w:bCs/>
                <w:color w:val="auto"/>
                <w:sz w:val="24"/>
                <w:lang w:val="en-US" w:eastAsia="zh-CN"/>
              </w:rPr>
              <w:t>③</w:t>
            </w:r>
            <w:r>
              <w:rPr>
                <w:b/>
                <w:bCs/>
                <w:color w:val="auto"/>
                <w:sz w:val="24"/>
              </w:rPr>
              <w:t>外加剂：</w:t>
            </w:r>
            <w:r>
              <w:rPr>
                <w:color w:val="auto"/>
                <w:sz w:val="24"/>
              </w:rPr>
              <w:t>为改善和调节混凝土的性能而掺加的物质</w:t>
            </w:r>
            <w:r>
              <w:rPr>
                <w:rFonts w:hint="eastAsia"/>
                <w:color w:val="auto"/>
                <w:sz w:val="24"/>
                <w:lang w:eastAsia="zh-CN"/>
              </w:rPr>
              <w:t>，</w:t>
            </w:r>
            <w:r>
              <w:rPr>
                <w:color w:val="auto"/>
                <w:sz w:val="24"/>
              </w:rPr>
              <w:t>主要为</w:t>
            </w:r>
            <w:r>
              <w:rPr>
                <w:rFonts w:hint="eastAsia"/>
                <w:color w:val="auto"/>
                <w:sz w:val="24"/>
                <w:lang w:val="en-US" w:eastAsia="zh-CN"/>
              </w:rPr>
              <w:t>引气剂、</w:t>
            </w:r>
            <w:r>
              <w:rPr>
                <w:color w:val="auto"/>
                <w:sz w:val="24"/>
              </w:rPr>
              <w:t>减水剂等。</w:t>
            </w:r>
          </w:p>
          <w:p>
            <w:pPr>
              <w:pStyle w:val="31"/>
              <w:keepNext w:val="0"/>
              <w:keepLines w:val="0"/>
              <w:pageBreakBefore w:val="0"/>
              <w:kinsoku/>
              <w:wordWrap/>
              <w:overflowPunct/>
              <w:topLinePunct w:val="0"/>
              <w:autoSpaceDE/>
              <w:autoSpaceDN/>
              <w:bidi w:val="0"/>
              <w:adjustRightInd w:val="0"/>
              <w:snapToGrid w:val="0"/>
              <w:textAlignment w:val="auto"/>
              <w:rPr>
                <w:color w:val="auto"/>
              </w:rPr>
            </w:pPr>
            <w:r>
              <w:rPr>
                <w:color w:val="auto"/>
              </w:rPr>
              <w:t>引气剂：引气剂又称加气剂，是一种憎水性表面活性剂，溶于水后加入混凝土拌合物内，在搅拌过程中能产生大量微小气泡。引气剂能改善混凝土拌合物的流动性、黏聚性和保水性，提高混凝土流动性，</w:t>
            </w:r>
            <w:r>
              <w:rPr>
                <w:rFonts w:hint="eastAsia"/>
                <w:color w:val="auto"/>
              </w:rPr>
              <w:t>是一种</w:t>
            </w:r>
            <w:r>
              <w:rPr>
                <w:color w:val="auto"/>
              </w:rPr>
              <w:t>在混凝土拌合物的拌和过程中引入大量均匀分布的，闭合而稳定的微小气泡的外加剂。</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高效减水剂：对水泥有强烈分散作用，能大大提高水泥拌合物流动性和混凝土坍落度，同时大幅度降低用水量，显著改善混凝土工作性</w:t>
            </w:r>
            <w:r>
              <w:rPr>
                <w:rFonts w:hint="eastAsia"/>
                <w:color w:val="auto"/>
                <w:sz w:val="24"/>
                <w:lang w:val="en-US" w:eastAsia="zh-CN"/>
              </w:rPr>
              <w:t>能</w:t>
            </w:r>
            <w:r>
              <w:rPr>
                <w:color w:val="auto"/>
                <w:sz w:val="24"/>
              </w:rPr>
              <w:t>。</w:t>
            </w:r>
          </w:p>
          <w:p>
            <w:pPr>
              <w:pStyle w:val="31"/>
              <w:keepNext w:val="0"/>
              <w:keepLines w:val="0"/>
              <w:pageBreakBefore w:val="0"/>
              <w:kinsoku/>
              <w:wordWrap/>
              <w:overflowPunct/>
              <w:topLinePunct w:val="0"/>
              <w:autoSpaceDE/>
              <w:autoSpaceDN/>
              <w:bidi w:val="0"/>
              <w:adjustRightInd w:val="0"/>
              <w:snapToGrid w:val="0"/>
              <w:spacing w:line="360" w:lineRule="auto"/>
              <w:ind w:firstLine="481" w:firstLineChars="200"/>
              <w:textAlignment w:val="auto"/>
              <w:rPr>
                <w:color w:val="000000" w:themeColor="text1"/>
                <w:shd w:val="clear" w:color="auto" w:fill="FFFFFF"/>
                <w14:textFill>
                  <w14:solidFill>
                    <w14:schemeClr w14:val="tx1"/>
                  </w14:solidFill>
                </w14:textFill>
              </w:rPr>
            </w:pPr>
            <w:r>
              <w:rPr>
                <w:rFonts w:hint="eastAsia"/>
                <w:b/>
                <w:bCs/>
                <w:color w:val="auto"/>
                <w:lang w:val="en-US" w:eastAsia="zh-CN"/>
              </w:rPr>
              <w:t>④</w:t>
            </w:r>
            <w:r>
              <w:rPr>
                <w:b/>
                <w:bCs/>
                <w:color w:val="auto"/>
              </w:rPr>
              <w:t>水洗砂：</w:t>
            </w:r>
            <w:r>
              <w:rPr>
                <w:color w:val="auto"/>
                <w:shd w:val="clear" w:color="auto" w:fill="FFFFFF"/>
              </w:rPr>
              <w:t>水洗砂又称无尘砂，是一种非金属矿物质，是一种坚硬、耐磨、化学性能稳定的硅酸盐矿</w:t>
            </w:r>
            <w:r>
              <w:rPr>
                <w:color w:val="000000" w:themeColor="text1"/>
                <w:shd w:val="clear" w:color="auto" w:fill="FFFFFF"/>
                <w14:textFill>
                  <w14:solidFill>
                    <w14:schemeClr w14:val="tx1"/>
                  </w14:solidFill>
                </w14:textFill>
              </w:rPr>
              <w:t>物，其主要矿物成分是SiO</w:t>
            </w:r>
            <w:r>
              <w:rPr>
                <w:color w:val="000000" w:themeColor="text1"/>
                <w:shd w:val="clear" w:color="auto" w:fill="FFFFFF"/>
                <w:vertAlign w:val="subscript"/>
                <w14:textFill>
                  <w14:solidFill>
                    <w14:schemeClr w14:val="tx1"/>
                  </w14:solidFill>
                </w14:textFill>
              </w:rPr>
              <w:t>2</w:t>
            </w:r>
            <w:r>
              <w:rPr>
                <w:color w:val="000000" w:themeColor="text1"/>
                <w:shd w:val="clear" w:color="auto" w:fill="FFFFFF"/>
                <w14:textFill>
                  <w14:solidFill>
                    <w14:schemeClr w14:val="tx1"/>
                  </w14:solidFill>
                </w14:textFill>
              </w:rPr>
              <w:t>，主要用于建筑材料。</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8</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项目物料平衡情况</w:t>
            </w:r>
          </w:p>
          <w:p>
            <w:pPr>
              <w:pStyle w:val="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eastAsia"/>
                <w:color w:val="auto"/>
                <w:szCs w:val="24"/>
                <w:lang w:val="en-US" w:eastAsia="zh-CN"/>
              </w:rPr>
            </w:pPr>
            <w:r>
              <w:rPr>
                <w:color w:val="auto"/>
                <w:szCs w:val="24"/>
              </w:rPr>
              <w:t>根据建设单位提供资料，</w:t>
            </w:r>
            <w:r>
              <w:rPr>
                <w:rFonts w:hint="eastAsia"/>
                <w:color w:val="auto"/>
                <w:szCs w:val="24"/>
                <w:lang w:val="en-US" w:eastAsia="zh-CN"/>
              </w:rPr>
              <w:t>本工程生产产品为设计强度等级C25、抗冻抗渗等级F150的混凝土。根据《水工混凝土试验规程》（SL/T 353-2020）、《水工混凝土施工规范》（SL677-2014）和《普通混凝土拌合物性能试验方法标准》（GB/T50080-2016）的相关要求，本项目混凝土设计水胶比0.46，浇筑塌落度为70~90mm，经试验后调整如下（具体以施工现场实际调整）：</w:t>
            </w:r>
          </w:p>
          <w:p>
            <w:pPr>
              <w:pStyle w:val="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default" w:eastAsia="宋体"/>
                <w:b/>
                <w:bCs/>
                <w:color w:val="auto"/>
                <w:sz w:val="21"/>
                <w:szCs w:val="21"/>
                <w:lang w:val="en-US" w:eastAsia="zh-CN"/>
              </w:rPr>
            </w:pPr>
            <w:r>
              <w:rPr>
                <w:rFonts w:hint="eastAsia"/>
                <w:color w:val="auto"/>
                <w:szCs w:val="24"/>
                <w:lang w:val="en-US" w:eastAsia="zh-CN"/>
              </w:rPr>
              <w:t>每生产1m</w:t>
            </w:r>
            <w:r>
              <w:rPr>
                <w:rFonts w:hint="eastAsia"/>
                <w:color w:val="auto"/>
                <w:szCs w:val="24"/>
                <w:vertAlign w:val="superscript"/>
                <w:lang w:val="en-US" w:eastAsia="zh-CN"/>
              </w:rPr>
              <w:t>3</w:t>
            </w:r>
            <w:r>
              <w:rPr>
                <w:rFonts w:hint="eastAsia"/>
                <w:color w:val="auto"/>
                <w:szCs w:val="24"/>
                <w:lang w:val="en-US" w:eastAsia="zh-CN"/>
              </w:rPr>
              <w:t>混凝土设计配比消耗原材料情况为：水泥约350kg、水约150kg、水洗砂约794kg、碎石（5~10mm）约472kg、碎石（10~31.5mm）约572kg、减水剂约3.2kg、引气剂约0.039kg。本项目物料平衡情况见表2-6：</w:t>
            </w:r>
          </w:p>
          <w:p>
            <w:pPr>
              <w:keepNext w:val="0"/>
              <w:keepLines w:val="0"/>
              <w:pageBreakBefore w:val="0"/>
              <w:widowControl w:val="0"/>
              <w:kinsoku/>
              <w:wordWrap/>
              <w:overflowPunct/>
              <w:topLinePunct w:val="0"/>
              <w:autoSpaceDE/>
              <w:autoSpaceDN/>
              <w:bidi w:val="0"/>
              <w:adjustRightInd w:val="0"/>
              <w:snapToGrid/>
              <w:spacing w:line="240" w:lineRule="auto"/>
              <w:ind w:right="0" w:firstLine="421" w:firstLineChars="200"/>
              <w:jc w:val="center"/>
              <w:textAlignment w:val="baseline"/>
              <w:rPr>
                <w:rFonts w:hint="eastAsia"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color w:val="auto"/>
                <w:kern w:val="2"/>
                <w:sz w:val="21"/>
                <w:szCs w:val="21"/>
                <w:highlight w:val="none"/>
                <w:lang w:val="en-US" w:eastAsia="zh-CN" w:bidi="ar-SA"/>
              </w:rPr>
              <w:t>表2-</w:t>
            </w:r>
            <w:r>
              <w:rPr>
                <w:rFonts w:hint="eastAsia" w:cs="Times New Roman"/>
                <w:b/>
                <w:color w:val="auto"/>
                <w:kern w:val="2"/>
                <w:sz w:val="21"/>
                <w:szCs w:val="21"/>
                <w:highlight w:val="none"/>
                <w:lang w:val="en-US" w:eastAsia="zh-CN" w:bidi="ar-SA"/>
              </w:rPr>
              <w:t>6</w:t>
            </w:r>
            <w:r>
              <w:rPr>
                <w:rFonts w:hint="eastAsia" w:ascii="Times New Roman" w:hAnsi="Times New Roman" w:eastAsia="宋体" w:cs="Times New Roman"/>
                <w:b/>
                <w:color w:val="auto"/>
                <w:kern w:val="2"/>
                <w:sz w:val="21"/>
                <w:szCs w:val="21"/>
                <w:highlight w:val="none"/>
                <w:lang w:val="en-US" w:eastAsia="zh-CN" w:bidi="ar-SA"/>
              </w:rPr>
              <w:t xml:space="preserve">   </w:t>
            </w:r>
            <w:r>
              <w:rPr>
                <w:rFonts w:hint="eastAsia" w:cs="Times New Roman"/>
                <w:b/>
                <w:color w:val="auto"/>
                <w:kern w:val="2"/>
                <w:sz w:val="21"/>
                <w:szCs w:val="21"/>
                <w:highlight w:val="none"/>
                <w:lang w:val="en-US" w:eastAsia="zh-CN" w:bidi="ar-SA"/>
              </w:rPr>
              <w:t>项目</w:t>
            </w:r>
            <w:r>
              <w:rPr>
                <w:rFonts w:hint="eastAsia" w:ascii="Times New Roman" w:hAnsi="Times New Roman" w:eastAsia="宋体" w:cs="Times New Roman"/>
                <w:b/>
                <w:color w:val="auto"/>
                <w:kern w:val="2"/>
                <w:sz w:val="21"/>
                <w:szCs w:val="21"/>
                <w:highlight w:val="none"/>
                <w:lang w:val="en-US" w:eastAsia="zh-CN" w:bidi="ar-SA"/>
              </w:rPr>
              <w:t>物料平衡表</w:t>
            </w:r>
          </w:p>
          <w:tbl>
            <w:tblPr>
              <w:tblStyle w:val="24"/>
              <w:tblW w:w="4998"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310"/>
              <w:gridCol w:w="1333"/>
              <w:gridCol w:w="1258"/>
              <w:gridCol w:w="1507"/>
              <w:gridCol w:w="1474"/>
              <w:gridCol w:w="126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94"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进料</w:t>
                  </w:r>
                </w:p>
              </w:tc>
              <w:tc>
                <w:tcPr>
                  <w:tcW w:w="2605"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出料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名称</w:t>
                  </w:r>
                </w:p>
              </w:tc>
              <w:tc>
                <w:tcPr>
                  <w:tcW w:w="1589"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数量</w:t>
                  </w:r>
                </w:p>
              </w:tc>
              <w:tc>
                <w:tcPr>
                  <w:tcW w:w="925"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名称</w:t>
                  </w:r>
                </w:p>
              </w:tc>
              <w:tc>
                <w:tcPr>
                  <w:tcW w:w="1679"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数量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04" w:type="pct"/>
                  <w:vMerge w:val="continue"/>
                  <w:tcBorders>
                    <w:tl2br w:val="nil"/>
                    <w:tr2bl w:val="nil"/>
                  </w:tcBorders>
                  <w:shd w:val="clear" w:color="auto" w:fill="auto"/>
                  <w:vAlign w:val="center"/>
                </w:tcPr>
                <w:p>
                  <w:pPr>
                    <w:jc w:val="center"/>
                    <w:rPr>
                      <w:rFonts w:hint="eastAsia" w:ascii="宋体" w:hAnsi="宋体" w:eastAsia="宋体" w:cs="宋体"/>
                      <w:b/>
                      <w:bCs/>
                      <w:i w:val="0"/>
                      <w:iCs w:val="0"/>
                      <w:color w:val="auto"/>
                      <w:sz w:val="21"/>
                      <w:szCs w:val="21"/>
                      <w:u w:val="none"/>
                    </w:rPr>
                  </w:pPr>
                </w:p>
              </w:tc>
              <w:tc>
                <w:tcPr>
                  <w:tcW w:w="81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kg/h</w:t>
                  </w:r>
                </w:p>
              </w:tc>
              <w:tc>
                <w:tcPr>
                  <w:tcW w:w="77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eastAsia" w:cs="Times New Roman"/>
                      <w:b/>
                      <w:bCs/>
                      <w:i w:val="0"/>
                      <w:iCs w:val="0"/>
                      <w:color w:val="auto"/>
                      <w:sz w:val="21"/>
                      <w:szCs w:val="21"/>
                      <w:u w:val="none"/>
                      <w:lang w:val="en-US" w:eastAsia="zh-CN"/>
                    </w:rPr>
                    <w:t>t/周期</w:t>
                  </w:r>
                </w:p>
              </w:tc>
              <w:tc>
                <w:tcPr>
                  <w:tcW w:w="925" w:type="pct"/>
                  <w:vMerge w:val="continue"/>
                  <w:tcBorders>
                    <w:tl2br w:val="nil"/>
                    <w:tr2bl w:val="nil"/>
                  </w:tcBorders>
                  <w:shd w:val="clear" w:color="auto" w:fill="auto"/>
                  <w:vAlign w:val="center"/>
                </w:tcPr>
                <w:p>
                  <w:pPr>
                    <w:jc w:val="center"/>
                    <w:rPr>
                      <w:rFonts w:hint="eastAsia" w:ascii="宋体" w:hAnsi="宋体" w:eastAsia="宋体" w:cs="宋体"/>
                      <w:b/>
                      <w:bCs/>
                      <w:i w:val="0"/>
                      <w:iCs w:val="0"/>
                      <w:color w:val="auto"/>
                      <w:sz w:val="21"/>
                      <w:szCs w:val="21"/>
                      <w:u w:val="none"/>
                    </w:rPr>
                  </w:pPr>
                </w:p>
              </w:tc>
              <w:tc>
                <w:tcPr>
                  <w:tcW w:w="90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kg/h</w:t>
                  </w:r>
                </w:p>
              </w:tc>
              <w:tc>
                <w:tcPr>
                  <w:tcW w:w="7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eastAsia" w:cs="Times New Roman"/>
                      <w:b/>
                      <w:bCs/>
                      <w:i w:val="0"/>
                      <w:iCs w:val="0"/>
                      <w:color w:val="auto"/>
                      <w:sz w:val="21"/>
                      <w:szCs w:val="21"/>
                      <w:u w:val="none"/>
                      <w:lang w:val="en-US" w:eastAsia="zh-CN"/>
                    </w:rPr>
                    <w:t>t/周期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水泥</w:t>
                  </w:r>
                </w:p>
              </w:tc>
              <w:tc>
                <w:tcPr>
                  <w:tcW w:w="135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12502.4 </w:t>
                  </w:r>
                </w:p>
              </w:tc>
              <w:tc>
                <w:tcPr>
                  <w:tcW w:w="127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13802.6 </w:t>
                  </w:r>
                </w:p>
              </w:tc>
              <w:tc>
                <w:tcPr>
                  <w:tcW w:w="15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混凝土</w:t>
                  </w:r>
                </w:p>
              </w:tc>
              <w:tc>
                <w:tcPr>
                  <w:tcW w:w="149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83816.1 </w:t>
                  </w:r>
                </w:p>
              </w:tc>
              <w:tc>
                <w:tcPr>
                  <w:tcW w:w="12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92533.0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混凝土用水</w:t>
                  </w:r>
                </w:p>
              </w:tc>
              <w:tc>
                <w:tcPr>
                  <w:tcW w:w="135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1150.0 </w:t>
                  </w:r>
                </w:p>
              </w:tc>
              <w:tc>
                <w:tcPr>
                  <w:tcW w:w="127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5915.4 </w:t>
                  </w:r>
                </w:p>
              </w:tc>
              <w:tc>
                <w:tcPr>
                  <w:tcW w:w="15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废石料</w:t>
                  </w:r>
                </w:p>
              </w:tc>
              <w:tc>
                <w:tcPr>
                  <w:tcW w:w="149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59.3 </w:t>
                  </w:r>
                </w:p>
              </w:tc>
              <w:tc>
                <w:tcPr>
                  <w:tcW w:w="12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65.5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水洗砂</w:t>
                  </w:r>
                </w:p>
              </w:tc>
              <w:tc>
                <w:tcPr>
                  <w:tcW w:w="135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28362.5 </w:t>
                  </w:r>
                </w:p>
              </w:tc>
              <w:tc>
                <w:tcPr>
                  <w:tcW w:w="127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31312.2 </w:t>
                  </w:r>
                </w:p>
              </w:tc>
              <w:tc>
                <w:tcPr>
                  <w:tcW w:w="15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拌合残渣</w:t>
                  </w:r>
                </w:p>
              </w:tc>
              <w:tc>
                <w:tcPr>
                  <w:tcW w:w="149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1.7 </w:t>
                  </w:r>
                </w:p>
              </w:tc>
              <w:tc>
                <w:tcPr>
                  <w:tcW w:w="12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碎石</w:t>
                  </w:r>
                </w:p>
              </w:tc>
              <w:tc>
                <w:tcPr>
                  <w:tcW w:w="135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37542.8 </w:t>
                  </w:r>
                </w:p>
              </w:tc>
              <w:tc>
                <w:tcPr>
                  <w:tcW w:w="127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41447.2 </w:t>
                  </w:r>
                </w:p>
              </w:tc>
              <w:tc>
                <w:tcPr>
                  <w:tcW w:w="15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废水沉淀沉渣</w:t>
                  </w:r>
                </w:p>
              </w:tc>
              <w:tc>
                <w:tcPr>
                  <w:tcW w:w="149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2.1 </w:t>
                  </w:r>
                </w:p>
              </w:tc>
              <w:tc>
                <w:tcPr>
                  <w:tcW w:w="12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外加剂</w:t>
                  </w:r>
                </w:p>
              </w:tc>
              <w:tc>
                <w:tcPr>
                  <w:tcW w:w="135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114.9 </w:t>
                  </w:r>
                </w:p>
              </w:tc>
              <w:tc>
                <w:tcPr>
                  <w:tcW w:w="127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126.8 </w:t>
                  </w:r>
                </w:p>
              </w:tc>
              <w:tc>
                <w:tcPr>
                  <w:tcW w:w="15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无组织废气</w:t>
                  </w:r>
                </w:p>
              </w:tc>
              <w:tc>
                <w:tcPr>
                  <w:tcW w:w="149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1.4 </w:t>
                  </w:r>
                </w:p>
              </w:tc>
              <w:tc>
                <w:tcPr>
                  <w:tcW w:w="12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3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合计</w:t>
                  </w:r>
                </w:p>
              </w:tc>
              <w:tc>
                <w:tcPr>
                  <w:tcW w:w="135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79672.5 </w:t>
                  </w:r>
                </w:p>
              </w:tc>
              <w:tc>
                <w:tcPr>
                  <w:tcW w:w="127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92604.2 </w:t>
                  </w:r>
                </w:p>
              </w:tc>
              <w:tc>
                <w:tcPr>
                  <w:tcW w:w="153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合计</w:t>
                  </w:r>
                </w:p>
              </w:tc>
              <w:tc>
                <w:tcPr>
                  <w:tcW w:w="149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79672.5 </w:t>
                  </w:r>
                </w:p>
              </w:tc>
              <w:tc>
                <w:tcPr>
                  <w:tcW w:w="12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92604.2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6"/>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注：本项目运行工期为3个月，项目进料及出料情况均以3个月的周期核算。</w:t>
                  </w:r>
                </w:p>
              </w:tc>
            </w:tr>
          </w:tbl>
          <w:p>
            <w:pPr>
              <w:adjustRightInd w:val="0"/>
              <w:snapToGrid w:val="0"/>
              <w:spacing w:line="360" w:lineRule="auto"/>
              <w:ind w:firstLine="481" w:firstLineChars="200"/>
              <w:rPr>
                <w:b/>
                <w:bCs/>
                <w:color w:val="auto"/>
                <w:sz w:val="24"/>
              </w:rPr>
            </w:pPr>
            <w:r>
              <w:rPr>
                <w:rFonts w:hint="eastAsia"/>
                <w:b/>
                <w:bCs/>
                <w:color w:val="auto"/>
                <w:sz w:val="24"/>
                <w:lang w:val="en-US" w:eastAsia="zh-CN"/>
              </w:rPr>
              <w:t>9</w:t>
            </w:r>
            <w:r>
              <w:rPr>
                <w:rFonts w:hint="eastAsia"/>
                <w:b/>
                <w:bCs/>
                <w:color w:val="auto"/>
                <w:sz w:val="24"/>
              </w:rPr>
              <w:t>、</w:t>
            </w:r>
            <w:r>
              <w:rPr>
                <w:b/>
                <w:bCs/>
                <w:color w:val="auto"/>
                <w:sz w:val="24"/>
              </w:rPr>
              <w:t>公用工程</w:t>
            </w:r>
          </w:p>
          <w:p>
            <w:pPr>
              <w:pStyle w:val="31"/>
              <w:numPr>
                <w:ilvl w:val="0"/>
                <w:numId w:val="6"/>
              </w:numPr>
              <w:adjustRightInd w:val="0"/>
              <w:snapToGrid w:val="0"/>
              <w:ind w:firstLine="482"/>
              <w:jc w:val="both"/>
              <w:rPr>
                <w:b/>
                <w:bCs/>
                <w:color w:val="auto"/>
              </w:rPr>
            </w:pPr>
            <w:r>
              <w:rPr>
                <w:b/>
                <w:bCs/>
                <w:color w:val="auto"/>
              </w:rPr>
              <w:t>给水</w:t>
            </w:r>
          </w:p>
          <w:p>
            <w:pPr>
              <w:pStyle w:val="31"/>
              <w:adjustRightInd w:val="0"/>
              <w:snapToGrid w:val="0"/>
              <w:jc w:val="both"/>
              <w:rPr>
                <w:color w:val="auto"/>
              </w:rPr>
            </w:pPr>
            <w:r>
              <w:rPr>
                <w:color w:val="auto"/>
              </w:rPr>
              <w:t>给水类型：包括生活用水和生产用水；</w:t>
            </w:r>
          </w:p>
          <w:p>
            <w:pPr>
              <w:pStyle w:val="48"/>
              <w:framePr w:hSpace="0" w:wrap="auto" w:vAnchor="margin" w:hAnchor="text" w:xAlign="left" w:yAlign="inline"/>
              <w:adjustRightInd w:val="0"/>
              <w:snapToGrid w:val="0"/>
              <w:ind w:firstLine="480"/>
              <w:rPr>
                <w:color w:val="auto"/>
                <w:szCs w:val="24"/>
                <w:lang w:bidi="ar"/>
              </w:rPr>
            </w:pPr>
            <w:r>
              <w:rPr>
                <w:color w:val="auto"/>
                <w:szCs w:val="24"/>
                <w:lang w:bidi="ar"/>
              </w:rPr>
              <w:t>给水来源：本项目值班人员食宿依托</w:t>
            </w:r>
            <w:r>
              <w:rPr>
                <w:rFonts w:hint="eastAsia"/>
                <w:color w:val="auto"/>
                <w:szCs w:val="24"/>
                <w:lang w:bidi="ar"/>
              </w:rPr>
              <w:t>周边</w:t>
            </w:r>
            <w:r>
              <w:rPr>
                <w:color w:val="auto"/>
                <w:szCs w:val="24"/>
                <w:lang w:bidi="ar"/>
              </w:rPr>
              <w:t>民用住房，工作期间生活用水采用外购桶装纯净水，生产用水</w:t>
            </w:r>
            <w:r>
              <w:rPr>
                <w:rFonts w:hint="eastAsia"/>
                <w:color w:val="auto"/>
                <w:szCs w:val="24"/>
                <w:lang w:bidi="ar"/>
              </w:rPr>
              <w:t>由</w:t>
            </w:r>
            <w:r>
              <w:rPr>
                <w:rFonts w:hint="eastAsia"/>
                <w:color w:val="auto"/>
                <w:szCs w:val="24"/>
                <w:lang w:val="en-US" w:eastAsia="zh-CN" w:bidi="ar"/>
              </w:rPr>
              <w:t>水泵抽取北干渠渠水经蓄水池沉淀初步处理后，由输水管输送</w:t>
            </w:r>
            <w:r>
              <w:rPr>
                <w:rFonts w:hint="eastAsia"/>
                <w:color w:val="auto"/>
                <w:szCs w:val="24"/>
                <w:lang w:bidi="ar"/>
              </w:rPr>
              <w:t>至</w:t>
            </w:r>
            <w:r>
              <w:rPr>
                <w:rFonts w:hint="eastAsia"/>
                <w:color w:val="auto"/>
                <w:szCs w:val="24"/>
                <w:lang w:val="en-US" w:eastAsia="zh-CN" w:bidi="ar"/>
              </w:rPr>
              <w:t>搅拌工作区的</w:t>
            </w:r>
            <w:r>
              <w:rPr>
                <w:rFonts w:hint="eastAsia"/>
                <w:color w:val="auto"/>
                <w:szCs w:val="24"/>
                <w:lang w:bidi="ar"/>
              </w:rPr>
              <w:t>2个容积为</w:t>
            </w:r>
            <w:r>
              <w:rPr>
                <w:rFonts w:hint="eastAsia"/>
                <w:color w:val="auto"/>
                <w:szCs w:val="24"/>
                <w:lang w:val="en-US" w:eastAsia="zh-CN" w:bidi="ar"/>
              </w:rPr>
              <w:t>20</w:t>
            </w:r>
            <w:r>
              <w:rPr>
                <w:rFonts w:hint="eastAsia"/>
                <w:color w:val="auto"/>
                <w:szCs w:val="24"/>
                <w:lang w:bidi="ar"/>
              </w:rPr>
              <w:t>m</w:t>
            </w:r>
            <w:r>
              <w:rPr>
                <w:rFonts w:hint="eastAsia"/>
                <w:color w:val="auto"/>
                <w:szCs w:val="24"/>
                <w:vertAlign w:val="superscript"/>
                <w:lang w:bidi="ar"/>
              </w:rPr>
              <w:t>3</w:t>
            </w:r>
            <w:r>
              <w:rPr>
                <w:rFonts w:hint="eastAsia"/>
                <w:color w:val="auto"/>
                <w:szCs w:val="24"/>
                <w:lang w:bidi="ar"/>
              </w:rPr>
              <w:t>的</w:t>
            </w:r>
            <w:r>
              <w:rPr>
                <w:rFonts w:hint="eastAsia"/>
                <w:color w:val="auto"/>
                <w:szCs w:val="24"/>
                <w:lang w:eastAsia="zh-CN" w:bidi="ar"/>
              </w:rPr>
              <w:t>储水箱</w:t>
            </w:r>
            <w:r>
              <w:rPr>
                <w:color w:val="auto"/>
                <w:szCs w:val="24"/>
                <w:lang w:bidi="ar"/>
              </w:rPr>
              <w:t>。</w:t>
            </w:r>
          </w:p>
          <w:p>
            <w:pPr>
              <w:adjustRightInd w:val="0"/>
              <w:snapToGrid w:val="0"/>
              <w:spacing w:line="360" w:lineRule="auto"/>
              <w:ind w:firstLine="481" w:firstLineChars="200"/>
              <w:rPr>
                <w:b/>
                <w:bCs/>
                <w:color w:val="auto"/>
                <w:sz w:val="24"/>
              </w:rPr>
            </w:pPr>
            <w:r>
              <w:rPr>
                <w:b/>
                <w:bCs/>
                <w:color w:val="auto"/>
                <w:sz w:val="24"/>
              </w:rPr>
              <w:t>①生活用水：</w:t>
            </w:r>
          </w:p>
          <w:p>
            <w:pPr>
              <w:pStyle w:val="48"/>
              <w:framePr w:hSpace="0" w:wrap="auto" w:vAnchor="margin" w:hAnchor="text" w:xAlign="left" w:yAlign="inline"/>
              <w:adjustRightInd w:val="0"/>
              <w:snapToGrid w:val="0"/>
              <w:ind w:firstLine="480"/>
              <w:rPr>
                <w:color w:val="auto"/>
                <w:kern w:val="2"/>
                <w:szCs w:val="24"/>
              </w:rPr>
            </w:pPr>
            <w:r>
              <w:rPr>
                <w:color w:val="auto"/>
                <w:szCs w:val="24"/>
                <w:lang w:bidi="ar"/>
              </w:rPr>
              <w:t>厂区定员</w:t>
            </w:r>
            <w:r>
              <w:rPr>
                <w:rFonts w:hint="eastAsia"/>
                <w:color w:val="auto"/>
                <w:szCs w:val="24"/>
                <w:lang w:val="en-US" w:eastAsia="zh-CN" w:bidi="ar"/>
              </w:rPr>
              <w:t>15</w:t>
            </w:r>
            <w:r>
              <w:rPr>
                <w:color w:val="auto"/>
                <w:szCs w:val="24"/>
                <w:lang w:bidi="ar"/>
              </w:rPr>
              <w:t>人，</w:t>
            </w:r>
            <w:r>
              <w:rPr>
                <w:rFonts w:hint="eastAsia"/>
                <w:color w:val="auto"/>
                <w:szCs w:val="24"/>
                <w:lang w:val="en-US" w:eastAsia="zh-CN" w:bidi="ar"/>
              </w:rPr>
              <w:t>项目周期92天</w:t>
            </w:r>
            <w:r>
              <w:rPr>
                <w:color w:val="auto"/>
                <w:szCs w:val="24"/>
                <w:lang w:bidi="ar"/>
              </w:rPr>
              <w:t>，</w:t>
            </w:r>
            <w:r>
              <w:rPr>
                <w:rFonts w:hint="eastAsia"/>
                <w:color w:val="auto"/>
                <w:szCs w:val="24"/>
                <w:lang w:val="en-US" w:eastAsia="zh-CN" w:bidi="ar"/>
              </w:rPr>
              <w:t>9</w:t>
            </w:r>
            <w:r>
              <w:rPr>
                <w:color w:val="auto"/>
                <w:szCs w:val="24"/>
                <w:lang w:bidi="ar"/>
              </w:rPr>
              <w:t>小时工作制。根据《宁夏回族自治区有关行业用水定额（修订）》（宁政办规发</w:t>
            </w:r>
            <w:r>
              <w:rPr>
                <w:color w:val="auto"/>
                <w:szCs w:val="24"/>
              </w:rPr>
              <w:t>〔2020〕</w:t>
            </w:r>
            <w:r>
              <w:rPr>
                <w:color w:val="auto"/>
                <w:szCs w:val="24"/>
                <w:lang w:bidi="ar"/>
              </w:rPr>
              <w:t>20号）</w:t>
            </w:r>
            <w:r>
              <w:rPr>
                <w:rFonts w:hint="eastAsia"/>
                <w:color w:val="auto"/>
                <w:kern w:val="2"/>
                <w:szCs w:val="24"/>
              </w:rPr>
              <w:t>中</w:t>
            </w:r>
            <w:r>
              <w:rPr>
                <w:rFonts w:hint="eastAsia"/>
                <w:color w:val="auto"/>
                <w:kern w:val="2"/>
                <w:szCs w:val="24"/>
                <w:lang w:eastAsia="zh-CN"/>
              </w:rPr>
              <w:t>续表</w:t>
            </w:r>
            <w:r>
              <w:rPr>
                <w:rFonts w:hint="eastAsia"/>
                <w:color w:val="auto"/>
                <w:kern w:val="2"/>
                <w:szCs w:val="24"/>
                <w:lang w:val="en-US" w:eastAsia="zh-CN"/>
              </w:rPr>
              <w:t>2</w:t>
            </w:r>
            <w:r>
              <w:rPr>
                <w:rFonts w:hint="eastAsia"/>
                <w:color w:val="auto"/>
                <w:kern w:val="2"/>
                <w:szCs w:val="24"/>
              </w:rPr>
              <w:t>表1居民生活用水定额表中二类区农村居民家庭生活用水</w:t>
            </w:r>
            <w:r>
              <w:rPr>
                <w:color w:val="auto"/>
                <w:kern w:val="2"/>
                <w:szCs w:val="24"/>
              </w:rPr>
              <w:t>定额</w:t>
            </w:r>
            <w:r>
              <w:rPr>
                <w:rFonts w:hint="eastAsia"/>
                <w:color w:val="auto"/>
                <w:kern w:val="2"/>
                <w:szCs w:val="24"/>
              </w:rPr>
              <w:t>为70</w:t>
            </w:r>
            <w:r>
              <w:rPr>
                <w:color w:val="auto"/>
                <w:kern w:val="2"/>
                <w:szCs w:val="24"/>
              </w:rPr>
              <w:t>L/（人·d）</w:t>
            </w:r>
            <w:r>
              <w:rPr>
                <w:rFonts w:hint="eastAsia"/>
                <w:color w:val="auto"/>
                <w:kern w:val="2"/>
                <w:szCs w:val="24"/>
              </w:rPr>
              <w:t>计</w:t>
            </w:r>
            <w:r>
              <w:rPr>
                <w:color w:val="auto"/>
                <w:kern w:val="2"/>
                <w:szCs w:val="24"/>
              </w:rPr>
              <w:t>，则生活用水量约为</w:t>
            </w:r>
            <w:r>
              <w:rPr>
                <w:rFonts w:hint="eastAsia"/>
                <w:color w:val="auto"/>
                <w:kern w:val="2"/>
                <w:szCs w:val="24"/>
                <w:lang w:val="en-US" w:eastAsia="zh-CN"/>
              </w:rPr>
              <w:t>1.05</w:t>
            </w:r>
            <w:r>
              <w:rPr>
                <w:color w:val="auto"/>
                <w:kern w:val="2"/>
                <w:szCs w:val="24"/>
              </w:rPr>
              <w:t>m</w:t>
            </w:r>
            <w:r>
              <w:rPr>
                <w:color w:val="auto"/>
                <w:kern w:val="2"/>
                <w:szCs w:val="24"/>
                <w:vertAlign w:val="superscript"/>
              </w:rPr>
              <w:t>3</w:t>
            </w:r>
            <w:r>
              <w:rPr>
                <w:color w:val="auto"/>
                <w:kern w:val="2"/>
                <w:szCs w:val="24"/>
              </w:rPr>
              <w:t>/d（</w:t>
            </w:r>
            <w:r>
              <w:rPr>
                <w:rFonts w:hint="eastAsia"/>
                <w:color w:val="auto"/>
                <w:kern w:val="2"/>
                <w:szCs w:val="24"/>
                <w:lang w:val="en-US" w:eastAsia="zh-CN"/>
              </w:rPr>
              <w:t>96.6</w:t>
            </w:r>
            <w:r>
              <w:rPr>
                <w:color w:val="auto"/>
                <w:kern w:val="2"/>
                <w:szCs w:val="24"/>
              </w:rPr>
              <w:t>m</w:t>
            </w:r>
            <w:r>
              <w:rPr>
                <w:color w:val="auto"/>
                <w:kern w:val="2"/>
                <w:szCs w:val="24"/>
                <w:vertAlign w:val="superscript"/>
              </w:rPr>
              <w:t>3</w:t>
            </w:r>
            <w:r>
              <w:rPr>
                <w:color w:val="auto"/>
                <w:kern w:val="2"/>
                <w:szCs w:val="24"/>
              </w:rPr>
              <w:t>/</w:t>
            </w:r>
            <w:r>
              <w:rPr>
                <w:rFonts w:hint="eastAsia"/>
                <w:color w:val="auto"/>
                <w:kern w:val="2"/>
                <w:szCs w:val="24"/>
                <w:lang w:val="en-US" w:eastAsia="zh-CN"/>
              </w:rPr>
              <w:t>周期</w:t>
            </w:r>
            <w:r>
              <w:rPr>
                <w:color w:val="auto"/>
                <w:kern w:val="2"/>
                <w:szCs w:val="24"/>
              </w:rPr>
              <w:t>）。</w:t>
            </w:r>
          </w:p>
          <w:p>
            <w:pPr>
              <w:pStyle w:val="31"/>
              <w:adjustRightInd w:val="0"/>
              <w:snapToGrid w:val="0"/>
              <w:ind w:firstLine="482"/>
              <w:jc w:val="both"/>
              <w:rPr>
                <w:color w:val="auto"/>
              </w:rPr>
            </w:pPr>
            <w:r>
              <w:rPr>
                <w:b/>
                <w:bCs/>
                <w:color w:val="auto"/>
                <w:kern w:val="0"/>
                <w:lang w:bidi="ar"/>
              </w:rPr>
              <w:t>②生产用水：</w:t>
            </w:r>
          </w:p>
          <w:p>
            <w:pPr>
              <w:widowControl/>
              <w:adjustRightInd w:val="0"/>
              <w:snapToGrid w:val="0"/>
              <w:spacing w:line="360" w:lineRule="auto"/>
              <w:ind w:firstLine="480" w:firstLineChars="200"/>
              <w:rPr>
                <w:color w:val="auto"/>
                <w:sz w:val="24"/>
              </w:rPr>
            </w:pPr>
            <w:r>
              <w:rPr>
                <w:rFonts w:hint="eastAsia"/>
                <w:color w:val="auto"/>
                <w:kern w:val="0"/>
                <w:sz w:val="24"/>
                <w:lang w:bidi="ar"/>
              </w:rPr>
              <w:t>A</w:t>
            </w:r>
            <w:r>
              <w:rPr>
                <w:color w:val="auto"/>
                <w:kern w:val="0"/>
                <w:sz w:val="24"/>
                <w:lang w:bidi="ar"/>
              </w:rPr>
              <w:t>混凝土用水：项目设计产出</w:t>
            </w:r>
            <w:r>
              <w:rPr>
                <w:rFonts w:hint="eastAsia"/>
                <w:color w:val="auto"/>
                <w:kern w:val="0"/>
                <w:sz w:val="24"/>
                <w:lang w:val="en-US" w:eastAsia="zh-CN" w:bidi="ar"/>
              </w:rPr>
              <w:t>3.9436</w:t>
            </w:r>
            <w:r>
              <w:rPr>
                <w:color w:val="auto"/>
                <w:kern w:val="0"/>
                <w:sz w:val="24"/>
                <w:lang w:bidi="ar"/>
              </w:rPr>
              <w:t>万m</w:t>
            </w:r>
            <w:r>
              <w:rPr>
                <w:color w:val="auto"/>
                <w:kern w:val="0"/>
                <w:sz w:val="24"/>
                <w:vertAlign w:val="superscript"/>
                <w:lang w:bidi="ar"/>
              </w:rPr>
              <w:t>3</w:t>
            </w:r>
            <w:r>
              <w:rPr>
                <w:color w:val="auto"/>
                <w:kern w:val="0"/>
                <w:sz w:val="24"/>
                <w:lang w:bidi="ar"/>
              </w:rPr>
              <w:t>混凝土，</w:t>
            </w:r>
            <w:r>
              <w:rPr>
                <w:rFonts w:hint="eastAsia"/>
                <w:color w:val="auto"/>
                <w:kern w:val="0"/>
                <w:sz w:val="24"/>
                <w:lang w:val="en-US" w:eastAsia="zh-CN" w:bidi="ar"/>
              </w:rPr>
              <w:t>根据建设单位提供设计配比资料，</w:t>
            </w:r>
            <w:r>
              <w:rPr>
                <w:color w:val="auto"/>
                <w:kern w:val="0"/>
                <w:sz w:val="24"/>
                <w:lang w:bidi="ar"/>
              </w:rPr>
              <w:t>每m</w:t>
            </w:r>
            <w:r>
              <w:rPr>
                <w:color w:val="auto"/>
                <w:kern w:val="0"/>
                <w:sz w:val="24"/>
                <w:vertAlign w:val="superscript"/>
                <w:lang w:bidi="ar"/>
              </w:rPr>
              <w:t>3</w:t>
            </w:r>
            <w:r>
              <w:rPr>
                <w:color w:val="auto"/>
                <w:kern w:val="0"/>
                <w:sz w:val="24"/>
                <w:lang w:bidi="ar"/>
              </w:rPr>
              <w:t>混凝土用水量为</w:t>
            </w:r>
            <w:r>
              <w:rPr>
                <w:rFonts w:hint="eastAsia"/>
                <w:color w:val="auto"/>
                <w:kern w:val="0"/>
                <w:sz w:val="24"/>
                <w:lang w:val="en-US" w:eastAsia="zh-CN" w:bidi="ar"/>
              </w:rPr>
              <w:t>150</w:t>
            </w:r>
            <w:r>
              <w:rPr>
                <w:color w:val="auto"/>
                <w:kern w:val="0"/>
                <w:sz w:val="24"/>
                <w:lang w:bidi="ar"/>
              </w:rPr>
              <w:t>kg，则混凝土用水量为</w:t>
            </w:r>
            <w:r>
              <w:rPr>
                <w:rFonts w:hint="eastAsia"/>
                <w:color w:val="auto"/>
                <w:kern w:val="0"/>
                <w:sz w:val="24"/>
                <w:lang w:val="en-US" w:eastAsia="zh-CN" w:bidi="ar"/>
              </w:rPr>
              <w:t>64.3</w:t>
            </w:r>
            <w:r>
              <w:rPr>
                <w:color w:val="auto"/>
                <w:kern w:val="0"/>
                <w:sz w:val="24"/>
                <w:lang w:bidi="ar"/>
              </w:rPr>
              <w:t>m</w:t>
            </w:r>
            <w:r>
              <w:rPr>
                <w:color w:val="auto"/>
                <w:kern w:val="0"/>
                <w:sz w:val="24"/>
                <w:vertAlign w:val="superscript"/>
                <w:lang w:bidi="ar"/>
              </w:rPr>
              <w:t>3</w:t>
            </w:r>
            <w:r>
              <w:rPr>
                <w:color w:val="auto"/>
                <w:kern w:val="0"/>
                <w:sz w:val="24"/>
                <w:lang w:bidi="ar"/>
              </w:rPr>
              <w:t>/</w:t>
            </w:r>
            <w:r>
              <w:rPr>
                <w:rFonts w:hint="eastAsia"/>
                <w:color w:val="auto"/>
                <w:kern w:val="0"/>
                <w:sz w:val="24"/>
                <w:lang w:bidi="ar"/>
              </w:rPr>
              <w:t>d（</w:t>
            </w:r>
            <w:r>
              <w:rPr>
                <w:rFonts w:hint="eastAsia"/>
                <w:color w:val="auto"/>
                <w:kern w:val="0"/>
                <w:sz w:val="24"/>
                <w:lang w:val="en-US" w:eastAsia="zh-CN" w:bidi="ar"/>
              </w:rPr>
              <w:t>5915</w:t>
            </w:r>
            <w:r>
              <w:rPr>
                <w:color w:val="auto"/>
                <w:kern w:val="0"/>
                <w:sz w:val="24"/>
                <w:lang w:bidi="ar"/>
              </w:rPr>
              <w:t>m</w:t>
            </w:r>
            <w:r>
              <w:rPr>
                <w:color w:val="auto"/>
                <w:kern w:val="0"/>
                <w:sz w:val="24"/>
                <w:vertAlign w:val="superscript"/>
                <w:lang w:bidi="ar"/>
              </w:rPr>
              <w:t>3</w:t>
            </w:r>
            <w:r>
              <w:rPr>
                <w:color w:val="auto"/>
                <w:kern w:val="0"/>
                <w:sz w:val="24"/>
                <w:lang w:bidi="ar"/>
              </w:rPr>
              <w:t>/</w:t>
            </w:r>
            <w:r>
              <w:rPr>
                <w:rFonts w:hint="eastAsia"/>
                <w:color w:val="auto"/>
                <w:kern w:val="0"/>
                <w:sz w:val="24"/>
                <w:lang w:val="en-US" w:eastAsia="zh-CN" w:bidi="ar"/>
              </w:rPr>
              <w:t>周期</w:t>
            </w:r>
            <w:r>
              <w:rPr>
                <w:rFonts w:hint="eastAsia"/>
                <w:color w:val="auto"/>
                <w:kern w:val="0"/>
                <w:sz w:val="24"/>
                <w:lang w:bidi="ar"/>
              </w:rPr>
              <w:t>）；</w:t>
            </w:r>
          </w:p>
          <w:p>
            <w:pPr>
              <w:pStyle w:val="31"/>
              <w:adjustRightInd w:val="0"/>
              <w:snapToGrid w:val="0"/>
              <w:jc w:val="both"/>
              <w:rPr>
                <w:color w:val="auto"/>
              </w:rPr>
            </w:pPr>
            <w:r>
              <w:rPr>
                <w:rFonts w:hint="eastAsia"/>
                <w:color w:val="auto"/>
              </w:rPr>
              <w:t>B</w:t>
            </w:r>
            <w:r>
              <w:rPr>
                <w:color w:val="auto"/>
              </w:rPr>
              <w:t>搅拌机清洗用水：搅拌机冲洗用水量为2m</w:t>
            </w:r>
            <w:r>
              <w:rPr>
                <w:color w:val="auto"/>
                <w:vertAlign w:val="superscript"/>
              </w:rPr>
              <w:t>3</w:t>
            </w:r>
            <w:r>
              <w:rPr>
                <w:color w:val="auto"/>
              </w:rPr>
              <w:t>/次，每日清洗一次，则搅拌机清洗用水量为</w:t>
            </w:r>
            <w:r>
              <w:rPr>
                <w:rFonts w:hint="eastAsia"/>
                <w:color w:val="auto"/>
              </w:rPr>
              <w:t>2</w:t>
            </w:r>
            <w:r>
              <w:rPr>
                <w:color w:val="auto"/>
                <w:kern w:val="0"/>
                <w:lang w:bidi="ar"/>
              </w:rPr>
              <w:t>m</w:t>
            </w:r>
            <w:r>
              <w:rPr>
                <w:color w:val="auto"/>
                <w:kern w:val="0"/>
                <w:vertAlign w:val="superscript"/>
                <w:lang w:bidi="ar"/>
              </w:rPr>
              <w:t>3</w:t>
            </w:r>
            <w:r>
              <w:rPr>
                <w:color w:val="auto"/>
                <w:kern w:val="0"/>
                <w:lang w:bidi="ar"/>
              </w:rPr>
              <w:t>/</w:t>
            </w:r>
            <w:r>
              <w:rPr>
                <w:rFonts w:hint="eastAsia"/>
                <w:color w:val="auto"/>
                <w:kern w:val="0"/>
                <w:lang w:bidi="ar"/>
              </w:rPr>
              <w:t>d</w:t>
            </w:r>
            <w:r>
              <w:rPr>
                <w:rFonts w:hint="eastAsia"/>
                <w:color w:val="auto"/>
              </w:rPr>
              <w:t>（</w:t>
            </w:r>
            <w:r>
              <w:rPr>
                <w:rFonts w:hint="eastAsia"/>
                <w:color w:val="auto"/>
                <w:lang w:val="en-US" w:eastAsia="zh-CN"/>
              </w:rPr>
              <w:t>184</w:t>
            </w:r>
            <w:r>
              <w:rPr>
                <w:color w:val="auto"/>
              </w:rPr>
              <w:t>m</w:t>
            </w:r>
            <w:r>
              <w:rPr>
                <w:color w:val="auto"/>
                <w:vertAlign w:val="superscript"/>
              </w:rPr>
              <w:t>3</w:t>
            </w:r>
            <w:r>
              <w:rPr>
                <w:color w:val="auto"/>
              </w:rPr>
              <w:t>/</w:t>
            </w:r>
            <w:r>
              <w:rPr>
                <w:rFonts w:hint="eastAsia"/>
                <w:color w:val="auto"/>
                <w:lang w:val="en-US" w:eastAsia="zh-CN"/>
              </w:rPr>
              <w:t>周期</w:t>
            </w:r>
            <w:r>
              <w:rPr>
                <w:rFonts w:hint="eastAsia"/>
                <w:color w:val="auto"/>
              </w:rPr>
              <w:t>）；搅拌机清洗</w:t>
            </w:r>
            <w:r>
              <w:rPr>
                <w:color w:val="auto"/>
              </w:rPr>
              <w:t>废水按用水量的80％计，产生量为1.6m</w:t>
            </w:r>
            <w:r>
              <w:rPr>
                <w:color w:val="auto"/>
                <w:vertAlign w:val="superscript"/>
              </w:rPr>
              <w:t>3</w:t>
            </w:r>
            <w:r>
              <w:rPr>
                <w:color w:val="auto"/>
              </w:rPr>
              <w:t>/d（</w:t>
            </w:r>
            <w:r>
              <w:rPr>
                <w:rFonts w:hint="eastAsia"/>
                <w:color w:val="auto"/>
                <w:lang w:val="en-US" w:eastAsia="zh-CN"/>
              </w:rPr>
              <w:t>147.2</w:t>
            </w:r>
            <w:r>
              <w:rPr>
                <w:color w:val="auto"/>
              </w:rPr>
              <w:t>m</w:t>
            </w:r>
            <w:r>
              <w:rPr>
                <w:color w:val="auto"/>
                <w:vertAlign w:val="superscript"/>
              </w:rPr>
              <w:t>3</w:t>
            </w:r>
            <w:r>
              <w:rPr>
                <w:color w:val="auto"/>
              </w:rPr>
              <w:t>/</w:t>
            </w:r>
            <w:r>
              <w:rPr>
                <w:rFonts w:hint="eastAsia"/>
                <w:color w:val="auto"/>
                <w:lang w:val="en-US" w:eastAsia="zh-CN"/>
              </w:rPr>
              <w:t>周期</w:t>
            </w:r>
            <w:r>
              <w:rPr>
                <w:color w:val="auto"/>
              </w:rPr>
              <w:t>），经临时沉淀池沉淀，取上清液回用于厂区道路洒水抑尘，不外排；</w:t>
            </w:r>
          </w:p>
          <w:p>
            <w:pPr>
              <w:pStyle w:val="31"/>
              <w:adjustRightInd w:val="0"/>
              <w:snapToGrid w:val="0"/>
              <w:jc w:val="both"/>
              <w:rPr>
                <w:rFonts w:hint="eastAsia"/>
                <w:color w:val="auto"/>
              </w:rPr>
            </w:pPr>
            <w:r>
              <w:rPr>
                <w:rFonts w:hint="eastAsia"/>
                <w:color w:val="auto"/>
                <w:sz w:val="24"/>
              </w:rPr>
              <w:t>C</w:t>
            </w:r>
            <w:r>
              <w:rPr>
                <w:color w:val="auto"/>
                <w:sz w:val="24"/>
              </w:rPr>
              <w:t>车辆冲洗用水：本项目在场地车辆出入口设置冲洗台，对进场运输车辆车体周围进行冲洗。</w:t>
            </w:r>
            <w:r>
              <w:rPr>
                <w:rFonts w:hint="eastAsia"/>
                <w:color w:val="auto"/>
                <w:sz w:val="24"/>
              </w:rPr>
              <w:t>项目原辅材料</w:t>
            </w:r>
            <w:r>
              <w:rPr>
                <w:rFonts w:hint="eastAsia"/>
                <w:color w:val="auto"/>
                <w:sz w:val="24"/>
                <w:lang w:val="en-US" w:eastAsia="zh-CN"/>
              </w:rPr>
              <w:t>周期内</w:t>
            </w:r>
            <w:r>
              <w:rPr>
                <w:rFonts w:hint="eastAsia"/>
                <w:color w:val="auto"/>
                <w:sz w:val="24"/>
              </w:rPr>
              <w:t>运输量约为</w:t>
            </w:r>
            <w:r>
              <w:rPr>
                <w:rFonts w:hint="eastAsia"/>
                <w:color w:val="auto"/>
                <w:sz w:val="24"/>
                <w:lang w:val="en-US" w:eastAsia="zh-CN"/>
              </w:rPr>
              <w:t>92604t</w:t>
            </w:r>
            <w:r>
              <w:rPr>
                <w:rFonts w:hint="eastAsia"/>
                <w:color w:val="auto"/>
                <w:sz w:val="24"/>
              </w:rPr>
              <w:t>，单车每次运输量按50t计算，</w:t>
            </w:r>
            <w:r>
              <w:rPr>
                <w:rFonts w:hint="eastAsia"/>
                <w:color w:val="auto"/>
                <w:sz w:val="24"/>
                <w:lang w:val="en-US" w:eastAsia="zh-CN"/>
              </w:rPr>
              <w:t>项目周期内</w:t>
            </w:r>
            <w:r>
              <w:rPr>
                <w:rFonts w:hint="eastAsia"/>
                <w:color w:val="auto"/>
                <w:sz w:val="24"/>
              </w:rPr>
              <w:t>运输车辆为</w:t>
            </w:r>
            <w:r>
              <w:rPr>
                <w:rFonts w:hint="eastAsia"/>
                <w:color w:val="auto"/>
                <w:sz w:val="24"/>
                <w:lang w:val="en-US" w:eastAsia="zh-CN"/>
              </w:rPr>
              <w:t>1853</w:t>
            </w:r>
            <w:r>
              <w:rPr>
                <w:rFonts w:hint="eastAsia"/>
                <w:color w:val="auto"/>
                <w:sz w:val="24"/>
              </w:rPr>
              <w:t>车次。通过对同类型企业的类比调查，车辆轮胎冲洗水量为0.4m</w:t>
            </w:r>
            <w:r>
              <w:rPr>
                <w:rFonts w:hint="eastAsia"/>
                <w:color w:val="auto"/>
                <w:sz w:val="24"/>
                <w:vertAlign w:val="superscript"/>
              </w:rPr>
              <w:t>3</w:t>
            </w:r>
            <w:r>
              <w:rPr>
                <w:rFonts w:hint="eastAsia"/>
                <w:color w:val="auto"/>
                <w:sz w:val="24"/>
              </w:rPr>
              <w:t>/辆·车次，因此车辆冲洗用水量为</w:t>
            </w:r>
            <w:r>
              <w:rPr>
                <w:rFonts w:hint="eastAsia"/>
                <w:color w:val="auto"/>
                <w:sz w:val="24"/>
                <w:lang w:val="en-US" w:eastAsia="zh-CN"/>
              </w:rPr>
              <w:t>8.06</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741.2</w:t>
            </w:r>
            <w:r>
              <w:rPr>
                <w:color w:val="auto"/>
                <w:sz w:val="24"/>
              </w:rPr>
              <w:t>m</w:t>
            </w:r>
            <w:r>
              <w:rPr>
                <w:color w:val="auto"/>
                <w:sz w:val="24"/>
                <w:vertAlign w:val="superscript"/>
              </w:rPr>
              <w:t>3</w:t>
            </w:r>
            <w:r>
              <w:rPr>
                <w:color w:val="auto"/>
                <w:sz w:val="24"/>
              </w:rPr>
              <w:t>/</w:t>
            </w:r>
            <w:r>
              <w:rPr>
                <w:rFonts w:hint="eastAsia"/>
                <w:color w:val="auto"/>
                <w:sz w:val="24"/>
                <w:lang w:val="en-US" w:eastAsia="zh-CN"/>
              </w:rPr>
              <w:t>周期</w:t>
            </w:r>
            <w:r>
              <w:rPr>
                <w:rFonts w:hint="eastAsia"/>
                <w:color w:val="auto"/>
                <w:sz w:val="24"/>
              </w:rPr>
              <w:t>）；</w:t>
            </w:r>
            <w:r>
              <w:rPr>
                <w:color w:val="auto"/>
                <w:sz w:val="24"/>
              </w:rPr>
              <w:t>车辆冲洗废水按用水量的80</w:t>
            </w:r>
            <w:r>
              <w:rPr>
                <w:rFonts w:hint="eastAsia"/>
                <w:color w:val="auto"/>
                <w:sz w:val="24"/>
                <w:lang w:val="en-US" w:eastAsia="zh-CN"/>
              </w:rPr>
              <w:t>%</w:t>
            </w:r>
            <w:r>
              <w:rPr>
                <w:color w:val="auto"/>
                <w:sz w:val="24"/>
              </w:rPr>
              <w:t>计，产生量为</w:t>
            </w:r>
            <w:r>
              <w:rPr>
                <w:rFonts w:hint="eastAsia"/>
                <w:color w:val="auto"/>
                <w:sz w:val="24"/>
                <w:lang w:val="en-US" w:eastAsia="zh-CN"/>
              </w:rPr>
              <w:t>6.45</w:t>
            </w:r>
            <w:r>
              <w:rPr>
                <w:color w:val="auto"/>
                <w:sz w:val="24"/>
              </w:rPr>
              <w:t>m</w:t>
            </w:r>
            <w:r>
              <w:rPr>
                <w:color w:val="auto"/>
                <w:sz w:val="24"/>
                <w:vertAlign w:val="superscript"/>
              </w:rPr>
              <w:t>3</w:t>
            </w:r>
            <w:r>
              <w:rPr>
                <w:color w:val="auto"/>
                <w:sz w:val="24"/>
              </w:rPr>
              <w:t>/d（</w:t>
            </w:r>
            <w:r>
              <w:rPr>
                <w:rFonts w:hint="eastAsia"/>
                <w:color w:val="auto"/>
                <w:sz w:val="24"/>
                <w:lang w:val="en-US" w:eastAsia="zh-CN"/>
              </w:rPr>
              <w:t>59</w:t>
            </w:r>
            <w:r>
              <w:rPr>
                <w:rFonts w:hint="eastAsia"/>
                <w:color w:val="auto"/>
                <w:lang w:val="en-US" w:eastAsia="zh-CN"/>
              </w:rPr>
              <w:t>3.0</w:t>
            </w:r>
            <w:r>
              <w:rPr>
                <w:rFonts w:hint="eastAsia"/>
                <w:color w:val="auto"/>
              </w:rPr>
              <w:t>m</w:t>
            </w:r>
            <w:r>
              <w:rPr>
                <w:rFonts w:hint="eastAsia"/>
                <w:color w:val="auto"/>
                <w:vertAlign w:val="superscript"/>
              </w:rPr>
              <w:t>3</w:t>
            </w:r>
            <w:r>
              <w:rPr>
                <w:rFonts w:hint="eastAsia"/>
                <w:color w:val="auto"/>
              </w:rPr>
              <w:t>/</w:t>
            </w:r>
            <w:r>
              <w:rPr>
                <w:rFonts w:hint="eastAsia"/>
                <w:color w:val="auto"/>
                <w:lang w:val="en-US" w:eastAsia="zh-CN"/>
              </w:rPr>
              <w:t>周期</w:t>
            </w:r>
            <w:r>
              <w:rPr>
                <w:rFonts w:hint="eastAsia"/>
                <w:color w:val="auto"/>
              </w:rPr>
              <w:t>），经临时沉淀池沉淀，取上清液回用于厂区道路洒水抑尘，不外排；</w:t>
            </w:r>
          </w:p>
          <w:p>
            <w:pPr>
              <w:pStyle w:val="31"/>
              <w:adjustRightInd w:val="0"/>
              <w:snapToGrid w:val="0"/>
              <w:jc w:val="both"/>
              <w:rPr>
                <w:rFonts w:hint="eastAsia"/>
                <w:color w:val="auto"/>
              </w:rPr>
            </w:pPr>
            <w:r>
              <w:rPr>
                <w:rFonts w:hint="eastAsia"/>
                <w:color w:val="auto"/>
              </w:rPr>
              <w:t>D厂区道路洒水：厂区运输道路每日</w:t>
            </w:r>
            <w:r>
              <w:rPr>
                <w:rFonts w:hint="eastAsia"/>
                <w:color w:val="auto"/>
                <w:lang w:eastAsia="zh-CN"/>
              </w:rPr>
              <w:t>及时</w:t>
            </w:r>
            <w:r>
              <w:rPr>
                <w:rFonts w:hint="eastAsia"/>
                <w:color w:val="auto"/>
              </w:rPr>
              <w:t>洒水降尘，洒水量按4.5L/m</w:t>
            </w:r>
            <w:r>
              <w:rPr>
                <w:rFonts w:hint="eastAsia"/>
                <w:color w:val="auto"/>
                <w:vertAlign w:val="superscript"/>
              </w:rPr>
              <w:t>2</w:t>
            </w:r>
            <w:r>
              <w:rPr>
                <w:rFonts w:hint="eastAsia"/>
                <w:color w:val="auto"/>
              </w:rPr>
              <w:t>·d计，洒水面积以1500m</w:t>
            </w:r>
            <w:r>
              <w:rPr>
                <w:rFonts w:hint="eastAsia"/>
                <w:color w:val="auto"/>
                <w:vertAlign w:val="superscript"/>
              </w:rPr>
              <w:t>2</w:t>
            </w:r>
            <w:r>
              <w:rPr>
                <w:rFonts w:hint="eastAsia"/>
                <w:color w:val="auto"/>
              </w:rPr>
              <w:t>计，则厂区道路洒水用水量为6.75m</w:t>
            </w:r>
            <w:r>
              <w:rPr>
                <w:rFonts w:hint="eastAsia"/>
                <w:color w:val="auto"/>
                <w:vertAlign w:val="superscript"/>
              </w:rPr>
              <w:t>3</w:t>
            </w:r>
            <w:r>
              <w:rPr>
                <w:rFonts w:hint="eastAsia"/>
                <w:color w:val="auto"/>
              </w:rPr>
              <w:t>/d（</w:t>
            </w:r>
            <w:r>
              <w:rPr>
                <w:rFonts w:hint="eastAsia"/>
                <w:color w:val="auto"/>
                <w:lang w:val="en-US" w:eastAsia="zh-CN"/>
              </w:rPr>
              <w:t>621.0</w:t>
            </w:r>
            <w:r>
              <w:rPr>
                <w:rFonts w:hint="eastAsia"/>
                <w:color w:val="auto"/>
              </w:rPr>
              <w:t>m</w:t>
            </w:r>
            <w:r>
              <w:rPr>
                <w:rFonts w:hint="eastAsia"/>
                <w:color w:val="auto"/>
                <w:vertAlign w:val="superscript"/>
              </w:rPr>
              <w:t>3</w:t>
            </w:r>
            <w:r>
              <w:rPr>
                <w:rFonts w:hint="eastAsia"/>
                <w:color w:val="auto"/>
              </w:rPr>
              <w:t>/</w:t>
            </w:r>
            <w:r>
              <w:rPr>
                <w:rFonts w:hint="eastAsia"/>
                <w:color w:val="auto"/>
                <w:lang w:val="en-US" w:eastAsia="zh-CN"/>
              </w:rPr>
              <w:t>周期</w:t>
            </w:r>
            <w:r>
              <w:rPr>
                <w:rFonts w:hint="eastAsia"/>
                <w:color w:val="auto"/>
              </w:rPr>
              <w:t>），</w:t>
            </w:r>
            <w:r>
              <w:rPr>
                <w:rFonts w:hint="eastAsia"/>
                <w:color w:val="auto"/>
                <w:lang w:val="en-US" w:eastAsia="zh-CN"/>
              </w:rPr>
              <w:t>由计算可知，</w:t>
            </w:r>
            <w:r>
              <w:rPr>
                <w:rFonts w:hint="eastAsia"/>
                <w:color w:val="auto"/>
              </w:rPr>
              <w:t>车辆冲洗废水及搅拌机清洗废水沉淀后上清液</w:t>
            </w:r>
            <w:r>
              <w:rPr>
                <w:rFonts w:hint="eastAsia"/>
                <w:color w:val="auto"/>
                <w:lang w:val="en-US" w:eastAsia="zh-CN"/>
              </w:rPr>
              <w:t>共740.2</w:t>
            </w:r>
            <w:r>
              <w:rPr>
                <w:rFonts w:hint="default" w:ascii="Times New Roman" w:hAnsi="Times New Roman" w:cs="Times New Roman"/>
                <w:color w:val="auto"/>
                <w:lang w:val="en-US" w:eastAsia="zh-CN"/>
              </w:rPr>
              <w:t>m³</w:t>
            </w:r>
            <w:r>
              <w:rPr>
                <w:rFonts w:hint="eastAsia"/>
                <w:color w:val="auto"/>
                <w:lang w:eastAsia="zh-CN"/>
              </w:rPr>
              <w:t>，</w:t>
            </w:r>
            <w:r>
              <w:rPr>
                <w:rFonts w:hint="eastAsia"/>
                <w:color w:val="auto"/>
                <w:lang w:val="en-US" w:eastAsia="zh-CN"/>
              </w:rPr>
              <w:t>可供厂区道路洒水，且</w:t>
            </w:r>
            <w:r>
              <w:rPr>
                <w:rFonts w:hint="eastAsia"/>
                <w:color w:val="auto"/>
              </w:rPr>
              <w:t>此部分用水自然耗散，无废水产生。</w:t>
            </w:r>
          </w:p>
          <w:p>
            <w:pPr>
              <w:pStyle w:val="31"/>
              <w:adjustRightInd w:val="0"/>
              <w:snapToGrid w:val="0"/>
              <w:jc w:val="both"/>
              <w:rPr>
                <w:rFonts w:hint="eastAsia"/>
                <w:color w:val="auto"/>
              </w:rPr>
            </w:pPr>
            <w:r>
              <w:rPr>
                <w:rFonts w:hint="eastAsia"/>
                <w:color w:val="auto"/>
              </w:rPr>
              <w:t>综上所述，本项目运营周期内新鲜水总用水量为</w:t>
            </w:r>
            <w:r>
              <w:rPr>
                <w:rFonts w:hint="eastAsia"/>
                <w:color w:val="auto"/>
                <w:lang w:val="en-US" w:eastAsia="zh-CN"/>
              </w:rPr>
              <w:t>6936.6</w:t>
            </w:r>
            <w:r>
              <w:rPr>
                <w:rFonts w:hint="eastAsia"/>
                <w:color w:val="auto"/>
              </w:rPr>
              <w:t>m</w:t>
            </w:r>
            <w:r>
              <w:rPr>
                <w:rFonts w:hint="eastAsia"/>
                <w:color w:val="auto"/>
                <w:vertAlign w:val="superscript"/>
              </w:rPr>
              <w:t>3</w:t>
            </w:r>
            <w:r>
              <w:rPr>
                <w:rFonts w:hint="eastAsia"/>
                <w:color w:val="auto"/>
              </w:rPr>
              <w:t>。</w:t>
            </w:r>
          </w:p>
          <w:p>
            <w:pPr>
              <w:pStyle w:val="31"/>
              <w:numPr>
                <w:ilvl w:val="0"/>
                <w:numId w:val="6"/>
              </w:numPr>
              <w:adjustRightInd w:val="0"/>
              <w:snapToGrid w:val="0"/>
              <w:ind w:firstLine="482"/>
              <w:jc w:val="both"/>
              <w:rPr>
                <w:b/>
                <w:bCs/>
                <w:color w:val="000000" w:themeColor="text1"/>
                <w14:textFill>
                  <w14:solidFill>
                    <w14:schemeClr w14:val="tx1"/>
                  </w14:solidFill>
                </w14:textFill>
              </w:rPr>
            </w:pPr>
            <w:r>
              <w:rPr>
                <w:b/>
                <w:bCs/>
                <w:color w:val="000000" w:themeColor="text1"/>
                <w14:textFill>
                  <w14:solidFill>
                    <w14:schemeClr w14:val="tx1"/>
                  </w14:solidFill>
                </w14:textFill>
              </w:rPr>
              <w:t>排水</w:t>
            </w:r>
          </w:p>
          <w:p>
            <w:pPr>
              <w:pStyle w:val="31"/>
              <w:adjustRightInd w:val="0"/>
              <w:snapToGrid w:val="0"/>
              <w:jc w:val="both"/>
              <w:rPr>
                <w:color w:val="auto"/>
              </w:rPr>
            </w:pPr>
            <w:r>
              <w:rPr>
                <w:color w:val="auto"/>
              </w:rPr>
              <w:t>本项目无生产废水排放，排水主要为生活污水。</w:t>
            </w:r>
          </w:p>
          <w:p>
            <w:pPr>
              <w:adjustRightInd w:val="0"/>
              <w:snapToGrid w:val="0"/>
              <w:spacing w:line="360" w:lineRule="auto"/>
              <w:ind w:firstLine="481" w:firstLineChars="200"/>
              <w:jc w:val="both"/>
              <w:rPr>
                <w:color w:val="auto"/>
                <w:sz w:val="24"/>
              </w:rPr>
            </w:pPr>
            <w:r>
              <w:rPr>
                <w:b/>
                <w:bCs/>
                <w:color w:val="auto"/>
                <w:sz w:val="24"/>
              </w:rPr>
              <w:t>①生活污水：</w:t>
            </w:r>
            <w:r>
              <w:rPr>
                <w:color w:val="auto"/>
                <w:sz w:val="24"/>
              </w:rPr>
              <w:t>按照生活用水量的80</w:t>
            </w:r>
            <w:r>
              <w:rPr>
                <w:rFonts w:hint="eastAsia"/>
                <w:color w:val="auto"/>
                <w:sz w:val="24"/>
                <w:lang w:val="en-US" w:eastAsia="zh-CN"/>
              </w:rPr>
              <w:t>%</w:t>
            </w:r>
            <w:r>
              <w:rPr>
                <w:color w:val="auto"/>
                <w:sz w:val="24"/>
              </w:rPr>
              <w:t>计，约为</w:t>
            </w:r>
            <w:r>
              <w:rPr>
                <w:rFonts w:hint="eastAsia"/>
                <w:color w:val="auto"/>
                <w:sz w:val="24"/>
                <w:lang w:val="en-US" w:eastAsia="zh-CN"/>
              </w:rPr>
              <w:t>0.84</w:t>
            </w:r>
            <w:r>
              <w:rPr>
                <w:color w:val="auto"/>
                <w:kern w:val="0"/>
                <w:sz w:val="24"/>
                <w:lang w:bidi="ar"/>
              </w:rPr>
              <w:t>m</w:t>
            </w:r>
            <w:r>
              <w:rPr>
                <w:color w:val="auto"/>
                <w:kern w:val="0"/>
                <w:sz w:val="24"/>
                <w:vertAlign w:val="superscript"/>
                <w:lang w:bidi="ar"/>
              </w:rPr>
              <w:t>3</w:t>
            </w:r>
            <w:r>
              <w:rPr>
                <w:color w:val="auto"/>
                <w:kern w:val="0"/>
                <w:sz w:val="24"/>
                <w:lang w:bidi="ar"/>
              </w:rPr>
              <w:t>/d（</w:t>
            </w:r>
            <w:r>
              <w:rPr>
                <w:rFonts w:hint="eastAsia"/>
                <w:color w:val="auto"/>
                <w:kern w:val="0"/>
                <w:sz w:val="24"/>
                <w:lang w:val="en-US" w:eastAsia="zh-CN" w:bidi="ar"/>
              </w:rPr>
              <w:t>77.3</w:t>
            </w:r>
            <w:r>
              <w:rPr>
                <w:color w:val="auto"/>
                <w:kern w:val="0"/>
                <w:sz w:val="24"/>
                <w:lang w:bidi="ar"/>
              </w:rPr>
              <w:t>m</w:t>
            </w:r>
            <w:r>
              <w:rPr>
                <w:color w:val="auto"/>
                <w:kern w:val="0"/>
                <w:sz w:val="24"/>
                <w:vertAlign w:val="superscript"/>
                <w:lang w:bidi="ar"/>
              </w:rPr>
              <w:t>3</w:t>
            </w:r>
            <w:r>
              <w:rPr>
                <w:rFonts w:hint="eastAsia"/>
                <w:color w:val="auto"/>
              </w:rPr>
              <w:t>/</w:t>
            </w:r>
            <w:r>
              <w:rPr>
                <w:rFonts w:hint="eastAsia"/>
                <w:color w:val="auto"/>
                <w:sz w:val="24"/>
                <w:szCs w:val="32"/>
                <w:lang w:val="en-US" w:eastAsia="zh-CN"/>
              </w:rPr>
              <w:t>周期</w:t>
            </w:r>
            <w:r>
              <w:rPr>
                <w:color w:val="auto"/>
                <w:kern w:val="0"/>
                <w:sz w:val="24"/>
                <w:lang w:bidi="ar"/>
              </w:rPr>
              <w:t>），生活污水</w:t>
            </w:r>
            <w:r>
              <w:rPr>
                <w:rFonts w:hint="eastAsia"/>
                <w:color w:val="auto"/>
                <w:kern w:val="0"/>
                <w:sz w:val="24"/>
                <w:lang w:val="en-US" w:eastAsia="zh-CN" w:bidi="ar"/>
              </w:rPr>
              <w:t>进入化粪池初步</w:t>
            </w:r>
            <w:r>
              <w:rPr>
                <w:rFonts w:hint="eastAsia"/>
                <w:color w:val="auto"/>
                <w:kern w:val="0"/>
                <w:sz w:val="24"/>
                <w:lang w:bidi="ar"/>
              </w:rPr>
              <w:t>处理后定期</w:t>
            </w:r>
            <w:r>
              <w:rPr>
                <w:rFonts w:hint="eastAsia"/>
                <w:color w:val="auto"/>
                <w:kern w:val="0"/>
                <w:sz w:val="24"/>
                <w:lang w:val="en-US" w:eastAsia="zh-CN" w:bidi="ar"/>
              </w:rPr>
              <w:t>外运至中卫市第一污水处理厂进行处置</w:t>
            </w:r>
            <w:r>
              <w:rPr>
                <w:color w:val="auto"/>
                <w:kern w:val="0"/>
                <w:sz w:val="24"/>
                <w:lang w:bidi="ar"/>
              </w:rPr>
              <w:t>。</w:t>
            </w:r>
          </w:p>
          <w:p>
            <w:pPr>
              <w:tabs>
                <w:tab w:val="left" w:pos="0"/>
              </w:tabs>
              <w:adjustRightInd w:val="0"/>
              <w:snapToGrid w:val="0"/>
              <w:spacing w:line="360" w:lineRule="auto"/>
              <w:ind w:firstLine="480" w:firstLineChars="200"/>
              <w:jc w:val="both"/>
              <w:rPr>
                <w:color w:val="auto"/>
                <w:sz w:val="24"/>
              </w:rPr>
            </w:pPr>
            <w:r>
              <w:rPr>
                <w:color w:val="auto"/>
                <w:sz w:val="24"/>
              </w:rPr>
              <w:t>本项目全厂水平衡分析见表2-</w:t>
            </w:r>
            <w:r>
              <w:rPr>
                <w:rFonts w:hint="eastAsia"/>
                <w:color w:val="auto"/>
                <w:sz w:val="24"/>
                <w:lang w:val="en-US" w:eastAsia="zh-CN"/>
              </w:rPr>
              <w:t>7</w:t>
            </w:r>
            <w:r>
              <w:rPr>
                <w:color w:val="auto"/>
                <w:sz w:val="24"/>
              </w:rPr>
              <w:t>，水平衡关系见图2-1。</w:t>
            </w:r>
          </w:p>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vertAlign w:val="superscript"/>
              </w:rPr>
            </w:pPr>
            <w:r>
              <w:rPr>
                <w:b/>
                <w:bCs/>
                <w:color w:val="auto"/>
                <w:sz w:val="21"/>
                <w:szCs w:val="21"/>
              </w:rPr>
              <w:t>表2-</w:t>
            </w:r>
            <w:r>
              <w:rPr>
                <w:rFonts w:hint="eastAsia"/>
                <w:b/>
                <w:bCs/>
                <w:color w:val="auto"/>
                <w:sz w:val="21"/>
                <w:szCs w:val="21"/>
                <w:lang w:val="en-US" w:eastAsia="zh-CN"/>
              </w:rPr>
              <w:t>7</w:t>
            </w:r>
            <w:r>
              <w:rPr>
                <w:b/>
                <w:bCs/>
                <w:color w:val="auto"/>
                <w:sz w:val="21"/>
                <w:szCs w:val="21"/>
              </w:rPr>
              <w:t xml:space="preserve">   项目供排水情况一览表   单位：m</w:t>
            </w:r>
            <w:r>
              <w:rPr>
                <w:b/>
                <w:bCs/>
                <w:color w:val="auto"/>
                <w:sz w:val="21"/>
                <w:szCs w:val="21"/>
                <w:vertAlign w:val="superscript"/>
              </w:rPr>
              <w:t>3</w:t>
            </w:r>
          </w:p>
          <w:tbl>
            <w:tblPr>
              <w:tblStyle w:val="24"/>
              <w:tblW w:w="83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064"/>
              <w:gridCol w:w="904"/>
              <w:gridCol w:w="903"/>
              <w:gridCol w:w="887"/>
              <w:gridCol w:w="968"/>
              <w:gridCol w:w="1113"/>
              <w:gridCol w:w="17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pct"/>
                  <w:gridSpan w:val="2"/>
                  <w:vMerge w:val="restart"/>
                  <w:shd w:val="clear" w:color="auto" w:fill="auto"/>
                  <w:noWrap/>
                  <w:vAlign w:val="center"/>
                </w:tcPr>
                <w:p>
                  <w:pPr>
                    <w:widowControl/>
                    <w:jc w:val="center"/>
                    <w:textAlignment w:val="center"/>
                    <w:rPr>
                      <w:rFonts w:eastAsiaTheme="minorEastAsia"/>
                      <w:b/>
                      <w:bCs/>
                      <w:color w:val="auto"/>
                      <w:szCs w:val="21"/>
                    </w:rPr>
                  </w:pPr>
                  <w:r>
                    <w:rPr>
                      <w:rFonts w:eastAsiaTheme="minorEastAsia"/>
                      <w:b/>
                      <w:bCs/>
                      <w:color w:val="auto"/>
                      <w:kern w:val="0"/>
                      <w:szCs w:val="21"/>
                      <w:lang w:bidi="ar"/>
                    </w:rPr>
                    <w:t>项目</w:t>
                  </w:r>
                </w:p>
              </w:tc>
              <w:tc>
                <w:tcPr>
                  <w:tcW w:w="1080" w:type="pct"/>
                  <w:gridSpan w:val="2"/>
                  <w:shd w:val="clear" w:color="auto" w:fill="auto"/>
                  <w:noWrap/>
                  <w:vAlign w:val="center"/>
                </w:tcPr>
                <w:p>
                  <w:pPr>
                    <w:widowControl/>
                    <w:jc w:val="center"/>
                    <w:textAlignment w:val="center"/>
                    <w:rPr>
                      <w:rFonts w:eastAsiaTheme="minorEastAsia"/>
                      <w:b/>
                      <w:bCs/>
                      <w:color w:val="auto"/>
                      <w:szCs w:val="21"/>
                    </w:rPr>
                  </w:pPr>
                  <w:r>
                    <w:rPr>
                      <w:rFonts w:eastAsiaTheme="minorEastAsia"/>
                      <w:b/>
                      <w:bCs/>
                      <w:color w:val="auto"/>
                      <w:kern w:val="0"/>
                      <w:szCs w:val="21"/>
                      <w:lang w:bidi="ar"/>
                    </w:rPr>
                    <w:t>入方</w:t>
                  </w:r>
                </w:p>
              </w:tc>
              <w:tc>
                <w:tcPr>
                  <w:tcW w:w="1774" w:type="pct"/>
                  <w:gridSpan w:val="3"/>
                  <w:shd w:val="clear" w:color="auto" w:fill="auto"/>
                  <w:noWrap/>
                  <w:vAlign w:val="center"/>
                </w:tcPr>
                <w:p>
                  <w:pPr>
                    <w:widowControl/>
                    <w:jc w:val="center"/>
                    <w:textAlignment w:val="center"/>
                    <w:rPr>
                      <w:rFonts w:eastAsiaTheme="minorEastAsia"/>
                      <w:b/>
                      <w:bCs/>
                      <w:color w:val="auto"/>
                      <w:szCs w:val="21"/>
                    </w:rPr>
                  </w:pPr>
                  <w:r>
                    <w:rPr>
                      <w:rFonts w:eastAsiaTheme="minorEastAsia"/>
                      <w:b/>
                      <w:bCs/>
                      <w:color w:val="auto"/>
                      <w:kern w:val="0"/>
                      <w:szCs w:val="21"/>
                      <w:lang w:bidi="ar"/>
                    </w:rPr>
                    <w:t>出方</w:t>
                  </w:r>
                </w:p>
              </w:tc>
              <w:tc>
                <w:tcPr>
                  <w:tcW w:w="1051" w:type="pct"/>
                  <w:vMerge w:val="restart"/>
                  <w:shd w:val="clear" w:color="auto" w:fill="auto"/>
                  <w:noWrap/>
                  <w:vAlign w:val="center"/>
                </w:tcPr>
                <w:p>
                  <w:pPr>
                    <w:widowControl/>
                    <w:jc w:val="center"/>
                    <w:textAlignment w:val="center"/>
                    <w:rPr>
                      <w:rFonts w:eastAsiaTheme="minorEastAsia"/>
                      <w:b/>
                      <w:bCs/>
                      <w:color w:val="auto"/>
                      <w:kern w:val="0"/>
                      <w:szCs w:val="21"/>
                      <w:lang w:bidi="ar"/>
                    </w:rPr>
                  </w:pPr>
                  <w:r>
                    <w:rPr>
                      <w:rFonts w:hint="eastAsia"/>
                      <w:b/>
                      <w:bCs/>
                      <w:color w:val="auto"/>
                    </w:rPr>
                    <w:t>排水</w:t>
                  </w:r>
                  <w:r>
                    <w:rPr>
                      <w:rFonts w:eastAsiaTheme="minorEastAsia"/>
                      <w:b/>
                      <w:bCs/>
                      <w:color w:val="auto"/>
                      <w:kern w:val="0"/>
                      <w:szCs w:val="21"/>
                      <w:lang w:bidi="ar"/>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pct"/>
                  <w:gridSpan w:val="2"/>
                  <w:vMerge w:val="continue"/>
                  <w:shd w:val="clear" w:color="auto" w:fill="auto"/>
                  <w:noWrap/>
                  <w:vAlign w:val="center"/>
                </w:tcPr>
                <w:p>
                  <w:pPr>
                    <w:widowControl/>
                    <w:jc w:val="center"/>
                    <w:rPr>
                      <w:rFonts w:eastAsiaTheme="minorEastAsia"/>
                      <w:b/>
                      <w:bCs/>
                      <w:color w:val="auto"/>
                      <w:szCs w:val="21"/>
                    </w:rPr>
                  </w:pPr>
                </w:p>
              </w:tc>
              <w:tc>
                <w:tcPr>
                  <w:tcW w:w="540" w:type="pct"/>
                  <w:shd w:val="clear" w:color="auto" w:fill="auto"/>
                  <w:noWrap/>
                  <w:vAlign w:val="center"/>
                </w:tcPr>
                <w:p>
                  <w:pPr>
                    <w:widowControl/>
                    <w:jc w:val="center"/>
                    <w:textAlignment w:val="center"/>
                    <w:rPr>
                      <w:rFonts w:eastAsiaTheme="minorEastAsia"/>
                      <w:b/>
                      <w:bCs/>
                      <w:color w:val="auto"/>
                      <w:szCs w:val="21"/>
                    </w:rPr>
                  </w:pPr>
                  <w:r>
                    <w:rPr>
                      <w:rFonts w:eastAsiaTheme="minorEastAsia"/>
                      <w:b/>
                      <w:bCs/>
                      <w:color w:val="auto"/>
                      <w:kern w:val="0"/>
                      <w:szCs w:val="21"/>
                      <w:lang w:bidi="ar"/>
                    </w:rPr>
                    <w:t>新鲜水</w:t>
                  </w:r>
                </w:p>
              </w:tc>
              <w:tc>
                <w:tcPr>
                  <w:tcW w:w="539" w:type="pct"/>
                  <w:shd w:val="clear" w:color="auto" w:fill="auto"/>
                  <w:noWrap/>
                  <w:vAlign w:val="center"/>
                </w:tcPr>
                <w:p>
                  <w:pPr>
                    <w:widowControl/>
                    <w:jc w:val="center"/>
                    <w:textAlignment w:val="center"/>
                    <w:rPr>
                      <w:rFonts w:eastAsiaTheme="minorEastAsia"/>
                      <w:b/>
                      <w:bCs/>
                      <w:color w:val="auto"/>
                      <w:szCs w:val="21"/>
                    </w:rPr>
                  </w:pPr>
                  <w:r>
                    <w:rPr>
                      <w:rFonts w:eastAsiaTheme="minorEastAsia"/>
                      <w:b/>
                      <w:bCs/>
                      <w:color w:val="auto"/>
                      <w:kern w:val="0"/>
                      <w:szCs w:val="21"/>
                      <w:lang w:bidi="ar"/>
                    </w:rPr>
                    <w:t>回用水</w:t>
                  </w:r>
                </w:p>
              </w:tc>
              <w:tc>
                <w:tcPr>
                  <w:tcW w:w="530" w:type="pct"/>
                  <w:shd w:val="clear" w:color="auto" w:fill="auto"/>
                  <w:noWrap/>
                  <w:vAlign w:val="center"/>
                </w:tcPr>
                <w:p>
                  <w:pPr>
                    <w:widowControl/>
                    <w:jc w:val="center"/>
                    <w:textAlignment w:val="center"/>
                    <w:rPr>
                      <w:rFonts w:eastAsiaTheme="minorEastAsia"/>
                      <w:b/>
                      <w:bCs/>
                      <w:color w:val="auto"/>
                      <w:szCs w:val="21"/>
                    </w:rPr>
                  </w:pPr>
                  <w:r>
                    <w:rPr>
                      <w:rFonts w:eastAsiaTheme="minorEastAsia"/>
                      <w:b/>
                      <w:bCs/>
                      <w:color w:val="auto"/>
                      <w:kern w:val="0"/>
                      <w:szCs w:val="21"/>
                      <w:lang w:bidi="ar"/>
                    </w:rPr>
                    <w:t>消耗量</w:t>
                  </w:r>
                </w:p>
              </w:tc>
              <w:tc>
                <w:tcPr>
                  <w:tcW w:w="578" w:type="pct"/>
                  <w:shd w:val="clear" w:color="auto" w:fill="auto"/>
                  <w:noWrap/>
                  <w:vAlign w:val="center"/>
                </w:tcPr>
                <w:p>
                  <w:pPr>
                    <w:widowControl/>
                    <w:jc w:val="center"/>
                    <w:textAlignment w:val="center"/>
                    <w:rPr>
                      <w:rFonts w:eastAsiaTheme="minorEastAsia"/>
                      <w:b/>
                      <w:bCs/>
                      <w:color w:val="auto"/>
                      <w:kern w:val="0"/>
                      <w:szCs w:val="21"/>
                      <w:lang w:bidi="ar"/>
                    </w:rPr>
                  </w:pPr>
                  <w:r>
                    <w:rPr>
                      <w:rFonts w:eastAsiaTheme="minorEastAsia"/>
                      <w:b/>
                      <w:bCs/>
                      <w:color w:val="auto"/>
                      <w:kern w:val="0"/>
                      <w:szCs w:val="21"/>
                      <w:lang w:bidi="ar"/>
                    </w:rPr>
                    <w:t>回用水</w:t>
                  </w:r>
                </w:p>
              </w:tc>
              <w:tc>
                <w:tcPr>
                  <w:tcW w:w="665" w:type="pct"/>
                  <w:shd w:val="clear" w:color="auto" w:fill="auto"/>
                  <w:noWrap/>
                  <w:vAlign w:val="center"/>
                </w:tcPr>
                <w:p>
                  <w:pPr>
                    <w:widowControl/>
                    <w:jc w:val="center"/>
                    <w:textAlignment w:val="center"/>
                    <w:rPr>
                      <w:rFonts w:eastAsiaTheme="minorEastAsia"/>
                      <w:b/>
                      <w:bCs/>
                      <w:color w:val="auto"/>
                      <w:szCs w:val="21"/>
                    </w:rPr>
                  </w:pPr>
                  <w:r>
                    <w:rPr>
                      <w:rFonts w:eastAsiaTheme="minorEastAsia"/>
                      <w:b/>
                      <w:bCs/>
                      <w:color w:val="auto"/>
                      <w:szCs w:val="21"/>
                    </w:rPr>
                    <w:t>废水带走</w:t>
                  </w:r>
                </w:p>
              </w:tc>
              <w:tc>
                <w:tcPr>
                  <w:tcW w:w="1051" w:type="pct"/>
                  <w:vMerge w:val="continue"/>
                  <w:shd w:val="clear" w:color="auto" w:fill="auto"/>
                  <w:noWrap/>
                  <w:vAlign w:val="center"/>
                </w:tcPr>
                <w:p>
                  <w:pPr>
                    <w:widowControl/>
                    <w:jc w:val="center"/>
                    <w:textAlignment w:val="center"/>
                    <w:rPr>
                      <w:rFonts w:eastAsiaTheme="minorEastAsia"/>
                      <w:b/>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56" w:type="pct"/>
                  <w:vMerge w:val="restart"/>
                  <w:shd w:val="clear" w:color="auto" w:fill="auto"/>
                  <w:noWrap/>
                  <w:vAlign w:val="center"/>
                </w:tcPr>
                <w:p>
                  <w:pPr>
                    <w:widowControl/>
                    <w:jc w:val="center"/>
                    <w:textAlignment w:val="center"/>
                    <w:rPr>
                      <w:rFonts w:eastAsiaTheme="minorEastAsia"/>
                      <w:color w:val="auto"/>
                      <w:szCs w:val="21"/>
                    </w:rPr>
                  </w:pPr>
                  <w:r>
                    <w:rPr>
                      <w:rFonts w:eastAsiaTheme="minorEastAsia"/>
                      <w:color w:val="auto"/>
                      <w:szCs w:val="21"/>
                    </w:rPr>
                    <w:t>生产用水</w:t>
                  </w:r>
                </w:p>
              </w:tc>
              <w:tc>
                <w:tcPr>
                  <w:tcW w:w="636" w:type="pct"/>
                  <w:shd w:val="clear" w:color="auto" w:fill="auto"/>
                  <w:noWrap/>
                  <w:vAlign w:val="center"/>
                </w:tcPr>
                <w:p>
                  <w:pPr>
                    <w:jc w:val="center"/>
                    <w:rPr>
                      <w:rFonts w:eastAsiaTheme="minorEastAsia"/>
                      <w:color w:val="auto"/>
                      <w:szCs w:val="21"/>
                    </w:rPr>
                  </w:pPr>
                  <w:r>
                    <w:rPr>
                      <w:rFonts w:eastAsiaTheme="minorEastAsia"/>
                      <w:color w:val="auto"/>
                      <w:szCs w:val="21"/>
                    </w:rPr>
                    <w:t>混凝土用水</w:t>
                  </w:r>
                </w:p>
              </w:tc>
              <w:tc>
                <w:tcPr>
                  <w:tcW w:w="540" w:type="pct"/>
                  <w:shd w:val="clear" w:color="auto" w:fill="auto"/>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5915</w:t>
                  </w:r>
                </w:p>
              </w:tc>
              <w:tc>
                <w:tcPr>
                  <w:tcW w:w="539" w:type="pct"/>
                  <w:shd w:val="clear" w:color="auto" w:fill="auto"/>
                  <w:noWrap/>
                  <w:vAlign w:val="center"/>
                </w:tcPr>
                <w:p>
                  <w:pPr>
                    <w:widowControl/>
                    <w:jc w:val="center"/>
                    <w:textAlignment w:val="center"/>
                    <w:rPr>
                      <w:rFonts w:eastAsiaTheme="minorEastAsia"/>
                      <w:color w:val="auto"/>
                      <w:szCs w:val="21"/>
                    </w:rPr>
                  </w:pPr>
                  <w:r>
                    <w:rPr>
                      <w:rFonts w:eastAsiaTheme="minorEastAsia"/>
                      <w:color w:val="auto"/>
                      <w:szCs w:val="21"/>
                    </w:rPr>
                    <w:t>/</w:t>
                  </w:r>
                </w:p>
              </w:tc>
              <w:tc>
                <w:tcPr>
                  <w:tcW w:w="530" w:type="pct"/>
                  <w:shd w:val="clear" w:color="auto" w:fill="auto"/>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5915</w:t>
                  </w:r>
                </w:p>
              </w:tc>
              <w:tc>
                <w:tcPr>
                  <w:tcW w:w="578" w:type="pct"/>
                  <w:shd w:val="clear" w:color="auto" w:fill="auto"/>
                  <w:noWrap/>
                  <w:vAlign w:val="center"/>
                </w:tcPr>
                <w:p>
                  <w:pPr>
                    <w:jc w:val="center"/>
                    <w:rPr>
                      <w:rFonts w:eastAsiaTheme="minorEastAsia"/>
                      <w:color w:val="auto"/>
                      <w:szCs w:val="21"/>
                    </w:rPr>
                  </w:pPr>
                  <w:r>
                    <w:rPr>
                      <w:rFonts w:eastAsiaTheme="minorEastAsia"/>
                      <w:color w:val="auto"/>
                      <w:szCs w:val="21"/>
                    </w:rPr>
                    <w:t>/</w:t>
                  </w:r>
                </w:p>
              </w:tc>
              <w:tc>
                <w:tcPr>
                  <w:tcW w:w="665" w:type="pct"/>
                  <w:shd w:val="clear" w:color="auto" w:fill="auto"/>
                  <w:noWrap/>
                  <w:vAlign w:val="center"/>
                </w:tcPr>
                <w:p>
                  <w:pPr>
                    <w:widowControl/>
                    <w:jc w:val="center"/>
                    <w:textAlignment w:val="center"/>
                    <w:rPr>
                      <w:rFonts w:eastAsiaTheme="minorEastAsia"/>
                      <w:bCs/>
                      <w:color w:val="auto"/>
                      <w:kern w:val="0"/>
                      <w:szCs w:val="21"/>
                      <w:lang w:bidi="ar"/>
                    </w:rPr>
                  </w:pPr>
                  <w:r>
                    <w:rPr>
                      <w:rFonts w:eastAsiaTheme="minorEastAsia"/>
                      <w:bCs/>
                      <w:color w:val="auto"/>
                      <w:kern w:val="0"/>
                      <w:szCs w:val="21"/>
                      <w:lang w:bidi="ar"/>
                    </w:rPr>
                    <w:t>/</w:t>
                  </w:r>
                </w:p>
              </w:tc>
              <w:tc>
                <w:tcPr>
                  <w:tcW w:w="1051" w:type="pct"/>
                  <w:shd w:val="clear" w:color="auto" w:fill="auto"/>
                  <w:noWrap/>
                  <w:vAlign w:val="center"/>
                </w:tcPr>
                <w:p>
                  <w:pPr>
                    <w:widowControl/>
                    <w:jc w:val="center"/>
                    <w:textAlignment w:val="center"/>
                    <w:rPr>
                      <w:rFonts w:eastAsiaTheme="minorEastAsia"/>
                      <w:bCs/>
                      <w:color w:val="auto"/>
                      <w:kern w:val="0"/>
                      <w:szCs w:val="21"/>
                      <w:lang w:bidi="ar"/>
                    </w:rPr>
                  </w:pPr>
                  <w:r>
                    <w:rPr>
                      <w:rFonts w:eastAsiaTheme="minorEastAsia"/>
                      <w:bCs/>
                      <w:color w:val="auto"/>
                      <w:kern w:val="0"/>
                      <w:szCs w:val="21"/>
                      <w:lang w:bidi="ar"/>
                    </w:rPr>
                    <w:t>进入产品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56" w:type="pct"/>
                  <w:vMerge w:val="continue"/>
                  <w:shd w:val="clear" w:color="auto" w:fill="auto"/>
                  <w:noWrap/>
                  <w:vAlign w:val="center"/>
                </w:tcPr>
                <w:p>
                  <w:pPr>
                    <w:widowControl/>
                    <w:jc w:val="center"/>
                    <w:textAlignment w:val="center"/>
                    <w:rPr>
                      <w:rFonts w:eastAsiaTheme="minorEastAsia"/>
                      <w:color w:val="auto"/>
                      <w:szCs w:val="21"/>
                    </w:rPr>
                  </w:pPr>
                </w:p>
              </w:tc>
              <w:tc>
                <w:tcPr>
                  <w:tcW w:w="636" w:type="pct"/>
                  <w:shd w:val="clear" w:color="auto" w:fill="auto"/>
                  <w:noWrap/>
                  <w:vAlign w:val="center"/>
                </w:tcPr>
                <w:p>
                  <w:pPr>
                    <w:jc w:val="center"/>
                    <w:rPr>
                      <w:rFonts w:eastAsiaTheme="minorEastAsia"/>
                      <w:color w:val="auto"/>
                      <w:szCs w:val="21"/>
                    </w:rPr>
                  </w:pPr>
                  <w:r>
                    <w:rPr>
                      <w:rFonts w:eastAsiaTheme="minorEastAsia"/>
                      <w:color w:val="auto"/>
                      <w:szCs w:val="21"/>
                    </w:rPr>
                    <w:t>搅拌机清洗用水</w:t>
                  </w:r>
                </w:p>
              </w:tc>
              <w:tc>
                <w:tcPr>
                  <w:tcW w:w="540" w:type="pct"/>
                  <w:shd w:val="clear" w:color="auto" w:fill="auto"/>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184</w:t>
                  </w:r>
                </w:p>
              </w:tc>
              <w:tc>
                <w:tcPr>
                  <w:tcW w:w="539" w:type="pct"/>
                  <w:shd w:val="clear" w:color="auto" w:fill="auto"/>
                  <w:noWrap/>
                  <w:vAlign w:val="center"/>
                </w:tcPr>
                <w:p>
                  <w:pPr>
                    <w:widowControl/>
                    <w:jc w:val="center"/>
                    <w:textAlignment w:val="center"/>
                    <w:rPr>
                      <w:rFonts w:eastAsiaTheme="minorEastAsia"/>
                      <w:color w:val="auto"/>
                      <w:szCs w:val="21"/>
                    </w:rPr>
                  </w:pPr>
                  <w:r>
                    <w:rPr>
                      <w:rFonts w:eastAsiaTheme="minorEastAsia"/>
                      <w:color w:val="auto"/>
                      <w:szCs w:val="21"/>
                    </w:rPr>
                    <w:t>/</w:t>
                  </w:r>
                </w:p>
              </w:tc>
              <w:tc>
                <w:tcPr>
                  <w:tcW w:w="530" w:type="pct"/>
                  <w:shd w:val="clear" w:color="auto" w:fill="auto"/>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36.8</w:t>
                  </w:r>
                </w:p>
              </w:tc>
              <w:tc>
                <w:tcPr>
                  <w:tcW w:w="578" w:type="pct"/>
                  <w:shd w:val="clear" w:color="auto" w:fill="auto"/>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147.2</w:t>
                  </w:r>
                </w:p>
              </w:tc>
              <w:tc>
                <w:tcPr>
                  <w:tcW w:w="665" w:type="pct"/>
                  <w:shd w:val="clear" w:color="auto" w:fill="auto"/>
                  <w:noWrap/>
                  <w:vAlign w:val="center"/>
                </w:tcPr>
                <w:p>
                  <w:pPr>
                    <w:widowControl/>
                    <w:jc w:val="center"/>
                    <w:textAlignment w:val="center"/>
                    <w:rPr>
                      <w:rFonts w:eastAsiaTheme="minorEastAsia"/>
                      <w:color w:val="auto"/>
                      <w:szCs w:val="21"/>
                    </w:rPr>
                  </w:pPr>
                  <w:r>
                    <w:rPr>
                      <w:rFonts w:eastAsiaTheme="minorEastAsia"/>
                      <w:color w:val="auto"/>
                      <w:szCs w:val="21"/>
                    </w:rPr>
                    <w:t>/</w:t>
                  </w:r>
                </w:p>
              </w:tc>
              <w:tc>
                <w:tcPr>
                  <w:tcW w:w="1051" w:type="pct"/>
                  <w:shd w:val="clear" w:color="auto" w:fill="auto"/>
                  <w:noWrap/>
                  <w:vAlign w:val="center"/>
                </w:tcPr>
                <w:p>
                  <w:pPr>
                    <w:widowControl/>
                    <w:jc w:val="center"/>
                    <w:textAlignment w:val="center"/>
                    <w:rPr>
                      <w:rFonts w:eastAsiaTheme="minorEastAsia"/>
                      <w:color w:val="auto"/>
                      <w:szCs w:val="21"/>
                    </w:rPr>
                  </w:pPr>
                  <w:r>
                    <w:rPr>
                      <w:rFonts w:eastAsiaTheme="minorEastAsia"/>
                      <w:color w:val="auto"/>
                      <w:szCs w:val="21"/>
                    </w:rPr>
                    <w:t>沉淀回用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56" w:type="pct"/>
                  <w:vMerge w:val="continue"/>
                  <w:shd w:val="clear" w:color="auto" w:fill="auto"/>
                  <w:noWrap/>
                  <w:vAlign w:val="center"/>
                </w:tcPr>
                <w:p>
                  <w:pPr>
                    <w:widowControl/>
                    <w:jc w:val="center"/>
                    <w:textAlignment w:val="center"/>
                    <w:rPr>
                      <w:rFonts w:eastAsiaTheme="minorEastAsia"/>
                      <w:color w:val="auto"/>
                      <w:szCs w:val="21"/>
                    </w:rPr>
                  </w:pPr>
                </w:p>
              </w:tc>
              <w:tc>
                <w:tcPr>
                  <w:tcW w:w="636" w:type="pct"/>
                  <w:shd w:val="clear" w:color="auto" w:fill="auto"/>
                  <w:noWrap/>
                  <w:vAlign w:val="center"/>
                </w:tcPr>
                <w:p>
                  <w:pPr>
                    <w:jc w:val="center"/>
                    <w:rPr>
                      <w:rFonts w:eastAsiaTheme="minorEastAsia"/>
                      <w:color w:val="auto"/>
                      <w:szCs w:val="21"/>
                    </w:rPr>
                  </w:pPr>
                  <w:r>
                    <w:rPr>
                      <w:rFonts w:eastAsiaTheme="minorEastAsia"/>
                      <w:color w:val="auto"/>
                      <w:szCs w:val="21"/>
                    </w:rPr>
                    <w:t>车辆冲洗用水</w:t>
                  </w:r>
                </w:p>
              </w:tc>
              <w:tc>
                <w:tcPr>
                  <w:tcW w:w="540" w:type="pct"/>
                  <w:shd w:val="clear" w:color="auto" w:fill="auto"/>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741.2</w:t>
                  </w:r>
                </w:p>
              </w:tc>
              <w:tc>
                <w:tcPr>
                  <w:tcW w:w="539" w:type="pct"/>
                  <w:shd w:val="clear" w:color="auto" w:fill="auto"/>
                  <w:noWrap/>
                  <w:vAlign w:val="center"/>
                </w:tcPr>
                <w:p>
                  <w:pPr>
                    <w:widowControl/>
                    <w:jc w:val="center"/>
                    <w:textAlignment w:val="center"/>
                    <w:rPr>
                      <w:rFonts w:eastAsiaTheme="minorEastAsia"/>
                      <w:color w:val="auto"/>
                      <w:szCs w:val="21"/>
                    </w:rPr>
                  </w:pPr>
                  <w:r>
                    <w:rPr>
                      <w:rFonts w:eastAsiaTheme="minorEastAsia"/>
                      <w:color w:val="auto"/>
                      <w:szCs w:val="21"/>
                    </w:rPr>
                    <w:t>/</w:t>
                  </w:r>
                </w:p>
              </w:tc>
              <w:tc>
                <w:tcPr>
                  <w:tcW w:w="530" w:type="pct"/>
                  <w:shd w:val="clear" w:color="auto" w:fill="auto"/>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148.2</w:t>
                  </w:r>
                </w:p>
              </w:tc>
              <w:tc>
                <w:tcPr>
                  <w:tcW w:w="578" w:type="pct"/>
                  <w:shd w:val="clear" w:color="auto" w:fill="auto"/>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593.0</w:t>
                  </w:r>
                </w:p>
              </w:tc>
              <w:tc>
                <w:tcPr>
                  <w:tcW w:w="665" w:type="pct"/>
                  <w:shd w:val="clear" w:color="auto" w:fill="auto"/>
                  <w:noWrap/>
                  <w:vAlign w:val="center"/>
                </w:tcPr>
                <w:p>
                  <w:pPr>
                    <w:widowControl/>
                    <w:jc w:val="center"/>
                    <w:textAlignment w:val="center"/>
                    <w:rPr>
                      <w:rFonts w:eastAsiaTheme="minorEastAsia"/>
                      <w:color w:val="auto"/>
                      <w:szCs w:val="21"/>
                    </w:rPr>
                  </w:pPr>
                  <w:r>
                    <w:rPr>
                      <w:rFonts w:eastAsiaTheme="minorEastAsia"/>
                      <w:color w:val="auto"/>
                      <w:szCs w:val="21"/>
                    </w:rPr>
                    <w:t>/</w:t>
                  </w:r>
                </w:p>
              </w:tc>
              <w:tc>
                <w:tcPr>
                  <w:tcW w:w="1051" w:type="pct"/>
                  <w:shd w:val="clear" w:color="auto" w:fill="auto"/>
                  <w:noWrap/>
                  <w:vAlign w:val="center"/>
                </w:tcPr>
                <w:p>
                  <w:pPr>
                    <w:widowControl/>
                    <w:jc w:val="center"/>
                    <w:textAlignment w:val="center"/>
                    <w:rPr>
                      <w:rFonts w:eastAsiaTheme="minorEastAsia"/>
                      <w:color w:val="auto"/>
                      <w:szCs w:val="21"/>
                    </w:rPr>
                  </w:pPr>
                  <w:r>
                    <w:rPr>
                      <w:rFonts w:eastAsiaTheme="minorEastAsia"/>
                      <w:color w:val="auto"/>
                      <w:szCs w:val="21"/>
                    </w:rPr>
                    <w:t>沉淀回用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56" w:type="pct"/>
                  <w:vMerge w:val="continue"/>
                  <w:shd w:val="clear" w:color="auto" w:fill="auto"/>
                  <w:noWrap/>
                  <w:vAlign w:val="center"/>
                </w:tcPr>
                <w:p>
                  <w:pPr>
                    <w:widowControl/>
                    <w:jc w:val="center"/>
                    <w:textAlignment w:val="center"/>
                    <w:rPr>
                      <w:rFonts w:eastAsiaTheme="minorEastAsia"/>
                      <w:color w:val="auto"/>
                      <w:szCs w:val="21"/>
                    </w:rPr>
                  </w:pPr>
                </w:p>
              </w:tc>
              <w:tc>
                <w:tcPr>
                  <w:tcW w:w="636" w:type="pct"/>
                  <w:shd w:val="clear" w:color="auto" w:fill="auto"/>
                  <w:noWrap/>
                  <w:vAlign w:val="center"/>
                </w:tcPr>
                <w:p>
                  <w:pPr>
                    <w:jc w:val="center"/>
                    <w:rPr>
                      <w:rFonts w:eastAsiaTheme="minorEastAsia"/>
                      <w:color w:val="auto"/>
                      <w:szCs w:val="21"/>
                    </w:rPr>
                  </w:pPr>
                  <w:r>
                    <w:rPr>
                      <w:rFonts w:eastAsiaTheme="minorEastAsia"/>
                      <w:color w:val="auto"/>
                      <w:szCs w:val="21"/>
                    </w:rPr>
                    <w:t>厂区道路洒水</w:t>
                  </w:r>
                </w:p>
              </w:tc>
              <w:tc>
                <w:tcPr>
                  <w:tcW w:w="540" w:type="pct"/>
                  <w:shd w:val="clear" w:color="auto" w:fill="auto"/>
                  <w:noWrap/>
                  <w:vAlign w:val="center"/>
                </w:tcPr>
                <w:p>
                  <w:pPr>
                    <w:widowControl/>
                    <w:jc w:val="center"/>
                    <w:textAlignment w:val="center"/>
                    <w:rPr>
                      <w:rFonts w:hint="eastAsia" w:eastAsiaTheme="minorEastAsia"/>
                      <w:color w:val="auto"/>
                      <w:szCs w:val="21"/>
                      <w:lang w:eastAsia="zh-CN"/>
                    </w:rPr>
                  </w:pPr>
                  <w:r>
                    <w:rPr>
                      <w:rFonts w:hint="eastAsia" w:eastAsiaTheme="minorEastAsia"/>
                      <w:color w:val="auto"/>
                      <w:szCs w:val="21"/>
                      <w:lang w:val="en-US" w:eastAsia="zh-CN"/>
                    </w:rPr>
                    <w:t>/</w:t>
                  </w:r>
                </w:p>
              </w:tc>
              <w:tc>
                <w:tcPr>
                  <w:tcW w:w="539" w:type="pct"/>
                  <w:shd w:val="clear" w:color="auto" w:fill="auto"/>
                  <w:noWrap/>
                  <w:vAlign w:val="center"/>
                </w:tcPr>
                <w:p>
                  <w:pPr>
                    <w:widowControl/>
                    <w:jc w:val="center"/>
                    <w:textAlignment w:val="center"/>
                    <w:rPr>
                      <w:rFonts w:hint="default" w:eastAsiaTheme="minorEastAsia"/>
                      <w:color w:val="auto"/>
                      <w:szCs w:val="21"/>
                      <w:lang w:val="en-US" w:eastAsia="zh-CN"/>
                    </w:rPr>
                  </w:pPr>
                  <w:r>
                    <w:rPr>
                      <w:rFonts w:hint="eastAsia" w:eastAsiaTheme="minorEastAsia"/>
                      <w:color w:val="auto"/>
                      <w:szCs w:val="21"/>
                      <w:lang w:val="en-US" w:eastAsia="zh-CN"/>
                    </w:rPr>
                    <w:t>740.2</w:t>
                  </w:r>
                </w:p>
              </w:tc>
              <w:tc>
                <w:tcPr>
                  <w:tcW w:w="530" w:type="pct"/>
                  <w:shd w:val="clear" w:color="auto" w:fill="auto"/>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740.2</w:t>
                  </w:r>
                </w:p>
              </w:tc>
              <w:tc>
                <w:tcPr>
                  <w:tcW w:w="578" w:type="pct"/>
                  <w:shd w:val="clear" w:color="auto" w:fill="auto"/>
                  <w:noWrap/>
                  <w:vAlign w:val="center"/>
                </w:tcPr>
                <w:p>
                  <w:pPr>
                    <w:jc w:val="center"/>
                    <w:rPr>
                      <w:rFonts w:eastAsiaTheme="minorEastAsia"/>
                      <w:color w:val="auto"/>
                      <w:szCs w:val="21"/>
                    </w:rPr>
                  </w:pPr>
                  <w:r>
                    <w:rPr>
                      <w:rFonts w:eastAsiaTheme="minorEastAsia"/>
                      <w:color w:val="auto"/>
                      <w:szCs w:val="21"/>
                    </w:rPr>
                    <w:t>/</w:t>
                  </w:r>
                </w:p>
              </w:tc>
              <w:tc>
                <w:tcPr>
                  <w:tcW w:w="665" w:type="pct"/>
                  <w:shd w:val="clear" w:color="auto" w:fill="auto"/>
                  <w:noWrap/>
                  <w:vAlign w:val="center"/>
                </w:tcPr>
                <w:p>
                  <w:pPr>
                    <w:widowControl/>
                    <w:jc w:val="center"/>
                    <w:textAlignment w:val="center"/>
                    <w:rPr>
                      <w:rFonts w:eastAsiaTheme="minorEastAsia"/>
                      <w:color w:val="auto"/>
                      <w:szCs w:val="21"/>
                    </w:rPr>
                  </w:pPr>
                  <w:r>
                    <w:rPr>
                      <w:rFonts w:eastAsiaTheme="minorEastAsia"/>
                      <w:color w:val="auto"/>
                      <w:szCs w:val="21"/>
                    </w:rPr>
                    <w:t>/</w:t>
                  </w:r>
                </w:p>
              </w:tc>
              <w:tc>
                <w:tcPr>
                  <w:tcW w:w="1051" w:type="pct"/>
                  <w:shd w:val="clear" w:color="auto" w:fill="auto"/>
                  <w:noWrap/>
                  <w:vAlign w:val="center"/>
                </w:tcPr>
                <w:p>
                  <w:pPr>
                    <w:widowControl/>
                    <w:jc w:val="center"/>
                    <w:textAlignment w:val="center"/>
                    <w:rPr>
                      <w:rFonts w:eastAsiaTheme="minorEastAsia"/>
                      <w:color w:val="auto"/>
                      <w:szCs w:val="21"/>
                    </w:rPr>
                  </w:pPr>
                  <w:r>
                    <w:rPr>
                      <w:rFonts w:eastAsiaTheme="minorEastAsia"/>
                      <w:color w:val="auto"/>
                      <w:szCs w:val="21"/>
                    </w:rPr>
                    <w:t>自然蒸发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093" w:type="pct"/>
                  <w:gridSpan w:val="2"/>
                  <w:shd w:val="clear" w:color="auto" w:fill="auto"/>
                  <w:noWrap/>
                  <w:vAlign w:val="center"/>
                </w:tcPr>
                <w:p>
                  <w:pPr>
                    <w:jc w:val="center"/>
                    <w:rPr>
                      <w:rFonts w:eastAsiaTheme="minorEastAsia"/>
                      <w:color w:val="auto"/>
                      <w:szCs w:val="21"/>
                    </w:rPr>
                  </w:pPr>
                  <w:r>
                    <w:rPr>
                      <w:rFonts w:eastAsiaTheme="minorEastAsia"/>
                      <w:color w:val="auto"/>
                      <w:szCs w:val="21"/>
                    </w:rPr>
                    <w:t>生活用水</w:t>
                  </w:r>
                </w:p>
              </w:tc>
              <w:tc>
                <w:tcPr>
                  <w:tcW w:w="540" w:type="pct"/>
                  <w:shd w:val="clear" w:color="auto" w:fill="auto"/>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96.6</w:t>
                  </w:r>
                </w:p>
              </w:tc>
              <w:tc>
                <w:tcPr>
                  <w:tcW w:w="539" w:type="pct"/>
                  <w:shd w:val="clear" w:color="auto" w:fill="auto"/>
                  <w:noWrap/>
                  <w:vAlign w:val="center"/>
                </w:tcPr>
                <w:p>
                  <w:pPr>
                    <w:widowControl/>
                    <w:jc w:val="center"/>
                    <w:textAlignment w:val="center"/>
                    <w:rPr>
                      <w:rFonts w:eastAsiaTheme="minorEastAsia"/>
                      <w:color w:val="auto"/>
                      <w:szCs w:val="21"/>
                    </w:rPr>
                  </w:pPr>
                  <w:r>
                    <w:rPr>
                      <w:rFonts w:eastAsiaTheme="minorEastAsia"/>
                      <w:color w:val="auto"/>
                      <w:szCs w:val="21"/>
                    </w:rPr>
                    <w:t>/</w:t>
                  </w:r>
                </w:p>
              </w:tc>
              <w:tc>
                <w:tcPr>
                  <w:tcW w:w="530" w:type="pct"/>
                  <w:shd w:val="clear" w:color="auto" w:fill="auto"/>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19.3</w:t>
                  </w:r>
                </w:p>
              </w:tc>
              <w:tc>
                <w:tcPr>
                  <w:tcW w:w="578" w:type="pct"/>
                  <w:shd w:val="clear" w:color="auto" w:fill="auto"/>
                  <w:noWrap/>
                  <w:vAlign w:val="center"/>
                </w:tcPr>
                <w:p>
                  <w:pPr>
                    <w:jc w:val="center"/>
                    <w:rPr>
                      <w:rFonts w:eastAsiaTheme="minorEastAsia"/>
                      <w:color w:val="auto"/>
                      <w:szCs w:val="21"/>
                    </w:rPr>
                  </w:pPr>
                  <w:r>
                    <w:rPr>
                      <w:rFonts w:eastAsiaTheme="minorEastAsia"/>
                      <w:color w:val="auto"/>
                      <w:szCs w:val="21"/>
                    </w:rPr>
                    <w:t>/</w:t>
                  </w:r>
                </w:p>
              </w:tc>
              <w:tc>
                <w:tcPr>
                  <w:tcW w:w="665" w:type="pct"/>
                  <w:shd w:val="clear" w:color="auto" w:fill="auto"/>
                  <w:noWrap/>
                  <w:vAlign w:val="center"/>
                </w:tcPr>
                <w:p>
                  <w:pPr>
                    <w:widowControl/>
                    <w:jc w:val="center"/>
                    <w:textAlignment w:val="center"/>
                    <w:rPr>
                      <w:rFonts w:hint="default" w:eastAsiaTheme="minorEastAsia"/>
                      <w:color w:val="auto"/>
                      <w:szCs w:val="21"/>
                      <w:lang w:val="en-US" w:eastAsia="zh-CN"/>
                    </w:rPr>
                  </w:pPr>
                  <w:r>
                    <w:rPr>
                      <w:rFonts w:hint="eastAsia" w:eastAsiaTheme="minorEastAsia"/>
                      <w:color w:val="auto"/>
                      <w:szCs w:val="21"/>
                      <w:lang w:val="en-US" w:eastAsia="zh-CN"/>
                    </w:rPr>
                    <w:t>77.3</w:t>
                  </w:r>
                </w:p>
              </w:tc>
              <w:tc>
                <w:tcPr>
                  <w:tcW w:w="1051" w:type="pct"/>
                  <w:shd w:val="clear" w:color="auto" w:fill="auto"/>
                  <w:noWrap/>
                  <w:vAlign w:val="center"/>
                </w:tcPr>
                <w:p>
                  <w:pPr>
                    <w:widowControl/>
                    <w:jc w:val="center"/>
                    <w:textAlignment w:val="center"/>
                    <w:rPr>
                      <w:rFonts w:hint="eastAsia" w:eastAsiaTheme="minorEastAsia"/>
                      <w:color w:val="auto"/>
                      <w:szCs w:val="21"/>
                      <w:lang w:eastAsia="zh-CN"/>
                    </w:rPr>
                  </w:pPr>
                  <w:r>
                    <w:rPr>
                      <w:rFonts w:hint="eastAsia" w:eastAsiaTheme="minorEastAsia"/>
                      <w:color w:val="auto"/>
                      <w:szCs w:val="21"/>
                      <w:lang w:val="en-US" w:eastAsia="zh-CN"/>
                    </w:rPr>
                    <w:t>化粪池初步</w:t>
                  </w:r>
                  <w:r>
                    <w:rPr>
                      <w:rFonts w:hint="eastAsia" w:eastAsiaTheme="minorEastAsia"/>
                      <w:color w:val="auto"/>
                      <w:szCs w:val="21"/>
                      <w:lang w:eastAsia="zh-CN"/>
                    </w:rPr>
                    <w:t>处理后定期</w:t>
                  </w:r>
                  <w:r>
                    <w:rPr>
                      <w:rFonts w:hint="eastAsia" w:eastAsiaTheme="minorEastAsia"/>
                      <w:color w:val="auto"/>
                      <w:szCs w:val="21"/>
                      <w:lang w:val="en-US" w:eastAsia="zh-CN"/>
                    </w:rPr>
                    <w:t>外运至中卫市第一污水处理厂进行处置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093" w:type="pct"/>
                  <w:gridSpan w:val="2"/>
                  <w:vMerge w:val="restart"/>
                  <w:shd w:val="clear" w:color="auto" w:fill="auto"/>
                  <w:noWrap/>
                  <w:vAlign w:val="center"/>
                </w:tcPr>
                <w:p>
                  <w:pPr>
                    <w:jc w:val="center"/>
                    <w:rPr>
                      <w:rFonts w:eastAsiaTheme="minorEastAsia"/>
                      <w:b/>
                      <w:bCs/>
                      <w:color w:val="auto"/>
                      <w:szCs w:val="21"/>
                    </w:rPr>
                  </w:pPr>
                  <w:r>
                    <w:rPr>
                      <w:rFonts w:eastAsiaTheme="minorEastAsia"/>
                      <w:b/>
                      <w:bCs/>
                      <w:color w:val="auto"/>
                      <w:szCs w:val="21"/>
                    </w:rPr>
                    <w:t>合计</w:t>
                  </w:r>
                </w:p>
              </w:tc>
              <w:tc>
                <w:tcPr>
                  <w:tcW w:w="540" w:type="pct"/>
                  <w:shd w:val="clear" w:color="auto" w:fill="auto"/>
                  <w:noWrap/>
                  <w:vAlign w:val="center"/>
                </w:tcPr>
                <w:p>
                  <w:pPr>
                    <w:jc w:val="center"/>
                    <w:rPr>
                      <w:rFonts w:hint="default" w:eastAsiaTheme="minorEastAsia"/>
                      <w:b/>
                      <w:bCs/>
                      <w:color w:val="auto"/>
                      <w:szCs w:val="21"/>
                      <w:lang w:val="en-US" w:eastAsia="zh-CN"/>
                    </w:rPr>
                  </w:pPr>
                  <w:r>
                    <w:rPr>
                      <w:rFonts w:hint="eastAsia" w:eastAsiaTheme="minorEastAsia"/>
                      <w:b/>
                      <w:bCs/>
                      <w:color w:val="auto"/>
                      <w:szCs w:val="21"/>
                      <w:lang w:val="en-US" w:eastAsia="zh-CN"/>
                    </w:rPr>
                    <w:t>6936.6</w:t>
                  </w:r>
                </w:p>
              </w:tc>
              <w:tc>
                <w:tcPr>
                  <w:tcW w:w="539" w:type="pct"/>
                  <w:shd w:val="clear" w:color="auto" w:fill="auto"/>
                  <w:noWrap/>
                  <w:vAlign w:val="center"/>
                </w:tcPr>
                <w:p>
                  <w:pPr>
                    <w:widowControl/>
                    <w:jc w:val="center"/>
                    <w:textAlignment w:val="center"/>
                    <w:rPr>
                      <w:rFonts w:hint="default" w:eastAsiaTheme="minorEastAsia"/>
                      <w:b/>
                      <w:bCs/>
                      <w:color w:val="auto"/>
                      <w:szCs w:val="21"/>
                      <w:lang w:val="en-US" w:eastAsia="zh-CN"/>
                    </w:rPr>
                  </w:pPr>
                  <w:r>
                    <w:rPr>
                      <w:rFonts w:hint="eastAsia" w:eastAsiaTheme="minorEastAsia"/>
                      <w:b/>
                      <w:bCs/>
                      <w:color w:val="auto"/>
                      <w:szCs w:val="21"/>
                      <w:lang w:val="en-US" w:eastAsia="zh-CN"/>
                    </w:rPr>
                    <w:t>740.2</w:t>
                  </w:r>
                </w:p>
              </w:tc>
              <w:tc>
                <w:tcPr>
                  <w:tcW w:w="530" w:type="pct"/>
                  <w:shd w:val="clear" w:color="auto" w:fill="auto"/>
                  <w:noWrap/>
                  <w:vAlign w:val="center"/>
                </w:tcPr>
                <w:p>
                  <w:pPr>
                    <w:jc w:val="center"/>
                    <w:rPr>
                      <w:rFonts w:hint="default" w:eastAsiaTheme="minorEastAsia"/>
                      <w:b/>
                      <w:bCs/>
                      <w:color w:val="auto"/>
                      <w:szCs w:val="21"/>
                      <w:lang w:val="en-US" w:eastAsia="zh-CN"/>
                    </w:rPr>
                  </w:pPr>
                  <w:r>
                    <w:rPr>
                      <w:rFonts w:hint="eastAsia" w:eastAsiaTheme="minorEastAsia"/>
                      <w:b/>
                      <w:bCs/>
                      <w:color w:val="auto"/>
                      <w:szCs w:val="21"/>
                      <w:lang w:val="en-US" w:eastAsia="zh-CN"/>
                    </w:rPr>
                    <w:t>6859.5</w:t>
                  </w:r>
                </w:p>
              </w:tc>
              <w:tc>
                <w:tcPr>
                  <w:tcW w:w="578" w:type="pct"/>
                  <w:shd w:val="clear" w:color="auto" w:fill="auto"/>
                  <w:noWrap/>
                  <w:vAlign w:val="center"/>
                </w:tcPr>
                <w:p>
                  <w:pPr>
                    <w:jc w:val="center"/>
                    <w:rPr>
                      <w:rFonts w:hint="default" w:eastAsiaTheme="minorEastAsia"/>
                      <w:b/>
                      <w:bCs/>
                      <w:color w:val="auto"/>
                      <w:szCs w:val="21"/>
                      <w:lang w:val="en-US" w:eastAsia="zh-CN"/>
                    </w:rPr>
                  </w:pPr>
                  <w:r>
                    <w:rPr>
                      <w:rFonts w:hint="eastAsia" w:eastAsiaTheme="minorEastAsia"/>
                      <w:b/>
                      <w:bCs/>
                      <w:color w:val="auto"/>
                      <w:szCs w:val="21"/>
                      <w:lang w:val="en-US" w:eastAsia="zh-CN"/>
                    </w:rPr>
                    <w:t>740.2</w:t>
                  </w:r>
                </w:p>
              </w:tc>
              <w:tc>
                <w:tcPr>
                  <w:tcW w:w="665" w:type="pct"/>
                  <w:shd w:val="clear" w:color="auto" w:fill="auto"/>
                  <w:noWrap/>
                  <w:vAlign w:val="center"/>
                </w:tcPr>
                <w:p>
                  <w:pPr>
                    <w:widowControl/>
                    <w:jc w:val="center"/>
                    <w:textAlignment w:val="center"/>
                    <w:rPr>
                      <w:rFonts w:hint="default" w:eastAsiaTheme="minorEastAsia"/>
                      <w:b/>
                      <w:bCs/>
                      <w:color w:val="auto"/>
                      <w:szCs w:val="21"/>
                      <w:lang w:val="en-US" w:eastAsia="zh-CN"/>
                    </w:rPr>
                  </w:pPr>
                  <w:r>
                    <w:rPr>
                      <w:rFonts w:hint="eastAsia" w:eastAsiaTheme="minorEastAsia"/>
                      <w:b/>
                      <w:bCs/>
                      <w:color w:val="auto"/>
                      <w:szCs w:val="21"/>
                      <w:lang w:val="en-US" w:eastAsia="zh-CN"/>
                    </w:rPr>
                    <w:t>77.3</w:t>
                  </w:r>
                </w:p>
              </w:tc>
              <w:tc>
                <w:tcPr>
                  <w:tcW w:w="1051" w:type="pct"/>
                  <w:shd w:val="clear" w:color="auto" w:fill="auto"/>
                  <w:noWrap/>
                  <w:vAlign w:val="center"/>
                </w:tcPr>
                <w:p>
                  <w:pPr>
                    <w:widowControl/>
                    <w:jc w:val="center"/>
                    <w:textAlignment w:val="center"/>
                    <w:rPr>
                      <w:rFonts w:eastAsiaTheme="minorEastAsia"/>
                      <w:b/>
                      <w:bCs/>
                      <w:color w:val="auto"/>
                      <w:szCs w:val="21"/>
                    </w:rPr>
                  </w:pPr>
                  <w:r>
                    <w:rPr>
                      <w:rFonts w:eastAsiaTheme="minorEastAsia"/>
                      <w:b/>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093" w:type="pct"/>
                  <w:gridSpan w:val="2"/>
                  <w:vMerge w:val="continue"/>
                  <w:shd w:val="clear" w:color="auto" w:fill="auto"/>
                  <w:noWrap/>
                  <w:vAlign w:val="center"/>
                </w:tcPr>
                <w:p>
                  <w:pPr>
                    <w:jc w:val="center"/>
                    <w:rPr>
                      <w:rFonts w:eastAsiaTheme="minorEastAsia"/>
                      <w:b/>
                      <w:bCs/>
                      <w:color w:val="auto"/>
                      <w:szCs w:val="21"/>
                    </w:rPr>
                  </w:pPr>
                </w:p>
              </w:tc>
              <w:tc>
                <w:tcPr>
                  <w:tcW w:w="1080" w:type="pct"/>
                  <w:gridSpan w:val="2"/>
                  <w:shd w:val="clear" w:color="auto" w:fill="auto"/>
                  <w:noWrap/>
                  <w:vAlign w:val="center"/>
                </w:tcPr>
                <w:p>
                  <w:pPr>
                    <w:widowControl/>
                    <w:jc w:val="center"/>
                    <w:textAlignment w:val="center"/>
                    <w:rPr>
                      <w:rFonts w:hint="default" w:eastAsiaTheme="minorEastAsia"/>
                      <w:b/>
                      <w:bCs/>
                      <w:color w:val="auto"/>
                      <w:szCs w:val="21"/>
                      <w:lang w:val="en-US" w:eastAsia="zh-CN"/>
                    </w:rPr>
                  </w:pPr>
                  <w:r>
                    <w:rPr>
                      <w:rFonts w:hint="eastAsia" w:eastAsiaTheme="minorEastAsia"/>
                      <w:b/>
                      <w:bCs/>
                      <w:color w:val="auto"/>
                      <w:szCs w:val="21"/>
                      <w:lang w:val="en-US" w:eastAsia="zh-CN"/>
                    </w:rPr>
                    <w:t>7676.8</w:t>
                  </w:r>
                </w:p>
              </w:tc>
              <w:tc>
                <w:tcPr>
                  <w:tcW w:w="1774" w:type="pct"/>
                  <w:gridSpan w:val="3"/>
                  <w:shd w:val="clear" w:color="auto" w:fill="auto"/>
                  <w:noWrap/>
                  <w:vAlign w:val="center"/>
                </w:tcPr>
                <w:p>
                  <w:pPr>
                    <w:widowControl/>
                    <w:jc w:val="center"/>
                    <w:textAlignment w:val="center"/>
                    <w:rPr>
                      <w:rFonts w:hint="default" w:eastAsiaTheme="minorEastAsia"/>
                      <w:b/>
                      <w:bCs/>
                      <w:color w:val="auto"/>
                      <w:szCs w:val="21"/>
                      <w:lang w:val="en-US" w:eastAsia="zh-CN"/>
                    </w:rPr>
                  </w:pPr>
                  <w:r>
                    <w:rPr>
                      <w:rFonts w:hint="eastAsia" w:eastAsiaTheme="minorEastAsia"/>
                      <w:b/>
                      <w:bCs/>
                      <w:color w:val="auto"/>
                      <w:szCs w:val="21"/>
                      <w:lang w:val="en-US" w:eastAsia="zh-CN"/>
                    </w:rPr>
                    <w:t>7676.8</w:t>
                  </w:r>
                </w:p>
              </w:tc>
              <w:tc>
                <w:tcPr>
                  <w:tcW w:w="1051" w:type="pct"/>
                  <w:shd w:val="clear" w:color="auto" w:fill="auto"/>
                  <w:noWrap/>
                  <w:vAlign w:val="center"/>
                </w:tcPr>
                <w:p>
                  <w:pPr>
                    <w:widowControl/>
                    <w:jc w:val="center"/>
                    <w:textAlignment w:val="center"/>
                    <w:rPr>
                      <w:rFonts w:eastAsiaTheme="minorEastAsia"/>
                      <w:b/>
                      <w:bCs/>
                      <w:color w:val="auto"/>
                      <w:szCs w:val="21"/>
                    </w:rPr>
                  </w:pPr>
                  <w:r>
                    <w:rPr>
                      <w:rFonts w:eastAsiaTheme="minorEastAsia"/>
                      <w:b/>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000" w:type="pct"/>
                  <w:gridSpan w:val="8"/>
                  <w:shd w:val="clear" w:color="auto" w:fill="auto"/>
                  <w:noWrap/>
                  <w:vAlign w:val="center"/>
                </w:tcPr>
                <w:p>
                  <w:pPr>
                    <w:widowControl/>
                    <w:jc w:val="both"/>
                    <w:textAlignment w:val="center"/>
                    <w:rPr>
                      <w:rFonts w:eastAsiaTheme="minorEastAsia"/>
                      <w:b/>
                      <w:bCs/>
                      <w:color w:val="auto"/>
                      <w:szCs w:val="21"/>
                    </w:rPr>
                  </w:pPr>
                  <w:r>
                    <w:rPr>
                      <w:rFonts w:hint="eastAsia" w:cs="Times New Roman"/>
                      <w:b w:val="0"/>
                      <w:bCs w:val="0"/>
                      <w:i w:val="0"/>
                      <w:iCs w:val="0"/>
                      <w:color w:val="auto"/>
                      <w:kern w:val="0"/>
                      <w:sz w:val="21"/>
                      <w:szCs w:val="21"/>
                      <w:u w:val="none"/>
                      <w:lang w:val="en-US" w:eastAsia="zh-CN" w:bidi="ar"/>
                    </w:rPr>
                    <w:t>注：本项目运行工期为3个月，项目供水和给水情况均以3个月的周期核算。</w:t>
                  </w:r>
                </w:p>
              </w:tc>
            </w:tr>
          </w:tbl>
          <w:p>
            <w:pPr>
              <w:pStyle w:val="31"/>
              <w:adjustRightInd w:val="0"/>
              <w:snapToGrid w:val="0"/>
              <w:ind w:firstLine="0" w:firstLineChars="0"/>
              <w:jc w:val="center"/>
              <w:rPr>
                <w:color w:val="auto"/>
              </w:rPr>
            </w:pPr>
            <w:r>
              <w:rPr>
                <w:rFonts w:hint="eastAsia" w:eastAsia="宋体"/>
                <w:color w:val="FF0000"/>
                <w:lang w:eastAsia="zh-CN"/>
              </w:rPr>
              <w:object>
                <v:shape id="_x0000_i1025" o:spt="75" type="#_x0000_t75" style="height:245.5pt;width:411.35pt;" o:ole="t" filled="f" o:preferrelative="t" stroked="f" coordsize="21600,21600">
                  <v:path/>
                  <v:fill on="f" focussize="0,0"/>
                  <v:stroke on="f"/>
                  <v:imagedata r:id="rId10" o:title=""/>
                  <o:lock v:ext="edit" aspectratio="t"/>
                  <w10:wrap type="none"/>
                  <w10:anchorlock/>
                </v:shape>
                <o:OLEObject Type="Embed" ProgID="Visio.Drawing.15" ShapeID="_x0000_i1025" DrawAspect="Content" ObjectID="_1468075725" r:id="rId9">
                  <o:LockedField>false</o:LockedField>
                </o:OLEObject>
              </w:object>
            </w:r>
            <w:r>
              <w:rPr>
                <w:b/>
                <w:bCs/>
                <w:color w:val="auto"/>
                <w:sz w:val="21"/>
                <w:szCs w:val="21"/>
              </w:rPr>
              <w:t xml:space="preserve">图2-1 </w:t>
            </w:r>
            <w:r>
              <w:rPr>
                <w:rFonts w:hint="eastAsia"/>
                <w:b/>
                <w:bCs/>
                <w:color w:val="auto"/>
                <w:sz w:val="21"/>
                <w:szCs w:val="21"/>
              </w:rPr>
              <w:t xml:space="preserve"> </w:t>
            </w:r>
            <w:r>
              <w:rPr>
                <w:b/>
                <w:bCs/>
                <w:color w:val="auto"/>
                <w:sz w:val="21"/>
                <w:szCs w:val="21"/>
              </w:rPr>
              <w:t>水平衡关系图（单位：m</w:t>
            </w:r>
            <w:r>
              <w:rPr>
                <w:b/>
                <w:bCs/>
                <w:color w:val="auto"/>
                <w:sz w:val="21"/>
                <w:szCs w:val="21"/>
                <w:vertAlign w:val="superscript"/>
              </w:rPr>
              <w:t>3</w:t>
            </w:r>
            <w:r>
              <w:rPr>
                <w:b/>
                <w:bCs/>
                <w:color w:val="auto"/>
                <w:sz w:val="21"/>
                <w:szCs w:val="21"/>
              </w:rPr>
              <w:t>）</w:t>
            </w:r>
          </w:p>
          <w:p>
            <w:pPr>
              <w:pStyle w:val="31"/>
              <w:numPr>
                <w:ilvl w:val="0"/>
                <w:numId w:val="6"/>
              </w:numPr>
              <w:adjustRightInd w:val="0"/>
              <w:snapToGrid w:val="0"/>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供电</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本项目生产用电由中卫市</w:t>
            </w:r>
            <w:r>
              <w:rPr>
                <w:rFonts w:hint="eastAsia"/>
                <w:color w:val="000000" w:themeColor="text1"/>
                <w:sz w:val="24"/>
                <w:lang w:val="en-US" w:eastAsia="zh-CN"/>
                <w14:textFill>
                  <w14:solidFill>
                    <w14:schemeClr w14:val="tx1"/>
                  </w14:solidFill>
                </w14:textFill>
              </w:rPr>
              <w:t>沙坡头区东园镇</w:t>
            </w:r>
            <w:r>
              <w:rPr>
                <w:color w:val="000000" w:themeColor="text1"/>
                <w:sz w:val="24"/>
                <w14:textFill>
                  <w14:solidFill>
                    <w14:schemeClr w14:val="tx1"/>
                  </w14:solidFill>
                </w14:textFill>
              </w:rPr>
              <w:t>电网提供</w:t>
            </w:r>
            <w:r>
              <w:rPr>
                <w:rFonts w:hint="eastAsia"/>
                <w:color w:val="000000" w:themeColor="text1"/>
                <w:sz w:val="24"/>
                <w14:textFill>
                  <w14:solidFill>
                    <w14:schemeClr w14:val="tx1"/>
                  </w14:solidFill>
                </w14:textFill>
              </w:rPr>
              <w:t>。</w:t>
            </w:r>
          </w:p>
          <w:p>
            <w:pPr>
              <w:adjustRightInd w:val="0"/>
              <w:snapToGrid w:val="0"/>
              <w:spacing w:line="360" w:lineRule="auto"/>
              <w:ind w:left="420" w:left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10</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劳动定员与工作制度</w:t>
            </w:r>
          </w:p>
          <w:p>
            <w:pPr>
              <w:pStyle w:val="31"/>
              <w:adjustRightInd w:val="0"/>
              <w:snapToGrid w:val="0"/>
              <w:rPr>
                <w:color w:val="000000" w:themeColor="text1"/>
                <w14:textFill>
                  <w14:solidFill>
                    <w14:schemeClr w14:val="tx1"/>
                  </w14:solidFill>
                </w14:textFill>
              </w:rPr>
            </w:pPr>
            <w:r>
              <w:rPr>
                <w:color w:val="auto"/>
              </w:rPr>
              <w:t>项目劳动定员</w:t>
            </w:r>
            <w:r>
              <w:rPr>
                <w:rFonts w:hint="eastAsia"/>
                <w:color w:val="auto"/>
                <w:lang w:val="en-US" w:eastAsia="zh-CN"/>
              </w:rPr>
              <w:t>15</w:t>
            </w:r>
            <w:r>
              <w:rPr>
                <w:color w:val="auto"/>
              </w:rPr>
              <w:t>人，每日工作</w:t>
            </w:r>
            <w:r>
              <w:rPr>
                <w:rFonts w:hint="eastAsia"/>
                <w:color w:val="auto"/>
                <w:lang w:val="en-US" w:eastAsia="zh-CN"/>
              </w:rPr>
              <w:t>9</w:t>
            </w:r>
            <w:r>
              <w:rPr>
                <w:color w:val="auto"/>
              </w:rPr>
              <w:t>小时，</w:t>
            </w:r>
            <w:r>
              <w:rPr>
                <w:rFonts w:hint="eastAsia"/>
                <w:color w:val="auto"/>
                <w:lang w:eastAsia="zh-CN"/>
              </w:rPr>
              <w:t>夜间不生产，</w:t>
            </w:r>
            <w:r>
              <w:rPr>
                <w:rFonts w:hint="eastAsia"/>
                <w:color w:val="auto"/>
                <w:lang w:val="en-US" w:eastAsia="zh-CN"/>
              </w:rPr>
              <w:t>项目周期为92</w:t>
            </w:r>
            <w:r>
              <w:rPr>
                <w:color w:val="auto"/>
              </w:rPr>
              <w:t>天，共计</w:t>
            </w:r>
            <w:r>
              <w:rPr>
                <w:rFonts w:hint="eastAsia"/>
                <w:color w:val="auto"/>
                <w:lang w:val="en-US" w:eastAsia="zh-CN"/>
              </w:rPr>
              <w:t>828</w:t>
            </w:r>
            <w:r>
              <w:rPr>
                <w:color w:val="auto"/>
              </w:rPr>
              <w:t>小时</w:t>
            </w:r>
            <w:r>
              <w:rPr>
                <w:rFonts w:hint="eastAsia"/>
                <w:color w:val="auto"/>
              </w:rPr>
              <w:t>，</w:t>
            </w:r>
            <w:r>
              <w:rPr>
                <w:color w:val="auto"/>
              </w:rPr>
              <w:t>根据</w:t>
            </w:r>
            <w:r>
              <w:rPr>
                <w:rFonts w:hint="eastAsia"/>
                <w:bCs/>
                <w:snapToGrid w:val="0"/>
                <w:color w:val="auto"/>
                <w:kern w:val="0"/>
                <w:sz w:val="24"/>
                <w:lang w:val="en-US" w:eastAsia="zh-CN"/>
              </w:rPr>
              <w:t>“治理工程一标段”</w:t>
            </w:r>
            <w:r>
              <w:rPr>
                <w:rFonts w:hint="eastAsia" w:ascii="Times New Roman" w:hAnsi="Times New Roman" w:eastAsia="宋体" w:cs="Times New Roman"/>
                <w:bCs/>
                <w:snapToGrid w:val="0"/>
                <w:color w:val="000000" w:themeColor="text1"/>
                <w:kern w:val="0"/>
                <w:sz w:val="24"/>
                <w:lang w:val="en-US" w:eastAsia="zh-CN"/>
                <w14:textFill>
                  <w14:solidFill>
                    <w14:schemeClr w14:val="tx1"/>
                  </w14:solidFill>
                </w14:textFill>
              </w:rPr>
              <w:t>工程建设</w:t>
            </w:r>
            <w:r>
              <w:rPr>
                <w:color w:val="000000" w:themeColor="text1"/>
                <w14:textFill>
                  <w14:solidFill>
                    <w14:schemeClr w14:val="tx1"/>
                  </w14:solidFill>
                </w14:textFill>
              </w:rPr>
              <w:t>实际混凝土需求，工作天数及时长有所调整。本项目</w:t>
            </w:r>
            <w:r>
              <w:rPr>
                <w:rFonts w:hint="eastAsia"/>
                <w:color w:val="000000" w:themeColor="text1"/>
                <w14:textFill>
                  <w14:solidFill>
                    <w14:schemeClr w14:val="tx1"/>
                  </w14:solidFill>
                </w14:textFill>
              </w:rPr>
              <w:t>劳动定员</w:t>
            </w:r>
            <w:r>
              <w:rPr>
                <w:color w:val="000000" w:themeColor="text1"/>
                <w14:textFill>
                  <w14:solidFill>
                    <w14:schemeClr w14:val="tx1"/>
                  </w14:solidFill>
                </w14:textFill>
              </w:rPr>
              <w:t>主要雇佣当地工人</w:t>
            </w:r>
            <w:r>
              <w:rPr>
                <w:rFonts w:hint="eastAsia"/>
                <w:color w:val="000000" w:themeColor="text1"/>
                <w14:textFill>
                  <w14:solidFill>
                    <w14:schemeClr w14:val="tx1"/>
                  </w14:solidFill>
                </w14:textFill>
              </w:rPr>
              <w:t>，项目厂区内不设食堂。</w:t>
            </w:r>
          </w:p>
          <w:p>
            <w:pPr>
              <w:adjustRightInd w:val="0"/>
              <w:snapToGrid w:val="0"/>
              <w:spacing w:line="360" w:lineRule="auto"/>
              <w:ind w:left="420" w:leftChars="200"/>
              <w:rPr>
                <w:b/>
                <w:bCs/>
                <w:color w:val="auto"/>
                <w:sz w:val="24"/>
              </w:rPr>
            </w:pPr>
            <w:r>
              <w:rPr>
                <w:rFonts w:hint="eastAsia"/>
                <w:b/>
                <w:bCs/>
                <w:color w:val="auto"/>
                <w:sz w:val="24"/>
                <w:lang w:val="en-US" w:eastAsia="zh-CN"/>
              </w:rPr>
              <w:t>11</w:t>
            </w:r>
            <w:r>
              <w:rPr>
                <w:rFonts w:hint="eastAsia"/>
                <w:b/>
                <w:bCs/>
                <w:color w:val="auto"/>
                <w:sz w:val="24"/>
              </w:rPr>
              <w:t>、</w:t>
            </w:r>
            <w:r>
              <w:rPr>
                <w:b/>
                <w:bCs/>
                <w:color w:val="auto"/>
                <w:sz w:val="24"/>
              </w:rPr>
              <w:t>厂区总平面布置</w:t>
            </w:r>
          </w:p>
          <w:p>
            <w:pPr>
              <w:widowControl/>
              <w:adjustRightInd w:val="0"/>
              <w:snapToGrid w:val="0"/>
              <w:spacing w:line="360" w:lineRule="auto"/>
              <w:ind w:firstLine="480" w:firstLineChars="200"/>
              <w:jc w:val="left"/>
              <w:rPr>
                <w:color w:val="auto"/>
                <w:kern w:val="0"/>
                <w:sz w:val="24"/>
                <w:lang w:bidi="ar"/>
              </w:rPr>
            </w:pPr>
            <w:r>
              <w:rPr>
                <w:color w:val="auto"/>
                <w:kern w:val="0"/>
                <w:sz w:val="24"/>
                <w:lang w:bidi="ar"/>
              </w:rPr>
              <w:t>本项目</w:t>
            </w:r>
            <w:r>
              <w:rPr>
                <w:rFonts w:hint="eastAsia"/>
                <w:color w:val="auto"/>
                <w:kern w:val="0"/>
                <w:sz w:val="24"/>
                <w:lang w:val="en-US" w:eastAsia="zh-CN" w:bidi="ar"/>
              </w:rPr>
              <w:t>位于沙坡头区东园镇新北山区</w:t>
            </w:r>
            <w:r>
              <w:rPr>
                <w:color w:val="auto"/>
                <w:kern w:val="0"/>
                <w:sz w:val="24"/>
                <w:lang w:bidi="ar"/>
              </w:rPr>
              <w:t>，</w:t>
            </w:r>
            <w:r>
              <w:rPr>
                <w:rFonts w:hint="eastAsia"/>
                <w:color w:val="auto"/>
                <w:kern w:val="0"/>
                <w:sz w:val="24"/>
                <w:lang w:val="en-US" w:eastAsia="zh-CN" w:bidi="ar"/>
              </w:rPr>
              <w:t>土地利用类型为</w:t>
            </w:r>
            <w:r>
              <w:rPr>
                <w:rFonts w:hint="eastAsia" w:cs="Times New Roman"/>
                <w:snapToGrid w:val="0"/>
                <w:color w:val="auto"/>
                <w:spacing w:val="0"/>
                <w:sz w:val="24"/>
                <w:lang w:val="en-US" w:eastAsia="zh-CN"/>
              </w:rPr>
              <w:t>天然牧草地，已取得宁夏林业和草原局出具的《临时占用草地行政许可决定书》（宁林草许准临【2024】49号），相关用地手续及占地性质见</w:t>
            </w:r>
            <w:r>
              <w:rPr>
                <w:rFonts w:hint="eastAsia" w:cs="Times New Roman"/>
                <w:b/>
                <w:bCs/>
                <w:snapToGrid w:val="0"/>
                <w:color w:val="auto"/>
                <w:spacing w:val="0"/>
                <w:sz w:val="24"/>
                <w:lang w:val="en-US" w:eastAsia="zh-CN"/>
              </w:rPr>
              <w:t>附件3</w:t>
            </w:r>
            <w:r>
              <w:rPr>
                <w:rFonts w:hint="eastAsia" w:cs="Times New Roman"/>
                <w:snapToGrid w:val="0"/>
                <w:color w:val="auto"/>
                <w:spacing w:val="0"/>
                <w:sz w:val="24"/>
                <w:lang w:val="en-US" w:eastAsia="zh-CN"/>
              </w:rPr>
              <w:t>和</w:t>
            </w:r>
            <w:r>
              <w:rPr>
                <w:rFonts w:hint="eastAsia" w:cs="Times New Roman"/>
                <w:b/>
                <w:bCs/>
                <w:snapToGrid w:val="0"/>
                <w:color w:val="auto"/>
                <w:spacing w:val="0"/>
                <w:sz w:val="24"/>
                <w:lang w:val="en-US" w:eastAsia="zh-CN"/>
              </w:rPr>
              <w:t>附件4</w:t>
            </w:r>
            <w:r>
              <w:rPr>
                <w:rFonts w:hint="eastAsia" w:cs="Times New Roman"/>
                <w:snapToGrid w:val="0"/>
                <w:color w:val="auto"/>
                <w:spacing w:val="0"/>
                <w:sz w:val="24"/>
                <w:lang w:val="en-US" w:eastAsia="zh-CN"/>
              </w:rPr>
              <w:t>。</w:t>
            </w:r>
            <w:r>
              <w:rPr>
                <w:rFonts w:hint="eastAsia"/>
                <w:color w:val="auto"/>
                <w:kern w:val="0"/>
                <w:sz w:val="24"/>
                <w:lang w:val="en-US" w:eastAsia="zh-CN" w:bidi="ar"/>
              </w:rPr>
              <w:t>主要</w:t>
            </w:r>
            <w:r>
              <w:rPr>
                <w:color w:val="auto"/>
                <w:kern w:val="0"/>
                <w:sz w:val="24"/>
                <w:lang w:bidi="ar"/>
              </w:rPr>
              <w:t>分为</w:t>
            </w:r>
            <w:r>
              <w:rPr>
                <w:rFonts w:hint="eastAsia"/>
                <w:color w:val="auto"/>
                <w:kern w:val="0"/>
                <w:sz w:val="24"/>
                <w:lang w:val="en-US" w:eastAsia="zh-CN" w:bidi="ar"/>
              </w:rPr>
              <w:t>拌合站施工现场、项目部、砼四脚体摆放场地</w:t>
            </w:r>
            <w:r>
              <w:rPr>
                <w:color w:val="auto"/>
                <w:kern w:val="0"/>
                <w:sz w:val="24"/>
                <w:lang w:bidi="ar"/>
              </w:rPr>
              <w:t>，</w:t>
            </w:r>
            <w:r>
              <w:rPr>
                <w:rFonts w:hint="eastAsia"/>
                <w:color w:val="auto"/>
                <w:kern w:val="0"/>
                <w:sz w:val="24"/>
                <w:lang w:val="en-US" w:eastAsia="zh-CN" w:bidi="ar"/>
              </w:rPr>
              <w:t>施工现场</w:t>
            </w:r>
            <w:r>
              <w:rPr>
                <w:color w:val="auto"/>
                <w:kern w:val="0"/>
                <w:sz w:val="24"/>
                <w:lang w:bidi="ar"/>
              </w:rPr>
              <w:t>位于厂区</w:t>
            </w:r>
            <w:r>
              <w:rPr>
                <w:rFonts w:hint="eastAsia"/>
                <w:color w:val="auto"/>
                <w:kern w:val="0"/>
                <w:sz w:val="24"/>
                <w:lang w:val="en-US" w:eastAsia="zh-CN" w:bidi="ar"/>
              </w:rPr>
              <w:t>东北侧</w:t>
            </w:r>
            <w:r>
              <w:rPr>
                <w:rFonts w:hint="eastAsia"/>
                <w:color w:val="auto"/>
                <w:kern w:val="0"/>
                <w:sz w:val="24"/>
                <w:lang w:bidi="ar"/>
              </w:rPr>
              <w:t>，</w:t>
            </w:r>
            <w:r>
              <w:rPr>
                <w:rFonts w:hint="eastAsia"/>
                <w:color w:val="auto"/>
                <w:kern w:val="0"/>
                <w:sz w:val="24"/>
                <w:lang w:val="en-US" w:eastAsia="zh-CN" w:bidi="ar"/>
              </w:rPr>
              <w:t>项目部</w:t>
            </w:r>
            <w:r>
              <w:rPr>
                <w:rFonts w:hint="eastAsia"/>
                <w:color w:val="auto"/>
                <w:kern w:val="0"/>
                <w:sz w:val="24"/>
                <w:lang w:bidi="ar"/>
              </w:rPr>
              <w:t>位于厂区</w:t>
            </w:r>
            <w:r>
              <w:rPr>
                <w:rFonts w:hint="eastAsia"/>
                <w:color w:val="auto"/>
                <w:kern w:val="0"/>
                <w:sz w:val="24"/>
                <w:lang w:val="en-US" w:eastAsia="zh-CN" w:bidi="ar"/>
              </w:rPr>
              <w:t>西南侧</w:t>
            </w:r>
            <w:r>
              <w:rPr>
                <w:color w:val="auto"/>
                <w:kern w:val="0"/>
                <w:sz w:val="24"/>
                <w:lang w:bidi="ar"/>
              </w:rPr>
              <w:t>。</w:t>
            </w:r>
            <w:r>
              <w:rPr>
                <w:rFonts w:hint="eastAsia"/>
                <w:color w:val="auto"/>
                <w:kern w:val="0"/>
                <w:sz w:val="24"/>
                <w:lang w:val="en-US" w:eastAsia="zh-CN" w:bidi="ar"/>
              </w:rPr>
              <w:t>施工现场</w:t>
            </w:r>
            <w:r>
              <w:rPr>
                <w:color w:val="auto"/>
                <w:kern w:val="0"/>
                <w:sz w:val="24"/>
                <w:lang w:bidi="ar"/>
              </w:rPr>
              <w:t>内建筑及设施设备依据生产工艺流程</w:t>
            </w:r>
            <w:r>
              <w:rPr>
                <w:rFonts w:hint="eastAsia"/>
                <w:color w:val="auto"/>
                <w:kern w:val="0"/>
                <w:sz w:val="24"/>
                <w:lang w:val="en-US" w:eastAsia="zh-CN" w:bidi="ar"/>
              </w:rPr>
              <w:t>（原</w:t>
            </w:r>
            <w:r>
              <w:rPr>
                <w:color w:val="auto"/>
                <w:kern w:val="0"/>
                <w:sz w:val="24"/>
                <w:lang w:bidi="ar"/>
              </w:rPr>
              <w:t>料运输车辆→</w:t>
            </w:r>
            <w:r>
              <w:rPr>
                <w:rFonts w:hint="eastAsia"/>
                <w:color w:val="auto"/>
                <w:kern w:val="0"/>
                <w:sz w:val="24"/>
                <w:lang w:bidi="ar"/>
              </w:rPr>
              <w:t>原料仓</w:t>
            </w:r>
            <w:r>
              <w:rPr>
                <w:color w:val="auto"/>
                <w:kern w:val="0"/>
                <w:sz w:val="24"/>
                <w:lang w:bidi="ar"/>
              </w:rPr>
              <w:t>→铲车上料→搅拌→成品→取样检测）</w:t>
            </w:r>
            <w:r>
              <w:rPr>
                <w:rFonts w:hint="eastAsia"/>
                <w:color w:val="auto"/>
                <w:kern w:val="0"/>
                <w:sz w:val="24"/>
                <w:lang w:val="en-US" w:eastAsia="zh-CN" w:bidi="ar"/>
              </w:rPr>
              <w:t>南北</w:t>
            </w:r>
            <w:r>
              <w:rPr>
                <w:color w:val="auto"/>
                <w:kern w:val="0"/>
                <w:sz w:val="24"/>
                <w:lang w:bidi="ar"/>
              </w:rPr>
              <w:t>走向布置，按功能可分为</w:t>
            </w:r>
            <w:r>
              <w:rPr>
                <w:rFonts w:hint="eastAsia"/>
                <w:color w:val="auto"/>
                <w:kern w:val="0"/>
                <w:sz w:val="24"/>
                <w:lang w:val="en-US" w:eastAsia="zh-CN" w:bidi="ar"/>
              </w:rPr>
              <w:t>蓄水池区域、</w:t>
            </w:r>
            <w:r>
              <w:rPr>
                <w:color w:val="auto"/>
                <w:kern w:val="0"/>
                <w:sz w:val="24"/>
                <w:lang w:bidi="ar"/>
              </w:rPr>
              <w:t>搅拌区、原料储存区及其他区域。</w:t>
            </w:r>
          </w:p>
          <w:p>
            <w:pPr>
              <w:widowControl/>
              <w:spacing w:line="360" w:lineRule="auto"/>
              <w:ind w:firstLine="480" w:firstLineChars="200"/>
              <w:jc w:val="both"/>
              <w:rPr>
                <w:snapToGrid w:val="0"/>
                <w:color w:val="auto"/>
                <w:kern w:val="0"/>
                <w:sz w:val="24"/>
              </w:rPr>
            </w:pPr>
            <w:r>
              <w:rPr>
                <w:color w:val="auto"/>
                <w:kern w:val="0"/>
                <w:sz w:val="24"/>
                <w:lang w:bidi="ar"/>
              </w:rPr>
              <w:t>厂区</w:t>
            </w:r>
            <w:r>
              <w:rPr>
                <w:rFonts w:hint="eastAsia"/>
                <w:color w:val="auto"/>
                <w:kern w:val="0"/>
                <w:sz w:val="24"/>
                <w:lang w:val="en-US" w:eastAsia="zh-CN" w:bidi="ar"/>
              </w:rPr>
              <w:t>建设严格按照《工业企业总平面设计规范》(GB 50187-2012)的要求，</w:t>
            </w:r>
            <w:r>
              <w:rPr>
                <w:color w:val="auto"/>
                <w:kern w:val="0"/>
                <w:sz w:val="24"/>
                <w:lang w:bidi="ar"/>
              </w:rPr>
              <w:t>总平面布置从工艺角度考虑，形成环形流通结构，尽可能缩短工艺路线，减少厂内物料运输距离，从而减少</w:t>
            </w:r>
            <w:r>
              <w:rPr>
                <w:rFonts w:hint="eastAsia"/>
                <w:color w:val="auto"/>
                <w:kern w:val="0"/>
                <w:sz w:val="24"/>
                <w:lang w:val="en-US" w:eastAsia="zh-CN" w:bidi="ar"/>
              </w:rPr>
              <w:t>运行成本和</w:t>
            </w:r>
            <w:r>
              <w:rPr>
                <w:color w:val="auto"/>
                <w:kern w:val="0"/>
                <w:sz w:val="24"/>
                <w:lang w:bidi="ar"/>
              </w:rPr>
              <w:t>运输粉尘带来的大气环境污染。按照运行便捷和有序管理的原则进行平面布置，各功能区分区明确，互不干扰；运输线路及管线布置短捷，结构紧凑；主要生产设备集中，</w:t>
            </w:r>
            <w:r>
              <w:rPr>
                <w:rFonts w:hint="eastAsia" w:ascii="宋体" w:hAnsi="宋体" w:cs="宋体"/>
                <w:color w:val="auto"/>
                <w:kern w:val="0"/>
                <w:sz w:val="24"/>
                <w:lang w:val="en-US" w:eastAsia="zh-CN" w:bidi="ar"/>
              </w:rPr>
              <w:t>中卫市沙坡头区</w:t>
            </w:r>
            <w:r>
              <w:rPr>
                <w:rFonts w:hint="eastAsia" w:ascii="宋体" w:hAnsi="宋体" w:cs="宋体"/>
                <w:color w:val="auto"/>
                <w:kern w:val="0"/>
                <w:sz w:val="24"/>
                <w:lang w:bidi="ar"/>
              </w:rPr>
              <w:t>全年主导风向为</w:t>
            </w:r>
            <w:r>
              <w:rPr>
                <w:rFonts w:hint="eastAsia"/>
                <w:color w:val="auto"/>
                <w:kern w:val="0"/>
                <w:sz w:val="24"/>
                <w:lang w:val="en-US" w:eastAsia="zh-CN" w:bidi="ar"/>
              </w:rPr>
              <w:t>东风</w:t>
            </w:r>
            <w:r>
              <w:rPr>
                <w:color w:val="auto"/>
                <w:kern w:val="0"/>
                <w:sz w:val="24"/>
                <w:lang w:bidi="ar"/>
              </w:rPr>
              <w:t>，因此从环保角度考虑，本项目的平面布局合理可行。项目厂区平面布置见图2-2</w:t>
            </w:r>
            <w:r>
              <w:rPr>
                <w:rFonts w:hint="eastAsia"/>
                <w:color w:val="auto"/>
                <w:kern w:val="0"/>
                <w:sz w:val="24"/>
                <w:lang w:eastAsia="zh-CN" w:bidi="ar"/>
              </w:rPr>
              <w:t>、</w:t>
            </w:r>
            <w:r>
              <w:rPr>
                <w:rFonts w:hint="eastAsia"/>
                <w:color w:val="auto"/>
                <w:kern w:val="0"/>
                <w:sz w:val="24"/>
                <w:lang w:val="en-US" w:eastAsia="zh-CN" w:bidi="ar"/>
              </w:rPr>
              <w:t>2-3及2-4</w:t>
            </w:r>
            <w:r>
              <w:rPr>
                <w:color w:val="auto"/>
                <w:kern w:val="0"/>
                <w:sz w:val="24"/>
                <w:lang w:bidi="ar"/>
              </w:rPr>
              <w:t>。</w:t>
            </w:r>
          </w:p>
          <w:p>
            <w:pPr>
              <w:widowControl/>
              <w:spacing w:line="360" w:lineRule="auto"/>
              <w:jc w:val="center"/>
              <w:rPr>
                <w:rFonts w:hint="eastAsia" w:eastAsia="宋体"/>
                <w:snapToGrid w:val="0"/>
                <w:color w:val="FF0000"/>
                <w:kern w:val="0"/>
                <w:sz w:val="24"/>
                <w:lang w:eastAsia="zh-CN"/>
              </w:rPr>
            </w:pPr>
            <w:r>
              <w:rPr>
                <w:rFonts w:hint="eastAsia" w:eastAsia="宋体"/>
                <w:snapToGrid w:val="0"/>
                <w:color w:val="FF0000"/>
                <w:kern w:val="0"/>
                <w:sz w:val="24"/>
                <w:lang w:eastAsia="zh-CN"/>
              </w:rPr>
              <w:drawing>
                <wp:inline distT="0" distB="0" distL="114300" distR="114300">
                  <wp:extent cx="5232400" cy="7659370"/>
                  <wp:effectExtent l="0" t="0" r="6350" b="17780"/>
                  <wp:docPr id="5" name="图片 5" descr="（已操作）中卫四脚体预制场地平面图总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已操作）中卫四脚体预制场地平面图总图"/>
                          <pic:cNvPicPr>
                            <a:picLocks noChangeAspect="true"/>
                          </pic:cNvPicPr>
                        </pic:nvPicPr>
                        <pic:blipFill>
                          <a:blip r:embed="rId11"/>
                          <a:stretch>
                            <a:fillRect/>
                          </a:stretch>
                        </pic:blipFill>
                        <pic:spPr>
                          <a:xfrm>
                            <a:off x="0" y="0"/>
                            <a:ext cx="5232400" cy="7659370"/>
                          </a:xfrm>
                          <a:prstGeom prst="rect">
                            <a:avLst/>
                          </a:prstGeom>
                        </pic:spPr>
                      </pic:pic>
                    </a:graphicData>
                  </a:graphic>
                </wp:inline>
              </w:drawing>
            </w:r>
          </w:p>
          <w:p>
            <w:pPr>
              <w:widowControl/>
              <w:spacing w:line="360" w:lineRule="auto"/>
              <w:jc w:val="center"/>
              <w:rPr>
                <w:rFonts w:hint="eastAsia"/>
                <w:b/>
                <w:bCs w:val="0"/>
                <w:color w:val="auto"/>
                <w:kern w:val="0"/>
                <w:sz w:val="24"/>
                <w:szCs w:val="24"/>
                <w:lang w:val="en-US" w:eastAsia="zh-CN" w:bidi="ar"/>
              </w:rPr>
            </w:pPr>
            <w:r>
              <w:rPr>
                <w:rFonts w:ascii="Times New Roman" w:hAnsi="Times New Roman" w:eastAsia="宋体"/>
                <w:b/>
                <w:bCs w:val="0"/>
                <w:color w:val="auto"/>
                <w:kern w:val="0"/>
                <w:sz w:val="21"/>
                <w:szCs w:val="21"/>
                <w:lang w:bidi="ar"/>
              </w:rPr>
              <w:t>图2-2  厂区平面布置</w:t>
            </w:r>
            <w:r>
              <w:rPr>
                <w:rFonts w:hint="eastAsia"/>
                <w:b/>
                <w:bCs w:val="0"/>
                <w:color w:val="auto"/>
                <w:kern w:val="0"/>
                <w:sz w:val="21"/>
                <w:szCs w:val="21"/>
                <w:lang w:val="en-US" w:eastAsia="zh-CN" w:bidi="ar"/>
              </w:rPr>
              <w:t>总图</w:t>
            </w:r>
          </w:p>
          <w:p>
            <w:pPr>
              <w:widowControl/>
              <w:spacing w:line="360" w:lineRule="auto"/>
              <w:jc w:val="center"/>
              <w:rPr>
                <w:rFonts w:hint="eastAsia"/>
                <w:b/>
                <w:bCs w:val="0"/>
                <w:color w:val="000000" w:themeColor="text1"/>
                <w:kern w:val="0"/>
                <w:sz w:val="24"/>
                <w:szCs w:val="24"/>
                <w:lang w:val="en-US" w:eastAsia="zh-CN" w:bidi="ar"/>
                <w14:textFill>
                  <w14:solidFill>
                    <w14:schemeClr w14:val="tx1"/>
                  </w14:solidFill>
                </w14:textFill>
              </w:rPr>
            </w:pPr>
            <w:r>
              <w:rPr>
                <w:sz w:val="21"/>
              </w:rPr>
              <mc:AlternateContent>
                <mc:Choice Requires="wps">
                  <w:drawing>
                    <wp:anchor distT="0" distB="0" distL="114300" distR="114300" simplePos="0" relativeHeight="251687936" behindDoc="0" locked="0" layoutInCell="1" allowOverlap="1">
                      <wp:simplePos x="0" y="0"/>
                      <wp:positionH relativeFrom="column">
                        <wp:posOffset>399415</wp:posOffset>
                      </wp:positionH>
                      <wp:positionV relativeFrom="paragraph">
                        <wp:posOffset>6054090</wp:posOffset>
                      </wp:positionV>
                      <wp:extent cx="1024255" cy="252095"/>
                      <wp:effectExtent l="5080" t="4445" r="18415" b="10160"/>
                      <wp:wrapNone/>
                      <wp:docPr id="45" name="文本框 45"/>
                      <wp:cNvGraphicFramePr/>
                      <a:graphic xmlns:a="http://schemas.openxmlformats.org/drawingml/2006/main">
                        <a:graphicData uri="http://schemas.microsoft.com/office/word/2010/wordprocessingShape">
                          <wps:wsp>
                            <wps:cNvSpPr txBox="true"/>
                            <wps:spPr>
                              <a:xfrm>
                                <a:off x="2479675" y="7195185"/>
                                <a:ext cx="1024255" cy="252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sz w:val="18"/>
                                      <w:szCs w:val="21"/>
                                      <w:lang w:val="en-US" w:eastAsia="zh-CN"/>
                                    </w:rPr>
                                  </w:pPr>
                                  <w:r>
                                    <w:rPr>
                                      <w:rFonts w:hint="eastAsia"/>
                                      <w:b/>
                                      <w:bCs/>
                                      <w:sz w:val="18"/>
                                      <w:szCs w:val="21"/>
                                      <w:lang w:val="en-US" w:eastAsia="zh-CN"/>
                                    </w:rPr>
                                    <w:t>危险废物贮存点</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1.45pt;margin-top:476.7pt;height:19.85pt;width:80.65pt;z-index:251687936;mso-width-relative:page;mso-height-relative:page;" fillcolor="#FFFFFF [3201]" filled="t" stroked="t" coordsize="21600,21600" o:gfxdata="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Aic7wnXAAAACgEAAA8AAAAAAAAAAQAgAAAAOAAAAGRycy9kb3ducmV2LnhtbFBL&#10;AQIUABQAAAAIAIdO4kDhYhPaUwIAAIkEAAAOAAAAAAAAAAEAIAAAADwBAABkcnMvZTJvRG9jLnht&#10;bFBLBQYAAAAABgAGAFkBAAABBgAAAAA=&#10;">
                      <v:fill on="t" focussize="0,0"/>
                      <v:stroke weight="0.5pt" color="#000000 [3204]" joinstyle="round"/>
                      <v:imagedata o:title=""/>
                      <o:lock v:ext="edit" aspectratio="f"/>
                      <v:textbox>
                        <w:txbxContent>
                          <w:p>
                            <w:pPr>
                              <w:rPr>
                                <w:rFonts w:hint="default" w:eastAsia="宋体"/>
                                <w:b/>
                                <w:bCs/>
                                <w:sz w:val="18"/>
                                <w:szCs w:val="21"/>
                                <w:lang w:val="en-US" w:eastAsia="zh-CN"/>
                              </w:rPr>
                            </w:pPr>
                            <w:r>
                              <w:rPr>
                                <w:rFonts w:hint="eastAsia"/>
                                <w:b/>
                                <w:bCs/>
                                <w:sz w:val="18"/>
                                <w:szCs w:val="21"/>
                                <w:lang w:val="en-US" w:eastAsia="zh-CN"/>
                              </w:rPr>
                              <w:t>危险废物贮存点</w:t>
                            </w:r>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1380490</wp:posOffset>
                      </wp:positionH>
                      <wp:positionV relativeFrom="paragraph">
                        <wp:posOffset>6160770</wp:posOffset>
                      </wp:positionV>
                      <wp:extent cx="222250" cy="221615"/>
                      <wp:effectExtent l="0" t="50800" r="6350" b="13335"/>
                      <wp:wrapNone/>
                      <wp:docPr id="44" name="肘形连接符 44"/>
                      <wp:cNvGraphicFramePr/>
                      <a:graphic xmlns:a="http://schemas.openxmlformats.org/drawingml/2006/main">
                        <a:graphicData uri="http://schemas.microsoft.com/office/word/2010/wordprocessingShape">
                          <wps:wsp>
                            <wps:cNvCnPr>
                              <a:stCxn id="43" idx="1"/>
                            </wps:cNvCnPr>
                            <wps:spPr>
                              <a:xfrm rot="10800000">
                                <a:off x="2758440" y="7259320"/>
                                <a:ext cx="222250" cy="221615"/>
                              </a:xfrm>
                              <a:prstGeom prst="bentConnector3">
                                <a:avLst>
                                  <a:gd name="adj1" fmla="val 49714"/>
                                </a:avLst>
                              </a:prstGeom>
                              <a:ln w="12700" cmpd="sng">
                                <a:solidFill>
                                  <a:schemeClr val="accent1">
                                    <a:shade val="50000"/>
                                  </a:schemeClr>
                                </a:solidFill>
                                <a:prstDash val="solid"/>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margin-left:108.7pt;margin-top:485.1pt;height:17.45pt;width:17.5pt;rotation:11796480f;z-index:251686912;mso-width-relative:page;mso-height-relative:page;" filled="f" stroked="t" coordsize="21600,21600" o:gfxdata="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BYAAABkcnMvUEsBAhQAFAAAAAgAh07iQCli43/aAAAADAEAAA8AAAAA&#10;AAAAAQAgAAAAOAAAAGRycy9kb3ducmV2LnhtbFBLAQIUABQAAAAIAIdO4kCGBAa+NQIAAB0EAAAO&#10;AAAAAAAAAAEAIAAAAD8BAABkcnMvZTJvRG9jLnhtbFBLBQYAAAAABgAGAFkBAADmBQAAAAA=&#10;" adj="10738">
                      <v:fill on="f" focussize="0,0"/>
                      <v:stroke weight="1pt" color="#32539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1602740</wp:posOffset>
                      </wp:positionH>
                      <wp:positionV relativeFrom="paragraph">
                        <wp:posOffset>6311265</wp:posOffset>
                      </wp:positionV>
                      <wp:extent cx="150495" cy="143510"/>
                      <wp:effectExtent l="6350" t="6350" r="14605" b="21590"/>
                      <wp:wrapNone/>
                      <wp:docPr id="43" name="矩形 43"/>
                      <wp:cNvGraphicFramePr/>
                      <a:graphic xmlns:a="http://schemas.openxmlformats.org/drawingml/2006/main">
                        <a:graphicData uri="http://schemas.microsoft.com/office/word/2010/wordprocessingShape">
                          <wps:wsp>
                            <wps:cNvSpPr/>
                            <wps:spPr>
                              <a:xfrm>
                                <a:off x="2980690" y="7409815"/>
                                <a:ext cx="150495" cy="14351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26.2pt;margin-top:496.95pt;height:11.3pt;width:11.85pt;z-index:251685888;v-text-anchor:middle;mso-width-relative:page;mso-height-relative:page;" fillcolor="#4874CB [3204]" filled="t" stroked="t" coordsize="21600,21600" o:gfxdata="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BYAAABkcnMvUEsBAhQAFAAAAAgA&#10;h07iQMULbX7dAAAADAEAAA8AAAAAAAAAAQAgAAAAOAAAAGRycy9kb3ducmV2LnhtbFBLAQIUABQA&#10;AAAIAIdO4kD0cWEDgAIAAOQEAAAOAAAAAAAAAAEAIAAAAEIBAABkcnMvZTJvRG9jLnhtbFBLBQYA&#10;AAAABgAGAFkBAAA0BgAAAAA=&#10;">
                      <v:fill on="t" focussize="0,0"/>
                      <v:stroke weight="1pt" color="#2E54A1 [2404]" miterlimit="8" joinstyle="miter"/>
                      <v:imagedata o:title=""/>
                      <o:lock v:ext="edit" aspectratio="f"/>
                    </v:rect>
                  </w:pict>
                </mc:Fallback>
              </mc:AlternateContent>
            </w:r>
            <w:r>
              <w:rPr>
                <w:rFonts w:hint="eastAsia" w:ascii="Times New Roman" w:hAnsi="Times New Roman" w:eastAsia="宋体"/>
                <w:b/>
                <w:bCs w:val="0"/>
                <w:color w:val="auto"/>
                <w:kern w:val="0"/>
                <w:sz w:val="21"/>
                <w:szCs w:val="21"/>
                <w:lang w:eastAsia="zh-CN" w:bidi="ar"/>
              </w:rPr>
              <w:drawing>
                <wp:anchor distT="0" distB="0" distL="114300" distR="114300" simplePos="0" relativeHeight="251676672" behindDoc="0" locked="0" layoutInCell="1" allowOverlap="1">
                  <wp:simplePos x="0" y="0"/>
                  <wp:positionH relativeFrom="column">
                    <wp:posOffset>4224655</wp:posOffset>
                  </wp:positionH>
                  <wp:positionV relativeFrom="paragraph">
                    <wp:posOffset>218440</wp:posOffset>
                  </wp:positionV>
                  <wp:extent cx="805815" cy="838200"/>
                  <wp:effectExtent l="83820" t="80010" r="100965" b="91440"/>
                  <wp:wrapNone/>
                  <wp:docPr id="12" name="图片 12" descr="指北针"/>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指北针"/>
                          <pic:cNvPicPr>
                            <a:picLocks noChangeAspect="true"/>
                          </pic:cNvPicPr>
                        </pic:nvPicPr>
                        <pic:blipFill>
                          <a:blip r:embed="rId12"/>
                          <a:stretch>
                            <a:fillRect/>
                          </a:stretch>
                        </pic:blipFill>
                        <pic:spPr>
                          <a:xfrm rot="20820000">
                            <a:off x="0" y="0"/>
                            <a:ext cx="805815" cy="838200"/>
                          </a:xfrm>
                          <a:prstGeom prst="rect">
                            <a:avLst/>
                          </a:prstGeom>
                        </pic:spPr>
                      </pic:pic>
                    </a:graphicData>
                  </a:graphic>
                </wp:anchor>
              </w:drawing>
            </w:r>
            <w:r>
              <w:rPr>
                <w:rFonts w:hint="eastAsia"/>
                <w:b/>
                <w:bCs w:val="0"/>
                <w:color w:val="000000" w:themeColor="text1"/>
                <w:kern w:val="0"/>
                <w:sz w:val="24"/>
                <w:szCs w:val="24"/>
                <w:lang w:val="en-US" w:eastAsia="zh-CN" w:bidi="ar"/>
                <w14:textFill>
                  <w14:solidFill>
                    <w14:schemeClr w14:val="tx1"/>
                  </w14:solidFill>
                </w14:textFill>
              </w:rPr>
              <w:drawing>
                <wp:inline distT="0" distB="0" distL="114300" distR="114300">
                  <wp:extent cx="5201920" cy="7329170"/>
                  <wp:effectExtent l="0" t="0" r="17780" b="5080"/>
                  <wp:docPr id="15" name="图片 15" descr="（已操作）拌合站施工现场平面布置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已操作）拌合站施工现场平面布置图"/>
                          <pic:cNvPicPr>
                            <a:picLocks noChangeAspect="true"/>
                          </pic:cNvPicPr>
                        </pic:nvPicPr>
                        <pic:blipFill>
                          <a:blip r:embed="rId13"/>
                          <a:stretch>
                            <a:fillRect/>
                          </a:stretch>
                        </pic:blipFill>
                        <pic:spPr>
                          <a:xfrm>
                            <a:off x="0" y="0"/>
                            <a:ext cx="5201920" cy="7329170"/>
                          </a:xfrm>
                          <a:prstGeom prst="rect">
                            <a:avLst/>
                          </a:prstGeom>
                        </pic:spPr>
                      </pic:pic>
                    </a:graphicData>
                  </a:graphic>
                </wp:inline>
              </w:drawing>
            </w:r>
          </w:p>
          <w:p>
            <w:pPr>
              <w:widowControl/>
              <w:spacing w:line="360" w:lineRule="auto"/>
              <w:jc w:val="center"/>
              <w:rPr>
                <w:rFonts w:hint="eastAsia" w:ascii="Times New Roman" w:hAnsi="Times New Roman" w:eastAsia="宋体"/>
                <w:b/>
                <w:bCs w:val="0"/>
                <w:color w:val="auto"/>
                <w:kern w:val="0"/>
                <w:sz w:val="21"/>
                <w:szCs w:val="21"/>
                <w:lang w:eastAsia="zh-CN" w:bidi="ar"/>
              </w:rPr>
            </w:pPr>
            <w:r>
              <w:rPr>
                <w:rFonts w:ascii="Times New Roman" w:hAnsi="Times New Roman" w:eastAsia="宋体"/>
                <w:b/>
                <w:bCs w:val="0"/>
                <w:color w:val="auto"/>
                <w:kern w:val="0"/>
                <w:sz w:val="21"/>
                <w:szCs w:val="21"/>
                <w:lang w:bidi="ar"/>
              </w:rPr>
              <w:t>图2-</w:t>
            </w:r>
            <w:r>
              <w:rPr>
                <w:rFonts w:hint="eastAsia"/>
                <w:b/>
                <w:bCs w:val="0"/>
                <w:color w:val="auto"/>
                <w:kern w:val="0"/>
                <w:sz w:val="21"/>
                <w:szCs w:val="21"/>
                <w:lang w:val="en-US" w:eastAsia="zh-CN" w:bidi="ar"/>
              </w:rPr>
              <w:t>3</w:t>
            </w:r>
            <w:r>
              <w:rPr>
                <w:rFonts w:ascii="Times New Roman" w:hAnsi="Times New Roman" w:eastAsia="宋体"/>
                <w:b/>
                <w:bCs w:val="0"/>
                <w:color w:val="auto"/>
                <w:kern w:val="0"/>
                <w:sz w:val="21"/>
                <w:szCs w:val="21"/>
                <w:lang w:bidi="ar"/>
              </w:rPr>
              <w:t xml:space="preserve">  </w:t>
            </w:r>
            <w:r>
              <w:rPr>
                <w:rFonts w:hint="eastAsia"/>
                <w:b/>
                <w:bCs w:val="0"/>
                <w:color w:val="auto"/>
                <w:kern w:val="0"/>
                <w:sz w:val="21"/>
                <w:szCs w:val="21"/>
                <w:lang w:val="en-US" w:eastAsia="zh-CN" w:bidi="ar"/>
              </w:rPr>
              <w:t>拌合站施工现场</w:t>
            </w:r>
            <w:r>
              <w:rPr>
                <w:rFonts w:ascii="Times New Roman" w:hAnsi="Times New Roman" w:eastAsia="宋体"/>
                <w:b/>
                <w:bCs w:val="0"/>
                <w:color w:val="auto"/>
                <w:kern w:val="0"/>
                <w:sz w:val="21"/>
                <w:szCs w:val="21"/>
                <w:lang w:bidi="ar"/>
              </w:rPr>
              <w:t>平面布置图</w:t>
            </w:r>
          </w:p>
          <w:p>
            <w:pPr>
              <w:widowControl/>
              <w:spacing w:line="360" w:lineRule="auto"/>
              <w:jc w:val="center"/>
              <w:rPr>
                <w:rFonts w:hint="eastAsia" w:ascii="Times New Roman" w:hAnsi="Times New Roman" w:eastAsia="宋体"/>
                <w:b/>
                <w:bCs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b/>
                <w:bCs w:val="0"/>
                <w:color w:val="auto"/>
                <w:kern w:val="0"/>
                <w:sz w:val="21"/>
                <w:szCs w:val="21"/>
                <w:lang w:eastAsia="zh-CN" w:bidi="ar"/>
              </w:rPr>
              <w:drawing>
                <wp:anchor distT="0" distB="0" distL="114300" distR="114300" simplePos="0" relativeHeight="251677696" behindDoc="0" locked="0" layoutInCell="1" allowOverlap="1">
                  <wp:simplePos x="0" y="0"/>
                  <wp:positionH relativeFrom="column">
                    <wp:posOffset>4261485</wp:posOffset>
                  </wp:positionH>
                  <wp:positionV relativeFrom="paragraph">
                    <wp:posOffset>127635</wp:posOffset>
                  </wp:positionV>
                  <wp:extent cx="762000" cy="792480"/>
                  <wp:effectExtent l="74295" t="70485" r="78105" b="70485"/>
                  <wp:wrapNone/>
                  <wp:docPr id="13" name="图片 13" descr="指北针"/>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指北针"/>
                          <pic:cNvPicPr>
                            <a:picLocks noChangeAspect="true"/>
                          </pic:cNvPicPr>
                        </pic:nvPicPr>
                        <pic:blipFill>
                          <a:blip r:embed="rId12"/>
                          <a:stretch>
                            <a:fillRect/>
                          </a:stretch>
                        </pic:blipFill>
                        <pic:spPr>
                          <a:xfrm rot="20880000">
                            <a:off x="0" y="0"/>
                            <a:ext cx="762000" cy="792480"/>
                          </a:xfrm>
                          <a:prstGeom prst="rect">
                            <a:avLst/>
                          </a:prstGeom>
                        </pic:spPr>
                      </pic:pic>
                    </a:graphicData>
                  </a:graphic>
                </wp:anchor>
              </w:drawing>
            </w:r>
            <w:r>
              <w:rPr>
                <w:rFonts w:hint="eastAsia" w:ascii="Times New Roman" w:hAnsi="Times New Roman" w:eastAsia="宋体"/>
                <w:b/>
                <w:bCs w:val="0"/>
                <w:color w:val="000000" w:themeColor="text1"/>
                <w:kern w:val="0"/>
                <w:sz w:val="24"/>
                <w:szCs w:val="24"/>
                <w:lang w:val="en-US" w:eastAsia="zh-CN" w:bidi="ar"/>
                <w14:textFill>
                  <w14:solidFill>
                    <w14:schemeClr w14:val="tx1"/>
                  </w14:solidFill>
                </w14:textFill>
              </w:rPr>
              <w:drawing>
                <wp:inline distT="0" distB="0" distL="114300" distR="114300">
                  <wp:extent cx="5146675" cy="4106545"/>
                  <wp:effectExtent l="0" t="0" r="0" b="0"/>
                  <wp:docPr id="2" name="图片 2" descr="（已操作）施工现场项目经理部平面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已操作）施工现场项目经理部平面图"/>
                          <pic:cNvPicPr>
                            <a:picLocks noChangeAspect="true"/>
                          </pic:cNvPicPr>
                        </pic:nvPicPr>
                        <pic:blipFill>
                          <a:blip r:embed="rId14"/>
                          <a:srcRect t="7140" b="14595"/>
                          <a:stretch>
                            <a:fillRect/>
                          </a:stretch>
                        </pic:blipFill>
                        <pic:spPr>
                          <a:xfrm>
                            <a:off x="0" y="0"/>
                            <a:ext cx="5146675" cy="4106545"/>
                          </a:xfrm>
                          <a:prstGeom prst="rect">
                            <a:avLst/>
                          </a:prstGeom>
                        </pic:spPr>
                      </pic:pic>
                    </a:graphicData>
                  </a:graphic>
                </wp:inline>
              </w:drawing>
            </w:r>
          </w:p>
          <w:p>
            <w:pPr>
              <w:widowControl/>
              <w:spacing w:line="360" w:lineRule="auto"/>
              <w:jc w:val="center"/>
              <w:rPr>
                <w:rFonts w:hint="eastAsia" w:ascii="Times New Roman" w:hAnsi="Times New Roman" w:eastAsia="宋体"/>
                <w:b/>
                <w:bCs w:val="0"/>
                <w:color w:val="auto"/>
                <w:kern w:val="0"/>
                <w:sz w:val="21"/>
                <w:szCs w:val="21"/>
                <w:lang w:val="en-US" w:eastAsia="zh-CN" w:bidi="ar"/>
              </w:rPr>
            </w:pPr>
            <w:r>
              <w:rPr>
                <w:rFonts w:ascii="Times New Roman" w:hAnsi="Times New Roman" w:eastAsia="宋体"/>
                <w:b/>
                <w:bCs w:val="0"/>
                <w:color w:val="auto"/>
                <w:kern w:val="0"/>
                <w:sz w:val="21"/>
                <w:szCs w:val="21"/>
                <w:lang w:bidi="ar"/>
              </w:rPr>
              <w:t>图2-</w:t>
            </w:r>
            <w:r>
              <w:rPr>
                <w:rFonts w:hint="eastAsia"/>
                <w:b/>
                <w:bCs w:val="0"/>
                <w:color w:val="auto"/>
                <w:kern w:val="0"/>
                <w:sz w:val="21"/>
                <w:szCs w:val="21"/>
                <w:lang w:val="en-US" w:eastAsia="zh-CN" w:bidi="ar"/>
              </w:rPr>
              <w:t>4</w:t>
            </w:r>
            <w:r>
              <w:rPr>
                <w:rFonts w:ascii="Times New Roman" w:hAnsi="Times New Roman" w:eastAsia="宋体"/>
                <w:b/>
                <w:bCs w:val="0"/>
                <w:color w:val="auto"/>
                <w:kern w:val="0"/>
                <w:sz w:val="21"/>
                <w:szCs w:val="21"/>
                <w:lang w:bidi="ar"/>
              </w:rPr>
              <w:t xml:space="preserve">  </w:t>
            </w:r>
            <w:r>
              <w:rPr>
                <w:rFonts w:hint="eastAsia"/>
                <w:b/>
                <w:bCs w:val="0"/>
                <w:color w:val="auto"/>
                <w:kern w:val="0"/>
                <w:sz w:val="21"/>
                <w:szCs w:val="21"/>
                <w:lang w:val="en-US" w:eastAsia="zh-CN" w:bidi="ar"/>
              </w:rPr>
              <w:t>施工现场项目部</w:t>
            </w:r>
            <w:r>
              <w:rPr>
                <w:rFonts w:ascii="Times New Roman" w:hAnsi="Times New Roman" w:eastAsia="宋体"/>
                <w:b/>
                <w:bCs w:val="0"/>
                <w:color w:val="auto"/>
                <w:kern w:val="0"/>
                <w:sz w:val="21"/>
                <w:szCs w:val="21"/>
                <w:lang w:bidi="ar"/>
              </w:rPr>
              <w:t>平面布置图</w:t>
            </w:r>
          </w:p>
          <w:p>
            <w:pPr>
              <w:adjustRightInd w:val="0"/>
              <w:snapToGrid w:val="0"/>
              <w:spacing w:line="360" w:lineRule="auto"/>
              <w:ind w:left="420" w:left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w:t>
            </w:r>
            <w:r>
              <w:rPr>
                <w:rFonts w:hint="eastAsia"/>
                <w:b/>
                <w:bCs/>
                <w:color w:val="000000" w:themeColor="text1"/>
                <w:sz w:val="24"/>
                <w:lang w:val="en-US" w:eastAsia="zh-CN"/>
                <w14:textFill>
                  <w14:solidFill>
                    <w14:schemeClr w14:val="tx1"/>
                  </w14:solidFill>
                </w14:textFill>
              </w:rPr>
              <w:t>2</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环保投资</w:t>
            </w:r>
          </w:p>
          <w:p>
            <w:pPr>
              <w:widowControl/>
              <w:adjustRightInd w:val="0"/>
              <w:snapToGrid w:val="0"/>
              <w:spacing w:line="360" w:lineRule="auto"/>
              <w:ind w:firstLine="480" w:firstLineChars="200"/>
              <w:jc w:val="left"/>
              <w:rPr>
                <w:color w:val="auto"/>
                <w:kern w:val="0"/>
                <w:sz w:val="24"/>
                <w:lang w:bidi="ar"/>
              </w:rPr>
            </w:pPr>
            <w:r>
              <w:rPr>
                <w:color w:val="auto"/>
                <w:kern w:val="0"/>
                <w:sz w:val="24"/>
                <w:lang w:bidi="ar"/>
              </w:rPr>
              <w:t>本项目总投资</w:t>
            </w:r>
            <w:r>
              <w:rPr>
                <w:rFonts w:hint="eastAsia"/>
                <w:color w:val="auto"/>
                <w:kern w:val="0"/>
                <w:sz w:val="24"/>
                <w:lang w:val="en-US" w:eastAsia="zh-CN" w:bidi="ar"/>
              </w:rPr>
              <w:t>62.5</w:t>
            </w:r>
            <w:r>
              <w:rPr>
                <w:color w:val="auto"/>
                <w:kern w:val="0"/>
                <w:sz w:val="24"/>
                <w:lang w:bidi="ar"/>
              </w:rPr>
              <w:t>万元，环保投资</w:t>
            </w:r>
            <w:r>
              <w:rPr>
                <w:rFonts w:hint="eastAsia"/>
                <w:color w:val="auto"/>
                <w:kern w:val="0"/>
                <w:sz w:val="24"/>
                <w:lang w:val="en-US" w:eastAsia="zh-CN" w:bidi="ar"/>
              </w:rPr>
              <w:t>14.4</w:t>
            </w:r>
            <w:r>
              <w:rPr>
                <w:color w:val="auto"/>
                <w:kern w:val="0"/>
                <w:sz w:val="24"/>
                <w:lang w:bidi="ar"/>
              </w:rPr>
              <w:t>万元，环保投资占总投资</w:t>
            </w:r>
            <w:r>
              <w:rPr>
                <w:rFonts w:hint="eastAsia"/>
                <w:color w:val="auto"/>
                <w:kern w:val="0"/>
                <w:sz w:val="24"/>
                <w:lang w:val="en-US" w:eastAsia="zh-CN" w:bidi="ar"/>
              </w:rPr>
              <w:t>23.04%</w:t>
            </w:r>
            <w:r>
              <w:rPr>
                <w:color w:val="auto"/>
                <w:kern w:val="0"/>
                <w:sz w:val="24"/>
                <w:lang w:bidi="ar"/>
              </w:rPr>
              <w:t>。环保投资具体情况见表2-</w:t>
            </w:r>
            <w:r>
              <w:rPr>
                <w:rFonts w:hint="eastAsia"/>
                <w:color w:val="auto"/>
                <w:kern w:val="0"/>
                <w:sz w:val="24"/>
                <w:lang w:val="en-US" w:eastAsia="zh-CN" w:bidi="ar"/>
              </w:rPr>
              <w:t>8</w:t>
            </w:r>
            <w:r>
              <w:rPr>
                <w:color w:val="auto"/>
                <w:kern w:val="0"/>
                <w:sz w:val="24"/>
                <w:lang w:bidi="ar"/>
              </w:rPr>
              <w:t>。</w:t>
            </w:r>
          </w:p>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auto"/>
                <w:kern w:val="0"/>
                <w:sz w:val="21"/>
                <w:szCs w:val="21"/>
                <w:lang w:bidi="ar"/>
              </w:rPr>
            </w:pPr>
            <w:r>
              <w:rPr>
                <w:b/>
                <w:bCs/>
                <w:color w:val="auto"/>
                <w:kern w:val="0"/>
                <w:sz w:val="21"/>
                <w:szCs w:val="21"/>
                <w:lang w:bidi="ar"/>
              </w:rPr>
              <w:t>表2-</w:t>
            </w:r>
            <w:r>
              <w:rPr>
                <w:rFonts w:hint="eastAsia"/>
                <w:b/>
                <w:bCs/>
                <w:color w:val="auto"/>
                <w:kern w:val="0"/>
                <w:sz w:val="21"/>
                <w:szCs w:val="21"/>
                <w:lang w:val="en-US" w:eastAsia="zh-CN" w:bidi="ar"/>
              </w:rPr>
              <w:t>8</w:t>
            </w:r>
            <w:r>
              <w:rPr>
                <w:b/>
                <w:bCs/>
                <w:color w:val="auto"/>
                <w:kern w:val="0"/>
                <w:sz w:val="21"/>
                <w:szCs w:val="21"/>
                <w:lang w:bidi="ar"/>
              </w:rPr>
              <w:t xml:space="preserve">  </w:t>
            </w:r>
            <w:r>
              <w:rPr>
                <w:rFonts w:hint="eastAsia"/>
                <w:b/>
                <w:bCs/>
                <w:color w:val="auto"/>
                <w:kern w:val="0"/>
                <w:sz w:val="21"/>
                <w:szCs w:val="21"/>
                <w:lang w:bidi="ar"/>
              </w:rPr>
              <w:t xml:space="preserve"> </w:t>
            </w:r>
            <w:r>
              <w:rPr>
                <w:b/>
                <w:bCs/>
                <w:color w:val="auto"/>
                <w:kern w:val="0"/>
                <w:sz w:val="21"/>
                <w:szCs w:val="21"/>
                <w:lang w:bidi="ar"/>
              </w:rPr>
              <w:t>环保投资概算表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67"/>
              <w:gridCol w:w="924"/>
              <w:gridCol w:w="4162"/>
              <w:gridCol w:w="1005"/>
              <w:gridCol w:w="11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阶段</w:t>
                  </w:r>
                </w:p>
              </w:tc>
              <w:tc>
                <w:tcPr>
                  <w:tcW w:w="56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项目</w:t>
                  </w:r>
                </w:p>
              </w:tc>
              <w:tc>
                <w:tcPr>
                  <w:tcW w:w="2554"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内容</w:t>
                  </w:r>
                </w:p>
              </w:tc>
              <w:tc>
                <w:tcPr>
                  <w:tcW w:w="61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费用</w:t>
                  </w:r>
                  <w:r>
                    <w:rPr>
                      <w:rFonts w:hint="default" w:ascii="Times New Roman" w:hAnsi="Times New Roman" w:eastAsia="宋体" w:cs="Times New Roman"/>
                      <w:b/>
                      <w:bCs/>
                      <w:i w:val="0"/>
                      <w:iCs w:val="0"/>
                      <w:color w:val="auto"/>
                      <w:kern w:val="0"/>
                      <w:sz w:val="21"/>
                      <w:szCs w:val="21"/>
                      <w:u w:val="none"/>
                      <w:lang w:val="en-US" w:eastAsia="zh-CN" w:bidi="ar"/>
                    </w:rPr>
                    <w:br w:type="textWrapping"/>
                  </w:r>
                  <w:r>
                    <w:rPr>
                      <w:rFonts w:hint="default" w:ascii="Times New Roman" w:hAnsi="Times New Roman" w:eastAsia="宋体" w:cs="Times New Roman"/>
                      <w:b/>
                      <w:bCs/>
                      <w:i w:val="0"/>
                      <w:iCs w:val="0"/>
                      <w:color w:val="auto"/>
                      <w:kern w:val="0"/>
                      <w:sz w:val="21"/>
                      <w:szCs w:val="21"/>
                      <w:u w:val="none"/>
                      <w:lang w:val="en-US" w:eastAsia="zh-CN" w:bidi="ar"/>
                    </w:rPr>
                    <w:t>（万元）</w:t>
                  </w:r>
                </w:p>
              </w:tc>
              <w:tc>
                <w:tcPr>
                  <w:tcW w:w="72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所占比例</w:t>
                  </w:r>
                  <w:r>
                    <w:rPr>
                      <w:rFonts w:hint="default" w:ascii="Times New Roman" w:hAnsi="Times New Roman" w:eastAsia="宋体" w:cs="Times New Roman"/>
                      <w:b/>
                      <w:bCs/>
                      <w:i w:val="0"/>
                      <w:iCs w:val="0"/>
                      <w:color w:val="auto"/>
                      <w:kern w:val="0"/>
                      <w:sz w:val="21"/>
                      <w:szCs w:val="21"/>
                      <w:u w:val="none"/>
                      <w:lang w:val="en-US" w:eastAsia="zh-CN" w:bidi="ar"/>
                    </w:rPr>
                    <w:br w:type="textWrapping"/>
                  </w:r>
                  <w:r>
                    <w:rPr>
                      <w:rFonts w:hint="default" w:ascii="Times New Roman" w:hAnsi="Times New Roman" w:eastAsia="宋体" w:cs="Times New Roman"/>
                      <w:b/>
                      <w:bCs/>
                      <w:i w:val="0"/>
                      <w:iCs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auto"/>
                      <w:sz w:val="21"/>
                      <w:szCs w:val="21"/>
                      <w:u w:val="none"/>
                    </w:rPr>
                  </w:pPr>
                </w:p>
              </w:tc>
              <w:tc>
                <w:tcPr>
                  <w:tcW w:w="567" w:type="pct"/>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auto"/>
                      <w:sz w:val="21"/>
                      <w:szCs w:val="21"/>
                      <w:u w:val="none"/>
                    </w:rPr>
                  </w:pPr>
                </w:p>
              </w:tc>
              <w:tc>
                <w:tcPr>
                  <w:tcW w:w="2554" w:type="pct"/>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auto"/>
                      <w:sz w:val="21"/>
                      <w:szCs w:val="21"/>
                      <w:u w:val="none"/>
                    </w:rPr>
                  </w:pPr>
                </w:p>
              </w:tc>
              <w:tc>
                <w:tcPr>
                  <w:tcW w:w="617" w:type="pct"/>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auto"/>
                      <w:sz w:val="21"/>
                      <w:szCs w:val="21"/>
                      <w:u w:val="none"/>
                    </w:rPr>
                  </w:pPr>
                </w:p>
              </w:tc>
              <w:tc>
                <w:tcPr>
                  <w:tcW w:w="729" w:type="pct"/>
                  <w:vMerge w:val="continue"/>
                  <w:tcBorders>
                    <w:tl2br w:val="nil"/>
                    <w:tr2bl w:val="nil"/>
                  </w:tcBorders>
                  <w:shd w:val="clear" w:color="auto" w:fill="auto"/>
                  <w:vAlign w:val="center"/>
                </w:tcPr>
                <w:p>
                  <w:pPr>
                    <w:jc w:val="center"/>
                    <w:rPr>
                      <w:rFonts w:hint="default" w:ascii="Times New Roman" w:hAnsi="Times New Roman" w:eastAsia="宋体" w:cs="Times New Roman"/>
                      <w:b/>
                      <w:bCs/>
                      <w:i w:val="0"/>
                      <w:iCs w:val="0"/>
                      <w:color w:val="auto"/>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施工期</w:t>
                  </w:r>
                </w:p>
              </w:tc>
              <w:tc>
                <w:tcPr>
                  <w:tcW w:w="56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w:t>
                  </w:r>
                </w:p>
              </w:tc>
              <w:tc>
                <w:tcPr>
                  <w:tcW w:w="255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设置10m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临时沉淀池。</w:t>
                  </w:r>
                </w:p>
              </w:tc>
              <w:tc>
                <w:tcPr>
                  <w:tcW w:w="61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1.00 </w:t>
                  </w:r>
                </w:p>
              </w:tc>
              <w:tc>
                <w:tcPr>
                  <w:tcW w:w="72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56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废气</w:t>
                  </w:r>
                </w:p>
              </w:tc>
              <w:tc>
                <w:tcPr>
                  <w:tcW w:w="255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施工场地洒水降尘；施工材料及运输物资采用苫布覆盖。</w:t>
                  </w:r>
                </w:p>
              </w:tc>
              <w:tc>
                <w:tcPr>
                  <w:tcW w:w="61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0.50 </w:t>
                  </w:r>
                </w:p>
              </w:tc>
              <w:tc>
                <w:tcPr>
                  <w:tcW w:w="72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56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声环境</w:t>
                  </w:r>
                </w:p>
              </w:tc>
              <w:tc>
                <w:tcPr>
                  <w:tcW w:w="255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选用低噪声设备。</w:t>
                  </w:r>
                </w:p>
              </w:tc>
              <w:tc>
                <w:tcPr>
                  <w:tcW w:w="61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0.80 </w:t>
                  </w:r>
                </w:p>
              </w:tc>
              <w:tc>
                <w:tcPr>
                  <w:tcW w:w="72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56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固体废物</w:t>
                  </w:r>
                </w:p>
              </w:tc>
              <w:tc>
                <w:tcPr>
                  <w:tcW w:w="255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建筑垃圾苫布覆盖运至政府指定地点。</w:t>
                  </w:r>
                </w:p>
              </w:tc>
              <w:tc>
                <w:tcPr>
                  <w:tcW w:w="61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0.20 </w:t>
                  </w:r>
                </w:p>
              </w:tc>
              <w:tc>
                <w:tcPr>
                  <w:tcW w:w="72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运营期</w:t>
                  </w:r>
                </w:p>
              </w:tc>
              <w:tc>
                <w:tcPr>
                  <w:tcW w:w="56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w:t>
                  </w:r>
                </w:p>
              </w:tc>
              <w:tc>
                <w:tcPr>
                  <w:tcW w:w="255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设置一座3m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化粪池，生活污水进入化粪池处理后定期拉运至中卫市第一污水处理厂处置；设置车辆冲洗平台；车辆冲洗废水及搅拌机清洗废水沉淀后回用道路洒水降尘。</w:t>
                  </w:r>
                </w:p>
              </w:tc>
              <w:tc>
                <w:tcPr>
                  <w:tcW w:w="61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2.00 </w:t>
                  </w:r>
                </w:p>
              </w:tc>
              <w:tc>
                <w:tcPr>
                  <w:tcW w:w="72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56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废气</w:t>
                  </w:r>
                </w:p>
              </w:tc>
              <w:tc>
                <w:tcPr>
                  <w:tcW w:w="255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配料机顶部设置防静电挡尘帘。</w:t>
                  </w:r>
                </w:p>
              </w:tc>
              <w:tc>
                <w:tcPr>
                  <w:tcW w:w="61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0.50 </w:t>
                  </w:r>
                </w:p>
              </w:tc>
              <w:tc>
                <w:tcPr>
                  <w:tcW w:w="72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r>
          </w:tbl>
          <w:p>
            <w:pPr>
              <w:jc w:val="center"/>
              <w:rPr>
                <w:color w:val="auto"/>
              </w:rPr>
            </w:pPr>
            <w:r>
              <w:rPr>
                <w:rFonts w:hint="eastAsia"/>
                <w:b/>
                <w:bCs/>
                <w:color w:val="auto"/>
                <w:kern w:val="0"/>
                <w:sz w:val="21"/>
                <w:szCs w:val="21"/>
                <w:lang w:eastAsia="zh-CN" w:bidi="ar"/>
              </w:rPr>
              <w:t>（</w:t>
            </w:r>
            <w:r>
              <w:rPr>
                <w:rFonts w:hint="eastAsia"/>
                <w:b/>
                <w:bCs/>
                <w:color w:val="auto"/>
                <w:kern w:val="0"/>
                <w:sz w:val="21"/>
                <w:szCs w:val="21"/>
                <w:lang w:val="en-US" w:eastAsia="zh-CN" w:bidi="ar"/>
              </w:rPr>
              <w:t>续</w:t>
            </w:r>
            <w:r>
              <w:rPr>
                <w:rFonts w:hint="eastAsia"/>
                <w:b/>
                <w:bCs/>
                <w:color w:val="auto"/>
                <w:kern w:val="0"/>
                <w:sz w:val="21"/>
                <w:szCs w:val="21"/>
                <w:lang w:eastAsia="zh-CN" w:bidi="ar"/>
              </w:rPr>
              <w:t>）</w:t>
            </w:r>
            <w:r>
              <w:rPr>
                <w:b/>
                <w:bCs/>
                <w:color w:val="auto"/>
                <w:kern w:val="0"/>
                <w:sz w:val="21"/>
                <w:szCs w:val="21"/>
                <w:lang w:bidi="ar"/>
              </w:rPr>
              <w:t>表2-</w:t>
            </w:r>
            <w:r>
              <w:rPr>
                <w:rFonts w:hint="eastAsia"/>
                <w:b/>
                <w:bCs/>
                <w:color w:val="auto"/>
                <w:kern w:val="0"/>
                <w:sz w:val="21"/>
                <w:szCs w:val="21"/>
                <w:lang w:val="en-US" w:eastAsia="zh-CN" w:bidi="ar"/>
              </w:rPr>
              <w:t>8</w:t>
            </w:r>
            <w:r>
              <w:rPr>
                <w:b/>
                <w:bCs/>
                <w:color w:val="auto"/>
                <w:kern w:val="0"/>
                <w:sz w:val="21"/>
                <w:szCs w:val="21"/>
                <w:lang w:bidi="ar"/>
              </w:rPr>
              <w:t xml:space="preserve">  </w:t>
            </w:r>
            <w:r>
              <w:rPr>
                <w:rFonts w:hint="eastAsia"/>
                <w:b/>
                <w:bCs/>
                <w:color w:val="auto"/>
                <w:kern w:val="0"/>
                <w:sz w:val="21"/>
                <w:szCs w:val="21"/>
                <w:lang w:bidi="ar"/>
              </w:rPr>
              <w:t xml:space="preserve"> </w:t>
            </w:r>
            <w:r>
              <w:rPr>
                <w:b/>
                <w:bCs/>
                <w:color w:val="auto"/>
                <w:kern w:val="0"/>
                <w:sz w:val="21"/>
                <w:szCs w:val="21"/>
                <w:lang w:bidi="ar"/>
              </w:rPr>
              <w:t>环保投资概算表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67"/>
              <w:gridCol w:w="924"/>
              <w:gridCol w:w="4162"/>
              <w:gridCol w:w="1005"/>
              <w:gridCol w:w="11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阶段</w:t>
                  </w:r>
                </w:p>
              </w:tc>
              <w:tc>
                <w:tcPr>
                  <w:tcW w:w="94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项目</w:t>
                  </w:r>
                </w:p>
              </w:tc>
              <w:tc>
                <w:tcPr>
                  <w:tcW w:w="427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内容</w:t>
                  </w:r>
                </w:p>
              </w:tc>
              <w:tc>
                <w:tcPr>
                  <w:tcW w:w="103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费用</w:t>
                  </w:r>
                  <w:r>
                    <w:rPr>
                      <w:rFonts w:hint="default" w:ascii="Times New Roman" w:hAnsi="Times New Roman" w:eastAsia="宋体" w:cs="Times New Roman"/>
                      <w:b/>
                      <w:bCs/>
                      <w:i w:val="0"/>
                      <w:iCs w:val="0"/>
                      <w:color w:val="auto"/>
                      <w:kern w:val="0"/>
                      <w:sz w:val="21"/>
                      <w:szCs w:val="21"/>
                      <w:u w:val="none"/>
                      <w:lang w:val="en-US" w:eastAsia="zh-CN" w:bidi="ar"/>
                    </w:rPr>
                    <w:br w:type="textWrapping"/>
                  </w:r>
                  <w:r>
                    <w:rPr>
                      <w:rFonts w:hint="default" w:ascii="Times New Roman" w:hAnsi="Times New Roman" w:eastAsia="宋体" w:cs="Times New Roman"/>
                      <w:b/>
                      <w:bCs/>
                      <w:i w:val="0"/>
                      <w:iCs w:val="0"/>
                      <w:color w:val="auto"/>
                      <w:kern w:val="0"/>
                      <w:sz w:val="21"/>
                      <w:szCs w:val="21"/>
                      <w:u w:val="none"/>
                      <w:lang w:val="en-US" w:eastAsia="zh-CN" w:bidi="ar"/>
                    </w:rPr>
                    <w:t>（万元）</w:t>
                  </w:r>
                </w:p>
              </w:tc>
              <w:tc>
                <w:tcPr>
                  <w:tcW w:w="121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所占比例</w:t>
                  </w:r>
                  <w:r>
                    <w:rPr>
                      <w:rFonts w:hint="default" w:ascii="Times New Roman" w:hAnsi="Times New Roman" w:eastAsia="宋体" w:cs="Times New Roman"/>
                      <w:b/>
                      <w:bCs/>
                      <w:i w:val="0"/>
                      <w:iCs w:val="0"/>
                      <w:color w:val="auto"/>
                      <w:kern w:val="0"/>
                      <w:sz w:val="21"/>
                      <w:szCs w:val="21"/>
                      <w:u w:val="none"/>
                      <w:lang w:val="en-US" w:eastAsia="zh-CN" w:bidi="ar"/>
                    </w:rPr>
                    <w:br w:type="textWrapping"/>
                  </w:r>
                  <w:r>
                    <w:rPr>
                      <w:rFonts w:hint="default" w:ascii="Times New Roman" w:hAnsi="Times New Roman" w:eastAsia="宋体" w:cs="Times New Roman"/>
                      <w:b/>
                      <w:bCs/>
                      <w:i w:val="0"/>
                      <w:iCs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vMerge w:val="restart"/>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运营期</w:t>
                  </w:r>
                </w:p>
              </w:tc>
              <w:tc>
                <w:tcPr>
                  <w:tcW w:w="567" w:type="pct"/>
                  <w:vMerge w:val="restart"/>
                  <w:tcBorders>
                    <w:tl2br w:val="nil"/>
                    <w:tr2bl w:val="nil"/>
                  </w:tcBorders>
                  <w:shd w:val="clear" w:color="auto" w:fill="auto"/>
                  <w:vAlign w:val="center"/>
                </w:tcPr>
                <w:p>
                  <w:pPr>
                    <w:jc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废气</w:t>
                  </w:r>
                </w:p>
              </w:tc>
              <w:tc>
                <w:tcPr>
                  <w:tcW w:w="255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搅拌机配套布袋除尘器。</w:t>
                  </w:r>
                </w:p>
              </w:tc>
              <w:tc>
                <w:tcPr>
                  <w:tcW w:w="61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1.00 </w:t>
                  </w:r>
                </w:p>
              </w:tc>
              <w:tc>
                <w:tcPr>
                  <w:tcW w:w="72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56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55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水泥筒仓顶部配置脉冲袋式除尘器。</w:t>
                  </w:r>
                </w:p>
              </w:tc>
              <w:tc>
                <w:tcPr>
                  <w:tcW w:w="61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1.50 </w:t>
                  </w:r>
                </w:p>
              </w:tc>
              <w:tc>
                <w:tcPr>
                  <w:tcW w:w="72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56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55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原料仓物料采取防尘网全覆盖措施。</w:t>
                  </w:r>
                </w:p>
              </w:tc>
              <w:tc>
                <w:tcPr>
                  <w:tcW w:w="61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0.40 </w:t>
                  </w:r>
                </w:p>
              </w:tc>
              <w:tc>
                <w:tcPr>
                  <w:tcW w:w="72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56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55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定期洒水降尘，运输物料采用苫布覆盖。</w:t>
                  </w:r>
                </w:p>
              </w:tc>
              <w:tc>
                <w:tcPr>
                  <w:tcW w:w="61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0.40 </w:t>
                  </w:r>
                </w:p>
              </w:tc>
              <w:tc>
                <w:tcPr>
                  <w:tcW w:w="72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56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噪声</w:t>
                  </w:r>
                </w:p>
              </w:tc>
              <w:tc>
                <w:tcPr>
                  <w:tcW w:w="255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选择低噪声设备，采取隔声、基础减振等措施。</w:t>
                  </w:r>
                </w:p>
              </w:tc>
              <w:tc>
                <w:tcPr>
                  <w:tcW w:w="61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1.00 </w:t>
                  </w:r>
                </w:p>
              </w:tc>
              <w:tc>
                <w:tcPr>
                  <w:tcW w:w="72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56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固体废物</w:t>
                  </w:r>
                </w:p>
              </w:tc>
              <w:tc>
                <w:tcPr>
                  <w:tcW w:w="255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厂区设置2个垃圾桶，安排人员定期清运至附近垃圾转运点。</w:t>
                  </w:r>
                </w:p>
              </w:tc>
              <w:tc>
                <w:tcPr>
                  <w:tcW w:w="61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0.30 </w:t>
                  </w:r>
                </w:p>
              </w:tc>
              <w:tc>
                <w:tcPr>
                  <w:tcW w:w="72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56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土壤及地下水污染防治措施</w:t>
                  </w:r>
                </w:p>
              </w:tc>
              <w:tc>
                <w:tcPr>
                  <w:tcW w:w="255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项目厂区化粪池等作为一般防渗区，其防渗层的防渗性能不低于1.5m厚渗透系数为1.0×10-7cm/s的黏土层的防渗性能；项目其他区域等作为简单防渗区，作一般硬化处理</w:t>
                  </w:r>
                </w:p>
              </w:tc>
              <w:tc>
                <w:tcPr>
                  <w:tcW w:w="61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2.00 </w:t>
                  </w:r>
                </w:p>
              </w:tc>
              <w:tc>
                <w:tcPr>
                  <w:tcW w:w="72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56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环境风险</w:t>
                  </w:r>
                </w:p>
              </w:tc>
              <w:tc>
                <w:tcPr>
                  <w:tcW w:w="255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配备消防设施，安排专人定期检查环保设备运行管理情况。</w:t>
                  </w:r>
                </w:p>
              </w:tc>
              <w:tc>
                <w:tcPr>
                  <w:tcW w:w="61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0.80 </w:t>
                  </w:r>
                </w:p>
              </w:tc>
              <w:tc>
                <w:tcPr>
                  <w:tcW w:w="72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生态恢复</w:t>
                  </w:r>
                </w:p>
              </w:tc>
              <w:tc>
                <w:tcPr>
                  <w:tcW w:w="56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运营期满生态恢复</w:t>
                  </w:r>
                </w:p>
              </w:tc>
              <w:tc>
                <w:tcPr>
                  <w:tcW w:w="255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服务期满后拆除生产、生活设施，采取地表混凝土清理及迹地清理、施有机肥、土地翻耕工程等技术措施，撒播草籽、植苗造林等植物措施按复垦方案对土地进行复垦，复垦后定期开展生态监测及复垦区域管护</w:t>
                  </w:r>
                </w:p>
              </w:tc>
              <w:tc>
                <w:tcPr>
                  <w:tcW w:w="61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2.00 </w:t>
                  </w:r>
                </w:p>
              </w:tc>
              <w:tc>
                <w:tcPr>
                  <w:tcW w:w="72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3"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合计</w:t>
                  </w:r>
                </w:p>
              </w:tc>
              <w:tc>
                <w:tcPr>
                  <w:tcW w:w="61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14.40 </w:t>
                  </w:r>
                </w:p>
              </w:tc>
              <w:tc>
                <w:tcPr>
                  <w:tcW w:w="72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100.0%</w:t>
                  </w:r>
                </w:p>
              </w:tc>
            </w:tr>
          </w:tbl>
          <w:p>
            <w:pPr>
              <w:rPr>
                <w:b/>
                <w:bCs/>
                <w:color w:val="auto"/>
                <w:kern w:val="0"/>
                <w:sz w:val="21"/>
                <w:szCs w:val="21"/>
                <w:lang w:bidi="ar"/>
              </w:rPr>
            </w:pPr>
          </w:p>
          <w:p>
            <w:pPr>
              <w:rPr>
                <w:color w:val="FF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13" w:type="dxa"/>
            <w:left w:w="108" w:type="dxa"/>
            <w:bottom w:w="113" w:type="dxa"/>
            <w:right w:w="108" w:type="dxa"/>
          </w:tblCellMar>
        </w:tblPrEx>
        <w:trPr>
          <w:trHeight w:val="13208" w:hRule="atLeast"/>
          <w:jc w:val="center"/>
        </w:trPr>
        <w:tc>
          <w:tcPr>
            <w:tcW w:w="583" w:type="dxa"/>
            <w:vAlign w:val="center"/>
          </w:tcPr>
          <w:p>
            <w:pPr>
              <w:pStyle w:val="7"/>
              <w:adjustRightInd w:val="0"/>
              <w:snapToGrid w:val="0"/>
              <w:ind w:left="0" w:leftChars="0"/>
              <w:jc w:val="center"/>
              <w:rPr>
                <w:b/>
                <w:bCs/>
                <w:color w:val="FF0000"/>
              </w:rPr>
            </w:pPr>
            <w:r>
              <w:rPr>
                <w:b/>
                <w:bCs/>
                <w:color w:val="000000" w:themeColor="text1"/>
                <w14:textFill>
                  <w14:solidFill>
                    <w14:schemeClr w14:val="tx1"/>
                  </w14:solidFill>
                </w14:textFill>
              </w:rPr>
              <w:t>工艺流程和产排污环节</w:t>
            </w:r>
          </w:p>
        </w:tc>
        <w:tc>
          <w:tcPr>
            <w:tcW w:w="8365" w:type="dxa"/>
          </w:tcPr>
          <w:p>
            <w:pPr>
              <w:numPr>
                <w:ilvl w:val="0"/>
                <w:numId w:val="7"/>
              </w:numPr>
              <w:adjustRightInd w:val="0"/>
              <w:snapToGrid w:val="0"/>
              <w:spacing w:line="360" w:lineRule="auto"/>
              <w:ind w:firstLine="481" w:firstLineChars="200"/>
              <w:rPr>
                <w:b/>
                <w:bCs/>
                <w:snapToGrid w:val="0"/>
                <w:color w:val="000000" w:themeColor="text1"/>
                <w:kern w:val="0"/>
                <w:sz w:val="24"/>
                <w14:textFill>
                  <w14:solidFill>
                    <w14:schemeClr w14:val="tx1"/>
                  </w14:solidFill>
                </w14:textFill>
              </w:rPr>
            </w:pPr>
            <w:r>
              <w:rPr>
                <w:b/>
                <w:bCs/>
                <w:snapToGrid w:val="0"/>
                <w:color w:val="000000" w:themeColor="text1"/>
                <w:kern w:val="0"/>
                <w:sz w:val="24"/>
                <w14:textFill>
                  <w14:solidFill>
                    <w14:schemeClr w14:val="tx1"/>
                  </w14:solidFill>
                </w14:textFill>
              </w:rPr>
              <w:t>施工期工艺流程及产污环节</w:t>
            </w:r>
          </w:p>
          <w:p>
            <w:pPr>
              <w:numPr>
                <w:ilvl w:val="0"/>
                <w:numId w:val="8"/>
              </w:numPr>
              <w:tabs>
                <w:tab w:val="left" w:pos="2430"/>
              </w:tabs>
              <w:adjustRightInd w:val="0"/>
              <w:snapToGrid w:val="0"/>
              <w:spacing w:line="360" w:lineRule="auto"/>
              <w:ind w:firstLine="481" w:firstLineChars="200"/>
              <w:rPr>
                <w:b/>
                <w:bCs/>
                <w:snapToGrid w:val="0"/>
                <w:color w:val="000000" w:themeColor="text1"/>
                <w:kern w:val="0"/>
                <w:sz w:val="24"/>
                <w14:textFill>
                  <w14:solidFill>
                    <w14:schemeClr w14:val="tx1"/>
                  </w14:solidFill>
                </w14:textFill>
              </w:rPr>
            </w:pPr>
            <w:r>
              <w:rPr>
                <w:b/>
                <w:bCs/>
                <w:color w:val="000000" w:themeColor="text1"/>
                <w:sz w:val="24"/>
                <w14:textFill>
                  <w14:solidFill>
                    <w14:schemeClr w14:val="tx1"/>
                  </w14:solidFill>
                </w14:textFill>
              </w:rPr>
              <w:t>施工工艺流程</w:t>
            </w:r>
          </w:p>
          <w:p>
            <w:pPr>
              <w:widowControl/>
              <w:adjustRightInd w:val="0"/>
              <w:snapToGrid w:val="0"/>
              <w:spacing w:line="360" w:lineRule="auto"/>
              <w:ind w:firstLine="480" w:firstLineChars="200"/>
              <w:jc w:val="left"/>
              <w:rPr>
                <w:color w:val="auto"/>
                <w:kern w:val="0"/>
                <w:sz w:val="24"/>
                <w:lang w:bidi="ar"/>
              </w:rPr>
            </w:pPr>
            <w:r>
              <w:rPr>
                <w:color w:val="000000" w:themeColor="text1"/>
                <w:sz w:val="24"/>
                <w14:textFill>
                  <w14:solidFill>
                    <w14:schemeClr w14:val="tx1"/>
                  </w14:solidFill>
                </w14:textFill>
              </w:rPr>
              <w:t>本项目施工期</w:t>
            </w:r>
            <w:r>
              <w:rPr>
                <w:color w:val="000000" w:themeColor="text1"/>
                <w:kern w:val="0"/>
                <w:sz w:val="24"/>
                <w:lang w:bidi="ar"/>
                <w14:textFill>
                  <w14:solidFill>
                    <w14:schemeClr w14:val="tx1"/>
                  </w14:solidFill>
                </w14:textFill>
              </w:rPr>
              <w:t>工程量小</w:t>
            </w:r>
            <w:r>
              <w:rPr>
                <w:rFonts w:hint="eastAsia"/>
                <w:color w:val="000000" w:themeColor="text1"/>
                <w:kern w:val="0"/>
                <w:sz w:val="24"/>
                <w:lang w:eastAsia="zh-CN" w:bidi="ar"/>
                <w14:textFill>
                  <w14:solidFill>
                    <w14:schemeClr w14:val="tx1"/>
                  </w14:solidFill>
                </w14:textFill>
              </w:rPr>
              <w:t>，</w:t>
            </w:r>
            <w:r>
              <w:rPr>
                <w:rFonts w:hint="eastAsia"/>
                <w:color w:val="000000" w:themeColor="text1"/>
                <w:kern w:val="0"/>
                <w:sz w:val="24"/>
                <w:lang w:bidi="ar"/>
                <w14:textFill>
                  <w14:solidFill>
                    <w14:schemeClr w14:val="tx1"/>
                  </w14:solidFill>
                </w14:textFill>
              </w:rPr>
              <w:t>工期</w:t>
            </w:r>
            <w:r>
              <w:rPr>
                <w:rFonts w:hint="eastAsia"/>
                <w:color w:val="000000" w:themeColor="text1"/>
                <w:kern w:val="0"/>
                <w:sz w:val="24"/>
                <w:lang w:val="en-US" w:eastAsia="zh-CN" w:bidi="ar"/>
                <w14:textFill>
                  <w14:solidFill>
                    <w14:schemeClr w14:val="tx1"/>
                  </w14:solidFill>
                </w14:textFill>
              </w:rPr>
              <w:t>28</w:t>
            </w:r>
            <w:r>
              <w:rPr>
                <w:rFonts w:hint="eastAsia"/>
                <w:color w:val="000000" w:themeColor="text1"/>
                <w:kern w:val="0"/>
                <w:sz w:val="24"/>
                <w:lang w:bidi="ar"/>
                <w14:textFill>
                  <w14:solidFill>
                    <w14:schemeClr w14:val="tx1"/>
                  </w14:solidFill>
                </w14:textFill>
              </w:rPr>
              <w:t>天</w:t>
            </w:r>
            <w:r>
              <w:rPr>
                <w:color w:val="000000" w:themeColor="text1"/>
                <w:kern w:val="0"/>
                <w:sz w:val="24"/>
                <w:lang w:bidi="ar"/>
                <w14:textFill>
                  <w14:solidFill>
                    <w14:schemeClr w14:val="tx1"/>
                  </w14:solidFill>
                </w14:textFill>
              </w:rPr>
              <w:t>，</w:t>
            </w:r>
            <w:r>
              <w:rPr>
                <w:color w:val="000000" w:themeColor="text1"/>
                <w:sz w:val="24"/>
                <w14:textFill>
                  <w14:solidFill>
                    <w14:schemeClr w14:val="tx1"/>
                  </w14:solidFill>
                </w14:textFill>
              </w:rPr>
              <w:t>主要施工作业内容为场地平整、</w:t>
            </w:r>
            <w:r>
              <w:rPr>
                <w:rFonts w:hint="eastAsia"/>
                <w:color w:val="000000" w:themeColor="text1"/>
                <w:sz w:val="24"/>
                <w:lang w:val="en-US" w:eastAsia="zh-CN"/>
                <w14:textFill>
                  <w14:solidFill>
                    <w14:schemeClr w14:val="tx1"/>
                  </w14:solidFill>
                </w14:textFill>
              </w:rPr>
              <w:t>拌合</w:t>
            </w:r>
            <w:r>
              <w:rPr>
                <w:color w:val="000000" w:themeColor="text1"/>
                <w:sz w:val="24"/>
                <w14:textFill>
                  <w14:solidFill>
                    <w14:schemeClr w14:val="tx1"/>
                  </w14:solidFill>
                </w14:textFill>
              </w:rPr>
              <w:t>站安装、公辅工程和环保工程配套及铺设石子路面等。施工过程中将</w:t>
            </w:r>
            <w:r>
              <w:rPr>
                <w:color w:val="000000" w:themeColor="text1"/>
                <w:kern w:val="0"/>
                <w:sz w:val="24"/>
                <w:lang w:bidi="ar"/>
                <w14:textFill>
                  <w14:solidFill>
                    <w14:schemeClr w14:val="tx1"/>
                  </w14:solidFill>
                </w14:textFill>
              </w:rPr>
              <w:t>产生少量的废气、废水、噪声、固体废物等污染物。施工期工艺流程及产</w:t>
            </w:r>
            <w:r>
              <w:rPr>
                <w:color w:val="auto"/>
                <w:kern w:val="0"/>
                <w:sz w:val="24"/>
                <w:lang w:bidi="ar"/>
              </w:rPr>
              <w:t>污情况见图2-</w:t>
            </w:r>
            <w:r>
              <w:rPr>
                <w:rFonts w:hint="eastAsia"/>
                <w:color w:val="auto"/>
                <w:kern w:val="0"/>
                <w:sz w:val="24"/>
                <w:lang w:val="en-US" w:eastAsia="zh-CN" w:bidi="ar"/>
              </w:rPr>
              <w:t>5</w:t>
            </w:r>
            <w:r>
              <w:rPr>
                <w:color w:val="auto"/>
                <w:kern w:val="0"/>
                <w:sz w:val="24"/>
                <w:lang w:bidi="ar"/>
              </w:rPr>
              <w:t>：</w:t>
            </w:r>
          </w:p>
          <w:p>
            <w:pPr>
              <w:pStyle w:val="6"/>
              <w:adjustRightInd w:val="0"/>
              <w:snapToGrid w:val="0"/>
              <w:spacing w:after="0" w:line="360" w:lineRule="auto"/>
              <w:ind w:left="0" w:leftChars="0" w:firstLine="0" w:firstLineChars="0"/>
              <w:jc w:val="center"/>
              <w:rPr>
                <w:color w:val="FF0000"/>
              </w:rPr>
            </w:pPr>
            <w:r>
              <w:rPr>
                <w:color w:val="FF0000"/>
              </w:rPr>
              <w:object>
                <v:shape id="_x0000_i1026" o:spt="75" type="#_x0000_t75" style="height:268.9pt;width:364.2pt;" o:ole="t" filled="f" o:preferrelative="t" stroked="f" coordsize="21600,21600">
                  <v:path/>
                  <v:fill on="f" focussize="0,0"/>
                  <v:stroke on="f"/>
                  <v:imagedata r:id="rId16" o:title=""/>
                  <o:lock v:ext="edit" aspectratio="f"/>
                  <w10:wrap type="none"/>
                  <w10:anchorlock/>
                </v:shape>
                <o:OLEObject Type="Embed" ProgID="Visio.Drawing.15" ShapeID="_x0000_i1026" DrawAspect="Content" ObjectID="_1468075726" r:id="rId15">
                  <o:LockedField>false</o:LockedField>
                </o:OLEObject>
              </w:object>
            </w:r>
          </w:p>
          <w:p>
            <w:pPr>
              <w:pStyle w:val="6"/>
              <w:adjustRightInd w:val="0"/>
              <w:snapToGrid w:val="0"/>
              <w:spacing w:after="0" w:line="360" w:lineRule="auto"/>
              <w:ind w:left="0" w:leftChars="0" w:firstLine="0" w:firstLineChars="0"/>
              <w:jc w:val="center"/>
              <w:rPr>
                <w:b/>
                <w:bCs/>
                <w:color w:val="000000" w:themeColor="text1"/>
                <w:sz w:val="21"/>
                <w:szCs w:val="21"/>
                <w14:textFill>
                  <w14:solidFill>
                    <w14:schemeClr w14:val="tx1"/>
                  </w14:solidFill>
                </w14:textFill>
              </w:rPr>
            </w:pPr>
            <w:r>
              <w:rPr>
                <w:b/>
                <w:bCs/>
                <w:color w:val="auto"/>
                <w:sz w:val="21"/>
                <w:szCs w:val="21"/>
              </w:rPr>
              <w:t>图2-</w:t>
            </w:r>
            <w:r>
              <w:rPr>
                <w:rFonts w:hint="eastAsia"/>
                <w:b/>
                <w:bCs/>
                <w:color w:val="auto"/>
                <w:sz w:val="21"/>
                <w:szCs w:val="21"/>
                <w:lang w:val="en-US" w:eastAsia="zh-CN"/>
              </w:rPr>
              <w:t>5</w:t>
            </w:r>
            <w:r>
              <w:rPr>
                <w:b/>
                <w:bCs/>
                <w:color w:val="auto"/>
                <w:sz w:val="21"/>
                <w:szCs w:val="21"/>
              </w:rPr>
              <w:t xml:space="preserve">  工艺</w:t>
            </w:r>
            <w:r>
              <w:rPr>
                <w:b/>
                <w:bCs/>
                <w:color w:val="000000" w:themeColor="text1"/>
                <w:sz w:val="21"/>
                <w:szCs w:val="21"/>
                <w14:textFill>
                  <w14:solidFill>
                    <w14:schemeClr w14:val="tx1"/>
                  </w14:solidFill>
                </w14:textFill>
              </w:rPr>
              <w:t>流程及产污环节示意图</w:t>
            </w:r>
          </w:p>
          <w:p>
            <w:pPr>
              <w:adjustRightInd w:val="0"/>
              <w:snapToGrid w:val="0"/>
              <w:spacing w:line="360" w:lineRule="auto"/>
              <w:ind w:firstLine="481"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（2）施工期主要污染源分析</w:t>
            </w:r>
          </w:p>
          <w:p>
            <w:pPr>
              <w:pStyle w:val="16"/>
              <w:adjustRightInd w:val="0"/>
              <w:spacing w:line="360" w:lineRule="auto"/>
              <w:ind w:firstLine="480" w:firstLineChars="200"/>
              <w:jc w:val="both"/>
              <w:rPr>
                <w:color w:val="000000" w:themeColor="text1"/>
                <w:sz w:val="24"/>
                <w:szCs w:val="24"/>
                <w:lang w:bidi="ar"/>
                <w14:textFill>
                  <w14:solidFill>
                    <w14:schemeClr w14:val="tx1"/>
                  </w14:solidFill>
                </w14:textFill>
              </w:rPr>
            </w:pPr>
            <w:r>
              <w:rPr>
                <w:color w:val="000000" w:themeColor="text1"/>
                <w:sz w:val="24"/>
                <w:szCs w:val="24"/>
                <w14:textFill>
                  <w14:solidFill>
                    <w14:schemeClr w14:val="tx1"/>
                  </w14:solidFill>
                </w14:textFill>
              </w:rPr>
              <w:t>①废气：</w:t>
            </w:r>
            <w:r>
              <w:rPr>
                <w:color w:val="000000" w:themeColor="text1"/>
                <w:sz w:val="24"/>
                <w:szCs w:val="24"/>
                <w:lang w:bidi="ar"/>
                <w14:textFill>
                  <w14:solidFill>
                    <w14:schemeClr w14:val="tx1"/>
                  </w14:solidFill>
                </w14:textFill>
              </w:rPr>
              <w:t>主要为裸露场地的风力烟尘</w:t>
            </w:r>
            <w:r>
              <w:rPr>
                <w:rFonts w:hint="eastAsia"/>
                <w:color w:val="000000" w:themeColor="text1"/>
                <w:sz w:val="24"/>
                <w:szCs w:val="24"/>
                <w:lang w:eastAsia="zh-CN" w:bidi="ar"/>
                <w14:textFill>
                  <w14:solidFill>
                    <w14:schemeClr w14:val="tx1"/>
                  </w14:solidFill>
                </w14:textFill>
              </w:rPr>
              <w:t>、</w:t>
            </w:r>
            <w:r>
              <w:rPr>
                <w:color w:val="000000" w:themeColor="text1"/>
                <w:sz w:val="24"/>
                <w:szCs w:val="24"/>
                <w:lang w:bidi="ar"/>
                <w14:textFill>
                  <w14:solidFill>
                    <w14:schemeClr w14:val="tx1"/>
                  </w14:solidFill>
                </w14:textFill>
              </w:rPr>
              <w:t>施工中运输车辆产生的扬尘</w:t>
            </w:r>
            <w:r>
              <w:rPr>
                <w:rFonts w:hint="eastAsia"/>
                <w:color w:val="000000" w:themeColor="text1"/>
                <w:sz w:val="24"/>
                <w:szCs w:val="24"/>
                <w:lang w:eastAsia="zh-CN" w:bidi="ar"/>
                <w14:textFill>
                  <w14:solidFill>
                    <w14:schemeClr w14:val="tx1"/>
                  </w14:solidFill>
                </w14:textFill>
              </w:rPr>
              <w:t>、</w:t>
            </w:r>
            <w:r>
              <w:rPr>
                <w:color w:val="000000" w:themeColor="text1"/>
                <w:sz w:val="24"/>
                <w:szCs w:val="24"/>
                <w:lang w:bidi="ar"/>
                <w14:textFill>
                  <w14:solidFill>
                    <w14:schemeClr w14:val="tx1"/>
                  </w14:solidFill>
                </w14:textFill>
              </w:rPr>
              <w:t>运输车辆、施工机械及动力设备排出的尾气</w:t>
            </w:r>
            <w:r>
              <w:rPr>
                <w:rFonts w:hint="eastAsia"/>
                <w:color w:val="000000" w:themeColor="text1"/>
                <w:sz w:val="24"/>
                <w:szCs w:val="24"/>
                <w:lang w:eastAsia="zh-CN" w:bidi="ar"/>
                <w14:textFill>
                  <w14:solidFill>
                    <w14:schemeClr w14:val="tx1"/>
                  </w14:solidFill>
                </w14:textFill>
              </w:rPr>
              <w:t>、</w:t>
            </w:r>
            <w:r>
              <w:rPr>
                <w:color w:val="000000" w:themeColor="text1"/>
                <w:sz w:val="24"/>
                <w:szCs w:val="24"/>
                <w:lang w:bidi="ar"/>
                <w14:textFill>
                  <w14:solidFill>
                    <w14:schemeClr w14:val="tx1"/>
                  </w14:solidFill>
                </w14:textFill>
              </w:rPr>
              <w:t>施工机械在作业带上行驶以及施工便道建筑等引起的扬尘。主要污染因子为TSP、HC、NO</w:t>
            </w:r>
            <w:r>
              <w:rPr>
                <w:color w:val="000000" w:themeColor="text1"/>
                <w:sz w:val="24"/>
                <w:szCs w:val="24"/>
                <w:vertAlign w:val="subscript"/>
                <w:lang w:bidi="ar"/>
                <w14:textFill>
                  <w14:solidFill>
                    <w14:schemeClr w14:val="tx1"/>
                  </w14:solidFill>
                </w14:textFill>
              </w:rPr>
              <w:t>X</w:t>
            </w:r>
            <w:r>
              <w:rPr>
                <w:color w:val="000000" w:themeColor="text1"/>
                <w:sz w:val="24"/>
                <w:szCs w:val="24"/>
                <w:lang w:bidi="ar"/>
                <w14:textFill>
                  <w14:solidFill>
                    <w14:schemeClr w14:val="tx1"/>
                  </w14:solidFill>
                </w14:textFill>
              </w:rPr>
              <w:t>、CO等。</w:t>
            </w:r>
          </w:p>
          <w:p>
            <w:pPr>
              <w:pStyle w:val="16"/>
              <w:adjustRightInd w:val="0"/>
              <w:spacing w:line="360" w:lineRule="auto"/>
              <w:ind w:firstLine="480" w:firstLineChars="200"/>
              <w:jc w:val="both"/>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②废水：</w:t>
            </w:r>
            <w:r>
              <w:rPr>
                <w:color w:val="000000" w:themeColor="text1"/>
                <w:sz w:val="24"/>
                <w:szCs w:val="24"/>
                <w:lang w:bidi="ar"/>
                <w14:textFill>
                  <w14:solidFill>
                    <w14:schemeClr w14:val="tx1"/>
                  </w14:solidFill>
                </w14:textFill>
              </w:rPr>
              <w:t>主要来源于施工人员生活污水及施工废水。废水中主要污染因子为COD、BOD</w:t>
            </w:r>
            <w:r>
              <w:rPr>
                <w:color w:val="000000" w:themeColor="text1"/>
                <w:sz w:val="24"/>
                <w:szCs w:val="24"/>
                <w:vertAlign w:val="subscript"/>
                <w:lang w:bidi="ar"/>
                <w14:textFill>
                  <w14:solidFill>
                    <w14:schemeClr w14:val="tx1"/>
                  </w14:solidFill>
                </w14:textFill>
              </w:rPr>
              <w:t>5</w:t>
            </w:r>
            <w:r>
              <w:rPr>
                <w:color w:val="000000" w:themeColor="text1"/>
                <w:sz w:val="24"/>
                <w:szCs w:val="24"/>
                <w:lang w:bidi="ar"/>
                <w14:textFill>
                  <w14:solidFill>
                    <w14:schemeClr w14:val="tx1"/>
                  </w14:solidFill>
                </w14:textFill>
              </w:rPr>
              <w:t>、SS、氨氮、总磷、总氮、石油类等。</w:t>
            </w:r>
          </w:p>
          <w:p>
            <w:pPr>
              <w:pStyle w:val="16"/>
              <w:adjustRightInd w:val="0"/>
              <w:spacing w:line="360" w:lineRule="auto"/>
              <w:ind w:firstLine="480" w:firstLineChars="200"/>
              <w:jc w:val="both"/>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③噪声：</w:t>
            </w:r>
            <w:r>
              <w:rPr>
                <w:color w:val="000000" w:themeColor="text1"/>
                <w:sz w:val="24"/>
                <w:szCs w:val="24"/>
                <w:lang w:bidi="ar"/>
                <w14:textFill>
                  <w14:solidFill>
                    <w14:schemeClr w14:val="tx1"/>
                  </w14:solidFill>
                </w14:textFill>
              </w:rPr>
              <w:t>施工期噪声主要来自各类施工机械及运输车辆，为非稳态噪声，持续时间短。</w:t>
            </w:r>
          </w:p>
          <w:p>
            <w:pPr>
              <w:pStyle w:val="16"/>
              <w:adjustRightInd w:val="0"/>
              <w:spacing w:line="360" w:lineRule="auto"/>
              <w:ind w:firstLine="480" w:firstLineChars="200"/>
              <w:rPr>
                <w:color w:val="000000" w:themeColor="text1"/>
                <w:sz w:val="24"/>
                <w:szCs w:val="24"/>
                <w:lang w:bidi="ar"/>
                <w14:textFill>
                  <w14:solidFill>
                    <w14:schemeClr w14:val="tx1"/>
                  </w14:solidFill>
                </w14:textFill>
              </w:rPr>
            </w:pPr>
            <w:r>
              <w:rPr>
                <w:color w:val="000000" w:themeColor="text1"/>
                <w:sz w:val="24"/>
                <w:szCs w:val="24"/>
                <w14:textFill>
                  <w14:solidFill>
                    <w14:schemeClr w14:val="tx1"/>
                  </w14:solidFill>
                </w14:textFill>
              </w:rPr>
              <w:t>④固体废物：</w:t>
            </w:r>
            <w:r>
              <w:rPr>
                <w:color w:val="000000" w:themeColor="text1"/>
                <w:sz w:val="24"/>
                <w:szCs w:val="24"/>
                <w:lang w:bidi="ar"/>
                <w14:textFill>
                  <w14:solidFill>
                    <w14:schemeClr w14:val="tx1"/>
                  </w14:solidFill>
                </w14:textFill>
              </w:rPr>
              <w:t>施工期产生的固体废物主要有三类，一是开挖剥离的土石方，二是施工过程产生的建筑垃圾，三是施工人员的生活垃圾。建筑垃圾包括基地开挖时产生的废弃土方、混凝土浇筑过程中的漏浆、建材废包装、建材的废边角料等</w:t>
            </w:r>
            <w:r>
              <w:rPr>
                <w:rFonts w:hint="eastAsia"/>
                <w:color w:val="000000" w:themeColor="text1"/>
                <w:sz w:val="24"/>
                <w:szCs w:val="24"/>
                <w:lang w:bidi="ar"/>
                <w14:textFill>
                  <w14:solidFill>
                    <w14:schemeClr w14:val="tx1"/>
                  </w14:solidFill>
                </w14:textFill>
              </w:rPr>
              <w:t>，运至政府指定地点处置；施工现场</w:t>
            </w:r>
            <w:r>
              <w:rPr>
                <w:color w:val="000000" w:themeColor="text1"/>
                <w:sz w:val="24"/>
                <w:szCs w:val="24"/>
                <w:lang w:bidi="ar"/>
                <w14:textFill>
                  <w14:solidFill>
                    <w14:schemeClr w14:val="tx1"/>
                  </w14:solidFill>
                </w14:textFill>
              </w:rPr>
              <w:t>设</w:t>
            </w:r>
            <w:r>
              <w:rPr>
                <w:color w:val="auto"/>
                <w:sz w:val="24"/>
                <w:szCs w:val="24"/>
                <w:lang w:bidi="ar"/>
              </w:rPr>
              <w:t>置2个垃圾</w:t>
            </w:r>
            <w:r>
              <w:rPr>
                <w:color w:val="000000" w:themeColor="text1"/>
                <w:sz w:val="24"/>
                <w:szCs w:val="24"/>
                <w:lang w:bidi="ar"/>
                <w14:textFill>
                  <w14:solidFill>
                    <w14:schemeClr w14:val="tx1"/>
                  </w14:solidFill>
                </w14:textFill>
              </w:rPr>
              <w:t>桶收集生活垃圾，运至附近的垃圾转运点处理。</w:t>
            </w:r>
          </w:p>
          <w:p>
            <w:pPr>
              <w:adjustRightInd w:val="0"/>
              <w:snapToGrid w:val="0"/>
              <w:spacing w:line="360" w:lineRule="auto"/>
              <w:ind w:firstLine="481" w:firstLineChars="200"/>
              <w:rPr>
                <w:b/>
                <w:bCs/>
                <w:snapToGrid w:val="0"/>
                <w:color w:val="auto"/>
                <w:kern w:val="0"/>
                <w:sz w:val="24"/>
              </w:rPr>
            </w:pPr>
            <w:r>
              <w:rPr>
                <w:b/>
                <w:bCs/>
                <w:snapToGrid w:val="0"/>
                <w:color w:val="auto"/>
                <w:kern w:val="0"/>
                <w:sz w:val="24"/>
              </w:rPr>
              <w:t>2、运营期工艺流程及产污环节</w:t>
            </w:r>
          </w:p>
          <w:p>
            <w:pPr>
              <w:widowControl/>
              <w:adjustRightInd w:val="0"/>
              <w:snapToGrid w:val="0"/>
              <w:spacing w:line="360" w:lineRule="auto"/>
              <w:ind w:firstLine="480" w:firstLineChars="200"/>
              <w:rPr>
                <w:color w:val="auto"/>
                <w:sz w:val="24"/>
              </w:rPr>
            </w:pPr>
            <w:r>
              <w:rPr>
                <w:color w:val="auto"/>
                <w:sz w:val="24"/>
              </w:rPr>
              <w:t>本项目运营周期内采用水泥</w:t>
            </w:r>
            <w:r>
              <w:rPr>
                <w:rFonts w:hint="eastAsia"/>
                <w:color w:val="auto"/>
                <w:sz w:val="24"/>
              </w:rPr>
              <w:t>、</w:t>
            </w:r>
            <w:r>
              <w:rPr>
                <w:color w:val="auto"/>
                <w:sz w:val="24"/>
              </w:rPr>
              <w:t>水洗砂及不同规格的碎石等为原料，在搅拌机内混合搅拌制成混凝土，共计</w:t>
            </w:r>
            <w:r>
              <w:rPr>
                <w:rFonts w:hint="eastAsia"/>
                <w:color w:val="auto"/>
                <w:sz w:val="24"/>
                <w:lang w:val="en-US" w:eastAsia="zh-CN"/>
              </w:rPr>
              <w:t>3.9436</w:t>
            </w:r>
            <w:r>
              <w:rPr>
                <w:color w:val="auto"/>
                <w:sz w:val="24"/>
              </w:rPr>
              <w:t>万m</w:t>
            </w:r>
            <w:r>
              <w:rPr>
                <w:color w:val="auto"/>
                <w:sz w:val="24"/>
                <w:vertAlign w:val="superscript"/>
              </w:rPr>
              <w:t>3</w:t>
            </w:r>
            <w:r>
              <w:rPr>
                <w:color w:val="auto"/>
                <w:sz w:val="24"/>
              </w:rPr>
              <w:t>。混凝土生产工艺流程及产污环节见图2-</w:t>
            </w:r>
            <w:r>
              <w:rPr>
                <w:rFonts w:hint="eastAsia"/>
                <w:color w:val="auto"/>
                <w:sz w:val="24"/>
                <w:lang w:val="en-US" w:eastAsia="zh-CN"/>
              </w:rPr>
              <w:t>6</w:t>
            </w:r>
            <w:r>
              <w:rPr>
                <w:color w:val="auto"/>
                <w:sz w:val="24"/>
              </w:rPr>
              <w:t>。</w:t>
            </w:r>
          </w:p>
          <w:p>
            <w:pPr>
              <w:pStyle w:val="6"/>
              <w:numPr>
                <w:ilvl w:val="0"/>
                <w:numId w:val="9"/>
              </w:numPr>
              <w:adjustRightInd w:val="0"/>
              <w:snapToGrid w:val="0"/>
              <w:spacing w:after="0" w:line="360" w:lineRule="auto"/>
              <w:ind w:left="0" w:leftChars="0" w:firstLine="482"/>
              <w:rPr>
                <w:b/>
                <w:bCs/>
                <w:color w:val="auto"/>
                <w:kern w:val="2"/>
                <w:szCs w:val="24"/>
              </w:rPr>
            </w:pPr>
            <w:r>
              <w:rPr>
                <w:b/>
                <w:bCs/>
                <w:color w:val="auto"/>
                <w:kern w:val="2"/>
                <w:szCs w:val="24"/>
              </w:rPr>
              <w:t>混凝土生产工艺流程简述：</w:t>
            </w:r>
          </w:p>
          <w:p>
            <w:pPr>
              <w:pStyle w:val="6"/>
              <w:adjustRightInd w:val="0"/>
              <w:snapToGrid w:val="0"/>
              <w:spacing w:after="0" w:line="360" w:lineRule="auto"/>
              <w:ind w:left="0" w:leftChars="0" w:firstLine="480"/>
              <w:rPr>
                <w:color w:val="auto"/>
                <w:szCs w:val="24"/>
                <w:lang w:bidi="ar"/>
              </w:rPr>
            </w:pPr>
            <w:r>
              <w:rPr>
                <w:color w:val="auto"/>
                <w:szCs w:val="24"/>
              </w:rPr>
              <w:t>①原料堆存：</w:t>
            </w:r>
            <w:r>
              <w:rPr>
                <w:color w:val="auto"/>
                <w:szCs w:val="24"/>
                <w:lang w:bidi="ar"/>
              </w:rPr>
              <w:t>外购原料，运输进厂后分区储存。其中，碎石和水洗砂由苫布覆盖堆存于封闭式的原料仓内；水泥存储在</w:t>
            </w:r>
            <w:r>
              <w:rPr>
                <w:rFonts w:hint="eastAsia"/>
                <w:color w:val="auto"/>
                <w:szCs w:val="24"/>
                <w:lang w:val="en-US" w:eastAsia="zh-CN" w:bidi="ar"/>
              </w:rPr>
              <w:t>密闭筒仓内</w:t>
            </w:r>
            <w:r>
              <w:rPr>
                <w:rFonts w:hint="eastAsia"/>
                <w:color w:val="auto"/>
                <w:szCs w:val="24"/>
                <w:lang w:eastAsia="zh-CN" w:bidi="ar"/>
              </w:rPr>
              <w:t>。</w:t>
            </w:r>
            <w:r>
              <w:rPr>
                <w:color w:val="auto"/>
                <w:szCs w:val="24"/>
                <w:lang w:bidi="ar"/>
              </w:rPr>
              <w:t>碎石和水洗砂</w:t>
            </w:r>
            <w:r>
              <w:rPr>
                <w:rFonts w:hint="eastAsia"/>
                <w:color w:val="auto"/>
                <w:szCs w:val="24"/>
                <w:lang w:val="en-US" w:eastAsia="zh-CN" w:bidi="ar"/>
              </w:rPr>
              <w:t>运输卸车、</w:t>
            </w:r>
            <w:r>
              <w:rPr>
                <w:color w:val="auto"/>
                <w:szCs w:val="24"/>
              </w:rPr>
              <w:t>堆存过程有粉尘产生。</w:t>
            </w:r>
          </w:p>
          <w:p>
            <w:pPr>
              <w:pStyle w:val="6"/>
              <w:adjustRightInd w:val="0"/>
              <w:snapToGrid w:val="0"/>
              <w:spacing w:after="0" w:line="360" w:lineRule="auto"/>
              <w:ind w:left="0" w:leftChars="0" w:firstLine="480"/>
              <w:rPr>
                <w:color w:val="auto"/>
                <w:szCs w:val="24"/>
              </w:rPr>
            </w:pPr>
            <w:r>
              <w:rPr>
                <w:color w:val="auto"/>
                <w:szCs w:val="24"/>
                <w:lang w:bidi="ar"/>
              </w:rPr>
              <w:t>②骨料计量输送系统</w:t>
            </w:r>
            <w:r>
              <w:rPr>
                <w:color w:val="auto"/>
                <w:szCs w:val="24"/>
              </w:rPr>
              <w:t>：不同规格的石料和水洗砂由铲车送至配料机储料仓内，骨料通过自动控制的气缸卸入称量斗中称量，由密闭皮带机输送至骨料中间仓。石料和水洗砂由铲车上料时产生粉尘和噪声。</w:t>
            </w:r>
          </w:p>
          <w:p>
            <w:pPr>
              <w:pStyle w:val="6"/>
              <w:adjustRightInd w:val="0"/>
              <w:snapToGrid w:val="0"/>
              <w:spacing w:after="0" w:line="360" w:lineRule="auto"/>
              <w:ind w:left="0" w:leftChars="0" w:firstLine="480"/>
              <w:rPr>
                <w:color w:val="auto"/>
                <w:kern w:val="2"/>
                <w:szCs w:val="24"/>
              </w:rPr>
            </w:pPr>
            <w:r>
              <w:rPr>
                <w:color w:val="auto"/>
                <w:szCs w:val="24"/>
              </w:rPr>
              <w:t>③粉料供给计量系统：水泥由螺旋输送机送</w:t>
            </w:r>
            <w:r>
              <w:rPr>
                <w:color w:val="auto"/>
                <w:kern w:val="2"/>
                <w:szCs w:val="24"/>
              </w:rPr>
              <w:t>至称量斗称量，达到称量要求时停止供料</w:t>
            </w:r>
            <w:r>
              <w:rPr>
                <w:rFonts w:hint="eastAsia"/>
                <w:color w:val="auto"/>
                <w:kern w:val="2"/>
                <w:szCs w:val="24"/>
                <w:lang w:eastAsia="zh-CN"/>
              </w:rPr>
              <w:t>，</w:t>
            </w:r>
            <w:r>
              <w:rPr>
                <w:color w:val="auto"/>
                <w:kern w:val="2"/>
                <w:szCs w:val="24"/>
              </w:rPr>
              <w:t>输送过程伴有噪声。</w:t>
            </w:r>
          </w:p>
          <w:p>
            <w:pPr>
              <w:pStyle w:val="6"/>
              <w:adjustRightInd w:val="0"/>
              <w:snapToGrid w:val="0"/>
              <w:spacing w:after="0" w:line="360" w:lineRule="auto"/>
              <w:ind w:left="0" w:leftChars="0" w:firstLine="480"/>
              <w:rPr>
                <w:color w:val="auto"/>
                <w:szCs w:val="24"/>
              </w:rPr>
            </w:pPr>
            <w:r>
              <w:rPr>
                <w:color w:val="auto"/>
                <w:szCs w:val="24"/>
              </w:rPr>
              <w:t>④</w:t>
            </w:r>
            <w:r>
              <w:rPr>
                <w:color w:val="auto"/>
                <w:kern w:val="2"/>
                <w:szCs w:val="24"/>
              </w:rPr>
              <w:t>液体供给计量系统：水、外加剂分别由泵从</w:t>
            </w:r>
            <w:r>
              <w:rPr>
                <w:rFonts w:hint="eastAsia"/>
                <w:color w:val="auto"/>
                <w:kern w:val="2"/>
                <w:szCs w:val="24"/>
                <w:lang w:eastAsia="zh-CN"/>
              </w:rPr>
              <w:t>储水箱</w:t>
            </w:r>
            <w:r>
              <w:rPr>
                <w:color w:val="auto"/>
                <w:kern w:val="2"/>
                <w:szCs w:val="24"/>
              </w:rPr>
              <w:t>、外加剂罐抽至各自计量斗中配比称量。泵运行过程伴有噪声。</w:t>
            </w:r>
          </w:p>
          <w:p>
            <w:pPr>
              <w:pStyle w:val="6"/>
              <w:adjustRightInd w:val="0"/>
              <w:snapToGrid w:val="0"/>
              <w:spacing w:after="0" w:line="360" w:lineRule="auto"/>
              <w:ind w:left="0" w:leftChars="0" w:firstLine="480"/>
              <w:rPr>
                <w:color w:val="auto"/>
              </w:rPr>
            </w:pPr>
            <w:r>
              <w:rPr>
                <w:color w:val="auto"/>
                <w:szCs w:val="24"/>
              </w:rPr>
              <w:t>⑤搅拌机搅拌：</w:t>
            </w:r>
            <w:r>
              <w:rPr>
                <w:color w:val="auto"/>
                <w:szCs w:val="24"/>
                <w:lang w:bidi="ar"/>
              </w:rPr>
              <w:t>进入搅拌机的石料、水洗砂、水泥、水和外加剂进行充分混合搅拌，搅拌均匀后即为混凝土半成品，检验合格后由罐车在30min内运送至施工场地。混合搅拌过程有粉尘和噪声产生。</w:t>
            </w:r>
          </w:p>
          <w:p>
            <w:pPr>
              <w:pStyle w:val="6"/>
              <w:adjustRightInd w:val="0"/>
              <w:snapToGrid w:val="0"/>
              <w:spacing w:after="0" w:line="360" w:lineRule="auto"/>
              <w:ind w:left="0" w:leftChars="0" w:firstLine="0" w:firstLineChars="0"/>
              <w:jc w:val="center"/>
              <w:rPr>
                <w:b/>
                <w:bCs/>
                <w:color w:val="auto"/>
                <w:kern w:val="2"/>
                <w:sz w:val="21"/>
                <w:szCs w:val="21"/>
              </w:rPr>
            </w:pPr>
            <w:r>
              <w:rPr>
                <w:b/>
                <w:bCs/>
                <w:color w:val="FF0000"/>
                <w:szCs w:val="24"/>
              </w:rPr>
              <w:object>
                <v:shape id="_x0000_i1027" o:spt="75" type="#_x0000_t75" style="height:405.4pt;width:417.95pt;" o:ole="t" filled="f" o:preferrelative="t" stroked="f" coordsize="21600,21600">
                  <v:path/>
                  <v:fill on="f" focussize="0,0"/>
                  <v:stroke on="f"/>
                  <v:imagedata r:id="rId18" o:title=""/>
                  <o:lock v:ext="edit" aspectratio="t"/>
                  <w10:wrap type="none"/>
                  <w10:anchorlock/>
                </v:shape>
                <o:OLEObject Type="Embed" ProgID="Visio.Drawing.15" ShapeID="_x0000_i1027" DrawAspect="Content" ObjectID="_1468075727" r:id="rId17">
                  <o:LockedField>false</o:LockedField>
                </o:OLEObject>
              </w:object>
            </w:r>
            <w:r>
              <w:rPr>
                <w:b/>
                <w:bCs/>
                <w:color w:val="auto"/>
                <w:sz w:val="21"/>
                <w:szCs w:val="21"/>
              </w:rPr>
              <w:t>图2-</w:t>
            </w:r>
            <w:r>
              <w:rPr>
                <w:rFonts w:hint="eastAsia"/>
                <w:b/>
                <w:bCs/>
                <w:color w:val="auto"/>
                <w:sz w:val="21"/>
                <w:szCs w:val="21"/>
                <w:lang w:val="en-US" w:eastAsia="zh-CN"/>
              </w:rPr>
              <w:t>6</w:t>
            </w:r>
            <w:r>
              <w:rPr>
                <w:b/>
                <w:bCs/>
                <w:color w:val="auto"/>
                <w:sz w:val="21"/>
                <w:szCs w:val="21"/>
              </w:rPr>
              <w:t xml:space="preserve">  生产工艺流程及产污环节示意图</w:t>
            </w:r>
          </w:p>
          <w:p>
            <w:pPr>
              <w:adjustRightInd w:val="0"/>
              <w:snapToGrid w:val="0"/>
              <w:spacing w:line="360" w:lineRule="auto"/>
              <w:ind w:left="420" w:leftChars="200"/>
              <w:rPr>
                <w:rFonts w:hint="eastAsia"/>
                <w:b/>
                <w:bCs/>
                <w:color w:val="auto"/>
                <w:sz w:val="24"/>
              </w:rPr>
            </w:pPr>
            <w:r>
              <w:rPr>
                <w:rFonts w:hint="eastAsia"/>
                <w:b/>
                <w:bCs/>
                <w:color w:val="auto"/>
                <w:sz w:val="24"/>
              </w:rPr>
              <w:t>（2）</w:t>
            </w:r>
            <w:r>
              <w:rPr>
                <w:rFonts w:hint="eastAsia"/>
                <w:b/>
                <w:bCs/>
                <w:color w:val="auto"/>
                <w:sz w:val="24"/>
                <w:lang w:val="en-US" w:eastAsia="zh-CN"/>
              </w:rPr>
              <w:t>运营</w:t>
            </w:r>
            <w:r>
              <w:rPr>
                <w:rFonts w:hint="eastAsia"/>
                <w:b/>
                <w:bCs/>
                <w:color w:val="auto"/>
                <w:sz w:val="24"/>
              </w:rPr>
              <w:t>期产污环节汇总</w:t>
            </w:r>
          </w:p>
          <w:p>
            <w:pPr>
              <w:pStyle w:val="6"/>
              <w:adjustRightInd w:val="0"/>
              <w:snapToGrid w:val="0"/>
              <w:spacing w:after="0" w:line="360" w:lineRule="auto"/>
              <w:ind w:left="0" w:leftChars="0" w:firstLine="480"/>
              <w:rPr>
                <w:rFonts w:hint="eastAsia"/>
                <w:color w:val="auto"/>
                <w:szCs w:val="24"/>
                <w:lang w:val="en-US" w:eastAsia="zh-CN"/>
              </w:rPr>
            </w:pPr>
            <w:r>
              <w:rPr>
                <w:rFonts w:hint="eastAsia"/>
                <w:color w:val="auto"/>
                <w:szCs w:val="24"/>
                <w:lang w:val="en-US" w:eastAsia="zh-CN"/>
              </w:rPr>
              <w:t>废水：工作人员生活污水（W1）、搅拌机清洗废水（W2）、车辆冲洗废水（W3）；</w:t>
            </w:r>
          </w:p>
          <w:p>
            <w:pPr>
              <w:pStyle w:val="6"/>
              <w:adjustRightInd w:val="0"/>
              <w:snapToGrid w:val="0"/>
              <w:spacing w:after="0" w:line="360" w:lineRule="auto"/>
              <w:ind w:left="0" w:leftChars="0" w:firstLine="480"/>
              <w:rPr>
                <w:rFonts w:hint="eastAsia"/>
                <w:color w:val="auto"/>
                <w:szCs w:val="24"/>
                <w:lang w:val="en-US" w:eastAsia="zh-CN"/>
              </w:rPr>
            </w:pPr>
            <w:r>
              <w:rPr>
                <w:rFonts w:hint="eastAsia"/>
                <w:color w:val="auto"/>
                <w:szCs w:val="24"/>
                <w:lang w:val="en-US" w:eastAsia="zh-CN"/>
              </w:rPr>
              <w:t>废气：汽车运输过程中产生的汽车尾气和道路扬尘（G6）；</w:t>
            </w:r>
          </w:p>
          <w:p>
            <w:pPr>
              <w:pStyle w:val="6"/>
              <w:adjustRightInd w:val="0"/>
              <w:snapToGrid w:val="0"/>
              <w:spacing w:after="0" w:line="360" w:lineRule="auto"/>
              <w:ind w:left="0" w:leftChars="0" w:firstLine="480"/>
              <w:rPr>
                <w:rFonts w:hint="eastAsia"/>
                <w:color w:val="auto"/>
                <w:szCs w:val="24"/>
                <w:lang w:val="en-US" w:eastAsia="zh-CN"/>
              </w:rPr>
            </w:pPr>
            <w:r>
              <w:rPr>
                <w:rFonts w:hint="eastAsia"/>
                <w:color w:val="auto"/>
                <w:szCs w:val="24"/>
                <w:lang w:val="en-US" w:eastAsia="zh-CN"/>
              </w:rPr>
              <w:t>噪声：混凝土在罐车运输过程中产生的噪声（N）；</w:t>
            </w:r>
          </w:p>
          <w:p>
            <w:pPr>
              <w:pStyle w:val="6"/>
              <w:adjustRightInd w:val="0"/>
              <w:snapToGrid w:val="0"/>
              <w:spacing w:after="0" w:line="360" w:lineRule="auto"/>
              <w:ind w:left="0" w:leftChars="0" w:firstLine="480"/>
              <w:rPr>
                <w:rFonts w:hint="eastAsia"/>
                <w:color w:val="auto"/>
                <w:szCs w:val="24"/>
                <w:lang w:val="en-US" w:eastAsia="zh-CN"/>
              </w:rPr>
            </w:pPr>
            <w:r>
              <w:rPr>
                <w:rFonts w:hint="eastAsia"/>
                <w:color w:val="auto"/>
                <w:szCs w:val="24"/>
                <w:lang w:val="en-US" w:eastAsia="zh-CN"/>
              </w:rPr>
              <w:t>固体废物：筒仓仓顶配套脉冲袋式除尘机收集的粉尘（S1）、搅拌主机配套布袋除尘机收集的粉尘（S2）、废石料（S3）、搅拌残渣（S4）、沉淀池沉渣（S5）、职工产生的生活垃圾（S6）、拌合站拆除后的建筑垃圾（S7）、机械设备维修保养过程产生的废机油、废机油桶、含油抹布及手套等。</w:t>
            </w:r>
          </w:p>
          <w:p>
            <w:pPr>
              <w:adjustRightInd w:val="0"/>
              <w:snapToGrid w:val="0"/>
              <w:spacing w:line="360" w:lineRule="auto"/>
              <w:ind w:left="420" w:leftChars="200"/>
              <w:rPr>
                <w:color w:val="auto"/>
              </w:rPr>
            </w:pPr>
            <w:r>
              <w:rPr>
                <w:rFonts w:hint="eastAsia"/>
                <w:b/>
                <w:bCs/>
                <w:color w:val="auto"/>
                <w:sz w:val="24"/>
              </w:rPr>
              <w:t>（</w:t>
            </w:r>
            <w:r>
              <w:rPr>
                <w:rFonts w:hint="eastAsia"/>
                <w:b/>
                <w:bCs/>
                <w:color w:val="auto"/>
                <w:sz w:val="24"/>
                <w:lang w:val="en-US" w:eastAsia="zh-CN"/>
              </w:rPr>
              <w:t>3</w:t>
            </w:r>
            <w:r>
              <w:rPr>
                <w:rFonts w:hint="eastAsia"/>
                <w:b/>
                <w:bCs/>
                <w:color w:val="auto"/>
                <w:sz w:val="24"/>
              </w:rPr>
              <w:t>）</w:t>
            </w:r>
            <w:r>
              <w:rPr>
                <w:rFonts w:hint="eastAsia"/>
                <w:b/>
                <w:bCs/>
                <w:color w:val="auto"/>
                <w:sz w:val="24"/>
                <w:lang w:val="en-US" w:eastAsia="zh-CN"/>
              </w:rPr>
              <w:t>运营期</w:t>
            </w:r>
            <w:r>
              <w:rPr>
                <w:b/>
                <w:bCs/>
                <w:color w:val="auto"/>
                <w:sz w:val="24"/>
              </w:rPr>
              <w:t>产污环节</w:t>
            </w:r>
            <w:r>
              <w:rPr>
                <w:rFonts w:hint="eastAsia"/>
                <w:b/>
                <w:bCs/>
                <w:color w:val="auto"/>
                <w:sz w:val="24"/>
              </w:rPr>
              <w:t>汇总</w:t>
            </w:r>
          </w:p>
          <w:p>
            <w:pPr>
              <w:pStyle w:val="6"/>
              <w:adjustRightInd w:val="0"/>
              <w:snapToGrid w:val="0"/>
              <w:spacing w:after="0" w:line="360" w:lineRule="auto"/>
              <w:ind w:left="0" w:leftChars="0" w:firstLine="480"/>
              <w:rPr>
                <w:color w:val="auto"/>
              </w:rPr>
            </w:pPr>
            <w:r>
              <w:rPr>
                <w:color w:val="auto"/>
              </w:rPr>
              <w:t>本项目产物环节及污染物排放方式汇总分析见表2-</w:t>
            </w:r>
            <w:r>
              <w:rPr>
                <w:rFonts w:hint="eastAsia"/>
                <w:color w:val="auto"/>
                <w:lang w:val="en-US" w:eastAsia="zh-CN"/>
              </w:rPr>
              <w:t>9</w:t>
            </w:r>
            <w:r>
              <w:rPr>
                <w:color w:val="auto"/>
              </w:rPr>
              <w:t>。</w:t>
            </w:r>
          </w:p>
          <w:p>
            <w:pPr>
              <w:keepNext w:val="0"/>
              <w:keepLines w:val="0"/>
              <w:pageBreakBefore w:val="0"/>
              <w:widowControl w:val="0"/>
              <w:kinsoku/>
              <w:wordWrap/>
              <w:overflowPunct/>
              <w:topLinePunct w:val="0"/>
              <w:autoSpaceDE/>
              <w:autoSpaceDN/>
              <w:bidi w:val="0"/>
              <w:adjustRightInd w:val="0"/>
              <w:snapToGrid w:val="0"/>
              <w:jc w:val="center"/>
              <w:textAlignment w:val="auto"/>
              <w:rPr>
                <w:b/>
                <w:color w:val="auto"/>
                <w:sz w:val="21"/>
                <w:szCs w:val="21"/>
              </w:rPr>
            </w:pPr>
            <w:r>
              <w:rPr>
                <w:b/>
                <w:color w:val="auto"/>
                <w:sz w:val="21"/>
                <w:szCs w:val="21"/>
              </w:rPr>
              <w:t>表2-</w:t>
            </w:r>
            <w:r>
              <w:rPr>
                <w:rFonts w:hint="eastAsia"/>
                <w:b/>
                <w:color w:val="auto"/>
                <w:sz w:val="21"/>
                <w:szCs w:val="21"/>
                <w:lang w:val="en-US" w:eastAsia="zh-CN"/>
              </w:rPr>
              <w:t>9</w:t>
            </w:r>
            <w:r>
              <w:rPr>
                <w:b/>
                <w:color w:val="auto"/>
                <w:sz w:val="21"/>
                <w:szCs w:val="21"/>
              </w:rPr>
              <w:t xml:space="preserve">  </w:t>
            </w:r>
            <w:r>
              <w:rPr>
                <w:rFonts w:hint="eastAsia"/>
                <w:b/>
                <w:color w:val="auto"/>
                <w:sz w:val="21"/>
                <w:szCs w:val="21"/>
              </w:rPr>
              <w:t xml:space="preserve"> </w:t>
            </w:r>
            <w:r>
              <w:rPr>
                <w:b/>
                <w:color w:val="auto"/>
                <w:sz w:val="21"/>
                <w:szCs w:val="21"/>
              </w:rPr>
              <w:t>项目产污环节信息一览表</w:t>
            </w:r>
          </w:p>
          <w:tbl>
            <w:tblPr>
              <w:tblStyle w:val="24"/>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8"/>
              <w:gridCol w:w="680"/>
              <w:gridCol w:w="2711"/>
              <w:gridCol w:w="2052"/>
              <w:gridCol w:w="22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dxa"/>
                  <w:vAlign w:val="center"/>
                </w:tcPr>
                <w:p>
                  <w:pPr>
                    <w:adjustRightInd w:val="0"/>
                    <w:snapToGrid w:val="0"/>
                    <w:jc w:val="center"/>
                    <w:rPr>
                      <w:rFonts w:eastAsiaTheme="minorEastAsia"/>
                      <w:b/>
                      <w:bCs/>
                      <w:color w:val="auto"/>
                      <w:kern w:val="0"/>
                      <w:sz w:val="21"/>
                      <w:szCs w:val="21"/>
                    </w:rPr>
                  </w:pPr>
                  <w:r>
                    <w:rPr>
                      <w:rFonts w:eastAsiaTheme="minorEastAsia"/>
                      <w:b/>
                      <w:bCs/>
                      <w:color w:val="auto"/>
                      <w:kern w:val="0"/>
                      <w:sz w:val="21"/>
                      <w:szCs w:val="21"/>
                    </w:rPr>
                    <w:t>类别</w:t>
                  </w:r>
                </w:p>
              </w:tc>
              <w:tc>
                <w:tcPr>
                  <w:tcW w:w="680" w:type="dxa"/>
                  <w:tcMar>
                    <w:top w:w="0" w:type="dxa"/>
                    <w:left w:w="0" w:type="dxa"/>
                    <w:bottom w:w="0" w:type="dxa"/>
                    <w:right w:w="0" w:type="dxa"/>
                  </w:tcMar>
                  <w:vAlign w:val="center"/>
                </w:tcPr>
                <w:p>
                  <w:pPr>
                    <w:adjustRightInd w:val="0"/>
                    <w:snapToGrid w:val="0"/>
                    <w:jc w:val="center"/>
                    <w:rPr>
                      <w:rFonts w:eastAsiaTheme="minorEastAsia"/>
                      <w:b/>
                      <w:bCs/>
                      <w:color w:val="auto"/>
                      <w:kern w:val="0"/>
                      <w:sz w:val="21"/>
                      <w:szCs w:val="21"/>
                    </w:rPr>
                  </w:pPr>
                  <w:r>
                    <w:rPr>
                      <w:rFonts w:eastAsiaTheme="minorEastAsia"/>
                      <w:b/>
                      <w:bCs/>
                      <w:color w:val="auto"/>
                      <w:kern w:val="0"/>
                      <w:sz w:val="21"/>
                      <w:szCs w:val="21"/>
                    </w:rPr>
                    <w:t>编号</w:t>
                  </w:r>
                </w:p>
              </w:tc>
              <w:tc>
                <w:tcPr>
                  <w:tcW w:w="2711" w:type="dxa"/>
                  <w:tcMar>
                    <w:top w:w="0" w:type="dxa"/>
                    <w:left w:w="0" w:type="dxa"/>
                    <w:bottom w:w="0" w:type="dxa"/>
                    <w:right w:w="0" w:type="dxa"/>
                  </w:tcMar>
                  <w:vAlign w:val="center"/>
                </w:tcPr>
                <w:p>
                  <w:pPr>
                    <w:adjustRightInd w:val="0"/>
                    <w:snapToGrid w:val="0"/>
                    <w:jc w:val="center"/>
                    <w:rPr>
                      <w:rFonts w:eastAsiaTheme="minorEastAsia"/>
                      <w:b/>
                      <w:bCs/>
                      <w:color w:val="auto"/>
                      <w:kern w:val="0"/>
                      <w:sz w:val="21"/>
                      <w:szCs w:val="21"/>
                    </w:rPr>
                  </w:pPr>
                  <w:r>
                    <w:rPr>
                      <w:rFonts w:eastAsiaTheme="minorEastAsia"/>
                      <w:b/>
                      <w:bCs/>
                      <w:color w:val="auto"/>
                      <w:kern w:val="0"/>
                      <w:sz w:val="21"/>
                      <w:szCs w:val="21"/>
                    </w:rPr>
                    <w:t>产排污节点</w:t>
                  </w:r>
                </w:p>
              </w:tc>
              <w:tc>
                <w:tcPr>
                  <w:tcW w:w="2052" w:type="dxa"/>
                  <w:tcMar>
                    <w:top w:w="0" w:type="dxa"/>
                    <w:left w:w="0" w:type="dxa"/>
                    <w:bottom w:w="0" w:type="dxa"/>
                    <w:right w:w="0" w:type="dxa"/>
                  </w:tcMar>
                  <w:vAlign w:val="center"/>
                </w:tcPr>
                <w:p>
                  <w:pPr>
                    <w:adjustRightInd w:val="0"/>
                    <w:snapToGrid w:val="0"/>
                    <w:jc w:val="center"/>
                    <w:rPr>
                      <w:rFonts w:eastAsiaTheme="minorEastAsia"/>
                      <w:b/>
                      <w:bCs/>
                      <w:color w:val="auto"/>
                      <w:kern w:val="0"/>
                      <w:sz w:val="21"/>
                      <w:szCs w:val="21"/>
                    </w:rPr>
                  </w:pPr>
                  <w:r>
                    <w:rPr>
                      <w:rFonts w:eastAsiaTheme="minorEastAsia"/>
                      <w:b/>
                      <w:bCs/>
                      <w:color w:val="auto"/>
                      <w:kern w:val="0"/>
                      <w:sz w:val="21"/>
                      <w:szCs w:val="21"/>
                    </w:rPr>
                    <w:t>主要污染指标</w:t>
                  </w:r>
                </w:p>
                <w:p>
                  <w:pPr>
                    <w:adjustRightInd w:val="0"/>
                    <w:snapToGrid w:val="0"/>
                    <w:jc w:val="center"/>
                    <w:rPr>
                      <w:rFonts w:hint="eastAsia" w:eastAsiaTheme="minorEastAsia"/>
                      <w:b/>
                      <w:bCs/>
                      <w:color w:val="auto"/>
                      <w:kern w:val="0"/>
                      <w:sz w:val="21"/>
                      <w:szCs w:val="21"/>
                      <w:lang w:eastAsia="zh-CN"/>
                    </w:rPr>
                  </w:pPr>
                  <w:r>
                    <w:rPr>
                      <w:rFonts w:hint="eastAsia" w:eastAsiaTheme="minorEastAsia"/>
                      <w:b/>
                      <w:bCs/>
                      <w:color w:val="auto"/>
                      <w:kern w:val="0"/>
                      <w:sz w:val="21"/>
                      <w:szCs w:val="21"/>
                      <w:lang w:eastAsia="zh-CN"/>
                    </w:rPr>
                    <w:t>（</w:t>
                  </w:r>
                  <w:r>
                    <w:rPr>
                      <w:rFonts w:hint="eastAsia" w:eastAsiaTheme="minorEastAsia"/>
                      <w:b/>
                      <w:bCs/>
                      <w:color w:val="auto"/>
                      <w:kern w:val="0"/>
                      <w:sz w:val="21"/>
                      <w:szCs w:val="21"/>
                      <w:lang w:val="en-US" w:eastAsia="zh-CN"/>
                    </w:rPr>
                    <w:t>类型</w:t>
                  </w:r>
                  <w:r>
                    <w:rPr>
                      <w:rFonts w:hint="eastAsia" w:eastAsiaTheme="minorEastAsia"/>
                      <w:b/>
                      <w:bCs/>
                      <w:color w:val="auto"/>
                      <w:kern w:val="0"/>
                      <w:sz w:val="21"/>
                      <w:szCs w:val="21"/>
                      <w:lang w:eastAsia="zh-CN"/>
                    </w:rPr>
                    <w:t>）</w:t>
                  </w:r>
                </w:p>
              </w:tc>
              <w:tc>
                <w:tcPr>
                  <w:tcW w:w="2299" w:type="dxa"/>
                  <w:tcMar>
                    <w:top w:w="0" w:type="dxa"/>
                    <w:left w:w="0" w:type="dxa"/>
                    <w:bottom w:w="0" w:type="dxa"/>
                    <w:right w:w="0" w:type="dxa"/>
                  </w:tcMar>
                  <w:vAlign w:val="center"/>
                </w:tcPr>
                <w:p>
                  <w:pPr>
                    <w:adjustRightInd w:val="0"/>
                    <w:snapToGrid w:val="0"/>
                    <w:jc w:val="center"/>
                    <w:rPr>
                      <w:rFonts w:eastAsiaTheme="minorEastAsia"/>
                      <w:b/>
                      <w:bCs/>
                      <w:color w:val="auto"/>
                      <w:kern w:val="0"/>
                      <w:sz w:val="21"/>
                      <w:szCs w:val="21"/>
                    </w:rPr>
                  </w:pPr>
                  <w:r>
                    <w:rPr>
                      <w:rFonts w:eastAsiaTheme="minorEastAsia"/>
                      <w:b/>
                      <w:bCs/>
                      <w:color w:val="auto"/>
                      <w:kern w:val="0"/>
                      <w:sz w:val="21"/>
                      <w:szCs w:val="21"/>
                    </w:rPr>
                    <w:t>排放方式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dxa"/>
                  <w:vMerge w:val="restart"/>
                  <w:vAlign w:val="center"/>
                </w:tcPr>
                <w:p>
                  <w:pPr>
                    <w:widowControl/>
                    <w:adjustRightInd w:val="0"/>
                    <w:snapToGrid w:val="0"/>
                    <w:jc w:val="center"/>
                    <w:rPr>
                      <w:rFonts w:eastAsiaTheme="minorEastAsia"/>
                      <w:color w:val="auto"/>
                      <w:kern w:val="0"/>
                      <w:sz w:val="21"/>
                      <w:szCs w:val="21"/>
                    </w:rPr>
                  </w:pPr>
                  <w:r>
                    <w:rPr>
                      <w:rFonts w:eastAsiaTheme="minorEastAsia"/>
                      <w:color w:val="auto"/>
                      <w:kern w:val="0"/>
                      <w:sz w:val="21"/>
                      <w:szCs w:val="21"/>
                    </w:rPr>
                    <w:t>废气</w:t>
                  </w:r>
                </w:p>
              </w:tc>
              <w:tc>
                <w:tcPr>
                  <w:tcW w:w="680"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G1</w:t>
                  </w:r>
                </w:p>
              </w:tc>
              <w:tc>
                <w:tcPr>
                  <w:tcW w:w="2711"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原料仓</w:t>
                  </w:r>
                  <w:r>
                    <w:rPr>
                      <w:rFonts w:hint="eastAsia" w:eastAsiaTheme="minorEastAsia"/>
                      <w:color w:val="auto"/>
                      <w:kern w:val="0"/>
                      <w:sz w:val="21"/>
                      <w:szCs w:val="21"/>
                      <w:lang w:val="en-US" w:eastAsia="zh-CN"/>
                    </w:rPr>
                    <w:t>卸车堆存</w:t>
                  </w:r>
                  <w:r>
                    <w:rPr>
                      <w:rFonts w:eastAsiaTheme="minorEastAsia"/>
                      <w:color w:val="auto"/>
                      <w:kern w:val="0"/>
                      <w:sz w:val="21"/>
                      <w:szCs w:val="21"/>
                    </w:rPr>
                    <w:t>粉尘</w:t>
                  </w:r>
                </w:p>
              </w:tc>
              <w:tc>
                <w:tcPr>
                  <w:tcW w:w="2052" w:type="dxa"/>
                  <w:vAlign w:val="center"/>
                </w:tcPr>
                <w:p>
                  <w:pPr>
                    <w:adjustRightInd w:val="0"/>
                    <w:snapToGrid w:val="0"/>
                    <w:jc w:val="center"/>
                    <w:rPr>
                      <w:rFonts w:eastAsiaTheme="minorEastAsia"/>
                      <w:color w:val="auto"/>
                      <w:sz w:val="21"/>
                      <w:szCs w:val="21"/>
                    </w:rPr>
                  </w:pPr>
                  <w:r>
                    <w:rPr>
                      <w:rFonts w:eastAsiaTheme="minorEastAsia"/>
                      <w:color w:val="auto"/>
                      <w:sz w:val="21"/>
                      <w:szCs w:val="21"/>
                    </w:rPr>
                    <w:t>颗粒物</w:t>
                  </w:r>
                </w:p>
              </w:tc>
              <w:tc>
                <w:tcPr>
                  <w:tcW w:w="2299" w:type="dxa"/>
                  <w:vAlign w:val="center"/>
                </w:tcPr>
                <w:p>
                  <w:pPr>
                    <w:adjustRightInd w:val="0"/>
                    <w:snapToGrid w:val="0"/>
                    <w:jc w:val="center"/>
                    <w:rPr>
                      <w:rFonts w:eastAsiaTheme="minorEastAsia"/>
                      <w:color w:val="auto"/>
                      <w:sz w:val="21"/>
                      <w:szCs w:val="21"/>
                    </w:rPr>
                  </w:pPr>
                  <w:r>
                    <w:rPr>
                      <w:rFonts w:eastAsiaTheme="minorEastAsia"/>
                      <w:color w:val="auto"/>
                      <w:sz w:val="21"/>
                      <w:szCs w:val="21"/>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dxa"/>
                  <w:vMerge w:val="continue"/>
                  <w:vAlign w:val="center"/>
                </w:tcPr>
                <w:p>
                  <w:pPr>
                    <w:widowControl/>
                    <w:adjustRightInd w:val="0"/>
                    <w:snapToGrid w:val="0"/>
                    <w:jc w:val="center"/>
                    <w:rPr>
                      <w:rFonts w:eastAsiaTheme="minorEastAsia"/>
                      <w:color w:val="auto"/>
                      <w:kern w:val="0"/>
                      <w:sz w:val="21"/>
                      <w:szCs w:val="21"/>
                    </w:rPr>
                  </w:pPr>
                </w:p>
              </w:tc>
              <w:tc>
                <w:tcPr>
                  <w:tcW w:w="680"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G2</w:t>
                  </w:r>
                </w:p>
              </w:tc>
              <w:tc>
                <w:tcPr>
                  <w:tcW w:w="2711"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石料、水洗砂由铲车送至配料机</w:t>
                  </w:r>
                </w:p>
              </w:tc>
              <w:tc>
                <w:tcPr>
                  <w:tcW w:w="2052" w:type="dxa"/>
                  <w:vAlign w:val="center"/>
                </w:tcPr>
                <w:p>
                  <w:pPr>
                    <w:adjustRightInd w:val="0"/>
                    <w:snapToGrid w:val="0"/>
                    <w:jc w:val="center"/>
                    <w:rPr>
                      <w:rFonts w:eastAsiaTheme="minorEastAsia"/>
                      <w:color w:val="auto"/>
                      <w:sz w:val="21"/>
                      <w:szCs w:val="21"/>
                    </w:rPr>
                  </w:pPr>
                  <w:r>
                    <w:rPr>
                      <w:rFonts w:eastAsiaTheme="minorEastAsia"/>
                      <w:color w:val="auto"/>
                      <w:sz w:val="21"/>
                      <w:szCs w:val="21"/>
                    </w:rPr>
                    <w:t>颗粒物</w:t>
                  </w:r>
                </w:p>
              </w:tc>
              <w:tc>
                <w:tcPr>
                  <w:tcW w:w="2299" w:type="dxa"/>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478" w:type="dxa"/>
                  <w:vMerge w:val="continue"/>
                  <w:vAlign w:val="center"/>
                </w:tcPr>
                <w:p>
                  <w:pPr>
                    <w:widowControl/>
                    <w:adjustRightInd w:val="0"/>
                    <w:snapToGrid w:val="0"/>
                    <w:jc w:val="center"/>
                    <w:rPr>
                      <w:rFonts w:eastAsiaTheme="minorEastAsia"/>
                      <w:color w:val="auto"/>
                      <w:kern w:val="0"/>
                      <w:sz w:val="21"/>
                      <w:szCs w:val="21"/>
                    </w:rPr>
                  </w:pPr>
                </w:p>
              </w:tc>
              <w:tc>
                <w:tcPr>
                  <w:tcW w:w="680"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G3</w:t>
                  </w:r>
                </w:p>
              </w:tc>
              <w:tc>
                <w:tcPr>
                  <w:tcW w:w="2711"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石料、水洗砂由皮带机送至骨料中间仓</w:t>
                  </w:r>
                </w:p>
              </w:tc>
              <w:tc>
                <w:tcPr>
                  <w:tcW w:w="2052" w:type="dxa"/>
                  <w:vAlign w:val="center"/>
                </w:tcPr>
                <w:p>
                  <w:pPr>
                    <w:adjustRightInd w:val="0"/>
                    <w:snapToGrid w:val="0"/>
                    <w:jc w:val="center"/>
                    <w:rPr>
                      <w:rFonts w:eastAsiaTheme="minorEastAsia"/>
                      <w:color w:val="auto"/>
                      <w:sz w:val="21"/>
                      <w:szCs w:val="21"/>
                    </w:rPr>
                  </w:pPr>
                  <w:r>
                    <w:rPr>
                      <w:rFonts w:eastAsiaTheme="minorEastAsia"/>
                      <w:color w:val="auto"/>
                      <w:sz w:val="21"/>
                      <w:szCs w:val="21"/>
                    </w:rPr>
                    <w:t>颗粒物</w:t>
                  </w:r>
                </w:p>
              </w:tc>
              <w:tc>
                <w:tcPr>
                  <w:tcW w:w="2299" w:type="dxa"/>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dxa"/>
                  <w:vMerge w:val="continue"/>
                  <w:vAlign w:val="center"/>
                </w:tcPr>
                <w:p>
                  <w:pPr>
                    <w:widowControl/>
                    <w:adjustRightInd w:val="0"/>
                    <w:snapToGrid w:val="0"/>
                    <w:jc w:val="center"/>
                    <w:rPr>
                      <w:rFonts w:eastAsiaTheme="minorEastAsia"/>
                      <w:color w:val="auto"/>
                      <w:kern w:val="0"/>
                      <w:sz w:val="21"/>
                      <w:szCs w:val="21"/>
                    </w:rPr>
                  </w:pPr>
                </w:p>
              </w:tc>
              <w:tc>
                <w:tcPr>
                  <w:tcW w:w="680"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G4</w:t>
                  </w:r>
                </w:p>
              </w:tc>
              <w:tc>
                <w:tcPr>
                  <w:tcW w:w="2711"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水泥筒仓呼吸口</w:t>
                  </w:r>
                </w:p>
              </w:tc>
              <w:tc>
                <w:tcPr>
                  <w:tcW w:w="2052" w:type="dxa"/>
                  <w:vAlign w:val="center"/>
                </w:tcPr>
                <w:p>
                  <w:pPr>
                    <w:adjustRightInd w:val="0"/>
                    <w:snapToGrid w:val="0"/>
                    <w:jc w:val="center"/>
                    <w:rPr>
                      <w:rFonts w:eastAsiaTheme="minorEastAsia"/>
                      <w:color w:val="auto"/>
                      <w:sz w:val="21"/>
                      <w:szCs w:val="21"/>
                    </w:rPr>
                  </w:pPr>
                  <w:r>
                    <w:rPr>
                      <w:rFonts w:eastAsiaTheme="minorEastAsia"/>
                      <w:color w:val="auto"/>
                      <w:sz w:val="21"/>
                      <w:szCs w:val="21"/>
                    </w:rPr>
                    <w:t>颗粒物</w:t>
                  </w:r>
                </w:p>
              </w:tc>
              <w:tc>
                <w:tcPr>
                  <w:tcW w:w="2299" w:type="dxa"/>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dxa"/>
                  <w:vMerge w:val="continue"/>
                  <w:vAlign w:val="center"/>
                </w:tcPr>
                <w:p>
                  <w:pPr>
                    <w:widowControl/>
                    <w:adjustRightInd w:val="0"/>
                    <w:snapToGrid w:val="0"/>
                    <w:jc w:val="center"/>
                    <w:rPr>
                      <w:rFonts w:eastAsiaTheme="minorEastAsia"/>
                      <w:color w:val="auto"/>
                      <w:kern w:val="0"/>
                      <w:sz w:val="21"/>
                      <w:szCs w:val="21"/>
                    </w:rPr>
                  </w:pPr>
                </w:p>
              </w:tc>
              <w:tc>
                <w:tcPr>
                  <w:tcW w:w="680"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G5</w:t>
                  </w:r>
                </w:p>
              </w:tc>
              <w:tc>
                <w:tcPr>
                  <w:tcW w:w="2711"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搅拌机搅拌</w:t>
                  </w:r>
                </w:p>
              </w:tc>
              <w:tc>
                <w:tcPr>
                  <w:tcW w:w="2052" w:type="dxa"/>
                  <w:vAlign w:val="center"/>
                </w:tcPr>
                <w:p>
                  <w:pPr>
                    <w:adjustRightInd w:val="0"/>
                    <w:snapToGrid w:val="0"/>
                    <w:jc w:val="center"/>
                    <w:rPr>
                      <w:rFonts w:eastAsiaTheme="minorEastAsia"/>
                      <w:color w:val="auto"/>
                      <w:sz w:val="21"/>
                      <w:szCs w:val="21"/>
                    </w:rPr>
                  </w:pPr>
                  <w:r>
                    <w:rPr>
                      <w:rFonts w:eastAsiaTheme="minorEastAsia"/>
                      <w:color w:val="auto"/>
                      <w:sz w:val="21"/>
                      <w:szCs w:val="21"/>
                    </w:rPr>
                    <w:t>颗粒物</w:t>
                  </w:r>
                </w:p>
              </w:tc>
              <w:tc>
                <w:tcPr>
                  <w:tcW w:w="2299" w:type="dxa"/>
                  <w:vAlign w:val="center"/>
                </w:tcPr>
                <w:p>
                  <w:pPr>
                    <w:adjustRightInd w:val="0"/>
                    <w:snapToGrid w:val="0"/>
                    <w:jc w:val="center"/>
                    <w:rPr>
                      <w:rFonts w:eastAsiaTheme="minorEastAsia"/>
                      <w:color w:val="auto"/>
                      <w:sz w:val="21"/>
                      <w:szCs w:val="21"/>
                    </w:rPr>
                  </w:pPr>
                  <w:r>
                    <w:rPr>
                      <w:rFonts w:eastAsiaTheme="minorEastAsia"/>
                      <w:color w:val="auto"/>
                      <w:kern w:val="0"/>
                      <w:sz w:val="21"/>
                      <w:szCs w:val="21"/>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dxa"/>
                  <w:vMerge w:val="continue"/>
                  <w:vAlign w:val="center"/>
                </w:tcPr>
                <w:p>
                  <w:pPr>
                    <w:widowControl/>
                    <w:adjustRightInd w:val="0"/>
                    <w:snapToGrid w:val="0"/>
                    <w:jc w:val="center"/>
                    <w:rPr>
                      <w:rFonts w:eastAsiaTheme="minorEastAsia"/>
                      <w:color w:val="auto"/>
                      <w:kern w:val="0"/>
                      <w:sz w:val="21"/>
                      <w:szCs w:val="21"/>
                    </w:rPr>
                  </w:pPr>
                </w:p>
              </w:tc>
              <w:tc>
                <w:tcPr>
                  <w:tcW w:w="680"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G6</w:t>
                  </w:r>
                </w:p>
              </w:tc>
              <w:tc>
                <w:tcPr>
                  <w:tcW w:w="2711" w:type="dxa"/>
                  <w:tcMar>
                    <w:top w:w="0" w:type="dxa"/>
                    <w:left w:w="0" w:type="dxa"/>
                    <w:bottom w:w="0" w:type="dxa"/>
                    <w:right w:w="0" w:type="dxa"/>
                  </w:tcMar>
                  <w:vAlign w:val="center"/>
                </w:tcPr>
                <w:p>
                  <w:pPr>
                    <w:pStyle w:val="31"/>
                    <w:adjustRightInd w:val="0"/>
                    <w:snapToGrid w:val="0"/>
                    <w:spacing w:line="240" w:lineRule="auto"/>
                    <w:ind w:firstLine="0" w:firstLineChars="0"/>
                    <w:jc w:val="center"/>
                    <w:rPr>
                      <w:rFonts w:eastAsiaTheme="minorEastAsia"/>
                      <w:color w:val="auto"/>
                      <w:kern w:val="0"/>
                      <w:sz w:val="21"/>
                      <w:szCs w:val="21"/>
                    </w:rPr>
                  </w:pPr>
                  <w:r>
                    <w:rPr>
                      <w:rFonts w:eastAsiaTheme="minorEastAsia"/>
                      <w:color w:val="auto"/>
                      <w:kern w:val="0"/>
                      <w:sz w:val="21"/>
                      <w:szCs w:val="21"/>
                    </w:rPr>
                    <w:t>车辆运输扬尘</w:t>
                  </w:r>
                </w:p>
              </w:tc>
              <w:tc>
                <w:tcPr>
                  <w:tcW w:w="2052" w:type="dxa"/>
                  <w:vAlign w:val="center"/>
                </w:tcPr>
                <w:p>
                  <w:pPr>
                    <w:pStyle w:val="31"/>
                    <w:adjustRightInd w:val="0"/>
                    <w:snapToGrid w:val="0"/>
                    <w:spacing w:line="240" w:lineRule="auto"/>
                    <w:ind w:firstLine="0" w:firstLineChars="0"/>
                    <w:jc w:val="center"/>
                    <w:rPr>
                      <w:rFonts w:eastAsiaTheme="minorEastAsia"/>
                      <w:color w:val="auto"/>
                      <w:kern w:val="0"/>
                      <w:sz w:val="21"/>
                      <w:szCs w:val="21"/>
                    </w:rPr>
                  </w:pPr>
                  <w:r>
                    <w:rPr>
                      <w:rFonts w:eastAsiaTheme="minorEastAsia"/>
                      <w:color w:val="auto"/>
                      <w:kern w:val="0"/>
                      <w:sz w:val="21"/>
                      <w:szCs w:val="21"/>
                    </w:rPr>
                    <w:t>颗粒物</w:t>
                  </w:r>
                </w:p>
              </w:tc>
              <w:tc>
                <w:tcPr>
                  <w:tcW w:w="2299" w:type="dxa"/>
                  <w:vAlign w:val="center"/>
                </w:tcPr>
                <w:p>
                  <w:pPr>
                    <w:pStyle w:val="31"/>
                    <w:adjustRightInd w:val="0"/>
                    <w:snapToGrid w:val="0"/>
                    <w:spacing w:line="240" w:lineRule="auto"/>
                    <w:ind w:firstLine="0" w:firstLineChars="0"/>
                    <w:jc w:val="center"/>
                    <w:rPr>
                      <w:rFonts w:eastAsiaTheme="minorEastAsia"/>
                      <w:color w:val="auto"/>
                      <w:kern w:val="0"/>
                      <w:sz w:val="21"/>
                      <w:szCs w:val="21"/>
                    </w:rPr>
                  </w:pPr>
                  <w:r>
                    <w:rPr>
                      <w:rFonts w:eastAsiaTheme="minorEastAsia"/>
                      <w:color w:val="auto"/>
                      <w:sz w:val="21"/>
                      <w:szCs w:val="21"/>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478" w:type="dxa"/>
                  <w:vMerge w:val="restart"/>
                  <w:vAlign w:val="center"/>
                </w:tcPr>
                <w:p>
                  <w:pPr>
                    <w:widowControl/>
                    <w:adjustRightInd w:val="0"/>
                    <w:snapToGrid w:val="0"/>
                    <w:jc w:val="center"/>
                    <w:rPr>
                      <w:rFonts w:eastAsiaTheme="minorEastAsia"/>
                      <w:color w:val="auto"/>
                      <w:kern w:val="0"/>
                      <w:sz w:val="21"/>
                      <w:szCs w:val="21"/>
                    </w:rPr>
                  </w:pPr>
                  <w:r>
                    <w:rPr>
                      <w:rFonts w:eastAsiaTheme="minorEastAsia"/>
                      <w:color w:val="auto"/>
                      <w:kern w:val="0"/>
                      <w:sz w:val="21"/>
                      <w:szCs w:val="21"/>
                    </w:rPr>
                    <w:t>废水</w:t>
                  </w:r>
                </w:p>
              </w:tc>
              <w:tc>
                <w:tcPr>
                  <w:tcW w:w="680"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W1</w:t>
                  </w:r>
                </w:p>
              </w:tc>
              <w:tc>
                <w:tcPr>
                  <w:tcW w:w="2711"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生活污水</w:t>
                  </w:r>
                </w:p>
              </w:tc>
              <w:tc>
                <w:tcPr>
                  <w:tcW w:w="2052" w:type="dxa"/>
                  <w:tcMar>
                    <w:top w:w="0" w:type="dxa"/>
                    <w:left w:w="0" w:type="dxa"/>
                    <w:bottom w:w="0" w:type="dxa"/>
                    <w:right w:w="0" w:type="dxa"/>
                  </w:tcMar>
                  <w:vAlign w:val="center"/>
                </w:tcPr>
                <w:p>
                  <w:pPr>
                    <w:widowControl/>
                    <w:adjustRightInd w:val="0"/>
                    <w:snapToGrid w:val="0"/>
                    <w:jc w:val="center"/>
                    <w:rPr>
                      <w:rFonts w:eastAsiaTheme="minorEastAsia"/>
                      <w:color w:val="auto"/>
                      <w:kern w:val="0"/>
                      <w:sz w:val="21"/>
                      <w:szCs w:val="21"/>
                    </w:rPr>
                  </w:pPr>
                  <w:r>
                    <w:rPr>
                      <w:rFonts w:eastAsiaTheme="minorEastAsia"/>
                      <w:color w:val="auto"/>
                      <w:sz w:val="21"/>
                      <w:szCs w:val="21"/>
                    </w:rPr>
                    <w:t>SS、</w:t>
                  </w:r>
                  <w:r>
                    <w:rPr>
                      <w:rFonts w:eastAsiaTheme="minorEastAsia"/>
                      <w:bCs/>
                      <w:color w:val="auto"/>
                      <w:sz w:val="21"/>
                      <w:szCs w:val="21"/>
                    </w:rPr>
                    <w:t>COD</w:t>
                  </w:r>
                  <w:r>
                    <w:rPr>
                      <w:rFonts w:eastAsiaTheme="minorEastAsia"/>
                      <w:bCs/>
                      <w:color w:val="auto"/>
                      <w:sz w:val="21"/>
                      <w:szCs w:val="21"/>
                      <w:vertAlign w:val="subscript"/>
                    </w:rPr>
                    <w:t>Cr</w:t>
                  </w:r>
                  <w:r>
                    <w:rPr>
                      <w:rFonts w:eastAsiaTheme="minorEastAsia"/>
                      <w:bCs/>
                      <w:color w:val="auto"/>
                      <w:sz w:val="21"/>
                      <w:szCs w:val="21"/>
                    </w:rPr>
                    <w:t>、BOD</w:t>
                  </w:r>
                  <w:r>
                    <w:rPr>
                      <w:rFonts w:eastAsiaTheme="minorEastAsia"/>
                      <w:bCs/>
                      <w:color w:val="auto"/>
                      <w:sz w:val="21"/>
                      <w:szCs w:val="21"/>
                      <w:vertAlign w:val="subscript"/>
                    </w:rPr>
                    <w:t>5</w:t>
                  </w:r>
                  <w:r>
                    <w:rPr>
                      <w:rFonts w:eastAsiaTheme="minorEastAsia"/>
                      <w:bCs/>
                      <w:color w:val="auto"/>
                      <w:sz w:val="21"/>
                      <w:szCs w:val="21"/>
                    </w:rPr>
                    <w:t>、氨氮</w:t>
                  </w:r>
                </w:p>
              </w:tc>
              <w:tc>
                <w:tcPr>
                  <w:tcW w:w="2299" w:type="dxa"/>
                  <w:tcMar>
                    <w:top w:w="0" w:type="dxa"/>
                    <w:left w:w="0" w:type="dxa"/>
                    <w:bottom w:w="0" w:type="dxa"/>
                    <w:right w:w="0" w:type="dxa"/>
                  </w:tcMar>
                  <w:vAlign w:val="center"/>
                </w:tcPr>
                <w:p>
                  <w:pPr>
                    <w:widowControl/>
                    <w:adjustRightInd w:val="0"/>
                    <w:snapToGrid w:val="0"/>
                    <w:jc w:val="center"/>
                    <w:rPr>
                      <w:rFonts w:hint="eastAsia" w:eastAsiaTheme="minorEastAsia"/>
                      <w:color w:val="auto"/>
                      <w:sz w:val="21"/>
                      <w:szCs w:val="21"/>
                      <w:lang w:eastAsia="zh-CN"/>
                    </w:rPr>
                  </w:pPr>
                  <w:r>
                    <w:rPr>
                      <w:rFonts w:hint="eastAsia" w:eastAsiaTheme="minorEastAsia"/>
                      <w:color w:val="auto"/>
                      <w:sz w:val="21"/>
                      <w:szCs w:val="21"/>
                      <w:lang w:val="en-US" w:eastAsia="zh-CN"/>
                    </w:rPr>
                    <w:t>生活污水进入化粪池初步处理后定期拉运至中卫市第一污水处理厂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dxa"/>
                  <w:vMerge w:val="continue"/>
                  <w:vAlign w:val="center"/>
                </w:tcPr>
                <w:p>
                  <w:pPr>
                    <w:widowControl/>
                    <w:adjustRightInd w:val="0"/>
                    <w:snapToGrid w:val="0"/>
                    <w:jc w:val="center"/>
                    <w:rPr>
                      <w:rFonts w:eastAsiaTheme="minorEastAsia"/>
                      <w:color w:val="auto"/>
                      <w:sz w:val="21"/>
                      <w:szCs w:val="21"/>
                    </w:rPr>
                  </w:pPr>
                </w:p>
              </w:tc>
              <w:tc>
                <w:tcPr>
                  <w:tcW w:w="680" w:type="dxa"/>
                  <w:tcMar>
                    <w:top w:w="0" w:type="dxa"/>
                    <w:left w:w="0" w:type="dxa"/>
                    <w:bottom w:w="0" w:type="dxa"/>
                    <w:right w:w="0" w:type="dxa"/>
                  </w:tcMar>
                  <w:vAlign w:val="center"/>
                </w:tcPr>
                <w:p>
                  <w:pPr>
                    <w:widowControl/>
                    <w:adjustRightInd w:val="0"/>
                    <w:snapToGrid w:val="0"/>
                    <w:jc w:val="center"/>
                    <w:rPr>
                      <w:rFonts w:eastAsiaTheme="minorEastAsia"/>
                      <w:color w:val="auto"/>
                      <w:kern w:val="0"/>
                      <w:sz w:val="21"/>
                      <w:szCs w:val="21"/>
                    </w:rPr>
                  </w:pPr>
                  <w:r>
                    <w:rPr>
                      <w:rFonts w:eastAsiaTheme="minorEastAsia"/>
                      <w:color w:val="auto"/>
                      <w:kern w:val="0"/>
                      <w:sz w:val="21"/>
                      <w:szCs w:val="21"/>
                    </w:rPr>
                    <w:t>W2</w:t>
                  </w:r>
                </w:p>
              </w:tc>
              <w:tc>
                <w:tcPr>
                  <w:tcW w:w="2711" w:type="dxa"/>
                  <w:tcMar>
                    <w:top w:w="0" w:type="dxa"/>
                    <w:left w:w="0" w:type="dxa"/>
                    <w:bottom w:w="0" w:type="dxa"/>
                    <w:right w:w="0" w:type="dxa"/>
                  </w:tcMar>
                  <w:vAlign w:val="center"/>
                </w:tcPr>
                <w:p>
                  <w:pPr>
                    <w:widowControl/>
                    <w:adjustRightInd w:val="0"/>
                    <w:snapToGrid w:val="0"/>
                    <w:jc w:val="center"/>
                    <w:rPr>
                      <w:rFonts w:eastAsiaTheme="minorEastAsia"/>
                      <w:color w:val="auto"/>
                      <w:kern w:val="0"/>
                      <w:sz w:val="21"/>
                      <w:szCs w:val="21"/>
                    </w:rPr>
                  </w:pPr>
                  <w:r>
                    <w:rPr>
                      <w:rFonts w:eastAsiaTheme="minorEastAsia"/>
                      <w:color w:val="auto"/>
                      <w:kern w:val="0"/>
                      <w:sz w:val="21"/>
                      <w:szCs w:val="21"/>
                    </w:rPr>
                    <w:t>搅拌机清洗废水</w:t>
                  </w:r>
                </w:p>
              </w:tc>
              <w:tc>
                <w:tcPr>
                  <w:tcW w:w="2052" w:type="dxa"/>
                  <w:tcMar>
                    <w:top w:w="0" w:type="dxa"/>
                    <w:left w:w="0" w:type="dxa"/>
                    <w:bottom w:w="0" w:type="dxa"/>
                    <w:right w:w="0" w:type="dxa"/>
                  </w:tcMar>
                  <w:vAlign w:val="center"/>
                </w:tcPr>
                <w:p>
                  <w:pPr>
                    <w:widowControl/>
                    <w:adjustRightInd w:val="0"/>
                    <w:snapToGrid w:val="0"/>
                    <w:jc w:val="center"/>
                    <w:rPr>
                      <w:rFonts w:eastAsiaTheme="minorEastAsia"/>
                      <w:color w:val="auto"/>
                      <w:kern w:val="0"/>
                      <w:sz w:val="21"/>
                      <w:szCs w:val="21"/>
                    </w:rPr>
                  </w:pPr>
                  <w:r>
                    <w:rPr>
                      <w:rFonts w:eastAsiaTheme="minorEastAsia"/>
                      <w:color w:val="auto"/>
                      <w:kern w:val="0"/>
                      <w:sz w:val="21"/>
                      <w:szCs w:val="21"/>
                    </w:rPr>
                    <w:t>SS</w:t>
                  </w:r>
                </w:p>
              </w:tc>
              <w:tc>
                <w:tcPr>
                  <w:tcW w:w="2299" w:type="dxa"/>
                  <w:tcMar>
                    <w:top w:w="0" w:type="dxa"/>
                    <w:left w:w="0" w:type="dxa"/>
                    <w:bottom w:w="0" w:type="dxa"/>
                    <w:right w:w="0" w:type="dxa"/>
                  </w:tcMar>
                  <w:vAlign w:val="center"/>
                </w:tcPr>
                <w:p>
                  <w:pPr>
                    <w:widowControl/>
                    <w:adjustRightInd w:val="0"/>
                    <w:snapToGrid w:val="0"/>
                    <w:jc w:val="center"/>
                    <w:rPr>
                      <w:rFonts w:eastAsiaTheme="minorEastAsia"/>
                      <w:color w:val="auto"/>
                      <w:kern w:val="0"/>
                      <w:sz w:val="21"/>
                      <w:szCs w:val="21"/>
                    </w:rPr>
                  </w:pPr>
                  <w:r>
                    <w:rPr>
                      <w:rFonts w:eastAsiaTheme="minorEastAsia"/>
                      <w:color w:val="auto"/>
                      <w:kern w:val="0"/>
                      <w:sz w:val="21"/>
                      <w:szCs w:val="21"/>
                    </w:rPr>
                    <w:t>回用于道路抑尘，不外排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dxa"/>
                  <w:vMerge w:val="continue"/>
                  <w:vAlign w:val="center"/>
                </w:tcPr>
                <w:p>
                  <w:pPr>
                    <w:widowControl/>
                    <w:adjustRightInd w:val="0"/>
                    <w:snapToGrid w:val="0"/>
                    <w:jc w:val="center"/>
                    <w:rPr>
                      <w:rFonts w:eastAsiaTheme="minorEastAsia"/>
                      <w:color w:val="auto"/>
                      <w:kern w:val="0"/>
                      <w:sz w:val="21"/>
                      <w:szCs w:val="21"/>
                    </w:rPr>
                  </w:pPr>
                </w:p>
              </w:tc>
              <w:tc>
                <w:tcPr>
                  <w:tcW w:w="680" w:type="dxa"/>
                  <w:tcMar>
                    <w:top w:w="0" w:type="dxa"/>
                    <w:left w:w="0" w:type="dxa"/>
                    <w:bottom w:w="0" w:type="dxa"/>
                    <w:right w:w="0" w:type="dxa"/>
                  </w:tcMar>
                  <w:vAlign w:val="center"/>
                </w:tcPr>
                <w:p>
                  <w:pPr>
                    <w:widowControl/>
                    <w:adjustRightInd w:val="0"/>
                    <w:snapToGrid w:val="0"/>
                    <w:jc w:val="center"/>
                    <w:rPr>
                      <w:rFonts w:eastAsiaTheme="minorEastAsia"/>
                      <w:color w:val="auto"/>
                      <w:kern w:val="0"/>
                      <w:sz w:val="21"/>
                      <w:szCs w:val="21"/>
                    </w:rPr>
                  </w:pPr>
                  <w:r>
                    <w:rPr>
                      <w:rFonts w:eastAsiaTheme="minorEastAsia"/>
                      <w:color w:val="auto"/>
                      <w:kern w:val="0"/>
                      <w:sz w:val="21"/>
                      <w:szCs w:val="21"/>
                    </w:rPr>
                    <w:t>W3</w:t>
                  </w:r>
                </w:p>
              </w:tc>
              <w:tc>
                <w:tcPr>
                  <w:tcW w:w="2711" w:type="dxa"/>
                  <w:tcMar>
                    <w:top w:w="0" w:type="dxa"/>
                    <w:left w:w="0" w:type="dxa"/>
                    <w:bottom w:w="0" w:type="dxa"/>
                    <w:right w:w="0" w:type="dxa"/>
                  </w:tcMar>
                  <w:vAlign w:val="center"/>
                </w:tcPr>
                <w:p>
                  <w:pPr>
                    <w:widowControl/>
                    <w:adjustRightInd w:val="0"/>
                    <w:snapToGrid w:val="0"/>
                    <w:jc w:val="center"/>
                    <w:rPr>
                      <w:rFonts w:eastAsiaTheme="minorEastAsia"/>
                      <w:color w:val="auto"/>
                      <w:kern w:val="0"/>
                      <w:sz w:val="21"/>
                      <w:szCs w:val="21"/>
                    </w:rPr>
                  </w:pPr>
                  <w:r>
                    <w:rPr>
                      <w:rFonts w:eastAsiaTheme="minorEastAsia"/>
                      <w:color w:val="auto"/>
                      <w:kern w:val="0"/>
                      <w:sz w:val="21"/>
                      <w:szCs w:val="21"/>
                    </w:rPr>
                    <w:t>车辆冲洗废水</w:t>
                  </w:r>
                </w:p>
              </w:tc>
              <w:tc>
                <w:tcPr>
                  <w:tcW w:w="2052" w:type="dxa"/>
                  <w:tcMar>
                    <w:top w:w="0" w:type="dxa"/>
                    <w:left w:w="0" w:type="dxa"/>
                    <w:bottom w:w="0" w:type="dxa"/>
                    <w:right w:w="0" w:type="dxa"/>
                  </w:tcMar>
                  <w:vAlign w:val="center"/>
                </w:tcPr>
                <w:p>
                  <w:pPr>
                    <w:widowControl/>
                    <w:adjustRightInd w:val="0"/>
                    <w:snapToGrid w:val="0"/>
                    <w:jc w:val="center"/>
                    <w:rPr>
                      <w:rFonts w:eastAsiaTheme="minorEastAsia"/>
                      <w:color w:val="auto"/>
                      <w:kern w:val="0"/>
                      <w:sz w:val="21"/>
                      <w:szCs w:val="21"/>
                    </w:rPr>
                  </w:pPr>
                  <w:r>
                    <w:rPr>
                      <w:rFonts w:eastAsiaTheme="minorEastAsia"/>
                      <w:color w:val="auto"/>
                      <w:kern w:val="0"/>
                      <w:sz w:val="21"/>
                      <w:szCs w:val="21"/>
                    </w:rPr>
                    <w:t>SS</w:t>
                  </w:r>
                </w:p>
              </w:tc>
              <w:tc>
                <w:tcPr>
                  <w:tcW w:w="2299" w:type="dxa"/>
                  <w:tcMar>
                    <w:top w:w="0" w:type="dxa"/>
                    <w:left w:w="0" w:type="dxa"/>
                    <w:bottom w:w="0" w:type="dxa"/>
                    <w:right w:w="0" w:type="dxa"/>
                  </w:tcMar>
                  <w:vAlign w:val="center"/>
                </w:tcPr>
                <w:p>
                  <w:pPr>
                    <w:widowControl/>
                    <w:adjustRightInd w:val="0"/>
                    <w:snapToGrid w:val="0"/>
                    <w:jc w:val="center"/>
                    <w:rPr>
                      <w:rFonts w:eastAsiaTheme="minorEastAsia"/>
                      <w:color w:val="auto"/>
                      <w:kern w:val="0"/>
                      <w:sz w:val="21"/>
                      <w:szCs w:val="21"/>
                    </w:rPr>
                  </w:pPr>
                  <w:r>
                    <w:rPr>
                      <w:rFonts w:eastAsiaTheme="minorEastAsia"/>
                      <w:color w:val="auto"/>
                      <w:kern w:val="0"/>
                      <w:sz w:val="21"/>
                      <w:szCs w:val="21"/>
                    </w:rPr>
                    <w:t>回用于道路抑尘，不外排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dxa"/>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噪声</w:t>
                  </w:r>
                </w:p>
              </w:tc>
              <w:tc>
                <w:tcPr>
                  <w:tcW w:w="680"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N</w:t>
                  </w:r>
                </w:p>
              </w:tc>
              <w:tc>
                <w:tcPr>
                  <w:tcW w:w="2711"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设备运行噪声</w:t>
                  </w:r>
                </w:p>
              </w:tc>
              <w:tc>
                <w:tcPr>
                  <w:tcW w:w="2052"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等效连续/A声级</w:t>
                  </w:r>
                </w:p>
              </w:tc>
              <w:tc>
                <w:tcPr>
                  <w:tcW w:w="2299"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间歇排放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478" w:type="dxa"/>
                  <w:vMerge w:val="restart"/>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固体废物</w:t>
                  </w:r>
                </w:p>
              </w:tc>
              <w:tc>
                <w:tcPr>
                  <w:tcW w:w="680" w:type="dxa"/>
                  <w:tcMar>
                    <w:top w:w="0" w:type="dxa"/>
                    <w:left w:w="0" w:type="dxa"/>
                    <w:bottom w:w="0" w:type="dxa"/>
                    <w:right w:w="0" w:type="dxa"/>
                  </w:tcMar>
                  <w:vAlign w:val="center"/>
                </w:tcPr>
                <w:p>
                  <w:pPr>
                    <w:adjustRightInd w:val="0"/>
                    <w:snapToGrid w:val="0"/>
                    <w:jc w:val="center"/>
                    <w:rPr>
                      <w:rFonts w:ascii="Times New Roman" w:hAnsi="Times New Roman" w:cs="Times New Roman" w:eastAsiaTheme="minorEastAsia"/>
                      <w:color w:val="auto"/>
                      <w:kern w:val="0"/>
                      <w:sz w:val="21"/>
                      <w:szCs w:val="21"/>
                      <w:lang w:val="en-US" w:eastAsia="zh-CN" w:bidi="ar-SA"/>
                    </w:rPr>
                  </w:pPr>
                  <w:r>
                    <w:rPr>
                      <w:rFonts w:eastAsiaTheme="minorEastAsia"/>
                      <w:color w:val="auto"/>
                      <w:kern w:val="0"/>
                      <w:sz w:val="21"/>
                      <w:szCs w:val="21"/>
                    </w:rPr>
                    <w:t>S</w:t>
                  </w:r>
                  <w:r>
                    <w:rPr>
                      <w:rFonts w:hint="eastAsia" w:eastAsiaTheme="minorEastAsia"/>
                      <w:color w:val="auto"/>
                      <w:kern w:val="0"/>
                      <w:sz w:val="21"/>
                      <w:szCs w:val="21"/>
                    </w:rPr>
                    <w:t>1</w:t>
                  </w:r>
                </w:p>
              </w:tc>
              <w:tc>
                <w:tcPr>
                  <w:tcW w:w="2711" w:type="dxa"/>
                  <w:tcMar>
                    <w:top w:w="0" w:type="dxa"/>
                    <w:left w:w="0" w:type="dxa"/>
                    <w:bottom w:w="0" w:type="dxa"/>
                    <w:right w:w="0" w:type="dxa"/>
                  </w:tcMar>
                  <w:vAlign w:val="center"/>
                </w:tcPr>
                <w:p>
                  <w:pPr>
                    <w:adjustRightInd w:val="0"/>
                    <w:snapToGrid w:val="0"/>
                    <w:jc w:val="center"/>
                    <w:rPr>
                      <w:rFonts w:hint="default" w:eastAsiaTheme="minorEastAsia"/>
                      <w:color w:val="auto"/>
                      <w:kern w:val="0"/>
                      <w:sz w:val="21"/>
                      <w:szCs w:val="21"/>
                      <w:lang w:val="en-US"/>
                    </w:rPr>
                  </w:pPr>
                  <w:r>
                    <w:rPr>
                      <w:rFonts w:hint="eastAsia" w:eastAsiaTheme="minorEastAsia"/>
                      <w:color w:val="auto"/>
                      <w:kern w:val="0"/>
                      <w:sz w:val="21"/>
                      <w:szCs w:val="21"/>
                      <w:lang w:val="en-US" w:eastAsia="zh-CN"/>
                    </w:rPr>
                    <w:t>脉冲袋式除尘器</w:t>
                  </w:r>
                </w:p>
              </w:tc>
              <w:tc>
                <w:tcPr>
                  <w:tcW w:w="2052" w:type="dxa"/>
                  <w:tcMar>
                    <w:top w:w="0" w:type="dxa"/>
                    <w:left w:w="0" w:type="dxa"/>
                    <w:bottom w:w="0" w:type="dxa"/>
                    <w:right w:w="0" w:type="dxa"/>
                  </w:tcMar>
                  <w:vAlign w:val="center"/>
                </w:tcPr>
                <w:p>
                  <w:pPr>
                    <w:adjustRightInd w:val="0"/>
                    <w:snapToGrid w:val="0"/>
                    <w:jc w:val="center"/>
                    <w:rPr>
                      <w:rFonts w:hint="eastAsia" w:eastAsiaTheme="minorEastAsia"/>
                      <w:color w:val="auto"/>
                      <w:kern w:val="0"/>
                      <w:sz w:val="21"/>
                      <w:szCs w:val="21"/>
                      <w:lang w:val="en-US" w:eastAsia="zh-CN"/>
                    </w:rPr>
                  </w:pPr>
                  <w:r>
                    <w:rPr>
                      <w:rFonts w:hint="eastAsia" w:eastAsiaTheme="minorEastAsia"/>
                      <w:color w:val="auto"/>
                      <w:kern w:val="0"/>
                      <w:sz w:val="21"/>
                      <w:szCs w:val="21"/>
                      <w:lang w:val="en-US" w:eastAsia="zh-CN"/>
                    </w:rPr>
                    <w:t>粉尘</w:t>
                  </w:r>
                </w:p>
              </w:tc>
              <w:tc>
                <w:tcPr>
                  <w:tcW w:w="2299" w:type="dxa"/>
                  <w:tcMar>
                    <w:top w:w="0" w:type="dxa"/>
                    <w:left w:w="0" w:type="dxa"/>
                    <w:bottom w:w="0" w:type="dxa"/>
                    <w:right w:w="0" w:type="dxa"/>
                  </w:tcMar>
                  <w:vAlign w:val="center"/>
                </w:tcPr>
                <w:p>
                  <w:pPr>
                    <w:adjustRightInd w:val="0"/>
                    <w:snapToGrid w:val="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收集后回用于生产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dxa"/>
                  <w:vMerge w:val="continue"/>
                  <w:vAlign w:val="center"/>
                </w:tcPr>
                <w:p>
                  <w:pPr>
                    <w:adjustRightInd w:val="0"/>
                    <w:snapToGrid w:val="0"/>
                    <w:jc w:val="center"/>
                    <w:rPr>
                      <w:rFonts w:eastAsiaTheme="minorEastAsia"/>
                      <w:color w:val="auto"/>
                      <w:kern w:val="0"/>
                      <w:sz w:val="21"/>
                      <w:szCs w:val="21"/>
                    </w:rPr>
                  </w:pPr>
                </w:p>
              </w:tc>
              <w:tc>
                <w:tcPr>
                  <w:tcW w:w="680" w:type="dxa"/>
                  <w:tcMar>
                    <w:top w:w="0" w:type="dxa"/>
                    <w:left w:w="0" w:type="dxa"/>
                    <w:bottom w:w="0" w:type="dxa"/>
                    <w:right w:w="0" w:type="dxa"/>
                  </w:tcMar>
                  <w:vAlign w:val="center"/>
                </w:tcPr>
                <w:p>
                  <w:pPr>
                    <w:adjustRightInd w:val="0"/>
                    <w:snapToGrid w:val="0"/>
                    <w:jc w:val="center"/>
                    <w:rPr>
                      <w:rFonts w:ascii="Times New Roman" w:hAnsi="Times New Roman" w:cs="Times New Roman" w:eastAsiaTheme="minorEastAsia"/>
                      <w:color w:val="auto"/>
                      <w:kern w:val="0"/>
                      <w:sz w:val="21"/>
                      <w:szCs w:val="21"/>
                      <w:lang w:val="en-US" w:eastAsia="zh-CN" w:bidi="ar-SA"/>
                    </w:rPr>
                  </w:pPr>
                  <w:r>
                    <w:rPr>
                      <w:rFonts w:eastAsiaTheme="minorEastAsia"/>
                      <w:color w:val="auto"/>
                      <w:kern w:val="0"/>
                      <w:sz w:val="21"/>
                      <w:szCs w:val="21"/>
                    </w:rPr>
                    <w:t>S</w:t>
                  </w:r>
                  <w:r>
                    <w:rPr>
                      <w:rFonts w:hint="eastAsia" w:eastAsiaTheme="minorEastAsia"/>
                      <w:color w:val="auto"/>
                      <w:kern w:val="0"/>
                      <w:sz w:val="21"/>
                      <w:szCs w:val="21"/>
                    </w:rPr>
                    <w:t>2</w:t>
                  </w:r>
                </w:p>
              </w:tc>
              <w:tc>
                <w:tcPr>
                  <w:tcW w:w="2711" w:type="dxa"/>
                  <w:tcMar>
                    <w:top w:w="0" w:type="dxa"/>
                    <w:left w:w="0" w:type="dxa"/>
                    <w:bottom w:w="0" w:type="dxa"/>
                    <w:right w:w="0" w:type="dxa"/>
                  </w:tcMar>
                  <w:vAlign w:val="center"/>
                </w:tcPr>
                <w:p>
                  <w:pPr>
                    <w:adjustRightInd w:val="0"/>
                    <w:snapToGrid w:val="0"/>
                    <w:jc w:val="center"/>
                    <w:rPr>
                      <w:rFonts w:hint="eastAsia" w:eastAsiaTheme="minorEastAsia"/>
                      <w:color w:val="auto"/>
                      <w:kern w:val="0"/>
                      <w:sz w:val="21"/>
                      <w:szCs w:val="21"/>
                      <w:lang w:val="en-US" w:eastAsia="zh-CN"/>
                    </w:rPr>
                  </w:pPr>
                  <w:r>
                    <w:rPr>
                      <w:rFonts w:hint="eastAsia" w:eastAsiaTheme="minorEastAsia"/>
                      <w:color w:val="auto"/>
                      <w:kern w:val="0"/>
                      <w:sz w:val="21"/>
                      <w:szCs w:val="21"/>
                      <w:lang w:val="en-US" w:eastAsia="zh-CN"/>
                    </w:rPr>
                    <w:t>布袋除尘器</w:t>
                  </w:r>
                </w:p>
              </w:tc>
              <w:tc>
                <w:tcPr>
                  <w:tcW w:w="2052" w:type="dxa"/>
                  <w:tcMar>
                    <w:top w:w="0" w:type="dxa"/>
                    <w:left w:w="0" w:type="dxa"/>
                    <w:bottom w:w="0" w:type="dxa"/>
                    <w:right w:w="0" w:type="dxa"/>
                  </w:tcMar>
                  <w:vAlign w:val="center"/>
                </w:tcPr>
                <w:p>
                  <w:pPr>
                    <w:adjustRightInd w:val="0"/>
                    <w:snapToGrid w:val="0"/>
                    <w:jc w:val="center"/>
                    <w:rPr>
                      <w:rFonts w:hint="eastAsia" w:eastAsiaTheme="minorEastAsia"/>
                      <w:color w:val="auto"/>
                      <w:kern w:val="0"/>
                      <w:sz w:val="21"/>
                      <w:szCs w:val="21"/>
                      <w:lang w:val="en-US" w:eastAsia="zh-CN"/>
                    </w:rPr>
                  </w:pPr>
                  <w:r>
                    <w:rPr>
                      <w:rFonts w:hint="eastAsia" w:eastAsiaTheme="minorEastAsia"/>
                      <w:color w:val="auto"/>
                      <w:kern w:val="0"/>
                      <w:sz w:val="21"/>
                      <w:szCs w:val="21"/>
                      <w:lang w:val="en-US" w:eastAsia="zh-CN"/>
                    </w:rPr>
                    <w:t>粉尘</w:t>
                  </w:r>
                </w:p>
              </w:tc>
              <w:tc>
                <w:tcPr>
                  <w:tcW w:w="2299"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hint="eastAsia" w:eastAsiaTheme="minorEastAsia"/>
                      <w:color w:val="auto"/>
                      <w:kern w:val="0"/>
                      <w:sz w:val="21"/>
                      <w:szCs w:val="21"/>
                      <w:lang w:val="en-US" w:eastAsia="zh-CN"/>
                    </w:rPr>
                    <w:t>收集后回用于生产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dxa"/>
                  <w:vMerge w:val="continue"/>
                  <w:vAlign w:val="center"/>
                </w:tcPr>
                <w:p>
                  <w:pPr>
                    <w:adjustRightInd w:val="0"/>
                    <w:snapToGrid w:val="0"/>
                    <w:jc w:val="center"/>
                    <w:rPr>
                      <w:rFonts w:eastAsiaTheme="minorEastAsia"/>
                      <w:color w:val="auto"/>
                      <w:kern w:val="0"/>
                      <w:sz w:val="21"/>
                      <w:szCs w:val="21"/>
                    </w:rPr>
                  </w:pPr>
                </w:p>
              </w:tc>
              <w:tc>
                <w:tcPr>
                  <w:tcW w:w="680" w:type="dxa"/>
                  <w:tcMar>
                    <w:top w:w="0" w:type="dxa"/>
                    <w:left w:w="0" w:type="dxa"/>
                    <w:bottom w:w="0" w:type="dxa"/>
                    <w:right w:w="0" w:type="dxa"/>
                  </w:tcMar>
                  <w:vAlign w:val="center"/>
                </w:tcPr>
                <w:p>
                  <w:pPr>
                    <w:adjustRightInd w:val="0"/>
                    <w:snapToGrid w:val="0"/>
                    <w:jc w:val="center"/>
                    <w:rPr>
                      <w:rFonts w:ascii="Times New Roman" w:hAnsi="Times New Roman" w:cs="Times New Roman" w:eastAsiaTheme="minorEastAsia"/>
                      <w:color w:val="auto"/>
                      <w:kern w:val="0"/>
                      <w:sz w:val="21"/>
                      <w:szCs w:val="21"/>
                      <w:lang w:val="en-US" w:eastAsia="zh-CN" w:bidi="ar-SA"/>
                    </w:rPr>
                  </w:pPr>
                  <w:r>
                    <w:rPr>
                      <w:rFonts w:eastAsiaTheme="minorEastAsia"/>
                      <w:color w:val="auto"/>
                      <w:kern w:val="0"/>
                      <w:sz w:val="21"/>
                      <w:szCs w:val="21"/>
                    </w:rPr>
                    <w:t>S</w:t>
                  </w:r>
                  <w:r>
                    <w:rPr>
                      <w:rFonts w:hint="eastAsia" w:eastAsiaTheme="minorEastAsia"/>
                      <w:color w:val="auto"/>
                      <w:kern w:val="0"/>
                      <w:sz w:val="21"/>
                      <w:szCs w:val="21"/>
                    </w:rPr>
                    <w:t>3</w:t>
                  </w:r>
                </w:p>
              </w:tc>
              <w:tc>
                <w:tcPr>
                  <w:tcW w:w="2711" w:type="dxa"/>
                  <w:tcMar>
                    <w:top w:w="0" w:type="dxa"/>
                    <w:left w:w="0" w:type="dxa"/>
                    <w:bottom w:w="0" w:type="dxa"/>
                    <w:right w:w="0" w:type="dxa"/>
                  </w:tcMar>
                  <w:vAlign w:val="center"/>
                </w:tcPr>
                <w:p>
                  <w:pPr>
                    <w:adjustRightInd w:val="0"/>
                    <w:snapToGrid w:val="0"/>
                    <w:jc w:val="center"/>
                    <w:rPr>
                      <w:rFonts w:ascii="Times New Roman" w:hAnsi="Times New Roman" w:cs="Times New Roman" w:eastAsiaTheme="minorEastAsia"/>
                      <w:color w:val="auto"/>
                      <w:kern w:val="0"/>
                      <w:sz w:val="21"/>
                      <w:szCs w:val="21"/>
                      <w:lang w:val="en-US" w:eastAsia="zh-CN" w:bidi="ar-SA"/>
                    </w:rPr>
                  </w:pPr>
                  <w:r>
                    <w:rPr>
                      <w:rFonts w:eastAsiaTheme="minorEastAsia"/>
                      <w:color w:val="auto"/>
                      <w:kern w:val="0"/>
                      <w:sz w:val="21"/>
                      <w:szCs w:val="21"/>
                    </w:rPr>
                    <w:t>废石料</w:t>
                  </w:r>
                </w:p>
              </w:tc>
              <w:tc>
                <w:tcPr>
                  <w:tcW w:w="2052" w:type="dxa"/>
                  <w:tcMar>
                    <w:top w:w="0" w:type="dxa"/>
                    <w:left w:w="0" w:type="dxa"/>
                    <w:bottom w:w="0" w:type="dxa"/>
                    <w:right w:w="0" w:type="dxa"/>
                  </w:tcMar>
                  <w:vAlign w:val="center"/>
                </w:tcPr>
                <w:p>
                  <w:pPr>
                    <w:adjustRightInd w:val="0"/>
                    <w:snapToGrid w:val="0"/>
                    <w:jc w:val="center"/>
                    <w:rPr>
                      <w:rFonts w:ascii="Times New Roman" w:hAnsi="Times New Roman" w:cs="Times New Roman" w:eastAsiaTheme="minorEastAsia"/>
                      <w:color w:val="auto"/>
                      <w:kern w:val="0"/>
                      <w:sz w:val="21"/>
                      <w:szCs w:val="21"/>
                      <w:lang w:val="en-US" w:eastAsia="zh-CN" w:bidi="ar-SA"/>
                    </w:rPr>
                  </w:pPr>
                  <w:r>
                    <w:rPr>
                      <w:rFonts w:eastAsiaTheme="minorEastAsia"/>
                      <w:color w:val="auto"/>
                      <w:kern w:val="0"/>
                      <w:sz w:val="21"/>
                      <w:szCs w:val="21"/>
                    </w:rPr>
                    <w:t>废石料</w:t>
                  </w:r>
                </w:p>
              </w:tc>
              <w:tc>
                <w:tcPr>
                  <w:tcW w:w="2299" w:type="dxa"/>
                  <w:tcMar>
                    <w:top w:w="0" w:type="dxa"/>
                    <w:left w:w="0" w:type="dxa"/>
                    <w:bottom w:w="0" w:type="dxa"/>
                    <w:right w:w="0" w:type="dxa"/>
                  </w:tcMar>
                  <w:vAlign w:val="center"/>
                </w:tcPr>
                <w:p>
                  <w:pPr>
                    <w:adjustRightInd w:val="0"/>
                    <w:snapToGrid w:val="0"/>
                    <w:jc w:val="center"/>
                    <w:rPr>
                      <w:rFonts w:ascii="Times New Roman" w:hAnsi="Times New Roman" w:cs="Times New Roman" w:eastAsiaTheme="minorEastAsia"/>
                      <w:color w:val="auto"/>
                      <w:kern w:val="0"/>
                      <w:sz w:val="21"/>
                      <w:szCs w:val="21"/>
                      <w:lang w:val="en-US" w:eastAsia="zh-CN" w:bidi="ar-SA"/>
                    </w:rPr>
                  </w:pPr>
                  <w:r>
                    <w:rPr>
                      <w:rFonts w:eastAsiaTheme="minorEastAsia"/>
                      <w:color w:val="auto"/>
                      <w:kern w:val="0"/>
                      <w:sz w:val="21"/>
                      <w:szCs w:val="21"/>
                    </w:rPr>
                    <w:t>原料仓暂存，由生产厂家拉运回原厂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dxa"/>
                  <w:vMerge w:val="continue"/>
                  <w:vAlign w:val="center"/>
                </w:tcPr>
                <w:p>
                  <w:pPr>
                    <w:adjustRightInd w:val="0"/>
                    <w:snapToGrid w:val="0"/>
                    <w:jc w:val="center"/>
                    <w:rPr>
                      <w:rFonts w:eastAsiaTheme="minorEastAsia"/>
                      <w:color w:val="auto"/>
                      <w:kern w:val="0"/>
                      <w:sz w:val="21"/>
                      <w:szCs w:val="21"/>
                    </w:rPr>
                  </w:pPr>
                </w:p>
              </w:tc>
              <w:tc>
                <w:tcPr>
                  <w:tcW w:w="680" w:type="dxa"/>
                  <w:tcMar>
                    <w:top w:w="0" w:type="dxa"/>
                    <w:left w:w="0" w:type="dxa"/>
                    <w:bottom w:w="0" w:type="dxa"/>
                    <w:right w:w="0" w:type="dxa"/>
                  </w:tcMar>
                  <w:vAlign w:val="center"/>
                </w:tcPr>
                <w:p>
                  <w:pPr>
                    <w:adjustRightInd w:val="0"/>
                    <w:snapToGrid w:val="0"/>
                    <w:jc w:val="center"/>
                    <w:rPr>
                      <w:rFonts w:ascii="Times New Roman" w:hAnsi="Times New Roman" w:cs="Times New Roman" w:eastAsiaTheme="minorEastAsia"/>
                      <w:color w:val="auto"/>
                      <w:kern w:val="0"/>
                      <w:sz w:val="21"/>
                      <w:szCs w:val="21"/>
                      <w:lang w:val="en-US" w:eastAsia="zh-CN" w:bidi="ar-SA"/>
                    </w:rPr>
                  </w:pPr>
                  <w:r>
                    <w:rPr>
                      <w:rFonts w:eastAsiaTheme="minorEastAsia"/>
                      <w:color w:val="auto"/>
                      <w:kern w:val="0"/>
                      <w:sz w:val="21"/>
                      <w:szCs w:val="21"/>
                    </w:rPr>
                    <w:t>S</w:t>
                  </w:r>
                  <w:r>
                    <w:rPr>
                      <w:rFonts w:hint="eastAsia" w:eastAsiaTheme="minorEastAsia"/>
                      <w:color w:val="auto"/>
                      <w:kern w:val="0"/>
                      <w:sz w:val="21"/>
                      <w:szCs w:val="21"/>
                    </w:rPr>
                    <w:t>4</w:t>
                  </w:r>
                </w:p>
              </w:tc>
              <w:tc>
                <w:tcPr>
                  <w:tcW w:w="2711" w:type="dxa"/>
                  <w:tcMar>
                    <w:top w:w="0" w:type="dxa"/>
                    <w:left w:w="0" w:type="dxa"/>
                    <w:bottom w:w="0" w:type="dxa"/>
                    <w:right w:w="0" w:type="dxa"/>
                  </w:tcMar>
                  <w:vAlign w:val="center"/>
                </w:tcPr>
                <w:p>
                  <w:pPr>
                    <w:adjustRightInd w:val="0"/>
                    <w:snapToGrid w:val="0"/>
                    <w:jc w:val="center"/>
                    <w:rPr>
                      <w:rFonts w:hint="eastAsia" w:eastAsiaTheme="minorEastAsia"/>
                      <w:color w:val="auto"/>
                      <w:kern w:val="0"/>
                      <w:sz w:val="21"/>
                      <w:szCs w:val="21"/>
                      <w:lang w:eastAsia="zh-CN"/>
                    </w:rPr>
                  </w:pPr>
                  <w:r>
                    <w:rPr>
                      <w:rFonts w:hint="eastAsia" w:eastAsiaTheme="minorEastAsia"/>
                      <w:color w:val="auto"/>
                      <w:kern w:val="0"/>
                      <w:sz w:val="21"/>
                      <w:szCs w:val="21"/>
                      <w:lang w:val="en-US" w:eastAsia="zh-CN"/>
                    </w:rPr>
                    <w:t>成品出料</w:t>
                  </w:r>
                </w:p>
              </w:tc>
              <w:tc>
                <w:tcPr>
                  <w:tcW w:w="2052" w:type="dxa"/>
                  <w:tcMar>
                    <w:top w:w="0" w:type="dxa"/>
                    <w:left w:w="0" w:type="dxa"/>
                    <w:bottom w:w="0" w:type="dxa"/>
                    <w:right w:w="0" w:type="dxa"/>
                  </w:tcMar>
                  <w:vAlign w:val="center"/>
                </w:tcPr>
                <w:p>
                  <w:pPr>
                    <w:adjustRightInd w:val="0"/>
                    <w:snapToGrid w:val="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搅拌残渣</w:t>
                  </w:r>
                </w:p>
              </w:tc>
              <w:tc>
                <w:tcPr>
                  <w:tcW w:w="2299" w:type="dxa"/>
                  <w:tcMar>
                    <w:top w:w="0" w:type="dxa"/>
                    <w:left w:w="0" w:type="dxa"/>
                    <w:bottom w:w="0" w:type="dxa"/>
                    <w:right w:w="0" w:type="dxa"/>
                  </w:tcMar>
                  <w:vAlign w:val="center"/>
                </w:tcPr>
                <w:p>
                  <w:pPr>
                    <w:adjustRightInd w:val="0"/>
                    <w:snapToGrid w:val="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收集后回用于生产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478" w:type="dxa"/>
                  <w:vMerge w:val="continue"/>
                  <w:vAlign w:val="center"/>
                </w:tcPr>
                <w:p>
                  <w:pPr>
                    <w:adjustRightInd w:val="0"/>
                    <w:snapToGrid w:val="0"/>
                    <w:jc w:val="center"/>
                    <w:rPr>
                      <w:rFonts w:eastAsiaTheme="minorEastAsia"/>
                      <w:color w:val="auto"/>
                      <w:kern w:val="0"/>
                      <w:sz w:val="21"/>
                      <w:szCs w:val="21"/>
                    </w:rPr>
                  </w:pPr>
                </w:p>
              </w:tc>
              <w:tc>
                <w:tcPr>
                  <w:tcW w:w="680" w:type="dxa"/>
                  <w:tcMar>
                    <w:top w:w="0" w:type="dxa"/>
                    <w:left w:w="0" w:type="dxa"/>
                    <w:bottom w:w="0" w:type="dxa"/>
                    <w:right w:w="0" w:type="dxa"/>
                  </w:tcMar>
                  <w:vAlign w:val="center"/>
                </w:tcPr>
                <w:p>
                  <w:pPr>
                    <w:adjustRightInd w:val="0"/>
                    <w:snapToGrid w:val="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S5</w:t>
                  </w:r>
                </w:p>
              </w:tc>
              <w:tc>
                <w:tcPr>
                  <w:tcW w:w="2711"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废水沉淀</w:t>
                  </w:r>
                </w:p>
              </w:tc>
              <w:tc>
                <w:tcPr>
                  <w:tcW w:w="2052"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沉渣</w:t>
                  </w:r>
                </w:p>
              </w:tc>
              <w:tc>
                <w:tcPr>
                  <w:tcW w:w="2299"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运至政府指定地点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dxa"/>
                  <w:vMerge w:val="continue"/>
                  <w:vAlign w:val="center"/>
                </w:tcPr>
                <w:p>
                  <w:pPr>
                    <w:adjustRightInd w:val="0"/>
                    <w:snapToGrid w:val="0"/>
                    <w:jc w:val="center"/>
                    <w:rPr>
                      <w:rFonts w:eastAsiaTheme="minorEastAsia"/>
                      <w:color w:val="auto"/>
                      <w:kern w:val="0"/>
                      <w:sz w:val="21"/>
                      <w:szCs w:val="21"/>
                    </w:rPr>
                  </w:pPr>
                </w:p>
              </w:tc>
              <w:tc>
                <w:tcPr>
                  <w:tcW w:w="680" w:type="dxa"/>
                  <w:tcMar>
                    <w:top w:w="0" w:type="dxa"/>
                    <w:left w:w="0" w:type="dxa"/>
                    <w:bottom w:w="0" w:type="dxa"/>
                    <w:right w:w="0" w:type="dxa"/>
                  </w:tcMar>
                  <w:vAlign w:val="center"/>
                </w:tcPr>
                <w:p>
                  <w:pPr>
                    <w:adjustRightInd w:val="0"/>
                    <w:snapToGrid w:val="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S6</w:t>
                  </w:r>
                </w:p>
              </w:tc>
              <w:tc>
                <w:tcPr>
                  <w:tcW w:w="2711"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生活垃圾</w:t>
                  </w:r>
                </w:p>
              </w:tc>
              <w:tc>
                <w:tcPr>
                  <w:tcW w:w="2052"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生活垃圾</w:t>
                  </w:r>
                </w:p>
              </w:tc>
              <w:tc>
                <w:tcPr>
                  <w:tcW w:w="2299"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垃圾桶收集后运至项目附近的垃圾转运点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dxa"/>
                  <w:vMerge w:val="continue"/>
                  <w:vAlign w:val="center"/>
                </w:tcPr>
                <w:p>
                  <w:pPr>
                    <w:adjustRightInd w:val="0"/>
                    <w:snapToGrid w:val="0"/>
                    <w:jc w:val="center"/>
                    <w:rPr>
                      <w:rFonts w:eastAsiaTheme="minorEastAsia"/>
                      <w:color w:val="auto"/>
                      <w:kern w:val="0"/>
                      <w:sz w:val="21"/>
                      <w:szCs w:val="21"/>
                    </w:rPr>
                  </w:pPr>
                </w:p>
              </w:tc>
              <w:tc>
                <w:tcPr>
                  <w:tcW w:w="680" w:type="dxa"/>
                  <w:tcMar>
                    <w:top w:w="0" w:type="dxa"/>
                    <w:left w:w="0" w:type="dxa"/>
                    <w:bottom w:w="0" w:type="dxa"/>
                    <w:right w:w="0" w:type="dxa"/>
                  </w:tcMar>
                  <w:vAlign w:val="center"/>
                </w:tcPr>
                <w:p>
                  <w:pPr>
                    <w:adjustRightInd w:val="0"/>
                    <w:snapToGrid w:val="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S7</w:t>
                  </w:r>
                </w:p>
              </w:tc>
              <w:tc>
                <w:tcPr>
                  <w:tcW w:w="2711"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hint="eastAsia" w:eastAsiaTheme="minorEastAsia"/>
                      <w:color w:val="auto"/>
                      <w:kern w:val="0"/>
                      <w:sz w:val="21"/>
                      <w:szCs w:val="21"/>
                      <w:lang w:val="en-US" w:eastAsia="zh-CN"/>
                    </w:rPr>
                    <w:t>拌合</w:t>
                  </w:r>
                  <w:r>
                    <w:rPr>
                      <w:rFonts w:eastAsiaTheme="minorEastAsia"/>
                      <w:color w:val="auto"/>
                      <w:kern w:val="0"/>
                      <w:sz w:val="21"/>
                      <w:szCs w:val="21"/>
                    </w:rPr>
                    <w:t>站拆除</w:t>
                  </w:r>
                </w:p>
              </w:tc>
              <w:tc>
                <w:tcPr>
                  <w:tcW w:w="2052"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建筑垃圾</w:t>
                  </w:r>
                </w:p>
              </w:tc>
              <w:tc>
                <w:tcPr>
                  <w:tcW w:w="2299"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eastAsiaTheme="minorEastAsia"/>
                      <w:color w:val="auto"/>
                      <w:kern w:val="0"/>
                      <w:sz w:val="21"/>
                      <w:szCs w:val="21"/>
                    </w:rPr>
                    <w:t>运至政府指定地点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dxa"/>
                  <w:vMerge w:val="continue"/>
                  <w:vAlign w:val="center"/>
                </w:tcPr>
                <w:p>
                  <w:pPr>
                    <w:adjustRightInd w:val="0"/>
                    <w:snapToGrid w:val="0"/>
                    <w:jc w:val="center"/>
                    <w:rPr>
                      <w:rFonts w:eastAsiaTheme="minorEastAsia"/>
                      <w:color w:val="auto"/>
                      <w:kern w:val="0"/>
                      <w:sz w:val="21"/>
                      <w:szCs w:val="21"/>
                    </w:rPr>
                  </w:pPr>
                </w:p>
              </w:tc>
              <w:tc>
                <w:tcPr>
                  <w:tcW w:w="680" w:type="dxa"/>
                  <w:vMerge w:val="restart"/>
                  <w:tcMar>
                    <w:top w:w="0" w:type="dxa"/>
                    <w:left w:w="0" w:type="dxa"/>
                    <w:bottom w:w="0" w:type="dxa"/>
                    <w:right w:w="0" w:type="dxa"/>
                  </w:tcMar>
                  <w:vAlign w:val="center"/>
                </w:tcPr>
                <w:p>
                  <w:pPr>
                    <w:adjustRightInd w:val="0"/>
                    <w:snapToGrid w:val="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w:t>
                  </w:r>
                </w:p>
              </w:tc>
              <w:tc>
                <w:tcPr>
                  <w:tcW w:w="2711" w:type="dxa"/>
                  <w:tcMar>
                    <w:top w:w="0" w:type="dxa"/>
                    <w:left w:w="0" w:type="dxa"/>
                    <w:bottom w:w="0" w:type="dxa"/>
                    <w:right w:w="0" w:type="dxa"/>
                  </w:tcMar>
                  <w:vAlign w:val="center"/>
                </w:tcPr>
                <w:p>
                  <w:pPr>
                    <w:adjustRightInd w:val="0"/>
                    <w:snapToGrid w:val="0"/>
                    <w:jc w:val="center"/>
                    <w:rPr>
                      <w:rFonts w:hint="eastAsia" w:eastAsiaTheme="minorEastAsia"/>
                      <w:color w:val="auto"/>
                      <w:kern w:val="0"/>
                      <w:sz w:val="21"/>
                      <w:szCs w:val="21"/>
                      <w:lang w:val="en-US" w:eastAsia="zh-CN"/>
                    </w:rPr>
                  </w:pPr>
                  <w:r>
                    <w:rPr>
                      <w:rFonts w:hint="eastAsia" w:eastAsiaTheme="minorEastAsia"/>
                      <w:color w:val="auto"/>
                      <w:kern w:val="0"/>
                      <w:sz w:val="21"/>
                      <w:szCs w:val="21"/>
                      <w:lang w:val="en-US" w:eastAsia="zh-CN"/>
                    </w:rPr>
                    <w:t>废机油</w:t>
                  </w:r>
                </w:p>
              </w:tc>
              <w:tc>
                <w:tcPr>
                  <w:tcW w:w="2052" w:type="dxa"/>
                  <w:tcMar>
                    <w:top w:w="0" w:type="dxa"/>
                    <w:left w:w="0" w:type="dxa"/>
                    <w:bottom w:w="0" w:type="dxa"/>
                    <w:right w:w="0" w:type="dxa"/>
                  </w:tcMar>
                  <w:vAlign w:val="center"/>
                </w:tcPr>
                <w:p>
                  <w:pPr>
                    <w:adjustRightInd w:val="0"/>
                    <w:snapToGrid w:val="0"/>
                    <w:jc w:val="center"/>
                    <w:rPr>
                      <w:rFonts w:hint="eastAsia" w:eastAsiaTheme="minorEastAsia"/>
                      <w:color w:val="auto"/>
                      <w:kern w:val="0"/>
                      <w:sz w:val="21"/>
                      <w:szCs w:val="21"/>
                      <w:lang w:val="en-US" w:eastAsia="zh-CN"/>
                    </w:rPr>
                  </w:pPr>
                  <w:r>
                    <w:rPr>
                      <w:rFonts w:hint="eastAsia" w:eastAsiaTheme="minorEastAsia"/>
                      <w:color w:val="auto"/>
                      <w:kern w:val="0"/>
                      <w:sz w:val="21"/>
                      <w:szCs w:val="21"/>
                      <w:lang w:val="en-US" w:eastAsia="zh-CN"/>
                    </w:rPr>
                    <w:t>危险废物</w:t>
                  </w:r>
                </w:p>
              </w:tc>
              <w:tc>
                <w:tcPr>
                  <w:tcW w:w="2299" w:type="dxa"/>
                  <w:vMerge w:val="restart"/>
                  <w:tcMar>
                    <w:top w:w="0" w:type="dxa"/>
                    <w:left w:w="0" w:type="dxa"/>
                    <w:bottom w:w="0" w:type="dxa"/>
                    <w:right w:w="0" w:type="dxa"/>
                  </w:tcMar>
                  <w:vAlign w:val="center"/>
                </w:tcPr>
                <w:p>
                  <w:pPr>
                    <w:adjustRightInd w:val="0"/>
                    <w:snapToGrid w:val="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暂存于危险废物贮存点后定期交由资质单位处置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478" w:type="dxa"/>
                  <w:vMerge w:val="continue"/>
                  <w:vAlign w:val="center"/>
                </w:tcPr>
                <w:p>
                  <w:pPr>
                    <w:adjustRightInd w:val="0"/>
                    <w:snapToGrid w:val="0"/>
                    <w:jc w:val="center"/>
                    <w:rPr>
                      <w:rFonts w:eastAsiaTheme="minorEastAsia"/>
                      <w:color w:val="auto"/>
                      <w:kern w:val="0"/>
                      <w:sz w:val="21"/>
                      <w:szCs w:val="21"/>
                    </w:rPr>
                  </w:pPr>
                </w:p>
              </w:tc>
              <w:tc>
                <w:tcPr>
                  <w:tcW w:w="680" w:type="dxa"/>
                  <w:vMerge w:val="continue"/>
                  <w:tcMar>
                    <w:top w:w="0" w:type="dxa"/>
                    <w:left w:w="0" w:type="dxa"/>
                    <w:bottom w:w="0" w:type="dxa"/>
                    <w:right w:w="0" w:type="dxa"/>
                  </w:tcMar>
                  <w:vAlign w:val="center"/>
                </w:tcPr>
                <w:p>
                  <w:pPr>
                    <w:adjustRightInd w:val="0"/>
                    <w:snapToGrid w:val="0"/>
                    <w:jc w:val="center"/>
                    <w:rPr>
                      <w:rFonts w:hint="eastAsia" w:eastAsiaTheme="minorEastAsia"/>
                      <w:color w:val="auto"/>
                      <w:kern w:val="0"/>
                      <w:sz w:val="21"/>
                      <w:szCs w:val="21"/>
                      <w:lang w:val="en-US" w:eastAsia="zh-CN"/>
                    </w:rPr>
                  </w:pPr>
                </w:p>
              </w:tc>
              <w:tc>
                <w:tcPr>
                  <w:tcW w:w="2711" w:type="dxa"/>
                  <w:tcMar>
                    <w:top w:w="0" w:type="dxa"/>
                    <w:left w:w="0" w:type="dxa"/>
                    <w:bottom w:w="0" w:type="dxa"/>
                    <w:right w:w="0" w:type="dxa"/>
                  </w:tcMar>
                  <w:vAlign w:val="center"/>
                </w:tcPr>
                <w:p>
                  <w:pPr>
                    <w:adjustRightInd w:val="0"/>
                    <w:snapToGrid w:val="0"/>
                    <w:jc w:val="center"/>
                    <w:rPr>
                      <w:rFonts w:hint="eastAsia" w:eastAsiaTheme="minorEastAsia"/>
                      <w:color w:val="auto"/>
                      <w:kern w:val="0"/>
                      <w:sz w:val="21"/>
                      <w:szCs w:val="21"/>
                      <w:lang w:val="en-US" w:eastAsia="zh-CN"/>
                    </w:rPr>
                  </w:pPr>
                  <w:r>
                    <w:rPr>
                      <w:rFonts w:hint="eastAsia" w:eastAsiaTheme="minorEastAsia"/>
                      <w:color w:val="auto"/>
                      <w:kern w:val="0"/>
                      <w:sz w:val="21"/>
                      <w:szCs w:val="21"/>
                      <w:lang w:val="en-US" w:eastAsia="zh-CN"/>
                    </w:rPr>
                    <w:t>废机油桶</w:t>
                  </w:r>
                </w:p>
              </w:tc>
              <w:tc>
                <w:tcPr>
                  <w:tcW w:w="2052"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hint="eastAsia" w:eastAsiaTheme="minorEastAsia"/>
                      <w:color w:val="auto"/>
                      <w:kern w:val="0"/>
                      <w:sz w:val="21"/>
                      <w:szCs w:val="21"/>
                      <w:lang w:val="en-US" w:eastAsia="zh-CN"/>
                    </w:rPr>
                    <w:t>危险废物</w:t>
                  </w:r>
                </w:p>
              </w:tc>
              <w:tc>
                <w:tcPr>
                  <w:tcW w:w="2299" w:type="dxa"/>
                  <w:vMerge w:val="continue"/>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8" w:type="dxa"/>
                  <w:vMerge w:val="continue"/>
                  <w:vAlign w:val="center"/>
                </w:tcPr>
                <w:p>
                  <w:pPr>
                    <w:adjustRightInd w:val="0"/>
                    <w:snapToGrid w:val="0"/>
                    <w:jc w:val="center"/>
                    <w:rPr>
                      <w:rFonts w:eastAsiaTheme="minorEastAsia"/>
                      <w:color w:val="auto"/>
                      <w:kern w:val="0"/>
                      <w:sz w:val="21"/>
                      <w:szCs w:val="21"/>
                    </w:rPr>
                  </w:pPr>
                </w:p>
              </w:tc>
              <w:tc>
                <w:tcPr>
                  <w:tcW w:w="680" w:type="dxa"/>
                  <w:vMerge w:val="continue"/>
                  <w:tcMar>
                    <w:top w:w="0" w:type="dxa"/>
                    <w:left w:w="0" w:type="dxa"/>
                    <w:bottom w:w="0" w:type="dxa"/>
                    <w:right w:w="0" w:type="dxa"/>
                  </w:tcMar>
                  <w:vAlign w:val="center"/>
                </w:tcPr>
                <w:p>
                  <w:pPr>
                    <w:adjustRightInd w:val="0"/>
                    <w:snapToGrid w:val="0"/>
                    <w:jc w:val="center"/>
                    <w:rPr>
                      <w:rFonts w:hint="eastAsia" w:eastAsiaTheme="minorEastAsia"/>
                      <w:color w:val="auto"/>
                      <w:kern w:val="0"/>
                      <w:sz w:val="21"/>
                      <w:szCs w:val="21"/>
                      <w:lang w:val="en-US" w:eastAsia="zh-CN"/>
                    </w:rPr>
                  </w:pPr>
                </w:p>
              </w:tc>
              <w:tc>
                <w:tcPr>
                  <w:tcW w:w="2711" w:type="dxa"/>
                  <w:tcMar>
                    <w:top w:w="0" w:type="dxa"/>
                    <w:left w:w="0" w:type="dxa"/>
                    <w:bottom w:w="0" w:type="dxa"/>
                    <w:right w:w="0" w:type="dxa"/>
                  </w:tcMar>
                  <w:vAlign w:val="center"/>
                </w:tcPr>
                <w:p>
                  <w:pPr>
                    <w:adjustRightInd w:val="0"/>
                    <w:snapToGrid w:val="0"/>
                    <w:jc w:val="center"/>
                    <w:rPr>
                      <w:rFonts w:hint="eastAsia" w:eastAsiaTheme="minorEastAsia"/>
                      <w:color w:val="auto"/>
                      <w:kern w:val="0"/>
                      <w:sz w:val="21"/>
                      <w:szCs w:val="21"/>
                      <w:lang w:val="en-US" w:eastAsia="zh-CN"/>
                    </w:rPr>
                  </w:pPr>
                  <w:r>
                    <w:rPr>
                      <w:rFonts w:hint="eastAsia" w:eastAsiaTheme="minorEastAsia"/>
                      <w:color w:val="auto"/>
                      <w:kern w:val="0"/>
                      <w:sz w:val="21"/>
                      <w:szCs w:val="21"/>
                      <w:lang w:val="en-US" w:eastAsia="zh-CN"/>
                    </w:rPr>
                    <w:t>含油抹布及手套</w:t>
                  </w:r>
                </w:p>
              </w:tc>
              <w:tc>
                <w:tcPr>
                  <w:tcW w:w="2052" w:type="dxa"/>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r>
                    <w:rPr>
                      <w:rFonts w:hint="eastAsia" w:eastAsiaTheme="minorEastAsia"/>
                      <w:color w:val="auto"/>
                      <w:kern w:val="0"/>
                      <w:sz w:val="21"/>
                      <w:szCs w:val="21"/>
                      <w:lang w:val="en-US" w:eastAsia="zh-CN"/>
                    </w:rPr>
                    <w:t>危险废物</w:t>
                  </w:r>
                </w:p>
              </w:tc>
              <w:tc>
                <w:tcPr>
                  <w:tcW w:w="2299" w:type="dxa"/>
                  <w:vMerge w:val="continue"/>
                  <w:tcMar>
                    <w:top w:w="0" w:type="dxa"/>
                    <w:left w:w="0" w:type="dxa"/>
                    <w:bottom w:w="0" w:type="dxa"/>
                    <w:right w:w="0" w:type="dxa"/>
                  </w:tcMar>
                  <w:vAlign w:val="center"/>
                </w:tcPr>
                <w:p>
                  <w:pPr>
                    <w:adjustRightInd w:val="0"/>
                    <w:snapToGrid w:val="0"/>
                    <w:jc w:val="center"/>
                    <w:rPr>
                      <w:rFonts w:eastAsiaTheme="minorEastAsia"/>
                      <w:color w:val="auto"/>
                      <w:kern w:val="0"/>
                      <w:sz w:val="21"/>
                      <w:szCs w:val="21"/>
                    </w:rPr>
                  </w:pPr>
                </w:p>
              </w:tc>
            </w:tr>
          </w:tbl>
          <w:p>
            <w:pPr>
              <w:pStyle w:val="6"/>
              <w:keepNext w:val="0"/>
              <w:keepLines w:val="0"/>
              <w:pageBreakBefore w:val="0"/>
              <w:kinsoku/>
              <w:wordWrap/>
              <w:overflowPunct/>
              <w:topLinePunct w:val="0"/>
              <w:autoSpaceDE/>
              <w:autoSpaceDN/>
              <w:bidi w:val="0"/>
              <w:adjustRightInd w:val="0"/>
              <w:snapToGrid w:val="0"/>
              <w:spacing w:after="0" w:line="360" w:lineRule="auto"/>
              <w:ind w:left="0" w:leftChars="0" w:firstLine="481" w:firstLineChars="200"/>
              <w:textAlignment w:val="auto"/>
              <w:rPr>
                <w:b/>
                <w:bCs/>
                <w:snapToGrid w:val="0"/>
                <w:color w:val="auto"/>
                <w:kern w:val="0"/>
                <w:sz w:val="24"/>
              </w:rPr>
            </w:pPr>
            <w:r>
              <w:rPr>
                <w:rFonts w:hint="eastAsia"/>
                <w:b/>
                <w:bCs/>
                <w:color w:val="auto"/>
                <w:sz w:val="24"/>
                <w:szCs w:val="24"/>
                <w:lang w:val="en-US" w:eastAsia="zh-CN"/>
              </w:rPr>
              <w:t>3、拆除阶段</w:t>
            </w:r>
            <w:r>
              <w:rPr>
                <w:b/>
                <w:bCs/>
                <w:snapToGrid w:val="0"/>
                <w:color w:val="auto"/>
                <w:kern w:val="0"/>
                <w:sz w:val="24"/>
              </w:rPr>
              <w:t>工艺流程及产污环节</w:t>
            </w:r>
          </w:p>
          <w:p>
            <w:pPr>
              <w:keepNext w:val="0"/>
              <w:keepLines w:val="0"/>
              <w:pageBreakBefore w:val="0"/>
              <w:numPr>
                <w:ilvl w:val="0"/>
                <w:numId w:val="0"/>
              </w:numPr>
              <w:tabs>
                <w:tab w:val="left" w:pos="2430"/>
              </w:tabs>
              <w:kinsoku/>
              <w:wordWrap/>
              <w:overflowPunct/>
              <w:topLinePunct w:val="0"/>
              <w:autoSpaceDE/>
              <w:autoSpaceDN/>
              <w:bidi w:val="0"/>
              <w:adjustRightInd w:val="0"/>
              <w:snapToGrid w:val="0"/>
              <w:spacing w:line="360" w:lineRule="auto"/>
              <w:ind w:left="0" w:leftChars="0" w:firstLine="481" w:firstLineChars="200"/>
              <w:textAlignment w:val="auto"/>
              <w:rPr>
                <w:b/>
                <w:bCs/>
                <w:snapToGrid w:val="0"/>
                <w:color w:val="auto"/>
                <w:kern w:val="0"/>
                <w:sz w:val="24"/>
              </w:rPr>
            </w:pPr>
            <w:r>
              <w:rPr>
                <w:rFonts w:hint="eastAsia"/>
                <w:b/>
                <w:bCs/>
                <w:color w:val="auto"/>
                <w:sz w:val="24"/>
                <w:lang w:eastAsia="zh-CN"/>
              </w:rPr>
              <w:t>（</w:t>
            </w:r>
            <w:r>
              <w:rPr>
                <w:rFonts w:hint="eastAsia"/>
                <w:b/>
                <w:bCs/>
                <w:color w:val="auto"/>
                <w:sz w:val="24"/>
                <w:lang w:val="en-US" w:eastAsia="zh-CN"/>
              </w:rPr>
              <w:t>1）</w:t>
            </w:r>
            <w:r>
              <w:rPr>
                <w:b/>
                <w:bCs/>
                <w:color w:val="auto"/>
                <w:sz w:val="24"/>
              </w:rPr>
              <w:t>施工工艺流程</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cs="Times New Roman"/>
                <w:color w:val="auto"/>
                <w:kern w:val="0"/>
                <w:sz w:val="24"/>
                <w:lang w:bidi="ar"/>
              </w:rPr>
            </w:pPr>
            <w:r>
              <w:rPr>
                <w:rFonts w:hint="default" w:ascii="Times New Roman" w:hAnsi="Times New Roman" w:cs="Times New Roman"/>
                <w:color w:val="auto"/>
                <w:sz w:val="24"/>
              </w:rPr>
              <w:t>本项目</w:t>
            </w:r>
            <w:r>
              <w:rPr>
                <w:rFonts w:hint="default" w:ascii="Times New Roman" w:hAnsi="Times New Roman" w:cs="Times New Roman"/>
                <w:color w:val="auto"/>
                <w:sz w:val="24"/>
                <w:lang w:eastAsia="zh-CN"/>
              </w:rPr>
              <w:t>拆除过程</w:t>
            </w:r>
            <w:r>
              <w:rPr>
                <w:rFonts w:hint="default" w:ascii="Times New Roman" w:hAnsi="Times New Roman" w:cs="Times New Roman"/>
                <w:color w:val="auto"/>
                <w:kern w:val="0"/>
                <w:sz w:val="24"/>
                <w:lang w:bidi="ar"/>
              </w:rPr>
              <w:t>工程量</w:t>
            </w:r>
            <w:r>
              <w:rPr>
                <w:rFonts w:hint="default" w:ascii="Times New Roman" w:hAnsi="Times New Roman" w:cs="Times New Roman"/>
                <w:color w:val="auto"/>
                <w:kern w:val="0"/>
                <w:sz w:val="24"/>
                <w:lang w:eastAsia="zh-CN" w:bidi="ar"/>
              </w:rPr>
              <w:t>较</w:t>
            </w:r>
            <w:r>
              <w:rPr>
                <w:rFonts w:hint="default" w:ascii="Times New Roman" w:hAnsi="Times New Roman" w:cs="Times New Roman"/>
                <w:color w:val="auto"/>
                <w:kern w:val="0"/>
                <w:sz w:val="24"/>
                <w:lang w:bidi="ar"/>
              </w:rPr>
              <w:t>小</w:t>
            </w:r>
            <w:r>
              <w:rPr>
                <w:rFonts w:hint="eastAsia" w:cs="Times New Roman"/>
                <w:color w:val="auto"/>
                <w:kern w:val="0"/>
                <w:sz w:val="24"/>
                <w:lang w:eastAsia="zh-CN" w:bidi="ar"/>
              </w:rPr>
              <w:t>，</w:t>
            </w:r>
            <w:r>
              <w:rPr>
                <w:rFonts w:hint="default" w:ascii="Times New Roman" w:hAnsi="Times New Roman" w:cs="Times New Roman"/>
                <w:color w:val="auto"/>
                <w:kern w:val="0"/>
                <w:sz w:val="24"/>
                <w:lang w:bidi="ar"/>
              </w:rPr>
              <w:t>工期</w:t>
            </w:r>
            <w:r>
              <w:rPr>
                <w:rFonts w:hint="default" w:ascii="Times New Roman" w:hAnsi="Times New Roman" w:cs="Times New Roman"/>
                <w:color w:val="auto"/>
                <w:kern w:val="0"/>
                <w:sz w:val="24"/>
                <w:lang w:eastAsia="zh-CN" w:bidi="ar"/>
              </w:rPr>
              <w:t>为</w:t>
            </w:r>
            <w:r>
              <w:rPr>
                <w:rFonts w:hint="default" w:ascii="Times New Roman" w:hAnsi="Times New Roman" w:cs="Times New Roman"/>
                <w:color w:val="auto"/>
                <w:kern w:val="0"/>
                <w:sz w:val="24"/>
                <w:lang w:val="en-US" w:eastAsia="zh-CN" w:bidi="ar"/>
              </w:rPr>
              <w:t>1</w:t>
            </w:r>
            <w:r>
              <w:rPr>
                <w:rFonts w:hint="default" w:ascii="Times New Roman" w:hAnsi="Times New Roman" w:cs="Times New Roman"/>
                <w:color w:val="auto"/>
                <w:kern w:val="0"/>
                <w:sz w:val="24"/>
                <w:lang w:bidi="ar"/>
              </w:rPr>
              <w:t>0天，</w:t>
            </w:r>
            <w:r>
              <w:rPr>
                <w:rFonts w:hint="default" w:ascii="Times New Roman" w:hAnsi="Times New Roman" w:cs="Times New Roman"/>
                <w:color w:val="auto"/>
                <w:sz w:val="24"/>
              </w:rPr>
              <w:t>主要施工作业内容为</w:t>
            </w:r>
            <w:r>
              <w:rPr>
                <w:rFonts w:hint="eastAsia" w:cs="Times New Roman"/>
                <w:color w:val="auto"/>
                <w:sz w:val="24"/>
                <w:lang w:val="en-US" w:eastAsia="zh-CN"/>
              </w:rPr>
              <w:t>拌合</w:t>
            </w:r>
            <w:r>
              <w:rPr>
                <w:rFonts w:hint="default" w:ascii="Times New Roman" w:hAnsi="Times New Roman" w:cs="Times New Roman"/>
                <w:color w:val="auto"/>
                <w:sz w:val="24"/>
                <w:lang w:eastAsia="zh-CN"/>
              </w:rPr>
              <w:t>站拆除、场地平整，拆除过程中将产生少量的</w:t>
            </w:r>
            <w:r>
              <w:rPr>
                <w:rFonts w:hint="default" w:ascii="Times New Roman" w:hAnsi="Times New Roman" w:cs="Times New Roman"/>
                <w:color w:val="auto"/>
                <w:kern w:val="0"/>
                <w:sz w:val="24"/>
                <w:lang w:bidi="ar"/>
              </w:rPr>
              <w:t>废气、废水、噪声、固体废物等污染物。</w:t>
            </w:r>
            <w:r>
              <w:rPr>
                <w:rFonts w:hint="default" w:ascii="Times New Roman" w:hAnsi="Times New Roman" w:cs="Times New Roman"/>
                <w:color w:val="auto"/>
                <w:kern w:val="0"/>
                <w:sz w:val="24"/>
                <w:lang w:eastAsia="zh-CN" w:bidi="ar"/>
              </w:rPr>
              <w:t>拆除过程</w:t>
            </w:r>
            <w:r>
              <w:rPr>
                <w:rFonts w:hint="default" w:ascii="Times New Roman" w:hAnsi="Times New Roman" w:cs="Times New Roman"/>
                <w:color w:val="auto"/>
                <w:kern w:val="0"/>
                <w:sz w:val="24"/>
                <w:lang w:bidi="ar"/>
              </w:rPr>
              <w:t>工艺流程及产污情况见图2-</w:t>
            </w:r>
            <w:r>
              <w:rPr>
                <w:rFonts w:hint="eastAsia" w:cs="Times New Roman"/>
                <w:color w:val="auto"/>
                <w:kern w:val="0"/>
                <w:sz w:val="24"/>
                <w:lang w:val="en-US" w:eastAsia="zh-CN" w:bidi="ar"/>
              </w:rPr>
              <w:t>7</w:t>
            </w:r>
            <w:r>
              <w:rPr>
                <w:rFonts w:hint="default" w:ascii="Times New Roman" w:hAnsi="Times New Roman" w:cs="Times New Roman"/>
                <w:color w:val="auto"/>
                <w:kern w:val="0"/>
                <w:sz w:val="24"/>
                <w:lang w:bidi="ar"/>
              </w:rPr>
              <w:t>：</w:t>
            </w:r>
          </w:p>
          <w:p>
            <w:pPr>
              <w:pStyle w:val="6"/>
              <w:adjustRightInd w:val="0"/>
              <w:snapToGrid w:val="0"/>
              <w:spacing w:after="0" w:line="360" w:lineRule="auto"/>
              <w:ind w:left="0" w:leftChars="0" w:firstLine="0" w:firstLineChars="0"/>
              <w:jc w:val="center"/>
              <w:rPr>
                <w:b/>
                <w:bCs/>
                <w:color w:val="auto"/>
                <w:szCs w:val="24"/>
              </w:rPr>
            </w:pPr>
            <w:r>
              <w:rPr>
                <w:rFonts w:hint="eastAsia" w:eastAsia="宋体"/>
                <w:color w:val="FF0000"/>
                <w:lang w:eastAsia="zh-CN"/>
              </w:rPr>
              <w:object>
                <v:shape id="_x0000_i1028" o:spt="75" type="#_x0000_t75" style="height:133pt;width:412.3pt;" o:ole="t" filled="f" o:preferrelative="t" stroked="f" coordsize="21600,21600">
                  <v:path/>
                  <v:fill on="f" focussize="0,0"/>
                  <v:stroke on="f"/>
                  <v:imagedata r:id="rId20" o:title=""/>
                  <o:lock v:ext="edit" aspectratio="t"/>
                  <w10:wrap type="none"/>
                  <w10:anchorlock/>
                </v:shape>
                <o:OLEObject Type="Embed" ProgID="Visio.Drawing.15" ShapeID="_x0000_i1028" DrawAspect="Content" ObjectID="_1468075728" r:id="rId19">
                  <o:LockedField>false</o:LockedField>
                </o:OLEObject>
              </w:object>
            </w:r>
            <w:r>
              <w:rPr>
                <w:b/>
                <w:bCs/>
                <w:color w:val="auto"/>
                <w:sz w:val="21"/>
                <w:szCs w:val="21"/>
              </w:rPr>
              <w:t>图2-</w:t>
            </w:r>
            <w:r>
              <w:rPr>
                <w:rFonts w:hint="eastAsia"/>
                <w:b/>
                <w:bCs/>
                <w:color w:val="auto"/>
                <w:sz w:val="21"/>
                <w:szCs w:val="21"/>
                <w:lang w:val="en-US" w:eastAsia="zh-CN"/>
              </w:rPr>
              <w:t>7</w:t>
            </w:r>
            <w:r>
              <w:rPr>
                <w:b/>
                <w:bCs/>
                <w:color w:val="auto"/>
                <w:sz w:val="21"/>
                <w:szCs w:val="21"/>
              </w:rPr>
              <w:t xml:space="preserve">  工艺流程及产污环节示意图</w:t>
            </w:r>
          </w:p>
          <w:p>
            <w:pPr>
              <w:adjustRightInd w:val="0"/>
              <w:snapToGrid w:val="0"/>
              <w:spacing w:line="360" w:lineRule="auto"/>
              <w:ind w:firstLine="481" w:firstLineChars="200"/>
              <w:rPr>
                <w:b/>
                <w:bCs/>
                <w:color w:val="auto"/>
                <w:sz w:val="24"/>
              </w:rPr>
            </w:pPr>
            <w:r>
              <w:rPr>
                <w:b/>
                <w:bCs/>
                <w:color w:val="auto"/>
                <w:sz w:val="24"/>
              </w:rPr>
              <w:t>（2）</w:t>
            </w:r>
            <w:r>
              <w:rPr>
                <w:rFonts w:hint="eastAsia"/>
                <w:b/>
                <w:bCs/>
                <w:color w:val="auto"/>
                <w:sz w:val="24"/>
                <w:lang w:eastAsia="zh-CN"/>
              </w:rPr>
              <w:t>拆除阶段</w:t>
            </w:r>
            <w:r>
              <w:rPr>
                <w:b/>
                <w:bCs/>
                <w:color w:val="auto"/>
                <w:sz w:val="24"/>
              </w:rPr>
              <w:t>主要污染源分析</w:t>
            </w:r>
          </w:p>
          <w:p>
            <w:pPr>
              <w:pStyle w:val="16"/>
              <w:adjustRightInd w:val="0"/>
              <w:spacing w:line="360" w:lineRule="auto"/>
              <w:ind w:firstLine="480" w:firstLineChars="200"/>
              <w:rPr>
                <w:color w:val="auto"/>
                <w:sz w:val="24"/>
                <w:szCs w:val="24"/>
                <w:lang w:bidi="ar"/>
              </w:rPr>
            </w:pPr>
            <w:r>
              <w:rPr>
                <w:color w:val="auto"/>
                <w:sz w:val="24"/>
                <w:szCs w:val="24"/>
              </w:rPr>
              <w:t>①废气：</w:t>
            </w:r>
            <w:r>
              <w:rPr>
                <w:color w:val="auto"/>
                <w:sz w:val="24"/>
                <w:szCs w:val="24"/>
                <w:lang w:bidi="ar"/>
              </w:rPr>
              <w:t>主要为</w:t>
            </w:r>
            <w:r>
              <w:rPr>
                <w:rFonts w:hint="eastAsia"/>
                <w:color w:val="auto"/>
                <w:sz w:val="24"/>
                <w:szCs w:val="24"/>
                <w:lang w:eastAsia="zh-CN" w:bidi="ar"/>
              </w:rPr>
              <w:t>拆除过程产生的扬尘</w:t>
            </w:r>
            <w:r>
              <w:rPr>
                <w:color w:val="auto"/>
                <w:sz w:val="24"/>
                <w:szCs w:val="24"/>
                <w:lang w:bidi="ar"/>
              </w:rPr>
              <w:t>；施工中运输车辆产生的扬尘；运输车辆、施工机械及动力设备排出的尾气；施工机械在作业带上行驶以及施工便道建筑等引起的扬尘。主要污染因子为TSP、NO</w:t>
            </w:r>
            <w:r>
              <w:rPr>
                <w:color w:val="auto"/>
                <w:sz w:val="24"/>
                <w:szCs w:val="24"/>
                <w:vertAlign w:val="subscript"/>
                <w:lang w:bidi="ar"/>
              </w:rPr>
              <w:t>X</w:t>
            </w:r>
            <w:r>
              <w:rPr>
                <w:color w:val="auto"/>
                <w:sz w:val="24"/>
                <w:szCs w:val="24"/>
                <w:lang w:bidi="ar"/>
              </w:rPr>
              <w:t>、CO等。</w:t>
            </w:r>
          </w:p>
          <w:p>
            <w:pPr>
              <w:pStyle w:val="16"/>
              <w:adjustRightInd w:val="0"/>
              <w:spacing w:line="360" w:lineRule="auto"/>
              <w:ind w:firstLine="480" w:firstLineChars="200"/>
              <w:rPr>
                <w:color w:val="auto"/>
                <w:sz w:val="24"/>
                <w:szCs w:val="24"/>
              </w:rPr>
            </w:pPr>
            <w:r>
              <w:rPr>
                <w:color w:val="auto"/>
                <w:sz w:val="24"/>
                <w:szCs w:val="24"/>
              </w:rPr>
              <w:t>②废水：</w:t>
            </w:r>
            <w:r>
              <w:rPr>
                <w:color w:val="auto"/>
                <w:sz w:val="24"/>
                <w:szCs w:val="24"/>
                <w:lang w:bidi="ar"/>
              </w:rPr>
              <w:t>主要来源于施工人员生活污水及施工废水。废水中主要污染因子为COD、BOD</w:t>
            </w:r>
            <w:r>
              <w:rPr>
                <w:color w:val="auto"/>
                <w:sz w:val="24"/>
                <w:szCs w:val="24"/>
                <w:vertAlign w:val="subscript"/>
                <w:lang w:bidi="ar"/>
              </w:rPr>
              <w:t>5</w:t>
            </w:r>
            <w:r>
              <w:rPr>
                <w:color w:val="auto"/>
                <w:sz w:val="24"/>
                <w:szCs w:val="24"/>
                <w:lang w:bidi="ar"/>
              </w:rPr>
              <w:t>、SS、氨氮、总磷、总氮、石油类等。</w:t>
            </w:r>
          </w:p>
          <w:p>
            <w:pPr>
              <w:pStyle w:val="16"/>
              <w:adjustRightInd w:val="0"/>
              <w:spacing w:line="360" w:lineRule="auto"/>
              <w:ind w:firstLine="480" w:firstLineChars="200"/>
              <w:rPr>
                <w:color w:val="auto"/>
                <w:sz w:val="24"/>
                <w:szCs w:val="24"/>
              </w:rPr>
            </w:pPr>
            <w:r>
              <w:rPr>
                <w:color w:val="auto"/>
                <w:sz w:val="24"/>
                <w:szCs w:val="24"/>
              </w:rPr>
              <w:t>③噪声：</w:t>
            </w:r>
            <w:r>
              <w:rPr>
                <w:color w:val="auto"/>
                <w:sz w:val="24"/>
                <w:szCs w:val="24"/>
                <w:lang w:bidi="ar"/>
              </w:rPr>
              <w:t>施工期噪声主要来自各类施工机械及运输车辆，为非稳态噪声，持续时间短。</w:t>
            </w:r>
          </w:p>
          <w:p>
            <w:pPr>
              <w:pStyle w:val="16"/>
              <w:adjustRightInd w:val="0"/>
              <w:spacing w:line="360" w:lineRule="auto"/>
              <w:ind w:firstLine="480" w:firstLineChars="200"/>
              <w:rPr>
                <w:b/>
                <w:bCs/>
                <w:color w:val="FF0000"/>
                <w:sz w:val="21"/>
                <w:szCs w:val="21"/>
              </w:rPr>
            </w:pPr>
            <w:r>
              <w:rPr>
                <w:color w:val="auto"/>
                <w:sz w:val="24"/>
                <w:szCs w:val="24"/>
              </w:rPr>
              <w:t>④固体废物：</w:t>
            </w:r>
            <w:r>
              <w:rPr>
                <w:rFonts w:hint="eastAsia"/>
                <w:color w:val="auto"/>
                <w:sz w:val="24"/>
                <w:szCs w:val="24"/>
                <w:lang w:eastAsia="zh-CN" w:bidi="ar"/>
              </w:rPr>
              <w:t>拆除过程</w:t>
            </w:r>
            <w:r>
              <w:rPr>
                <w:color w:val="auto"/>
                <w:sz w:val="24"/>
                <w:szCs w:val="24"/>
                <w:lang w:bidi="ar"/>
              </w:rPr>
              <w:t>产生的固体废物主要有</w:t>
            </w:r>
            <w:r>
              <w:rPr>
                <w:rFonts w:hint="eastAsia"/>
                <w:color w:val="auto"/>
                <w:sz w:val="24"/>
                <w:szCs w:val="24"/>
                <w:lang w:eastAsia="zh-CN" w:bidi="ar"/>
              </w:rPr>
              <w:t>拆除过程产生的建筑垃圾、</w:t>
            </w:r>
            <w:r>
              <w:rPr>
                <w:color w:val="auto"/>
                <w:sz w:val="24"/>
                <w:szCs w:val="24"/>
                <w:lang w:bidi="ar"/>
              </w:rPr>
              <w:t>施工人员的生活垃圾。建筑垃圾</w:t>
            </w:r>
            <w:r>
              <w:rPr>
                <w:rFonts w:hint="eastAsia"/>
                <w:color w:val="auto"/>
                <w:sz w:val="24"/>
                <w:szCs w:val="24"/>
                <w:lang w:bidi="ar"/>
              </w:rPr>
              <w:t>运至政府指定地点处置；施工现场</w:t>
            </w:r>
            <w:r>
              <w:rPr>
                <w:color w:val="auto"/>
                <w:sz w:val="24"/>
                <w:szCs w:val="24"/>
                <w:lang w:bidi="ar"/>
              </w:rPr>
              <w:t>设置2个垃圾桶收集生活垃圾，运至附近的垃圾转运点处理。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13" w:type="dxa"/>
            <w:left w:w="108" w:type="dxa"/>
            <w:bottom w:w="113" w:type="dxa"/>
            <w:right w:w="108" w:type="dxa"/>
          </w:tblCellMar>
        </w:tblPrEx>
        <w:trPr>
          <w:trHeight w:val="12189" w:hRule="atLeast"/>
          <w:jc w:val="center"/>
        </w:trPr>
        <w:tc>
          <w:tcPr>
            <w:tcW w:w="583" w:type="dxa"/>
            <w:vAlign w:val="center"/>
          </w:tcPr>
          <w:p>
            <w:pPr>
              <w:pStyle w:val="7"/>
              <w:adjustRightInd w:val="0"/>
              <w:snapToGrid w:val="0"/>
              <w:ind w:left="0" w:leftChars="0"/>
              <w:jc w:val="center"/>
              <w:rPr>
                <w:b/>
                <w:bCs/>
                <w:color w:val="FF0000"/>
              </w:rPr>
            </w:pPr>
            <w:r>
              <w:rPr>
                <w:rFonts w:hint="eastAsia"/>
                <w:b/>
                <w:bCs/>
                <w:color w:val="auto"/>
              </w:rPr>
              <w:t>与项目有关的原有环境污染问题</w:t>
            </w:r>
          </w:p>
        </w:tc>
        <w:tc>
          <w:tcPr>
            <w:tcW w:w="8365"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jc w:val="both"/>
              <w:textAlignment w:val="auto"/>
              <w:rPr>
                <w:color w:val="FF0000"/>
              </w:rPr>
            </w:pPr>
            <w:r>
              <w:rPr>
                <w:rFonts w:hint="default" w:ascii="Times New Roman" w:hAnsi="Times New Roman" w:eastAsia="宋体" w:cs="Times New Roman"/>
                <w:b w:val="0"/>
                <w:bCs w:val="0"/>
                <w:color w:val="auto"/>
                <w:sz w:val="24"/>
                <w:szCs w:val="24"/>
                <w:lang w:val="en-US" w:eastAsia="zh-CN"/>
              </w:rPr>
              <w:t>本项目属于新建项目，</w:t>
            </w:r>
            <w:r>
              <w:rPr>
                <w:rFonts w:hint="eastAsia" w:ascii="Times New Roman" w:hAnsi="Times New Roman" w:eastAsia="宋体" w:cs="Times New Roman"/>
                <w:b w:val="0"/>
                <w:bCs w:val="0"/>
                <w:color w:val="auto"/>
                <w:sz w:val="24"/>
                <w:szCs w:val="24"/>
                <w:lang w:val="en-US" w:eastAsia="zh-CN"/>
              </w:rPr>
              <w:t>不存在与本项目有关的原有污染情况及主要环境问题。</w:t>
            </w:r>
          </w:p>
        </w:tc>
      </w:tr>
    </w:tbl>
    <w:p>
      <w:pPr>
        <w:rPr>
          <w:color w:val="FF0000"/>
        </w:rPr>
        <w:sectPr>
          <w:pgSz w:w="11906" w:h="16838"/>
          <w:pgMar w:top="1587" w:right="1587" w:bottom="1587" w:left="1587" w:header="1304" w:footer="1020" w:gutter="0"/>
          <w:pgBorders>
            <w:top w:val="none" w:sz="0" w:space="0"/>
            <w:left w:val="none" w:sz="0" w:space="0"/>
            <w:bottom w:val="none" w:sz="0" w:space="0"/>
            <w:right w:val="none" w:sz="0" w:space="0"/>
          </w:pgBorders>
          <w:cols w:space="720" w:num="1"/>
          <w:docGrid w:type="lines" w:linePitch="312" w:charSpace="0"/>
        </w:sectPr>
      </w:pPr>
    </w:p>
    <w:p>
      <w:pPr>
        <w:tabs>
          <w:tab w:val="left" w:pos="1680"/>
        </w:tabs>
        <w:adjustRightInd w:val="0"/>
        <w:snapToGrid w:val="0"/>
        <w:jc w:val="center"/>
        <w:outlineLvl w:val="0"/>
        <w:rPr>
          <w:rFonts w:eastAsia="黑体"/>
          <w:color w:val="auto"/>
          <w:sz w:val="30"/>
          <w:szCs w:val="30"/>
          <w:highlight w:val="none"/>
        </w:rPr>
      </w:pPr>
      <w:r>
        <w:rPr>
          <w:rFonts w:eastAsia="黑体"/>
          <w:color w:val="auto"/>
          <w:sz w:val="30"/>
          <w:szCs w:val="30"/>
          <w:highlight w:val="none"/>
        </w:rPr>
        <w:t>三、区域环境质量现状、环境保护目标及评价标准</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08" w:type="dxa"/>
          <w:left w:w="108" w:type="dxa"/>
          <w:bottom w:w="0" w:type="dxa"/>
          <w:right w:w="108" w:type="dxa"/>
        </w:tblCellMar>
      </w:tblPr>
      <w:tblGrid>
        <w:gridCol w:w="597"/>
        <w:gridCol w:w="85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08" w:type="dxa"/>
            <w:left w:w="108" w:type="dxa"/>
            <w:bottom w:w="0" w:type="dxa"/>
            <w:right w:w="108" w:type="dxa"/>
          </w:tblCellMar>
        </w:tblPrEx>
        <w:trPr>
          <w:trHeight w:val="23" w:hRule="atLeast"/>
          <w:jc w:val="center"/>
        </w:trPr>
        <w:tc>
          <w:tcPr>
            <w:tcW w:w="597" w:type="dxa"/>
            <w:vAlign w:val="center"/>
          </w:tcPr>
          <w:p>
            <w:pPr>
              <w:adjustRightInd w:val="0"/>
              <w:snapToGrid w:val="0"/>
              <w:jc w:val="center"/>
              <w:rPr>
                <w:b/>
                <w:bCs/>
                <w:color w:val="FF0000"/>
                <w:kern w:val="0"/>
                <w:sz w:val="24"/>
              </w:rPr>
            </w:pPr>
            <w:r>
              <w:rPr>
                <w:b/>
                <w:bCs/>
                <w:color w:val="auto"/>
                <w:kern w:val="0"/>
                <w:sz w:val="24"/>
              </w:rPr>
              <w:t>区域环境质量现状</w:t>
            </w:r>
          </w:p>
        </w:tc>
        <w:tc>
          <w:tcPr>
            <w:tcW w:w="8577" w:type="dxa"/>
            <w:vAlign w:val="center"/>
          </w:tcPr>
          <w:p>
            <w:pPr>
              <w:keepNext w:val="0"/>
              <w:keepLines w:val="0"/>
              <w:pageBreakBefore w:val="0"/>
              <w:widowControl w:val="0"/>
              <w:kinsoku/>
              <w:wordWrap/>
              <w:topLinePunct w:val="0"/>
              <w:autoSpaceDE/>
              <w:autoSpaceDN/>
              <w:bidi w:val="0"/>
              <w:adjustRightInd w:val="0"/>
              <w:snapToGrid w:val="0"/>
              <w:spacing w:line="360" w:lineRule="auto"/>
              <w:ind w:firstLine="481" w:firstLineChars="200"/>
              <w:textAlignment w:val="auto"/>
              <w:rPr>
                <w:b/>
                <w:bCs/>
                <w:snapToGrid w:val="0"/>
                <w:color w:val="000000" w:themeColor="text1"/>
                <w:kern w:val="0"/>
                <w:sz w:val="24"/>
                <w:szCs w:val="22"/>
                <w14:textFill>
                  <w14:solidFill>
                    <w14:schemeClr w14:val="tx1"/>
                  </w14:solidFill>
                </w14:textFill>
              </w:rPr>
            </w:pPr>
            <w:r>
              <w:rPr>
                <w:b/>
                <w:bCs/>
                <w:snapToGrid w:val="0"/>
                <w:color w:val="000000" w:themeColor="text1"/>
                <w:kern w:val="0"/>
                <w:sz w:val="24"/>
                <w:szCs w:val="22"/>
                <w14:textFill>
                  <w14:solidFill>
                    <w14:schemeClr w14:val="tx1"/>
                  </w14:solidFill>
                </w14:textFill>
              </w:rPr>
              <w:t>1、环境空气质量现状</w:t>
            </w:r>
          </w:p>
          <w:p>
            <w:pPr>
              <w:keepNext w:val="0"/>
              <w:keepLines w:val="0"/>
              <w:pageBreakBefore w:val="0"/>
              <w:widowControl w:val="0"/>
              <w:kinsoku/>
              <w:wordWrap/>
              <w:overflowPunct w:val="0"/>
              <w:topLinePunct w:val="0"/>
              <w:autoSpaceDE/>
              <w:autoSpaceDN/>
              <w:bidi w:val="0"/>
              <w:adjustRightInd w:val="0"/>
              <w:snapToGrid w:val="0"/>
              <w:spacing w:line="360" w:lineRule="auto"/>
              <w:ind w:firstLine="481" w:firstLineChars="200"/>
              <w:textAlignment w:val="auto"/>
              <w:rPr>
                <w:b/>
                <w:bCs/>
                <w:color w:val="auto"/>
                <w:sz w:val="24"/>
              </w:rPr>
            </w:pPr>
            <w:r>
              <w:rPr>
                <w:b/>
                <w:bCs/>
                <w:color w:val="auto"/>
                <w:sz w:val="24"/>
              </w:rPr>
              <w:t>（1）基本污染物</w:t>
            </w:r>
          </w:p>
          <w:p>
            <w:pPr>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color w:val="auto"/>
                <w:sz w:val="24"/>
              </w:rPr>
            </w:pPr>
            <w:r>
              <w:rPr>
                <w:color w:val="auto"/>
                <w:sz w:val="24"/>
              </w:rPr>
              <w:t>本项目位于宁夏回族自治区</w:t>
            </w:r>
            <w:r>
              <w:rPr>
                <w:rFonts w:hint="default" w:ascii="Times New Roman" w:hAnsi="Times New Roman" w:eastAsia="宋体" w:cs="Times New Roman"/>
                <w:color w:val="auto"/>
                <w:sz w:val="24"/>
                <w:szCs w:val="24"/>
                <w:lang w:val="en-US" w:eastAsia="zh-CN"/>
              </w:rPr>
              <w:t>中卫市沙坡头区东园镇</w:t>
            </w:r>
            <w:r>
              <w:rPr>
                <w:color w:val="auto"/>
                <w:sz w:val="24"/>
              </w:rPr>
              <w:t>，本次评价引用《202</w:t>
            </w:r>
            <w:r>
              <w:rPr>
                <w:rFonts w:hint="eastAsia"/>
                <w:color w:val="auto"/>
                <w:sz w:val="24"/>
                <w:lang w:val="en-US" w:eastAsia="zh-CN"/>
              </w:rPr>
              <w:t>3</w:t>
            </w:r>
            <w:r>
              <w:rPr>
                <w:color w:val="auto"/>
                <w:sz w:val="24"/>
              </w:rPr>
              <w:t>年宁夏生态环境质量状况》中剔除沙尘天气影响后，中卫市</w:t>
            </w:r>
            <w:r>
              <w:rPr>
                <w:rFonts w:hint="default" w:ascii="Times New Roman" w:hAnsi="Times New Roman" w:eastAsia="宋体" w:cs="Times New Roman"/>
                <w:color w:val="auto"/>
                <w:sz w:val="24"/>
                <w:szCs w:val="24"/>
                <w:lang w:val="en-US" w:eastAsia="zh-CN"/>
              </w:rPr>
              <w:t>沙坡头区</w:t>
            </w:r>
            <w:r>
              <w:rPr>
                <w:color w:val="auto"/>
                <w:sz w:val="24"/>
              </w:rPr>
              <w:t>的监测数据进行项目所在区域环境空气质量达标判定，区域空气质量评价结果见表3-1。</w:t>
            </w:r>
          </w:p>
          <w:p>
            <w:pPr>
              <w:adjustRightInd w:val="0"/>
              <w:snapToGrid w:val="0"/>
              <w:ind w:firstLine="421" w:firstLineChars="200"/>
              <w:jc w:val="center"/>
              <w:rPr>
                <w:b/>
                <w:bCs/>
                <w:color w:val="auto"/>
                <w:sz w:val="21"/>
                <w:szCs w:val="21"/>
              </w:rPr>
            </w:pPr>
            <w:r>
              <w:rPr>
                <w:b/>
                <w:bCs/>
                <w:color w:val="auto"/>
                <w:sz w:val="21"/>
                <w:szCs w:val="21"/>
              </w:rPr>
              <w:t xml:space="preserve">表3-1  </w:t>
            </w:r>
            <w:r>
              <w:rPr>
                <w:rFonts w:hint="eastAsia"/>
                <w:b/>
                <w:bCs/>
                <w:color w:val="auto"/>
                <w:sz w:val="21"/>
                <w:szCs w:val="21"/>
              </w:rPr>
              <w:t xml:space="preserve"> </w:t>
            </w:r>
            <w:r>
              <w:rPr>
                <w:b/>
                <w:bCs/>
                <w:color w:val="auto"/>
                <w:sz w:val="21"/>
                <w:szCs w:val="21"/>
              </w:rPr>
              <w:t>中卫市</w:t>
            </w:r>
            <w:r>
              <w:rPr>
                <w:rFonts w:hint="default"/>
                <w:b/>
                <w:bCs/>
                <w:color w:val="auto"/>
                <w:sz w:val="21"/>
                <w:szCs w:val="21"/>
                <w:lang w:val="en-US" w:eastAsia="zh-CN"/>
              </w:rPr>
              <w:t>沙坡头区</w:t>
            </w:r>
            <w:r>
              <w:rPr>
                <w:b/>
                <w:bCs/>
                <w:color w:val="auto"/>
                <w:sz w:val="21"/>
                <w:szCs w:val="21"/>
              </w:rPr>
              <w:t>环境空气质量评价表</w:t>
            </w:r>
          </w:p>
          <w:tbl>
            <w:tblPr>
              <w:tblStyle w:val="24"/>
              <w:tblW w:w="833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04"/>
              <w:gridCol w:w="3204"/>
              <w:gridCol w:w="1146"/>
              <w:gridCol w:w="1146"/>
              <w:gridCol w:w="972"/>
              <w:gridCol w:w="96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2" w:type="pct"/>
                  <w:vAlign w:val="center"/>
                </w:tcPr>
                <w:p>
                  <w:pPr>
                    <w:adjustRightInd w:val="0"/>
                    <w:snapToGrid w:val="0"/>
                    <w:jc w:val="center"/>
                    <w:rPr>
                      <w:b/>
                      <w:snapToGrid w:val="0"/>
                      <w:color w:val="auto"/>
                      <w:kern w:val="0"/>
                      <w:szCs w:val="21"/>
                    </w:rPr>
                  </w:pPr>
                  <w:r>
                    <w:rPr>
                      <w:b/>
                      <w:snapToGrid w:val="0"/>
                      <w:color w:val="auto"/>
                      <w:kern w:val="0"/>
                      <w:szCs w:val="21"/>
                    </w:rPr>
                    <w:t>污染物</w:t>
                  </w:r>
                </w:p>
              </w:tc>
              <w:tc>
                <w:tcPr>
                  <w:tcW w:w="1921" w:type="pct"/>
                  <w:vAlign w:val="center"/>
                </w:tcPr>
                <w:p>
                  <w:pPr>
                    <w:adjustRightInd w:val="0"/>
                    <w:snapToGrid w:val="0"/>
                    <w:jc w:val="center"/>
                    <w:rPr>
                      <w:b/>
                      <w:snapToGrid w:val="0"/>
                      <w:color w:val="auto"/>
                      <w:kern w:val="0"/>
                      <w:szCs w:val="21"/>
                    </w:rPr>
                  </w:pPr>
                  <w:r>
                    <w:rPr>
                      <w:b/>
                      <w:snapToGrid w:val="0"/>
                      <w:color w:val="auto"/>
                      <w:kern w:val="0"/>
                      <w:szCs w:val="21"/>
                    </w:rPr>
                    <w:t>年评价指标</w:t>
                  </w:r>
                </w:p>
              </w:tc>
              <w:tc>
                <w:tcPr>
                  <w:tcW w:w="687" w:type="pct"/>
                  <w:vAlign w:val="center"/>
                </w:tcPr>
                <w:p>
                  <w:pPr>
                    <w:adjustRightInd w:val="0"/>
                    <w:snapToGrid w:val="0"/>
                    <w:jc w:val="center"/>
                    <w:rPr>
                      <w:b/>
                      <w:snapToGrid w:val="0"/>
                      <w:color w:val="auto"/>
                      <w:kern w:val="0"/>
                      <w:szCs w:val="21"/>
                    </w:rPr>
                  </w:pPr>
                  <w:r>
                    <w:rPr>
                      <w:b/>
                      <w:snapToGrid w:val="0"/>
                      <w:color w:val="auto"/>
                      <w:kern w:val="0"/>
                      <w:szCs w:val="21"/>
                    </w:rPr>
                    <w:t>浓度单位</w:t>
                  </w:r>
                </w:p>
              </w:tc>
              <w:tc>
                <w:tcPr>
                  <w:tcW w:w="687" w:type="pct"/>
                  <w:vAlign w:val="center"/>
                </w:tcPr>
                <w:p>
                  <w:pPr>
                    <w:adjustRightInd w:val="0"/>
                    <w:snapToGrid w:val="0"/>
                    <w:jc w:val="center"/>
                    <w:rPr>
                      <w:b/>
                      <w:snapToGrid w:val="0"/>
                      <w:color w:val="auto"/>
                      <w:kern w:val="0"/>
                      <w:szCs w:val="21"/>
                    </w:rPr>
                  </w:pPr>
                  <w:r>
                    <w:rPr>
                      <w:b/>
                      <w:snapToGrid w:val="0"/>
                      <w:color w:val="auto"/>
                      <w:kern w:val="0"/>
                      <w:szCs w:val="21"/>
                    </w:rPr>
                    <w:t>现状浓度</w:t>
                  </w:r>
                </w:p>
              </w:tc>
              <w:tc>
                <w:tcPr>
                  <w:tcW w:w="583" w:type="pct"/>
                  <w:vAlign w:val="center"/>
                </w:tcPr>
                <w:p>
                  <w:pPr>
                    <w:adjustRightInd w:val="0"/>
                    <w:snapToGrid w:val="0"/>
                    <w:jc w:val="center"/>
                    <w:rPr>
                      <w:b/>
                      <w:snapToGrid w:val="0"/>
                      <w:color w:val="auto"/>
                      <w:kern w:val="0"/>
                      <w:szCs w:val="21"/>
                    </w:rPr>
                  </w:pPr>
                  <w:r>
                    <w:rPr>
                      <w:b/>
                      <w:snapToGrid w:val="0"/>
                      <w:color w:val="auto"/>
                      <w:kern w:val="0"/>
                      <w:szCs w:val="21"/>
                    </w:rPr>
                    <w:t>标准值</w:t>
                  </w:r>
                </w:p>
              </w:tc>
              <w:tc>
                <w:tcPr>
                  <w:tcW w:w="577" w:type="pct"/>
                  <w:vAlign w:val="center"/>
                </w:tcPr>
                <w:p>
                  <w:pPr>
                    <w:adjustRightInd w:val="0"/>
                    <w:snapToGrid w:val="0"/>
                    <w:jc w:val="center"/>
                    <w:rPr>
                      <w:b/>
                      <w:snapToGrid w:val="0"/>
                      <w:color w:val="auto"/>
                      <w:kern w:val="0"/>
                      <w:szCs w:val="21"/>
                    </w:rPr>
                  </w:pPr>
                  <w:r>
                    <w:rPr>
                      <w:b/>
                      <w:snapToGrid w:val="0"/>
                      <w:color w:val="auto"/>
                      <w:kern w:val="0"/>
                      <w:szCs w:val="21"/>
                    </w:rPr>
                    <w:t>达标</w:t>
                  </w:r>
                </w:p>
                <w:p>
                  <w:pPr>
                    <w:adjustRightInd w:val="0"/>
                    <w:snapToGrid w:val="0"/>
                    <w:jc w:val="center"/>
                    <w:rPr>
                      <w:b/>
                      <w:snapToGrid w:val="0"/>
                      <w:color w:val="auto"/>
                      <w:kern w:val="0"/>
                      <w:szCs w:val="21"/>
                    </w:rPr>
                  </w:pPr>
                  <w:r>
                    <w:rPr>
                      <w:b/>
                      <w:snapToGrid w:val="0"/>
                      <w:color w:val="auto"/>
                      <w:kern w:val="0"/>
                      <w:szCs w:val="21"/>
                    </w:rPr>
                    <w:t>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2" w:type="pct"/>
                  <w:vAlign w:val="center"/>
                </w:tcPr>
                <w:p>
                  <w:pPr>
                    <w:adjustRightInd w:val="0"/>
                    <w:snapToGrid w:val="0"/>
                    <w:jc w:val="center"/>
                    <w:rPr>
                      <w:color w:val="auto"/>
                      <w:kern w:val="0"/>
                      <w:szCs w:val="21"/>
                    </w:rPr>
                  </w:pPr>
                  <w:r>
                    <w:rPr>
                      <w:color w:val="auto"/>
                      <w:szCs w:val="21"/>
                    </w:rPr>
                    <w:t>PM</w:t>
                  </w:r>
                  <w:r>
                    <w:rPr>
                      <w:color w:val="auto"/>
                      <w:szCs w:val="21"/>
                      <w:vertAlign w:val="subscript"/>
                    </w:rPr>
                    <w:t>10</w:t>
                  </w:r>
                </w:p>
              </w:tc>
              <w:tc>
                <w:tcPr>
                  <w:tcW w:w="1921" w:type="pct"/>
                  <w:vAlign w:val="center"/>
                </w:tcPr>
                <w:p>
                  <w:pPr>
                    <w:adjustRightInd w:val="0"/>
                    <w:snapToGrid w:val="0"/>
                    <w:jc w:val="center"/>
                    <w:rPr>
                      <w:bCs/>
                      <w:color w:val="auto"/>
                      <w:szCs w:val="21"/>
                    </w:rPr>
                  </w:pPr>
                  <w:r>
                    <w:rPr>
                      <w:bCs/>
                      <w:color w:val="auto"/>
                      <w:szCs w:val="21"/>
                    </w:rPr>
                    <w:t>年均值</w:t>
                  </w:r>
                </w:p>
              </w:tc>
              <w:tc>
                <w:tcPr>
                  <w:tcW w:w="687" w:type="pct"/>
                  <w:vAlign w:val="center"/>
                </w:tcPr>
                <w:p>
                  <w:pPr>
                    <w:adjustRightInd w:val="0"/>
                    <w:snapToGrid w:val="0"/>
                    <w:jc w:val="center"/>
                    <w:rPr>
                      <w:bCs/>
                      <w:color w:val="auto"/>
                      <w:szCs w:val="21"/>
                    </w:rPr>
                  </w:pPr>
                  <w:r>
                    <w:rPr>
                      <w:bCs/>
                      <w:snapToGrid w:val="0"/>
                      <w:color w:val="auto"/>
                      <w:kern w:val="0"/>
                      <w:szCs w:val="21"/>
                    </w:rPr>
                    <w:t>μg/m</w:t>
                  </w:r>
                  <w:r>
                    <w:rPr>
                      <w:bCs/>
                      <w:snapToGrid w:val="0"/>
                      <w:color w:val="auto"/>
                      <w:kern w:val="0"/>
                      <w:szCs w:val="21"/>
                      <w:vertAlign w:val="superscript"/>
                    </w:rPr>
                    <w:t>3</w:t>
                  </w:r>
                </w:p>
              </w:tc>
              <w:tc>
                <w:tcPr>
                  <w:tcW w:w="687" w:type="pct"/>
                  <w:vAlign w:val="center"/>
                </w:tcPr>
                <w:p>
                  <w:pPr>
                    <w:adjustRightInd w:val="0"/>
                    <w:snapToGrid w:val="0"/>
                    <w:jc w:val="center"/>
                    <w:rPr>
                      <w:rFonts w:hint="default" w:eastAsia="宋体"/>
                      <w:bCs/>
                      <w:color w:val="auto"/>
                      <w:szCs w:val="21"/>
                      <w:lang w:val="en-US" w:eastAsia="zh-CN"/>
                    </w:rPr>
                  </w:pPr>
                  <w:r>
                    <w:rPr>
                      <w:rFonts w:hint="eastAsia"/>
                      <w:bCs/>
                      <w:color w:val="auto"/>
                      <w:szCs w:val="21"/>
                      <w:lang w:val="en-US" w:eastAsia="zh-CN"/>
                    </w:rPr>
                    <w:t>66</w:t>
                  </w:r>
                </w:p>
              </w:tc>
              <w:tc>
                <w:tcPr>
                  <w:tcW w:w="583" w:type="pct"/>
                  <w:vAlign w:val="center"/>
                </w:tcPr>
                <w:p>
                  <w:pPr>
                    <w:adjustRightInd w:val="0"/>
                    <w:snapToGrid w:val="0"/>
                    <w:jc w:val="center"/>
                    <w:rPr>
                      <w:color w:val="auto"/>
                      <w:kern w:val="0"/>
                      <w:szCs w:val="21"/>
                    </w:rPr>
                  </w:pPr>
                  <w:r>
                    <w:rPr>
                      <w:color w:val="auto"/>
                      <w:kern w:val="0"/>
                      <w:szCs w:val="21"/>
                    </w:rPr>
                    <w:t>70</w:t>
                  </w:r>
                </w:p>
              </w:tc>
              <w:tc>
                <w:tcPr>
                  <w:tcW w:w="577" w:type="pct"/>
                  <w:vAlign w:val="center"/>
                </w:tcPr>
                <w:p>
                  <w:pPr>
                    <w:adjustRightInd w:val="0"/>
                    <w:snapToGrid w:val="0"/>
                    <w:jc w:val="center"/>
                    <w:rPr>
                      <w:color w:val="auto"/>
                      <w:szCs w:val="21"/>
                    </w:rPr>
                  </w:pPr>
                  <w:r>
                    <w:rPr>
                      <w:color w:val="auto"/>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2" w:type="pct"/>
                  <w:vAlign w:val="center"/>
                </w:tcPr>
                <w:p>
                  <w:pPr>
                    <w:adjustRightInd w:val="0"/>
                    <w:snapToGrid w:val="0"/>
                    <w:jc w:val="center"/>
                    <w:rPr>
                      <w:color w:val="auto"/>
                      <w:kern w:val="0"/>
                      <w:szCs w:val="21"/>
                    </w:rPr>
                  </w:pPr>
                  <w:r>
                    <w:rPr>
                      <w:bCs/>
                      <w:color w:val="auto"/>
                      <w:szCs w:val="21"/>
                    </w:rPr>
                    <w:t>PM</w:t>
                  </w:r>
                  <w:r>
                    <w:rPr>
                      <w:bCs/>
                      <w:color w:val="auto"/>
                      <w:szCs w:val="21"/>
                      <w:vertAlign w:val="subscript"/>
                    </w:rPr>
                    <w:t>2.5</w:t>
                  </w:r>
                </w:p>
              </w:tc>
              <w:tc>
                <w:tcPr>
                  <w:tcW w:w="1921" w:type="pct"/>
                  <w:vAlign w:val="center"/>
                </w:tcPr>
                <w:p>
                  <w:pPr>
                    <w:adjustRightInd w:val="0"/>
                    <w:snapToGrid w:val="0"/>
                    <w:jc w:val="center"/>
                    <w:rPr>
                      <w:bCs/>
                      <w:color w:val="auto"/>
                      <w:szCs w:val="21"/>
                    </w:rPr>
                  </w:pPr>
                  <w:r>
                    <w:rPr>
                      <w:bCs/>
                      <w:color w:val="auto"/>
                      <w:szCs w:val="21"/>
                    </w:rPr>
                    <w:t>年均值</w:t>
                  </w:r>
                </w:p>
              </w:tc>
              <w:tc>
                <w:tcPr>
                  <w:tcW w:w="687" w:type="pct"/>
                  <w:vAlign w:val="center"/>
                </w:tcPr>
                <w:p>
                  <w:pPr>
                    <w:adjustRightInd w:val="0"/>
                    <w:snapToGrid w:val="0"/>
                    <w:jc w:val="center"/>
                    <w:rPr>
                      <w:bCs/>
                      <w:color w:val="auto"/>
                      <w:szCs w:val="21"/>
                    </w:rPr>
                  </w:pPr>
                  <w:r>
                    <w:rPr>
                      <w:bCs/>
                      <w:snapToGrid w:val="0"/>
                      <w:color w:val="auto"/>
                      <w:kern w:val="0"/>
                      <w:szCs w:val="21"/>
                    </w:rPr>
                    <w:t>μg/m</w:t>
                  </w:r>
                  <w:r>
                    <w:rPr>
                      <w:bCs/>
                      <w:snapToGrid w:val="0"/>
                      <w:color w:val="auto"/>
                      <w:kern w:val="0"/>
                      <w:szCs w:val="21"/>
                      <w:vertAlign w:val="superscript"/>
                    </w:rPr>
                    <w:t>3</w:t>
                  </w:r>
                </w:p>
              </w:tc>
              <w:tc>
                <w:tcPr>
                  <w:tcW w:w="687" w:type="pct"/>
                  <w:vAlign w:val="center"/>
                </w:tcPr>
                <w:p>
                  <w:pPr>
                    <w:adjustRightInd w:val="0"/>
                    <w:snapToGrid w:val="0"/>
                    <w:jc w:val="center"/>
                    <w:rPr>
                      <w:rFonts w:hint="default" w:eastAsia="宋体"/>
                      <w:bCs/>
                      <w:color w:val="auto"/>
                      <w:szCs w:val="21"/>
                      <w:lang w:val="en-US" w:eastAsia="zh-CN"/>
                    </w:rPr>
                  </w:pPr>
                  <w:r>
                    <w:rPr>
                      <w:rFonts w:hint="eastAsia"/>
                      <w:bCs/>
                      <w:color w:val="auto"/>
                      <w:szCs w:val="21"/>
                      <w:lang w:val="en-US" w:eastAsia="zh-CN"/>
                    </w:rPr>
                    <w:t>28</w:t>
                  </w:r>
                </w:p>
              </w:tc>
              <w:tc>
                <w:tcPr>
                  <w:tcW w:w="583" w:type="pct"/>
                  <w:vAlign w:val="center"/>
                </w:tcPr>
                <w:p>
                  <w:pPr>
                    <w:adjustRightInd w:val="0"/>
                    <w:snapToGrid w:val="0"/>
                    <w:jc w:val="center"/>
                    <w:rPr>
                      <w:color w:val="auto"/>
                      <w:kern w:val="0"/>
                      <w:szCs w:val="21"/>
                    </w:rPr>
                  </w:pPr>
                  <w:r>
                    <w:rPr>
                      <w:color w:val="auto"/>
                      <w:kern w:val="0"/>
                      <w:szCs w:val="21"/>
                    </w:rPr>
                    <w:t>35</w:t>
                  </w:r>
                </w:p>
              </w:tc>
              <w:tc>
                <w:tcPr>
                  <w:tcW w:w="577" w:type="pct"/>
                  <w:vAlign w:val="center"/>
                </w:tcPr>
                <w:p>
                  <w:pPr>
                    <w:adjustRightInd w:val="0"/>
                    <w:snapToGrid w:val="0"/>
                    <w:jc w:val="center"/>
                    <w:rPr>
                      <w:color w:val="auto"/>
                      <w:kern w:val="0"/>
                      <w:szCs w:val="21"/>
                    </w:rPr>
                  </w:pPr>
                  <w:r>
                    <w:rPr>
                      <w:color w:val="auto"/>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2" w:type="pct"/>
                  <w:vAlign w:val="center"/>
                </w:tcPr>
                <w:p>
                  <w:pPr>
                    <w:adjustRightInd w:val="0"/>
                    <w:snapToGrid w:val="0"/>
                    <w:jc w:val="center"/>
                    <w:rPr>
                      <w:color w:val="auto"/>
                      <w:szCs w:val="21"/>
                    </w:rPr>
                  </w:pPr>
                  <w:r>
                    <w:rPr>
                      <w:color w:val="auto"/>
                      <w:szCs w:val="21"/>
                    </w:rPr>
                    <w:t>SO</w:t>
                  </w:r>
                  <w:r>
                    <w:rPr>
                      <w:color w:val="auto"/>
                      <w:szCs w:val="21"/>
                      <w:vertAlign w:val="subscript"/>
                    </w:rPr>
                    <w:t>2</w:t>
                  </w:r>
                </w:p>
              </w:tc>
              <w:tc>
                <w:tcPr>
                  <w:tcW w:w="1921" w:type="pct"/>
                  <w:vAlign w:val="center"/>
                </w:tcPr>
                <w:p>
                  <w:pPr>
                    <w:adjustRightInd w:val="0"/>
                    <w:snapToGrid w:val="0"/>
                    <w:jc w:val="center"/>
                    <w:rPr>
                      <w:bCs/>
                      <w:color w:val="auto"/>
                      <w:szCs w:val="21"/>
                    </w:rPr>
                  </w:pPr>
                  <w:r>
                    <w:rPr>
                      <w:bCs/>
                      <w:color w:val="auto"/>
                      <w:szCs w:val="21"/>
                    </w:rPr>
                    <w:t>年均值</w:t>
                  </w:r>
                </w:p>
              </w:tc>
              <w:tc>
                <w:tcPr>
                  <w:tcW w:w="687" w:type="pct"/>
                  <w:vAlign w:val="center"/>
                </w:tcPr>
                <w:p>
                  <w:pPr>
                    <w:adjustRightInd w:val="0"/>
                    <w:snapToGrid w:val="0"/>
                    <w:jc w:val="center"/>
                    <w:rPr>
                      <w:bCs/>
                      <w:color w:val="auto"/>
                      <w:szCs w:val="21"/>
                    </w:rPr>
                  </w:pPr>
                  <w:r>
                    <w:rPr>
                      <w:bCs/>
                      <w:snapToGrid w:val="0"/>
                      <w:color w:val="auto"/>
                      <w:kern w:val="0"/>
                      <w:szCs w:val="21"/>
                    </w:rPr>
                    <w:t>μg/m</w:t>
                  </w:r>
                  <w:r>
                    <w:rPr>
                      <w:bCs/>
                      <w:snapToGrid w:val="0"/>
                      <w:color w:val="auto"/>
                      <w:kern w:val="0"/>
                      <w:szCs w:val="21"/>
                      <w:vertAlign w:val="superscript"/>
                    </w:rPr>
                    <w:t>3</w:t>
                  </w:r>
                </w:p>
              </w:tc>
              <w:tc>
                <w:tcPr>
                  <w:tcW w:w="687" w:type="pct"/>
                  <w:vAlign w:val="center"/>
                </w:tcPr>
                <w:p>
                  <w:pPr>
                    <w:adjustRightInd w:val="0"/>
                    <w:snapToGrid w:val="0"/>
                    <w:jc w:val="center"/>
                    <w:rPr>
                      <w:rFonts w:hint="default" w:eastAsia="宋体"/>
                      <w:bCs/>
                      <w:color w:val="auto"/>
                      <w:szCs w:val="21"/>
                      <w:lang w:val="en-US" w:eastAsia="zh-CN"/>
                    </w:rPr>
                  </w:pPr>
                  <w:r>
                    <w:rPr>
                      <w:rFonts w:hint="eastAsia"/>
                      <w:bCs/>
                      <w:color w:val="auto"/>
                      <w:szCs w:val="21"/>
                      <w:lang w:val="en-US" w:eastAsia="zh-CN"/>
                    </w:rPr>
                    <w:t>10</w:t>
                  </w:r>
                </w:p>
              </w:tc>
              <w:tc>
                <w:tcPr>
                  <w:tcW w:w="583" w:type="pct"/>
                  <w:vAlign w:val="center"/>
                </w:tcPr>
                <w:p>
                  <w:pPr>
                    <w:adjustRightInd w:val="0"/>
                    <w:snapToGrid w:val="0"/>
                    <w:jc w:val="center"/>
                    <w:rPr>
                      <w:color w:val="auto"/>
                      <w:kern w:val="0"/>
                      <w:szCs w:val="21"/>
                    </w:rPr>
                  </w:pPr>
                  <w:r>
                    <w:rPr>
                      <w:color w:val="auto"/>
                      <w:kern w:val="0"/>
                      <w:szCs w:val="21"/>
                    </w:rPr>
                    <w:t>60</w:t>
                  </w:r>
                </w:p>
              </w:tc>
              <w:tc>
                <w:tcPr>
                  <w:tcW w:w="577" w:type="pct"/>
                  <w:vAlign w:val="center"/>
                </w:tcPr>
                <w:p>
                  <w:pPr>
                    <w:adjustRightInd w:val="0"/>
                    <w:snapToGrid w:val="0"/>
                    <w:jc w:val="center"/>
                    <w:rPr>
                      <w:color w:val="auto"/>
                      <w:kern w:val="0"/>
                      <w:szCs w:val="21"/>
                    </w:rPr>
                  </w:pPr>
                  <w:r>
                    <w:rPr>
                      <w:color w:val="auto"/>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2" w:type="pct"/>
                  <w:vAlign w:val="center"/>
                </w:tcPr>
                <w:p>
                  <w:pPr>
                    <w:adjustRightInd w:val="0"/>
                    <w:snapToGrid w:val="0"/>
                    <w:jc w:val="center"/>
                    <w:rPr>
                      <w:bCs/>
                      <w:color w:val="auto"/>
                      <w:szCs w:val="21"/>
                    </w:rPr>
                  </w:pPr>
                  <w:r>
                    <w:rPr>
                      <w:color w:val="auto"/>
                      <w:szCs w:val="21"/>
                    </w:rPr>
                    <w:t>NO</w:t>
                  </w:r>
                  <w:r>
                    <w:rPr>
                      <w:color w:val="auto"/>
                      <w:szCs w:val="21"/>
                      <w:vertAlign w:val="subscript"/>
                    </w:rPr>
                    <w:t>2</w:t>
                  </w:r>
                </w:p>
              </w:tc>
              <w:tc>
                <w:tcPr>
                  <w:tcW w:w="1921" w:type="pct"/>
                  <w:vAlign w:val="center"/>
                </w:tcPr>
                <w:p>
                  <w:pPr>
                    <w:adjustRightInd w:val="0"/>
                    <w:snapToGrid w:val="0"/>
                    <w:jc w:val="center"/>
                    <w:rPr>
                      <w:bCs/>
                      <w:color w:val="auto"/>
                      <w:szCs w:val="21"/>
                    </w:rPr>
                  </w:pPr>
                  <w:r>
                    <w:rPr>
                      <w:bCs/>
                      <w:color w:val="auto"/>
                      <w:szCs w:val="21"/>
                    </w:rPr>
                    <w:t>年均值</w:t>
                  </w:r>
                </w:p>
              </w:tc>
              <w:tc>
                <w:tcPr>
                  <w:tcW w:w="687" w:type="pct"/>
                  <w:vAlign w:val="center"/>
                </w:tcPr>
                <w:p>
                  <w:pPr>
                    <w:adjustRightInd w:val="0"/>
                    <w:snapToGrid w:val="0"/>
                    <w:jc w:val="center"/>
                    <w:rPr>
                      <w:bCs/>
                      <w:color w:val="auto"/>
                      <w:szCs w:val="21"/>
                    </w:rPr>
                  </w:pPr>
                  <w:r>
                    <w:rPr>
                      <w:bCs/>
                      <w:snapToGrid w:val="0"/>
                      <w:color w:val="auto"/>
                      <w:kern w:val="0"/>
                      <w:szCs w:val="21"/>
                    </w:rPr>
                    <w:t>μg/m</w:t>
                  </w:r>
                  <w:r>
                    <w:rPr>
                      <w:bCs/>
                      <w:snapToGrid w:val="0"/>
                      <w:color w:val="auto"/>
                      <w:kern w:val="0"/>
                      <w:szCs w:val="21"/>
                      <w:vertAlign w:val="superscript"/>
                    </w:rPr>
                    <w:t>3</w:t>
                  </w:r>
                </w:p>
              </w:tc>
              <w:tc>
                <w:tcPr>
                  <w:tcW w:w="687" w:type="pct"/>
                  <w:vAlign w:val="center"/>
                </w:tcPr>
                <w:p>
                  <w:pPr>
                    <w:adjustRightInd w:val="0"/>
                    <w:snapToGrid w:val="0"/>
                    <w:jc w:val="center"/>
                    <w:rPr>
                      <w:rFonts w:hint="default" w:eastAsia="宋体"/>
                      <w:bCs/>
                      <w:color w:val="auto"/>
                      <w:szCs w:val="21"/>
                      <w:lang w:val="en-US" w:eastAsia="zh-CN"/>
                    </w:rPr>
                  </w:pPr>
                  <w:r>
                    <w:rPr>
                      <w:rFonts w:hint="eastAsia"/>
                      <w:bCs/>
                      <w:color w:val="auto"/>
                      <w:szCs w:val="21"/>
                      <w:lang w:val="en-US" w:eastAsia="zh-CN"/>
                    </w:rPr>
                    <w:t>23</w:t>
                  </w:r>
                </w:p>
              </w:tc>
              <w:tc>
                <w:tcPr>
                  <w:tcW w:w="583" w:type="pct"/>
                  <w:vAlign w:val="center"/>
                </w:tcPr>
                <w:p>
                  <w:pPr>
                    <w:adjustRightInd w:val="0"/>
                    <w:snapToGrid w:val="0"/>
                    <w:jc w:val="center"/>
                    <w:rPr>
                      <w:color w:val="auto"/>
                      <w:kern w:val="0"/>
                      <w:szCs w:val="21"/>
                    </w:rPr>
                  </w:pPr>
                  <w:r>
                    <w:rPr>
                      <w:color w:val="auto"/>
                      <w:kern w:val="0"/>
                      <w:szCs w:val="21"/>
                    </w:rPr>
                    <w:t>40</w:t>
                  </w:r>
                </w:p>
              </w:tc>
              <w:tc>
                <w:tcPr>
                  <w:tcW w:w="577" w:type="pct"/>
                  <w:vAlign w:val="center"/>
                </w:tcPr>
                <w:p>
                  <w:pPr>
                    <w:adjustRightInd w:val="0"/>
                    <w:snapToGrid w:val="0"/>
                    <w:jc w:val="center"/>
                    <w:rPr>
                      <w:color w:val="auto"/>
                      <w:kern w:val="0"/>
                      <w:szCs w:val="21"/>
                    </w:rPr>
                  </w:pPr>
                  <w:r>
                    <w:rPr>
                      <w:color w:val="auto"/>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2" w:type="pct"/>
                  <w:vAlign w:val="center"/>
                </w:tcPr>
                <w:p>
                  <w:pPr>
                    <w:adjustRightInd w:val="0"/>
                    <w:snapToGrid w:val="0"/>
                    <w:jc w:val="center"/>
                    <w:rPr>
                      <w:color w:val="auto"/>
                      <w:szCs w:val="21"/>
                    </w:rPr>
                  </w:pPr>
                  <w:r>
                    <w:rPr>
                      <w:color w:val="auto"/>
                      <w:szCs w:val="21"/>
                    </w:rPr>
                    <w:t>O</w:t>
                  </w:r>
                  <w:r>
                    <w:rPr>
                      <w:color w:val="auto"/>
                      <w:szCs w:val="21"/>
                      <w:vertAlign w:val="subscript"/>
                    </w:rPr>
                    <w:t>3</w:t>
                  </w:r>
                </w:p>
              </w:tc>
              <w:tc>
                <w:tcPr>
                  <w:tcW w:w="1921" w:type="pct"/>
                  <w:vAlign w:val="center"/>
                </w:tcPr>
                <w:p>
                  <w:pPr>
                    <w:adjustRightInd w:val="0"/>
                    <w:snapToGrid w:val="0"/>
                    <w:jc w:val="center"/>
                    <w:rPr>
                      <w:bCs/>
                      <w:color w:val="auto"/>
                      <w:szCs w:val="21"/>
                    </w:rPr>
                  </w:pPr>
                  <w:r>
                    <w:rPr>
                      <w:color w:val="auto"/>
                      <w:szCs w:val="21"/>
                    </w:rPr>
                    <w:t>日最大8h平均值第90百分位数</w:t>
                  </w:r>
                </w:p>
              </w:tc>
              <w:tc>
                <w:tcPr>
                  <w:tcW w:w="687" w:type="pct"/>
                  <w:vAlign w:val="center"/>
                </w:tcPr>
                <w:p>
                  <w:pPr>
                    <w:adjustRightInd w:val="0"/>
                    <w:snapToGrid w:val="0"/>
                    <w:jc w:val="center"/>
                    <w:rPr>
                      <w:bCs/>
                      <w:color w:val="auto"/>
                      <w:szCs w:val="21"/>
                    </w:rPr>
                  </w:pPr>
                  <w:r>
                    <w:rPr>
                      <w:bCs/>
                      <w:snapToGrid w:val="0"/>
                      <w:color w:val="auto"/>
                      <w:kern w:val="0"/>
                      <w:szCs w:val="21"/>
                    </w:rPr>
                    <w:t>μg/m</w:t>
                  </w:r>
                  <w:r>
                    <w:rPr>
                      <w:bCs/>
                      <w:snapToGrid w:val="0"/>
                      <w:color w:val="auto"/>
                      <w:kern w:val="0"/>
                      <w:szCs w:val="21"/>
                      <w:vertAlign w:val="superscript"/>
                    </w:rPr>
                    <w:t>3</w:t>
                  </w:r>
                </w:p>
              </w:tc>
              <w:tc>
                <w:tcPr>
                  <w:tcW w:w="687" w:type="pct"/>
                  <w:vAlign w:val="center"/>
                </w:tcPr>
                <w:p>
                  <w:pPr>
                    <w:adjustRightInd w:val="0"/>
                    <w:snapToGrid w:val="0"/>
                    <w:jc w:val="center"/>
                    <w:rPr>
                      <w:rFonts w:hint="default" w:eastAsia="宋体"/>
                      <w:bCs/>
                      <w:color w:val="auto"/>
                      <w:szCs w:val="21"/>
                      <w:lang w:val="en-US" w:eastAsia="zh-CN"/>
                    </w:rPr>
                  </w:pPr>
                  <w:r>
                    <w:rPr>
                      <w:rFonts w:hint="eastAsia"/>
                      <w:bCs/>
                      <w:color w:val="auto"/>
                      <w:szCs w:val="21"/>
                      <w:lang w:val="en-US" w:eastAsia="zh-CN"/>
                    </w:rPr>
                    <w:t>140</w:t>
                  </w:r>
                </w:p>
              </w:tc>
              <w:tc>
                <w:tcPr>
                  <w:tcW w:w="583" w:type="pct"/>
                  <w:vAlign w:val="center"/>
                </w:tcPr>
                <w:p>
                  <w:pPr>
                    <w:adjustRightInd w:val="0"/>
                    <w:snapToGrid w:val="0"/>
                    <w:jc w:val="center"/>
                    <w:rPr>
                      <w:color w:val="auto"/>
                      <w:kern w:val="0"/>
                      <w:szCs w:val="21"/>
                    </w:rPr>
                  </w:pPr>
                  <w:r>
                    <w:rPr>
                      <w:color w:val="auto"/>
                      <w:szCs w:val="21"/>
                    </w:rPr>
                    <w:t>160</w:t>
                  </w:r>
                </w:p>
              </w:tc>
              <w:tc>
                <w:tcPr>
                  <w:tcW w:w="577" w:type="pct"/>
                  <w:vAlign w:val="center"/>
                </w:tcPr>
                <w:p>
                  <w:pPr>
                    <w:adjustRightInd w:val="0"/>
                    <w:snapToGrid w:val="0"/>
                    <w:jc w:val="center"/>
                    <w:rPr>
                      <w:color w:val="auto"/>
                      <w:kern w:val="0"/>
                      <w:szCs w:val="21"/>
                    </w:rPr>
                  </w:pPr>
                  <w:r>
                    <w:rPr>
                      <w:color w:val="auto"/>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2" w:type="pct"/>
                  <w:vAlign w:val="center"/>
                </w:tcPr>
                <w:p>
                  <w:pPr>
                    <w:adjustRightInd w:val="0"/>
                    <w:snapToGrid w:val="0"/>
                    <w:jc w:val="center"/>
                    <w:rPr>
                      <w:bCs/>
                      <w:color w:val="auto"/>
                      <w:szCs w:val="21"/>
                    </w:rPr>
                  </w:pPr>
                  <w:r>
                    <w:rPr>
                      <w:bCs/>
                      <w:color w:val="auto"/>
                      <w:szCs w:val="21"/>
                    </w:rPr>
                    <w:t>CO</w:t>
                  </w:r>
                </w:p>
              </w:tc>
              <w:tc>
                <w:tcPr>
                  <w:tcW w:w="1921" w:type="pct"/>
                  <w:vAlign w:val="center"/>
                </w:tcPr>
                <w:p>
                  <w:pPr>
                    <w:adjustRightInd w:val="0"/>
                    <w:snapToGrid w:val="0"/>
                    <w:jc w:val="center"/>
                    <w:rPr>
                      <w:bCs/>
                      <w:color w:val="auto"/>
                      <w:szCs w:val="21"/>
                    </w:rPr>
                  </w:pPr>
                  <w:r>
                    <w:rPr>
                      <w:bCs/>
                      <w:color w:val="auto"/>
                      <w:szCs w:val="21"/>
                    </w:rPr>
                    <w:t>24小时平均第95百分位数</w:t>
                  </w:r>
                </w:p>
              </w:tc>
              <w:tc>
                <w:tcPr>
                  <w:tcW w:w="687" w:type="pct"/>
                  <w:vAlign w:val="center"/>
                </w:tcPr>
                <w:p>
                  <w:pPr>
                    <w:adjustRightInd w:val="0"/>
                    <w:snapToGrid w:val="0"/>
                    <w:jc w:val="center"/>
                    <w:rPr>
                      <w:bCs/>
                      <w:color w:val="auto"/>
                      <w:szCs w:val="21"/>
                    </w:rPr>
                  </w:pPr>
                  <w:r>
                    <w:rPr>
                      <w:bCs/>
                      <w:color w:val="auto"/>
                      <w:szCs w:val="21"/>
                    </w:rPr>
                    <w:t>mg/m</w:t>
                  </w:r>
                  <w:r>
                    <w:rPr>
                      <w:bCs/>
                      <w:color w:val="auto"/>
                      <w:szCs w:val="21"/>
                      <w:vertAlign w:val="superscript"/>
                    </w:rPr>
                    <w:t>3</w:t>
                  </w:r>
                </w:p>
              </w:tc>
              <w:tc>
                <w:tcPr>
                  <w:tcW w:w="687" w:type="pct"/>
                  <w:vAlign w:val="center"/>
                </w:tcPr>
                <w:p>
                  <w:pPr>
                    <w:adjustRightInd w:val="0"/>
                    <w:snapToGrid w:val="0"/>
                    <w:jc w:val="center"/>
                    <w:rPr>
                      <w:rFonts w:hint="default" w:eastAsia="宋体"/>
                      <w:bCs/>
                      <w:color w:val="auto"/>
                      <w:szCs w:val="21"/>
                      <w:lang w:val="en-US" w:eastAsia="zh-CN"/>
                    </w:rPr>
                  </w:pPr>
                  <w:r>
                    <w:rPr>
                      <w:rFonts w:hint="eastAsia"/>
                      <w:bCs/>
                      <w:color w:val="auto"/>
                      <w:szCs w:val="21"/>
                      <w:lang w:val="en-US" w:eastAsia="zh-CN"/>
                    </w:rPr>
                    <w:t>0.7</w:t>
                  </w:r>
                </w:p>
              </w:tc>
              <w:tc>
                <w:tcPr>
                  <w:tcW w:w="583" w:type="pct"/>
                  <w:vAlign w:val="center"/>
                </w:tcPr>
                <w:p>
                  <w:pPr>
                    <w:adjustRightInd w:val="0"/>
                    <w:snapToGrid w:val="0"/>
                    <w:jc w:val="center"/>
                    <w:rPr>
                      <w:color w:val="auto"/>
                      <w:kern w:val="0"/>
                      <w:szCs w:val="21"/>
                    </w:rPr>
                  </w:pPr>
                  <w:r>
                    <w:rPr>
                      <w:color w:val="auto"/>
                      <w:kern w:val="0"/>
                      <w:szCs w:val="21"/>
                    </w:rPr>
                    <w:t>4</w:t>
                  </w:r>
                </w:p>
              </w:tc>
              <w:tc>
                <w:tcPr>
                  <w:tcW w:w="577" w:type="pct"/>
                  <w:vAlign w:val="center"/>
                </w:tcPr>
                <w:p>
                  <w:pPr>
                    <w:adjustRightInd w:val="0"/>
                    <w:snapToGrid w:val="0"/>
                    <w:jc w:val="center"/>
                    <w:rPr>
                      <w:color w:val="auto"/>
                      <w:kern w:val="0"/>
                      <w:szCs w:val="21"/>
                    </w:rPr>
                  </w:pPr>
                  <w:r>
                    <w:rPr>
                      <w:color w:val="auto"/>
                      <w:kern w:val="0"/>
                      <w:szCs w:val="21"/>
                    </w:rPr>
                    <w:t>达标</w:t>
                  </w:r>
                </w:p>
              </w:tc>
            </w:tr>
          </w:tbl>
          <w:p>
            <w:pPr>
              <w:keepNext w:val="0"/>
              <w:keepLines w:val="0"/>
              <w:pageBreakBefore w:val="0"/>
              <w:widowControl/>
              <w:kinsoku/>
              <w:wordWrap/>
              <w:topLinePunct w:val="0"/>
              <w:autoSpaceDE/>
              <w:autoSpaceDN/>
              <w:bidi w:val="0"/>
              <w:adjustRightInd w:val="0"/>
              <w:snapToGrid w:val="0"/>
              <w:spacing w:before="156" w:beforeLines="50" w:line="360" w:lineRule="auto"/>
              <w:ind w:firstLine="484" w:firstLineChars="200"/>
              <w:jc w:val="left"/>
              <w:textAlignment w:val="auto"/>
              <w:rPr>
                <w:color w:val="auto"/>
                <w:kern w:val="0"/>
                <w:sz w:val="24"/>
                <w:lang w:bidi="ar"/>
              </w:rPr>
            </w:pPr>
            <w:r>
              <w:rPr>
                <w:snapToGrid w:val="0"/>
                <w:color w:val="auto"/>
                <w:spacing w:val="1"/>
                <w:position w:val="-3"/>
                <w:sz w:val="24"/>
              </w:rPr>
              <w:t>由上表可知，</w:t>
            </w:r>
            <w:r>
              <w:rPr>
                <w:color w:val="auto"/>
                <w:sz w:val="24"/>
              </w:rPr>
              <w:t>中卫市</w:t>
            </w:r>
            <w:r>
              <w:rPr>
                <w:rFonts w:hint="default"/>
                <w:color w:val="auto"/>
                <w:sz w:val="24"/>
                <w:lang w:val="en-US" w:eastAsia="zh-CN"/>
              </w:rPr>
              <w:t>沙坡头区</w:t>
            </w:r>
            <w:r>
              <w:rPr>
                <w:color w:val="auto"/>
                <w:kern w:val="0"/>
                <w:sz w:val="24"/>
                <w:lang w:bidi="ar"/>
              </w:rPr>
              <w:t>20</w:t>
            </w:r>
            <w:r>
              <w:rPr>
                <w:rFonts w:hint="eastAsia"/>
                <w:color w:val="auto"/>
                <w:kern w:val="0"/>
                <w:sz w:val="24"/>
                <w:lang w:val="en-US" w:eastAsia="zh-CN" w:bidi="ar"/>
              </w:rPr>
              <w:t>23</w:t>
            </w:r>
            <w:r>
              <w:rPr>
                <w:color w:val="auto"/>
                <w:kern w:val="0"/>
                <w:sz w:val="24"/>
                <w:lang w:bidi="ar"/>
              </w:rPr>
              <w:t>年PM</w:t>
            </w:r>
            <w:r>
              <w:rPr>
                <w:color w:val="auto"/>
                <w:kern w:val="0"/>
                <w:sz w:val="24"/>
                <w:vertAlign w:val="subscript"/>
                <w:lang w:bidi="ar"/>
              </w:rPr>
              <w:t>2.5</w:t>
            </w:r>
            <w:r>
              <w:rPr>
                <w:color w:val="auto"/>
                <w:kern w:val="0"/>
                <w:sz w:val="24"/>
                <w:lang w:bidi="ar"/>
              </w:rPr>
              <w:t>、SO</w:t>
            </w:r>
            <w:r>
              <w:rPr>
                <w:color w:val="auto"/>
                <w:kern w:val="0"/>
                <w:sz w:val="24"/>
                <w:vertAlign w:val="subscript"/>
                <w:lang w:bidi="ar"/>
              </w:rPr>
              <w:t>2</w:t>
            </w:r>
            <w:r>
              <w:rPr>
                <w:color w:val="auto"/>
                <w:kern w:val="0"/>
                <w:sz w:val="24"/>
                <w:lang w:bidi="ar"/>
              </w:rPr>
              <w:t>、NO</w:t>
            </w:r>
            <w:r>
              <w:rPr>
                <w:color w:val="auto"/>
                <w:kern w:val="0"/>
                <w:sz w:val="24"/>
                <w:vertAlign w:val="subscript"/>
                <w:lang w:bidi="ar"/>
              </w:rPr>
              <w:t>2</w:t>
            </w:r>
            <w:r>
              <w:rPr>
                <w:color w:val="auto"/>
                <w:kern w:val="0"/>
                <w:sz w:val="24"/>
                <w:lang w:bidi="ar"/>
              </w:rPr>
              <w:t>年均浓度、CO24小时平均第95百分位数浓度、O</w:t>
            </w:r>
            <w:r>
              <w:rPr>
                <w:color w:val="auto"/>
                <w:kern w:val="0"/>
                <w:sz w:val="24"/>
                <w:vertAlign w:val="subscript"/>
                <w:lang w:bidi="ar"/>
              </w:rPr>
              <w:t>3</w:t>
            </w:r>
            <w:r>
              <w:rPr>
                <w:color w:val="auto"/>
                <w:kern w:val="0"/>
                <w:sz w:val="24"/>
                <w:lang w:bidi="ar"/>
              </w:rPr>
              <w:t>日最大8小时滑动平均值的第90百分位数浓度均满足《环境空气质量标准》（GB3095-2012及修改单）表1中二级标准限值。因此，本项目所在区域为达标区。</w:t>
            </w:r>
          </w:p>
          <w:p>
            <w:pPr>
              <w:keepNext w:val="0"/>
              <w:keepLines w:val="0"/>
              <w:pageBreakBefore w:val="0"/>
              <w:kinsoku/>
              <w:wordWrap/>
              <w:overflowPunct w:val="0"/>
              <w:topLinePunct w:val="0"/>
              <w:autoSpaceDE/>
              <w:autoSpaceDN/>
              <w:bidi w:val="0"/>
              <w:adjustRightInd w:val="0"/>
              <w:snapToGrid w:val="0"/>
              <w:spacing w:line="360" w:lineRule="auto"/>
              <w:ind w:firstLine="481" w:firstLineChars="200"/>
              <w:textAlignment w:val="auto"/>
              <w:rPr>
                <w:b/>
                <w:bCs/>
                <w:color w:val="auto"/>
                <w:sz w:val="24"/>
              </w:rPr>
            </w:pPr>
            <w:r>
              <w:rPr>
                <w:b/>
                <w:bCs/>
                <w:color w:val="auto"/>
                <w:sz w:val="24"/>
              </w:rPr>
              <w:t>（2）其他污染物环境质量情况</w:t>
            </w:r>
          </w:p>
          <w:p>
            <w:pPr>
              <w:pStyle w:val="23"/>
              <w:keepNext w:val="0"/>
              <w:keepLines w:val="0"/>
              <w:pageBreakBefore w:val="0"/>
              <w:kinsoku/>
              <w:wordWrap/>
              <w:topLinePunct w:val="0"/>
              <w:autoSpaceDE/>
              <w:autoSpaceDN/>
              <w:bidi w:val="0"/>
              <w:adjustRightInd w:val="0"/>
              <w:snapToGrid w:val="0"/>
              <w:spacing w:after="0" w:line="360" w:lineRule="auto"/>
              <w:ind w:firstLine="480" w:firstLineChars="200"/>
              <w:textAlignment w:val="auto"/>
              <w:rPr>
                <w:color w:val="FF0000"/>
                <w:kern w:val="0"/>
                <w:sz w:val="24"/>
                <w:szCs w:val="24"/>
                <w:lang w:bidi="ar"/>
              </w:rPr>
            </w:pPr>
            <w:r>
              <w:rPr>
                <w:color w:val="auto"/>
                <w:kern w:val="0"/>
                <w:sz w:val="24"/>
                <w:szCs w:val="24"/>
                <w:lang w:bidi="ar"/>
              </w:rPr>
              <w:t>根据《建设项目环境影响报告表编制技术指南（污染影响类）（试行）》要求，排放国家、地方环境空气质量标准中有标准限值要求的特征污染物时，引用建设项目周边5km范围内近3年的现有监测数据，无相关数据的选择当季主导风向下风向1个点位补充不少于3天的监测数据。本项目特征污染物主要为TSP。</w:t>
            </w:r>
          </w:p>
          <w:p>
            <w:pPr>
              <w:keepNext w:val="0"/>
              <w:keepLines w:val="0"/>
              <w:pageBreakBefore w:val="0"/>
              <w:widowControl/>
              <w:kinsoku/>
              <w:wordWrap/>
              <w:topLinePunct w:val="0"/>
              <w:autoSpaceDE/>
              <w:autoSpaceDN/>
              <w:bidi w:val="0"/>
              <w:adjustRightInd w:val="0"/>
              <w:snapToGrid w:val="0"/>
              <w:spacing w:line="360" w:lineRule="auto"/>
              <w:ind w:firstLine="480" w:firstLineChars="200"/>
              <w:jc w:val="left"/>
              <w:textAlignment w:val="auto"/>
              <w:rPr>
                <w:color w:val="auto"/>
                <w:kern w:val="0"/>
                <w:sz w:val="24"/>
                <w:lang w:bidi="ar"/>
              </w:rPr>
            </w:pPr>
            <w:r>
              <w:rPr>
                <w:rFonts w:hint="eastAsia"/>
                <w:color w:val="auto"/>
                <w:kern w:val="0"/>
                <w:sz w:val="24"/>
                <w:lang w:bidi="ar"/>
              </w:rPr>
              <w:t>中宁县鑫力砼业制品有限公司</w:t>
            </w:r>
            <w:r>
              <w:rPr>
                <w:color w:val="auto"/>
                <w:kern w:val="0"/>
                <w:sz w:val="24"/>
                <w:lang w:bidi="ar"/>
              </w:rPr>
              <w:t>委托宁夏回族自治区石油化工环境科学研究院股份有限公司于</w:t>
            </w:r>
            <w:r>
              <w:rPr>
                <w:rFonts w:hint="eastAsia"/>
                <w:color w:val="000000" w:themeColor="text1"/>
                <w:kern w:val="0"/>
                <w:sz w:val="24"/>
                <w:lang w:bidi="ar"/>
                <w14:textFill>
                  <w14:solidFill>
                    <w14:schemeClr w14:val="tx1"/>
                  </w14:solidFill>
                </w14:textFill>
              </w:rPr>
              <w:t>2024</w:t>
            </w:r>
            <w:r>
              <w:rPr>
                <w:color w:val="000000" w:themeColor="text1"/>
                <w:kern w:val="0"/>
                <w:sz w:val="24"/>
                <w:lang w:bidi="ar"/>
                <w14:textFill>
                  <w14:solidFill>
                    <w14:schemeClr w14:val="tx1"/>
                  </w14:solidFill>
                </w14:textFill>
              </w:rPr>
              <w:t>年</w:t>
            </w:r>
            <w:r>
              <w:rPr>
                <w:rFonts w:hint="eastAsia"/>
                <w:color w:val="000000" w:themeColor="text1"/>
                <w:kern w:val="0"/>
                <w:sz w:val="24"/>
                <w:lang w:val="en-US" w:eastAsia="zh-CN" w:bidi="ar"/>
                <w14:textFill>
                  <w14:solidFill>
                    <w14:schemeClr w14:val="tx1"/>
                  </w14:solidFill>
                </w14:textFill>
              </w:rPr>
              <w:t>7</w:t>
            </w:r>
            <w:r>
              <w:rPr>
                <w:color w:val="000000" w:themeColor="text1"/>
                <w:kern w:val="0"/>
                <w:sz w:val="24"/>
                <w:lang w:bidi="ar"/>
                <w14:textFill>
                  <w14:solidFill>
                    <w14:schemeClr w14:val="tx1"/>
                  </w14:solidFill>
                </w14:textFill>
              </w:rPr>
              <w:t>月</w:t>
            </w:r>
            <w:r>
              <w:rPr>
                <w:rFonts w:hint="eastAsia"/>
                <w:color w:val="000000" w:themeColor="text1"/>
                <w:kern w:val="0"/>
                <w:sz w:val="24"/>
                <w:lang w:val="en-US" w:eastAsia="zh-CN" w:bidi="ar"/>
                <w14:textFill>
                  <w14:solidFill>
                    <w14:schemeClr w14:val="tx1"/>
                  </w14:solidFill>
                </w14:textFill>
              </w:rPr>
              <w:t>11</w:t>
            </w:r>
            <w:r>
              <w:rPr>
                <w:color w:val="000000" w:themeColor="text1"/>
                <w:kern w:val="0"/>
                <w:sz w:val="24"/>
                <w:lang w:bidi="ar"/>
                <w14:textFill>
                  <w14:solidFill>
                    <w14:schemeClr w14:val="tx1"/>
                  </w14:solidFill>
                </w14:textFill>
              </w:rPr>
              <w:t>日～</w:t>
            </w:r>
            <w:r>
              <w:rPr>
                <w:rFonts w:hint="eastAsia"/>
                <w:color w:val="000000" w:themeColor="text1"/>
                <w:kern w:val="0"/>
                <w:sz w:val="24"/>
                <w:lang w:val="en-US" w:eastAsia="zh-CN" w:bidi="ar"/>
                <w14:textFill>
                  <w14:solidFill>
                    <w14:schemeClr w14:val="tx1"/>
                  </w14:solidFill>
                </w14:textFill>
              </w:rPr>
              <w:t>7</w:t>
            </w:r>
            <w:r>
              <w:rPr>
                <w:color w:val="000000" w:themeColor="text1"/>
                <w:kern w:val="0"/>
                <w:sz w:val="24"/>
                <w:lang w:bidi="ar"/>
                <w14:textFill>
                  <w14:solidFill>
                    <w14:schemeClr w14:val="tx1"/>
                  </w14:solidFill>
                </w14:textFill>
              </w:rPr>
              <w:t>月</w:t>
            </w:r>
            <w:r>
              <w:rPr>
                <w:rFonts w:hint="eastAsia"/>
                <w:color w:val="000000" w:themeColor="text1"/>
                <w:kern w:val="0"/>
                <w:sz w:val="24"/>
                <w:lang w:val="en-US" w:eastAsia="zh-CN" w:bidi="ar"/>
                <w14:textFill>
                  <w14:solidFill>
                    <w14:schemeClr w14:val="tx1"/>
                  </w14:solidFill>
                </w14:textFill>
              </w:rPr>
              <w:t>13</w:t>
            </w:r>
            <w:r>
              <w:rPr>
                <w:color w:val="000000" w:themeColor="text1"/>
                <w:kern w:val="0"/>
                <w:sz w:val="24"/>
                <w:lang w:bidi="ar"/>
                <w14:textFill>
                  <w14:solidFill>
                    <w14:schemeClr w14:val="tx1"/>
                  </w14:solidFill>
                </w14:textFill>
              </w:rPr>
              <w:t>日对</w:t>
            </w:r>
            <w:r>
              <w:rPr>
                <w:rFonts w:hint="eastAsia"/>
                <w:color w:val="auto"/>
                <w:sz w:val="24"/>
                <w:lang w:val="en-US" w:eastAsia="zh-CN"/>
              </w:rPr>
              <w:t>本项目</w:t>
            </w:r>
            <w:r>
              <w:rPr>
                <w:rFonts w:hint="eastAsia"/>
                <w:color w:val="auto"/>
                <w:sz w:val="24"/>
              </w:rPr>
              <w:t>临时拌合站</w:t>
            </w:r>
            <w:r>
              <w:rPr>
                <w:color w:val="auto"/>
                <w:kern w:val="0"/>
                <w:sz w:val="24"/>
                <w:lang w:bidi="ar"/>
              </w:rPr>
              <w:t>TSP进行现状监测。</w:t>
            </w:r>
          </w:p>
          <w:p>
            <w:pPr>
              <w:keepNext w:val="0"/>
              <w:keepLines w:val="0"/>
              <w:pageBreakBefore w:val="0"/>
              <w:widowControl/>
              <w:kinsoku/>
              <w:wordWrap/>
              <w:topLinePunct w:val="0"/>
              <w:autoSpaceDE/>
              <w:autoSpaceDN/>
              <w:bidi w:val="0"/>
              <w:adjustRightInd w:val="0"/>
              <w:snapToGrid w:val="0"/>
              <w:spacing w:line="360" w:lineRule="auto"/>
              <w:ind w:firstLine="481" w:firstLineChars="200"/>
              <w:jc w:val="left"/>
              <w:textAlignment w:val="auto"/>
              <w:rPr>
                <w:b/>
                <w:bCs/>
                <w:color w:val="auto"/>
                <w:kern w:val="0"/>
                <w:sz w:val="24"/>
                <w:lang w:bidi="ar"/>
              </w:rPr>
            </w:pPr>
            <w:r>
              <w:rPr>
                <w:b/>
                <w:bCs/>
                <w:color w:val="auto"/>
                <w:kern w:val="0"/>
                <w:sz w:val="24"/>
                <w:lang w:bidi="ar"/>
              </w:rPr>
              <w:t>①监测点位</w:t>
            </w:r>
          </w:p>
          <w:p>
            <w:pPr>
              <w:keepNext w:val="0"/>
              <w:keepLines w:val="0"/>
              <w:pageBreakBefore w:val="0"/>
              <w:widowControl/>
              <w:kinsoku/>
              <w:wordWrap/>
              <w:topLinePunct w:val="0"/>
              <w:autoSpaceDE/>
              <w:autoSpaceDN/>
              <w:bidi w:val="0"/>
              <w:adjustRightInd w:val="0"/>
              <w:snapToGrid w:val="0"/>
              <w:spacing w:line="360" w:lineRule="auto"/>
              <w:ind w:firstLine="480" w:firstLineChars="200"/>
              <w:jc w:val="left"/>
              <w:textAlignment w:val="auto"/>
              <w:rPr>
                <w:color w:val="auto"/>
                <w:kern w:val="0"/>
                <w:sz w:val="24"/>
                <w:lang w:bidi="ar"/>
              </w:rPr>
            </w:pPr>
            <w:r>
              <w:rPr>
                <w:color w:val="auto"/>
                <w:kern w:val="0"/>
                <w:sz w:val="24"/>
                <w:lang w:bidi="ar"/>
              </w:rPr>
              <w:t>按照《环境空气质量手工监测技术规范》（</w:t>
            </w:r>
            <w:r>
              <w:rPr>
                <w:rFonts w:hint="eastAsia"/>
                <w:color w:val="auto"/>
                <w:kern w:val="0"/>
                <w:sz w:val="24"/>
                <w:lang w:bidi="ar"/>
              </w:rPr>
              <w:t>HJ</w:t>
            </w:r>
            <w:r>
              <w:rPr>
                <w:rFonts w:hint="eastAsia"/>
                <w:color w:val="auto"/>
                <w:kern w:val="0"/>
                <w:sz w:val="24"/>
                <w:lang w:val="en-US" w:eastAsia="zh-CN" w:bidi="ar"/>
              </w:rPr>
              <w:t xml:space="preserve"> </w:t>
            </w:r>
            <w:r>
              <w:rPr>
                <w:rFonts w:hint="eastAsia"/>
                <w:color w:val="auto"/>
                <w:kern w:val="0"/>
                <w:sz w:val="24"/>
                <w:lang w:bidi="ar"/>
              </w:rPr>
              <w:t>194-2017</w:t>
            </w:r>
            <w:r>
              <w:rPr>
                <w:color w:val="auto"/>
                <w:kern w:val="0"/>
                <w:sz w:val="24"/>
                <w:lang w:bidi="ar"/>
              </w:rPr>
              <w:t>）、《环境空气质量标准》（GB3095-2012）、《环境影响评价技术导则 大气环境》（HJ</w:t>
            </w:r>
            <w:r>
              <w:rPr>
                <w:rFonts w:hint="eastAsia"/>
                <w:color w:val="auto"/>
                <w:kern w:val="0"/>
                <w:sz w:val="24"/>
                <w:lang w:val="en-US" w:eastAsia="zh-CN" w:bidi="ar"/>
              </w:rPr>
              <w:t xml:space="preserve"> </w:t>
            </w:r>
            <w:r>
              <w:rPr>
                <w:color w:val="auto"/>
                <w:kern w:val="0"/>
                <w:sz w:val="24"/>
                <w:lang w:bidi="ar"/>
              </w:rPr>
              <w:t>2.2-2018）中的要求进行检测，具体检测项目、监测点位</w:t>
            </w:r>
            <w:r>
              <w:rPr>
                <w:rFonts w:hint="eastAsia"/>
                <w:color w:val="auto"/>
                <w:kern w:val="0"/>
                <w:sz w:val="24"/>
                <w:lang w:bidi="ar"/>
              </w:rPr>
              <w:t>见</w:t>
            </w:r>
            <w:r>
              <w:rPr>
                <w:color w:val="auto"/>
                <w:kern w:val="0"/>
                <w:sz w:val="24"/>
                <w:lang w:bidi="ar"/>
              </w:rPr>
              <w:t>表3-2，监测布点见图</w:t>
            </w:r>
            <w:r>
              <w:rPr>
                <w:rFonts w:hint="eastAsia"/>
                <w:color w:val="auto"/>
                <w:kern w:val="0"/>
                <w:sz w:val="24"/>
                <w:lang w:bidi="ar"/>
              </w:rPr>
              <w:t>3-1</w:t>
            </w:r>
            <w:r>
              <w:rPr>
                <w:color w:val="auto"/>
                <w:kern w:val="0"/>
                <w:sz w:val="24"/>
                <w:lang w:bidi="ar"/>
              </w:rPr>
              <w:t>。</w:t>
            </w:r>
          </w:p>
          <w:p>
            <w:pPr>
              <w:pStyle w:val="6"/>
              <w:adjustRightInd w:val="0"/>
              <w:snapToGrid w:val="0"/>
              <w:spacing w:after="0"/>
              <w:ind w:left="0" w:leftChars="0" w:firstLine="0" w:firstLineChars="0"/>
              <w:jc w:val="center"/>
              <w:rPr>
                <w:b/>
                <w:bCs/>
                <w:color w:val="auto"/>
                <w:sz w:val="24"/>
                <w:szCs w:val="20"/>
              </w:rPr>
            </w:pPr>
            <w:r>
              <w:rPr>
                <w:b/>
                <w:bCs/>
                <w:color w:val="auto"/>
                <w:sz w:val="21"/>
                <w:szCs w:val="21"/>
                <w:lang w:bidi="ar"/>
              </w:rPr>
              <w:t xml:space="preserve">表3-2  </w:t>
            </w:r>
            <w:r>
              <w:rPr>
                <w:rFonts w:hint="eastAsia"/>
                <w:b/>
                <w:bCs/>
                <w:color w:val="auto"/>
                <w:sz w:val="21"/>
                <w:szCs w:val="21"/>
                <w:lang w:bidi="ar"/>
              </w:rPr>
              <w:t xml:space="preserve"> </w:t>
            </w:r>
            <w:r>
              <w:rPr>
                <w:b/>
                <w:bCs/>
                <w:color w:val="auto"/>
                <w:sz w:val="21"/>
                <w:szCs w:val="21"/>
                <w:lang w:bidi="ar"/>
              </w:rPr>
              <w:t>环境空气质量现状监测点位信息一览表</w:t>
            </w:r>
          </w:p>
          <w:tbl>
            <w:tblPr>
              <w:tblStyle w:val="24"/>
              <w:tblW w:w="833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12"/>
              <w:gridCol w:w="2001"/>
              <w:gridCol w:w="2459"/>
              <w:gridCol w:w="1944"/>
              <w:gridCol w:w="131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67" w:type="pct"/>
                  <w:vMerge w:val="restart"/>
                  <w:vAlign w:val="center"/>
                </w:tcPr>
                <w:p>
                  <w:pPr>
                    <w:adjustRightInd w:val="0"/>
                    <w:snapToGrid w:val="0"/>
                    <w:jc w:val="center"/>
                    <w:rPr>
                      <w:b/>
                      <w:color w:val="auto"/>
                      <w:szCs w:val="21"/>
                    </w:rPr>
                  </w:pPr>
                  <w:r>
                    <w:rPr>
                      <w:b/>
                      <w:color w:val="auto"/>
                      <w:spacing w:val="-20"/>
                      <w:szCs w:val="21"/>
                    </w:rPr>
                    <w:t>序号</w:t>
                  </w:r>
                </w:p>
              </w:tc>
              <w:tc>
                <w:tcPr>
                  <w:tcW w:w="2675" w:type="pct"/>
                  <w:gridSpan w:val="2"/>
                  <w:vAlign w:val="center"/>
                </w:tcPr>
                <w:p>
                  <w:pPr>
                    <w:adjustRightInd w:val="0"/>
                    <w:snapToGrid w:val="0"/>
                    <w:jc w:val="center"/>
                    <w:rPr>
                      <w:b/>
                      <w:color w:val="auto"/>
                      <w:szCs w:val="21"/>
                    </w:rPr>
                  </w:pPr>
                  <w:r>
                    <w:rPr>
                      <w:b/>
                      <w:color w:val="auto"/>
                      <w:szCs w:val="21"/>
                    </w:rPr>
                    <w:t>检测点位名称</w:t>
                  </w:r>
                </w:p>
              </w:tc>
              <w:tc>
                <w:tcPr>
                  <w:tcW w:w="1166" w:type="pct"/>
                  <w:vMerge w:val="restart"/>
                  <w:vAlign w:val="center"/>
                </w:tcPr>
                <w:p>
                  <w:pPr>
                    <w:adjustRightInd w:val="0"/>
                    <w:snapToGrid w:val="0"/>
                    <w:jc w:val="center"/>
                    <w:rPr>
                      <w:b/>
                      <w:color w:val="auto"/>
                      <w:szCs w:val="21"/>
                    </w:rPr>
                  </w:pPr>
                  <w:r>
                    <w:rPr>
                      <w:b/>
                      <w:color w:val="auto"/>
                      <w:szCs w:val="21"/>
                    </w:rPr>
                    <w:t>与本项目相对方位及距离</w:t>
                  </w:r>
                </w:p>
              </w:tc>
              <w:tc>
                <w:tcPr>
                  <w:tcW w:w="790" w:type="pct"/>
                  <w:vMerge w:val="restart"/>
                  <w:vAlign w:val="center"/>
                </w:tcPr>
                <w:p>
                  <w:pPr>
                    <w:adjustRightInd w:val="0"/>
                    <w:snapToGrid w:val="0"/>
                    <w:jc w:val="center"/>
                    <w:rPr>
                      <w:b/>
                      <w:color w:val="auto"/>
                      <w:szCs w:val="21"/>
                    </w:rPr>
                  </w:pPr>
                  <w:r>
                    <w:rPr>
                      <w:b/>
                      <w:color w:val="auto"/>
                      <w:szCs w:val="21"/>
                    </w:rPr>
                    <w:t>检测因子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67" w:type="pct"/>
                  <w:vMerge w:val="continue"/>
                  <w:vAlign w:val="center"/>
                </w:tcPr>
                <w:p>
                  <w:pPr>
                    <w:adjustRightInd w:val="0"/>
                    <w:snapToGrid w:val="0"/>
                    <w:jc w:val="center"/>
                    <w:rPr>
                      <w:color w:val="auto"/>
                      <w:szCs w:val="21"/>
                    </w:rPr>
                  </w:pPr>
                </w:p>
              </w:tc>
              <w:tc>
                <w:tcPr>
                  <w:tcW w:w="1200" w:type="pct"/>
                  <w:vAlign w:val="center"/>
                </w:tcPr>
                <w:p>
                  <w:pPr>
                    <w:adjustRightInd w:val="0"/>
                    <w:snapToGrid w:val="0"/>
                    <w:jc w:val="center"/>
                    <w:rPr>
                      <w:b/>
                      <w:color w:val="auto"/>
                      <w:szCs w:val="21"/>
                    </w:rPr>
                  </w:pPr>
                  <w:r>
                    <w:rPr>
                      <w:b/>
                      <w:color w:val="auto"/>
                      <w:szCs w:val="21"/>
                    </w:rPr>
                    <w:t>名称</w:t>
                  </w:r>
                </w:p>
              </w:tc>
              <w:tc>
                <w:tcPr>
                  <w:tcW w:w="1475" w:type="pct"/>
                  <w:vAlign w:val="center"/>
                </w:tcPr>
                <w:p>
                  <w:pPr>
                    <w:adjustRightInd w:val="0"/>
                    <w:snapToGrid w:val="0"/>
                    <w:jc w:val="center"/>
                    <w:rPr>
                      <w:b/>
                      <w:color w:val="auto"/>
                      <w:szCs w:val="21"/>
                    </w:rPr>
                  </w:pPr>
                  <w:r>
                    <w:rPr>
                      <w:b/>
                      <w:color w:val="auto"/>
                      <w:szCs w:val="21"/>
                    </w:rPr>
                    <w:t>位置坐标</w:t>
                  </w:r>
                </w:p>
              </w:tc>
              <w:tc>
                <w:tcPr>
                  <w:tcW w:w="1166" w:type="pct"/>
                  <w:vMerge w:val="continue"/>
                  <w:vAlign w:val="center"/>
                </w:tcPr>
                <w:p>
                  <w:pPr>
                    <w:adjustRightInd w:val="0"/>
                    <w:snapToGrid w:val="0"/>
                    <w:jc w:val="center"/>
                    <w:rPr>
                      <w:color w:val="auto"/>
                      <w:szCs w:val="21"/>
                    </w:rPr>
                  </w:pPr>
                </w:p>
              </w:tc>
              <w:tc>
                <w:tcPr>
                  <w:tcW w:w="790"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67" w:type="pct"/>
                  <w:vAlign w:val="center"/>
                </w:tcPr>
                <w:p>
                  <w:pPr>
                    <w:adjustRightInd w:val="0"/>
                    <w:snapToGrid w:val="0"/>
                    <w:jc w:val="center"/>
                    <w:rPr>
                      <w:bCs/>
                      <w:color w:val="auto"/>
                      <w:szCs w:val="21"/>
                    </w:rPr>
                  </w:pPr>
                  <w:r>
                    <w:rPr>
                      <w:bCs/>
                      <w:color w:val="auto"/>
                      <w:szCs w:val="21"/>
                    </w:rPr>
                    <w:t>1</w:t>
                  </w:r>
                </w:p>
              </w:tc>
              <w:tc>
                <w:tcPr>
                  <w:tcW w:w="1200" w:type="pct"/>
                  <w:vAlign w:val="center"/>
                </w:tcPr>
                <w:p>
                  <w:pPr>
                    <w:adjustRightInd w:val="0"/>
                    <w:snapToGrid w:val="0"/>
                    <w:jc w:val="center"/>
                    <w:rPr>
                      <w:bCs/>
                      <w:color w:val="auto"/>
                      <w:szCs w:val="21"/>
                    </w:rPr>
                  </w:pPr>
                  <w:r>
                    <w:rPr>
                      <w:bCs/>
                      <w:color w:val="auto"/>
                      <w:szCs w:val="21"/>
                    </w:rPr>
                    <w:t>1#厂址下风向</w:t>
                  </w:r>
                </w:p>
              </w:tc>
              <w:tc>
                <w:tcPr>
                  <w:tcW w:w="1475" w:type="pct"/>
                  <w:vAlign w:val="center"/>
                </w:tcPr>
                <w:p>
                  <w:pPr>
                    <w:adjustRightInd w:val="0"/>
                    <w:snapToGrid w:val="0"/>
                    <w:jc w:val="center"/>
                    <w:rPr>
                      <w:rFonts w:hint="default" w:eastAsia="宋体"/>
                      <w:bCs/>
                      <w:color w:val="auto"/>
                      <w:szCs w:val="21"/>
                      <w:lang w:val="en-US" w:eastAsia="zh-CN"/>
                    </w:rPr>
                  </w:pPr>
                  <w:r>
                    <w:rPr>
                      <w:rFonts w:hint="default" w:eastAsia="宋体"/>
                      <w:bCs/>
                      <w:color w:val="auto"/>
                      <w:szCs w:val="21"/>
                      <w:lang w:val="en-US" w:eastAsia="zh-CN"/>
                    </w:rPr>
                    <w:t>E:105.279416</w:t>
                  </w:r>
                </w:p>
                <w:p>
                  <w:pPr>
                    <w:adjustRightInd w:val="0"/>
                    <w:snapToGrid w:val="0"/>
                    <w:jc w:val="center"/>
                    <w:rPr>
                      <w:rFonts w:hint="default" w:eastAsia="宋体"/>
                      <w:bCs/>
                      <w:color w:val="auto"/>
                      <w:szCs w:val="21"/>
                      <w:lang w:val="en-US" w:eastAsia="zh-CN"/>
                    </w:rPr>
                  </w:pPr>
                  <w:r>
                    <w:rPr>
                      <w:rFonts w:hint="default" w:eastAsia="宋体"/>
                      <w:bCs/>
                      <w:color w:val="auto"/>
                      <w:szCs w:val="21"/>
                      <w:lang w:val="en-US" w:eastAsia="zh-CN"/>
                    </w:rPr>
                    <w:t>N:37.586392</w:t>
                  </w:r>
                </w:p>
              </w:tc>
              <w:tc>
                <w:tcPr>
                  <w:tcW w:w="1166" w:type="pct"/>
                  <w:vAlign w:val="center"/>
                </w:tcPr>
                <w:p>
                  <w:pPr>
                    <w:adjustRightInd w:val="0"/>
                    <w:snapToGrid w:val="0"/>
                    <w:jc w:val="center"/>
                    <w:rPr>
                      <w:bCs/>
                      <w:color w:val="auto"/>
                      <w:szCs w:val="21"/>
                    </w:rPr>
                  </w:pPr>
                  <w:r>
                    <w:rPr>
                      <w:bCs/>
                      <w:color w:val="auto"/>
                      <w:szCs w:val="21"/>
                    </w:rPr>
                    <w:t>W,</w:t>
                  </w:r>
                  <w:r>
                    <w:rPr>
                      <w:rFonts w:hint="eastAsia"/>
                      <w:bCs/>
                      <w:color w:val="auto"/>
                      <w:szCs w:val="21"/>
                      <w:lang w:val="en-US" w:eastAsia="zh-CN"/>
                    </w:rPr>
                    <w:t>25</w:t>
                  </w:r>
                  <w:r>
                    <w:rPr>
                      <w:bCs/>
                      <w:color w:val="auto"/>
                      <w:szCs w:val="21"/>
                    </w:rPr>
                    <w:t>m</w:t>
                  </w:r>
                </w:p>
              </w:tc>
              <w:tc>
                <w:tcPr>
                  <w:tcW w:w="790" w:type="pct"/>
                  <w:vAlign w:val="center"/>
                </w:tcPr>
                <w:p>
                  <w:pPr>
                    <w:adjustRightInd w:val="0"/>
                    <w:snapToGrid w:val="0"/>
                    <w:jc w:val="center"/>
                    <w:rPr>
                      <w:bCs/>
                      <w:color w:val="auto"/>
                      <w:szCs w:val="21"/>
                    </w:rPr>
                  </w:pPr>
                  <w:r>
                    <w:rPr>
                      <w:bCs/>
                      <w:color w:val="auto"/>
                      <w:szCs w:val="21"/>
                    </w:rPr>
                    <w:t>TSP</w:t>
                  </w:r>
                </w:p>
              </w:tc>
            </w:tr>
          </w:tbl>
          <w:p>
            <w:pPr>
              <w:rPr>
                <w:rFonts w:hint="eastAsia" w:eastAsia="宋体"/>
                <w:color w:val="FF0000"/>
                <w:lang w:eastAsia="zh-CN"/>
              </w:rPr>
            </w:pPr>
            <w:r>
              <w:rPr>
                <w:sz w:val="28"/>
              </w:rPr>
              <mc:AlternateContent>
                <mc:Choice Requires="wps">
                  <w:drawing>
                    <wp:anchor distT="0" distB="0" distL="114300" distR="114300" simplePos="0" relativeHeight="251669504" behindDoc="0" locked="0" layoutInCell="1" allowOverlap="1">
                      <wp:simplePos x="0" y="0"/>
                      <wp:positionH relativeFrom="column">
                        <wp:posOffset>830580</wp:posOffset>
                      </wp:positionH>
                      <wp:positionV relativeFrom="paragraph">
                        <wp:posOffset>4377690</wp:posOffset>
                      </wp:positionV>
                      <wp:extent cx="99695" cy="99695"/>
                      <wp:effectExtent l="6350" t="6350" r="8255" b="8255"/>
                      <wp:wrapNone/>
                      <wp:docPr id="31" name="椭圆 31"/>
                      <wp:cNvGraphicFramePr/>
                      <a:graphic xmlns:a="http://schemas.openxmlformats.org/drawingml/2006/main">
                        <a:graphicData uri="http://schemas.microsoft.com/office/word/2010/wordprocessingShape">
                          <wps:wsp>
                            <wps:cNvSpPr/>
                            <wps:spPr>
                              <a:xfrm>
                                <a:off x="0" y="0"/>
                                <a:ext cx="99695" cy="99695"/>
                              </a:xfrm>
                              <a:prstGeom prst="ellipse">
                                <a:avLst/>
                              </a:prstGeom>
                              <a:solidFill>
                                <a:srgbClr val="FFFF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3" type="#_x0000_t3" style="position:absolute;left:0pt;margin-left:65.4pt;margin-top:344.7pt;height:7.85pt;width:7.85pt;z-index:251669504;v-text-anchor:middle;mso-width-relative:page;mso-height-relative:page;" fillcolor="#FFFF00" filled="t" stroked="t" coordsize="21600,21600" o:gfxdata="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DHbycp2gAAAAsBAAAPAAAAAAAAAAEAIAAAADgAAABkcnMvZG93bnJl&#10;di54bWxQSwECFAAUAAAACACHTuJA9orhb1cCAAC3BAAADgAAAAAAAAABACAAAAA/AQAAZHJzL2Uy&#10;b0RvYy54bWxQSwUGAAAAAAYABgBZAQAACAYAAAAA&#10;">
                      <v:fill on="t" focussize="0,0"/>
                      <v:stroke weight="1pt" color="#000000 [3213]" miterlimit="8" joinstyle="miter"/>
                      <v:imagedata o:title=""/>
                      <o:lock v:ext="edit" aspectratio="f"/>
                    </v:shape>
                  </w:pict>
                </mc:Fallback>
              </mc:AlternateContent>
            </w:r>
            <w:r>
              <w:rPr>
                <w:sz w:val="20"/>
              </w:rPr>
              <mc:AlternateContent>
                <mc:Choice Requires="wps">
                  <w:drawing>
                    <wp:anchor distT="0" distB="0" distL="114300" distR="114300" simplePos="0" relativeHeight="251668480" behindDoc="0" locked="0" layoutInCell="1" allowOverlap="1">
                      <wp:simplePos x="0" y="0"/>
                      <wp:positionH relativeFrom="column">
                        <wp:posOffset>626110</wp:posOffset>
                      </wp:positionH>
                      <wp:positionV relativeFrom="paragraph">
                        <wp:posOffset>4093845</wp:posOffset>
                      </wp:positionV>
                      <wp:extent cx="320675" cy="169545"/>
                      <wp:effectExtent l="6350" t="6350" r="15875" b="14605"/>
                      <wp:wrapNone/>
                      <wp:docPr id="30" name="矩形 30"/>
                      <wp:cNvGraphicFramePr/>
                      <a:graphic xmlns:a="http://schemas.openxmlformats.org/drawingml/2006/main">
                        <a:graphicData uri="http://schemas.microsoft.com/office/word/2010/wordprocessingShape">
                          <wps:wsp>
                            <wps:cNvSpPr/>
                            <wps:spPr>
                              <a:xfrm>
                                <a:off x="0" y="0"/>
                                <a:ext cx="320675" cy="169545"/>
                              </a:xfrm>
                              <a:prstGeom prst="rect">
                                <a:avLst/>
                              </a:prstGeom>
                              <a:solidFill>
                                <a:srgbClr val="524986"/>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49.3pt;margin-top:322.35pt;height:13.35pt;width:25.25pt;z-index:251668480;v-text-anchor:middle;mso-width-relative:page;mso-height-relative:page;" fillcolor="#524986" filled="t" stroked="t" coordsize="21600,21600" o:gfxdata="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plxZm9oAAAAKAQAADwAAAAAAAAABACAAAAA4AAAAZHJz&#10;L2Rvd25yZXYueG1sUEsBAhQAFAAAAAgAh07iQBTH0I9eAgAAtgQAAA4AAAAAAAAAAQAgAAAAPwEA&#10;AGRycy9lMm9Eb2MueG1sUEsFBgAAAAAGAAYAWQEAAA8GAAAAAA==&#10;">
                      <v:fill on="t" focussize="0,0"/>
                      <v:stroke weight="1pt" color="#FF0000 [2404]" miterlimit="8" joinstyle="miter"/>
                      <v:imagedata o:title=""/>
                      <o:lock v:ext="edit" aspectratio="f"/>
                    </v:rect>
                  </w:pict>
                </mc:Fallback>
              </mc:AlternateContent>
            </w:r>
            <w:r>
              <w:rPr>
                <w:color w:val="auto"/>
              </w:rPr>
              <mc:AlternateContent>
                <mc:Choice Requires="wps">
                  <w:drawing>
                    <wp:anchor distT="0" distB="0" distL="114300" distR="114300" simplePos="0" relativeHeight="251667456" behindDoc="0" locked="0" layoutInCell="1" allowOverlap="1">
                      <wp:simplePos x="0" y="0"/>
                      <wp:positionH relativeFrom="column">
                        <wp:posOffset>12700</wp:posOffset>
                      </wp:positionH>
                      <wp:positionV relativeFrom="paragraph">
                        <wp:posOffset>3785235</wp:posOffset>
                      </wp:positionV>
                      <wp:extent cx="1217930" cy="758190"/>
                      <wp:effectExtent l="4445" t="5080" r="15875" b="17780"/>
                      <wp:wrapNone/>
                      <wp:docPr id="29" name="文本框 29"/>
                      <wp:cNvGraphicFramePr/>
                      <a:graphic xmlns:a="http://schemas.openxmlformats.org/drawingml/2006/main">
                        <a:graphicData uri="http://schemas.microsoft.com/office/word/2010/wordprocessingShape">
                          <wps:wsp>
                            <wps:cNvSpPr txBox="true"/>
                            <wps:spPr>
                              <a:xfrm>
                                <a:off x="0" y="0"/>
                                <a:ext cx="1217930" cy="7581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b/>
                                      <w:bCs/>
                                      <w:sz w:val="18"/>
                                      <w:szCs w:val="21"/>
                                    </w:rPr>
                                  </w:pPr>
                                  <w:r>
                                    <w:rPr>
                                      <w:rFonts w:hint="eastAsia"/>
                                      <w:b/>
                                      <w:bCs/>
                                      <w:sz w:val="18"/>
                                      <w:szCs w:val="21"/>
                                    </w:rPr>
                                    <w:t>图例</w:t>
                                  </w:r>
                                </w:p>
                                <w:p>
                                  <w:pPr>
                                    <w:spacing w:line="360" w:lineRule="auto"/>
                                    <w:rPr>
                                      <w:rFonts w:hint="default" w:eastAsia="宋体"/>
                                      <w:b/>
                                      <w:bCs/>
                                      <w:sz w:val="16"/>
                                      <w:szCs w:val="20"/>
                                      <w:lang w:val="en-US" w:eastAsia="zh-CN"/>
                                    </w:rPr>
                                  </w:pPr>
                                  <w:r>
                                    <w:rPr>
                                      <w:rFonts w:hint="eastAsia"/>
                                      <w:b/>
                                      <w:bCs/>
                                      <w:sz w:val="16"/>
                                      <w:szCs w:val="20"/>
                                      <w:lang w:val="en-US" w:eastAsia="zh-CN"/>
                                    </w:rPr>
                                    <w:t>项目</w:t>
                                  </w:r>
                                  <w:r>
                                    <w:rPr>
                                      <w:rFonts w:hint="eastAsia"/>
                                      <w:b/>
                                      <w:bCs/>
                                      <w:sz w:val="16"/>
                                      <w:szCs w:val="20"/>
                                    </w:rPr>
                                    <w:t>厂界</w:t>
                                  </w:r>
                                  <w:r>
                                    <w:rPr>
                                      <w:rFonts w:hint="eastAsia"/>
                                      <w:b/>
                                      <w:bCs/>
                                      <w:sz w:val="16"/>
                                      <w:szCs w:val="20"/>
                                      <w:lang w:val="en-US" w:eastAsia="zh-CN"/>
                                    </w:rPr>
                                    <w:t xml:space="preserve">         </w:t>
                                  </w:r>
                                </w:p>
                                <w:p>
                                  <w:pPr>
                                    <w:rPr>
                                      <w:rFonts w:hint="default" w:eastAsia="宋体"/>
                                      <w:b/>
                                      <w:bCs/>
                                      <w:lang w:val="en-US" w:eastAsia="zh-CN"/>
                                    </w:rPr>
                                  </w:pPr>
                                  <w:r>
                                    <w:rPr>
                                      <w:rFonts w:hint="eastAsia"/>
                                      <w:b/>
                                      <w:bCs/>
                                      <w:sz w:val="16"/>
                                      <w:szCs w:val="20"/>
                                    </w:rPr>
                                    <w:t>大气监测点位</w:t>
                                  </w:r>
                                  <w:r>
                                    <w:rPr>
                                      <w:rFonts w:hint="eastAsia"/>
                                      <w:b/>
                                      <w:bCs/>
                                      <w:sz w:val="16"/>
                                      <w:szCs w:val="20"/>
                                      <w:lang w:val="en-US" w:eastAsia="zh-CN"/>
                                    </w:rPr>
                                    <w:t xml:space="preserve">  </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pt;margin-top:298.05pt;height:59.7pt;width:95.9pt;z-index:251667456;mso-width-relative:page;mso-height-relative:page;" fillcolor="#FFFFFF [3201]" filled="t" stroked="t" coordsize="21600,21600" o:gfxdata="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JdL&#10;QObWAAAACQEAAA8AAAAAAAAAAQAgAAAAOAAAAGRycy9kb3ducmV2LnhtbFBLAQIUABQAAAAIAIdO&#10;4kC2ZxkeSAIAAH0EAAAOAAAAAAAAAAEAIAAAADsBAABkcnMvZTJvRG9jLnhtbFBLBQYAAAAABgAG&#10;AFkBAAD1BQAAAAA=&#10;">
                      <v:fill on="t" focussize="0,0"/>
                      <v:stroke weight="0.5pt" color="#000000 [3204]" joinstyle="round"/>
                      <v:imagedata o:title=""/>
                      <o:lock v:ext="edit" aspectratio="f"/>
                      <v:textbox>
                        <w:txbxContent>
                          <w:p>
                            <w:pPr>
                              <w:jc w:val="center"/>
                              <w:rPr>
                                <w:b/>
                                <w:bCs/>
                                <w:sz w:val="18"/>
                                <w:szCs w:val="21"/>
                              </w:rPr>
                            </w:pPr>
                            <w:r>
                              <w:rPr>
                                <w:rFonts w:hint="eastAsia"/>
                                <w:b/>
                                <w:bCs/>
                                <w:sz w:val="18"/>
                                <w:szCs w:val="21"/>
                              </w:rPr>
                              <w:t>图例</w:t>
                            </w:r>
                          </w:p>
                          <w:p>
                            <w:pPr>
                              <w:spacing w:line="360" w:lineRule="auto"/>
                              <w:rPr>
                                <w:rFonts w:hint="default" w:eastAsia="宋体"/>
                                <w:b/>
                                <w:bCs/>
                                <w:sz w:val="16"/>
                                <w:szCs w:val="20"/>
                                <w:lang w:val="en-US" w:eastAsia="zh-CN"/>
                              </w:rPr>
                            </w:pPr>
                            <w:r>
                              <w:rPr>
                                <w:rFonts w:hint="eastAsia"/>
                                <w:b/>
                                <w:bCs/>
                                <w:sz w:val="16"/>
                                <w:szCs w:val="20"/>
                                <w:lang w:val="en-US" w:eastAsia="zh-CN"/>
                              </w:rPr>
                              <w:t>项目</w:t>
                            </w:r>
                            <w:r>
                              <w:rPr>
                                <w:rFonts w:hint="eastAsia"/>
                                <w:b/>
                                <w:bCs/>
                                <w:sz w:val="16"/>
                                <w:szCs w:val="20"/>
                              </w:rPr>
                              <w:t>厂界</w:t>
                            </w:r>
                            <w:r>
                              <w:rPr>
                                <w:rFonts w:hint="eastAsia"/>
                                <w:b/>
                                <w:bCs/>
                                <w:sz w:val="16"/>
                                <w:szCs w:val="20"/>
                                <w:lang w:val="en-US" w:eastAsia="zh-CN"/>
                              </w:rPr>
                              <w:t xml:space="preserve">         </w:t>
                            </w:r>
                          </w:p>
                          <w:p>
                            <w:pPr>
                              <w:rPr>
                                <w:rFonts w:hint="default" w:eastAsia="宋体"/>
                                <w:b/>
                                <w:bCs/>
                                <w:lang w:val="en-US" w:eastAsia="zh-CN"/>
                              </w:rPr>
                            </w:pPr>
                            <w:r>
                              <w:rPr>
                                <w:rFonts w:hint="eastAsia"/>
                                <w:b/>
                                <w:bCs/>
                                <w:sz w:val="16"/>
                                <w:szCs w:val="20"/>
                              </w:rPr>
                              <w:t>大气监测点位</w:t>
                            </w:r>
                            <w:r>
                              <w:rPr>
                                <w:rFonts w:hint="eastAsia"/>
                                <w:b/>
                                <w:bCs/>
                                <w:sz w:val="16"/>
                                <w:szCs w:val="20"/>
                                <w:lang w:val="en-US" w:eastAsia="zh-CN"/>
                              </w:rPr>
                              <w:t xml:space="preserve">  </w:t>
                            </w:r>
                          </w:p>
                        </w:txbxContent>
                      </v:textbox>
                    </v:shape>
                  </w:pict>
                </mc:Fallback>
              </mc:AlternateContent>
            </w:r>
            <w:r>
              <w:rPr>
                <w:rFonts w:hint="eastAsia" w:eastAsia="宋体"/>
                <w:lang w:eastAsia="zh-CN"/>
              </w:rPr>
              <w:drawing>
                <wp:anchor distT="0" distB="0" distL="114300" distR="114300" simplePos="0" relativeHeight="251665408" behindDoc="0" locked="0" layoutInCell="1" allowOverlap="1">
                  <wp:simplePos x="0" y="0"/>
                  <wp:positionH relativeFrom="column">
                    <wp:posOffset>4627245</wp:posOffset>
                  </wp:positionH>
                  <wp:positionV relativeFrom="paragraph">
                    <wp:posOffset>24130</wp:posOffset>
                  </wp:positionV>
                  <wp:extent cx="634365" cy="483235"/>
                  <wp:effectExtent l="0" t="0" r="13335" b="12065"/>
                  <wp:wrapNone/>
                  <wp:docPr id="28" name="图片 28" descr="17098968216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1709896821632"/>
                          <pic:cNvPicPr>
                            <a:picLocks noChangeAspect="true"/>
                          </pic:cNvPicPr>
                        </pic:nvPicPr>
                        <pic:blipFill>
                          <a:blip r:embed="rId21"/>
                          <a:stretch>
                            <a:fillRect/>
                          </a:stretch>
                        </pic:blipFill>
                        <pic:spPr>
                          <a:xfrm>
                            <a:off x="0" y="0"/>
                            <a:ext cx="634365" cy="483235"/>
                          </a:xfrm>
                          <a:prstGeom prst="rect">
                            <a:avLst/>
                          </a:prstGeom>
                        </pic:spPr>
                      </pic:pic>
                    </a:graphicData>
                  </a:graphic>
                </wp:anchor>
              </w:drawing>
            </w:r>
            <w:r>
              <w:rPr>
                <w:sz w:val="28"/>
              </w:rPr>
              <mc:AlternateContent>
                <mc:Choice Requires="wps">
                  <w:drawing>
                    <wp:anchor distT="0" distB="0" distL="114300" distR="114300" simplePos="0" relativeHeight="251666432" behindDoc="0" locked="0" layoutInCell="1" allowOverlap="1">
                      <wp:simplePos x="0" y="0"/>
                      <wp:positionH relativeFrom="column">
                        <wp:posOffset>2248535</wp:posOffset>
                      </wp:positionH>
                      <wp:positionV relativeFrom="paragraph">
                        <wp:posOffset>1937385</wp:posOffset>
                      </wp:positionV>
                      <wp:extent cx="99695" cy="99695"/>
                      <wp:effectExtent l="6350" t="6350" r="8255" b="8255"/>
                      <wp:wrapNone/>
                      <wp:docPr id="8" name="椭圆 8"/>
                      <wp:cNvGraphicFramePr/>
                      <a:graphic xmlns:a="http://schemas.openxmlformats.org/drawingml/2006/main">
                        <a:graphicData uri="http://schemas.microsoft.com/office/word/2010/wordprocessingShape">
                          <wps:wsp>
                            <wps:cNvSpPr/>
                            <wps:spPr>
                              <a:xfrm>
                                <a:off x="0" y="0"/>
                                <a:ext cx="99695" cy="99695"/>
                              </a:xfrm>
                              <a:prstGeom prst="ellipse">
                                <a:avLst/>
                              </a:prstGeom>
                              <a:solidFill>
                                <a:srgbClr val="FFFF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3" type="#_x0000_t3" style="position:absolute;left:0pt;margin-left:177.05pt;margin-top:152.55pt;height:7.85pt;width:7.85pt;z-index:251666432;v-text-anchor:middle;mso-width-relative:page;mso-height-relative:page;" fillcolor="#FFFF00" filled="t" stroked="t" coordsize="21600,21600" o:gfxdata="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yRgJMtoAAAALAQAADwAAAAAAAAABACAAAAA4AAAAZHJzL2Rvd25yZXYu&#10;eG1sUEsBAhQAFAAAAAgAh07iQF/Woz9VAgAAtQQAAA4AAAAAAAAAAQAgAAAAPwEAAGRycy9lMm9E&#10;b2MueG1sUEsFBgAAAAAGAAYAWQEAAAYGAAAAAA==&#10;">
                      <v:fill on="t" focussize="0,0"/>
                      <v:stroke weight="1pt" color="#000000 [3213]" miterlimit="8" joinstyle="miter"/>
                      <v:imagedata o:title=""/>
                      <o:lock v:ext="edit" aspectratio="f"/>
                    </v:shape>
                  </w:pict>
                </mc:Fallback>
              </mc:AlternateContent>
            </w:r>
            <w:r>
              <w:rPr>
                <w:color w:val="auto"/>
              </w:rPr>
              <w:drawing>
                <wp:inline distT="0" distB="0" distL="114300" distR="114300">
                  <wp:extent cx="5269865" cy="4509135"/>
                  <wp:effectExtent l="0" t="0" r="6985" b="5715"/>
                  <wp:docPr id="27" name="图片 27" descr="17205081835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1720508183537"/>
                          <pic:cNvPicPr>
                            <a:picLocks noChangeAspect="true"/>
                          </pic:cNvPicPr>
                        </pic:nvPicPr>
                        <pic:blipFill>
                          <a:blip r:embed="rId22"/>
                          <a:stretch>
                            <a:fillRect/>
                          </a:stretch>
                        </pic:blipFill>
                        <pic:spPr>
                          <a:xfrm>
                            <a:off x="0" y="0"/>
                            <a:ext cx="5269865" cy="4509135"/>
                          </a:xfrm>
                          <a:prstGeom prst="rect">
                            <a:avLst/>
                          </a:prstGeom>
                        </pic:spPr>
                      </pic:pic>
                    </a:graphicData>
                  </a:graphic>
                </wp:inline>
              </w:drawing>
            </w:r>
          </w:p>
          <w:p>
            <w:pPr>
              <w:widowControl/>
              <w:adjustRightInd w:val="0"/>
              <w:snapToGrid w:val="0"/>
              <w:spacing w:line="360" w:lineRule="auto"/>
              <w:jc w:val="center"/>
              <w:rPr>
                <w:b/>
                <w:bCs/>
                <w:color w:val="auto"/>
                <w:kern w:val="0"/>
                <w:sz w:val="24"/>
                <w:lang w:bidi="ar"/>
              </w:rPr>
            </w:pPr>
            <w:r>
              <w:rPr>
                <w:b/>
                <w:bCs/>
                <w:color w:val="auto"/>
                <w:kern w:val="0"/>
                <w:sz w:val="21"/>
                <w:szCs w:val="21"/>
                <w:lang w:bidi="ar"/>
              </w:rPr>
              <w:t>图</w:t>
            </w:r>
            <w:r>
              <w:rPr>
                <w:rFonts w:hint="eastAsia"/>
                <w:b/>
                <w:bCs/>
                <w:color w:val="auto"/>
                <w:kern w:val="0"/>
                <w:sz w:val="21"/>
                <w:szCs w:val="21"/>
                <w:lang w:bidi="ar"/>
              </w:rPr>
              <w:t>3-1</w:t>
            </w:r>
            <w:r>
              <w:rPr>
                <w:b/>
                <w:bCs/>
                <w:color w:val="auto"/>
                <w:kern w:val="0"/>
                <w:sz w:val="21"/>
                <w:szCs w:val="21"/>
                <w:lang w:bidi="ar"/>
              </w:rPr>
              <w:t xml:space="preserve">  大气环境质量现状监测点位布设图</w:t>
            </w:r>
          </w:p>
          <w:p>
            <w:pPr>
              <w:keepNext w:val="0"/>
              <w:keepLines w:val="0"/>
              <w:pageBreakBefore w:val="0"/>
              <w:widowControl/>
              <w:kinsoku/>
              <w:wordWrap/>
              <w:overflowPunct/>
              <w:topLinePunct w:val="0"/>
              <w:autoSpaceDE/>
              <w:autoSpaceDN/>
              <w:bidi w:val="0"/>
              <w:adjustRightInd w:val="0"/>
              <w:snapToGrid w:val="0"/>
              <w:spacing w:line="360" w:lineRule="auto"/>
              <w:ind w:firstLine="481" w:firstLineChars="200"/>
              <w:jc w:val="left"/>
              <w:textAlignment w:val="auto"/>
              <w:rPr>
                <w:b/>
                <w:bCs/>
                <w:color w:val="000000" w:themeColor="text1"/>
                <w:kern w:val="0"/>
                <w:sz w:val="24"/>
                <w:lang w:bidi="ar"/>
                <w14:textFill>
                  <w14:solidFill>
                    <w14:schemeClr w14:val="tx1"/>
                  </w14:solidFill>
                </w14:textFill>
              </w:rPr>
            </w:pPr>
            <w:r>
              <w:rPr>
                <w:b/>
                <w:bCs/>
                <w:color w:val="auto"/>
                <w:kern w:val="0"/>
                <w:sz w:val="24"/>
                <w:lang w:bidi="ar"/>
              </w:rPr>
              <w:t>②监测结</w:t>
            </w:r>
            <w:r>
              <w:rPr>
                <w:b/>
                <w:bCs/>
                <w:color w:val="000000" w:themeColor="text1"/>
                <w:kern w:val="0"/>
                <w:sz w:val="24"/>
                <w:lang w:bidi="ar"/>
                <w14:textFill>
                  <w14:solidFill>
                    <w14:schemeClr w14:val="tx1"/>
                  </w14:solidFill>
                </w14:textFill>
              </w:rPr>
              <w:t>果</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监测期间气象统计资料见</w:t>
            </w:r>
            <w:r>
              <w:rPr>
                <w:b/>
                <w:bCs/>
                <w:color w:val="000000" w:themeColor="text1"/>
                <w:kern w:val="0"/>
                <w:sz w:val="24"/>
                <w:lang w:bidi="ar"/>
                <w14:textFill>
                  <w14:solidFill>
                    <w14:schemeClr w14:val="tx1"/>
                  </w14:solidFill>
                </w14:textFill>
              </w:rPr>
              <w:t>附件</w:t>
            </w:r>
            <w:r>
              <w:rPr>
                <w:rFonts w:hint="eastAsia"/>
                <w:b/>
                <w:bCs/>
                <w:color w:val="000000" w:themeColor="text1"/>
                <w:kern w:val="0"/>
                <w:sz w:val="24"/>
                <w:lang w:val="en-US" w:eastAsia="zh-CN" w:bidi="ar"/>
                <w14:textFill>
                  <w14:solidFill>
                    <w14:schemeClr w14:val="tx1"/>
                  </w14:solidFill>
                </w14:textFill>
              </w:rPr>
              <w:t>5</w:t>
            </w:r>
            <w:r>
              <w:rPr>
                <w:color w:val="000000" w:themeColor="text1"/>
                <w:kern w:val="0"/>
                <w:sz w:val="24"/>
                <w:lang w:bidi="ar"/>
                <w14:textFill>
                  <w14:solidFill>
                    <w14:schemeClr w14:val="tx1"/>
                  </w14:solidFill>
                </w14:textFill>
              </w:rPr>
              <w:t>（监测报告）</w:t>
            </w:r>
            <w:r>
              <w:rPr>
                <w:rFonts w:hint="eastAsia"/>
                <w:color w:val="000000" w:themeColor="text1"/>
                <w:kern w:val="0"/>
                <w:sz w:val="24"/>
                <w:lang w:eastAsia="zh-CN" w:bidi="ar"/>
                <w14:textFill>
                  <w14:solidFill>
                    <w14:schemeClr w14:val="tx1"/>
                  </w14:solidFill>
                </w14:textFill>
              </w:rPr>
              <w:t>，</w:t>
            </w:r>
            <w:r>
              <w:rPr>
                <w:color w:val="000000" w:themeColor="text1"/>
                <w:kern w:val="0"/>
                <w:sz w:val="24"/>
                <w:lang w:bidi="ar"/>
                <w14:textFill>
                  <w14:solidFill>
                    <w14:schemeClr w14:val="tx1"/>
                  </w14:solidFill>
                </w14:textFill>
              </w:rPr>
              <w:t>监测数据结果统计与分析见表3-3。</w:t>
            </w:r>
          </w:p>
          <w:p>
            <w:pPr>
              <w:pStyle w:val="6"/>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b/>
                <w:bCs/>
                <w:color w:val="auto"/>
                <w:sz w:val="21"/>
                <w:szCs w:val="21"/>
              </w:rPr>
            </w:pPr>
            <w:r>
              <w:rPr>
                <w:b/>
                <w:bCs/>
                <w:color w:val="000000" w:themeColor="text1"/>
                <w:sz w:val="21"/>
                <w:szCs w:val="21"/>
                <w:lang w:bidi="ar"/>
                <w14:textFill>
                  <w14:solidFill>
                    <w14:schemeClr w14:val="tx1"/>
                  </w14:solidFill>
                </w14:textFill>
              </w:rPr>
              <w:t xml:space="preserve">表3-3  </w:t>
            </w:r>
            <w:r>
              <w:rPr>
                <w:rFonts w:hint="eastAsia"/>
                <w:b/>
                <w:bCs/>
                <w:color w:val="000000" w:themeColor="text1"/>
                <w:sz w:val="21"/>
                <w:szCs w:val="21"/>
                <w:lang w:bidi="ar"/>
                <w14:textFill>
                  <w14:solidFill>
                    <w14:schemeClr w14:val="tx1"/>
                  </w14:solidFill>
                </w14:textFill>
              </w:rPr>
              <w:t xml:space="preserve"> </w:t>
            </w:r>
            <w:r>
              <w:rPr>
                <w:b/>
                <w:bCs/>
                <w:color w:val="000000" w:themeColor="text1"/>
                <w:sz w:val="21"/>
                <w:szCs w:val="21"/>
                <w:lang w:bidi="ar"/>
                <w14:textFill>
                  <w14:solidFill>
                    <w14:schemeClr w14:val="tx1"/>
                  </w14:solidFill>
                </w14:textFill>
              </w:rPr>
              <w:t>大气</w:t>
            </w:r>
            <w:r>
              <w:rPr>
                <w:b/>
                <w:bCs/>
                <w:color w:val="auto"/>
                <w:sz w:val="21"/>
                <w:szCs w:val="21"/>
                <w:lang w:bidi="ar"/>
              </w:rPr>
              <w:t>环境质量现状监测结果分析表</w:t>
            </w:r>
          </w:p>
          <w:tbl>
            <w:tblPr>
              <w:tblStyle w:val="24"/>
              <w:tblW w:w="833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304"/>
              <w:gridCol w:w="1091"/>
              <w:gridCol w:w="2156"/>
              <w:gridCol w:w="1577"/>
              <w:gridCol w:w="1164"/>
              <w:gridCol w:w="104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1304" w:type="dxa"/>
                  <w:vAlign w:val="center"/>
                </w:tcPr>
                <w:p>
                  <w:pPr>
                    <w:adjustRightInd w:val="0"/>
                    <w:snapToGrid w:val="0"/>
                    <w:jc w:val="center"/>
                    <w:rPr>
                      <w:b/>
                      <w:color w:val="auto"/>
                      <w:szCs w:val="21"/>
                    </w:rPr>
                  </w:pPr>
                  <w:r>
                    <w:rPr>
                      <w:b/>
                      <w:color w:val="auto"/>
                      <w:szCs w:val="21"/>
                    </w:rPr>
                    <w:t>监测点位名称</w:t>
                  </w:r>
                </w:p>
              </w:tc>
              <w:tc>
                <w:tcPr>
                  <w:tcW w:w="1091" w:type="dxa"/>
                  <w:vAlign w:val="center"/>
                </w:tcPr>
                <w:p>
                  <w:pPr>
                    <w:adjustRightInd w:val="0"/>
                    <w:snapToGrid w:val="0"/>
                    <w:jc w:val="center"/>
                    <w:rPr>
                      <w:b/>
                      <w:color w:val="auto"/>
                      <w:szCs w:val="21"/>
                    </w:rPr>
                  </w:pPr>
                  <w:r>
                    <w:rPr>
                      <w:b/>
                      <w:color w:val="auto"/>
                      <w:szCs w:val="21"/>
                    </w:rPr>
                    <w:t>污染物</w:t>
                  </w:r>
                </w:p>
              </w:tc>
              <w:tc>
                <w:tcPr>
                  <w:tcW w:w="2156" w:type="dxa"/>
                  <w:vAlign w:val="center"/>
                </w:tcPr>
                <w:p>
                  <w:pPr>
                    <w:pStyle w:val="6"/>
                    <w:adjustRightInd w:val="0"/>
                    <w:snapToGrid w:val="0"/>
                    <w:spacing w:after="0"/>
                    <w:ind w:left="0" w:leftChars="0" w:firstLine="0" w:firstLineChars="0"/>
                    <w:jc w:val="center"/>
                    <w:rPr>
                      <w:rFonts w:hint="eastAsia" w:eastAsia="宋体"/>
                      <w:color w:val="auto"/>
                      <w:sz w:val="21"/>
                      <w:szCs w:val="21"/>
                      <w:lang w:eastAsia="zh-CN"/>
                    </w:rPr>
                  </w:pPr>
                  <w:r>
                    <w:rPr>
                      <w:rFonts w:hint="eastAsia"/>
                      <w:b/>
                      <w:color w:val="auto"/>
                      <w:sz w:val="21"/>
                      <w:szCs w:val="21"/>
                      <w:lang w:eastAsia="zh-CN"/>
                    </w:rPr>
                    <w:t>检测日期</w:t>
                  </w:r>
                </w:p>
              </w:tc>
              <w:tc>
                <w:tcPr>
                  <w:tcW w:w="1577" w:type="dxa"/>
                  <w:vAlign w:val="center"/>
                </w:tcPr>
                <w:p>
                  <w:pPr>
                    <w:pStyle w:val="6"/>
                    <w:adjustRightInd w:val="0"/>
                    <w:snapToGrid w:val="0"/>
                    <w:spacing w:after="0"/>
                    <w:ind w:left="0" w:leftChars="0" w:firstLine="0" w:firstLineChars="0"/>
                    <w:jc w:val="center"/>
                    <w:rPr>
                      <w:color w:val="auto"/>
                      <w:sz w:val="21"/>
                      <w:szCs w:val="21"/>
                    </w:rPr>
                  </w:pPr>
                  <w:r>
                    <w:rPr>
                      <w:rFonts w:hint="eastAsia"/>
                      <w:b/>
                      <w:color w:val="auto"/>
                      <w:sz w:val="21"/>
                      <w:szCs w:val="21"/>
                      <w:lang w:eastAsia="zh-CN"/>
                    </w:rPr>
                    <w:t>检测结果</w:t>
                  </w:r>
                  <w:r>
                    <w:rPr>
                      <w:b/>
                      <w:color w:val="auto"/>
                      <w:sz w:val="21"/>
                      <w:szCs w:val="21"/>
                    </w:rPr>
                    <w:t>（μg/m</w:t>
                  </w:r>
                  <w:r>
                    <w:rPr>
                      <w:b/>
                      <w:color w:val="auto"/>
                      <w:sz w:val="21"/>
                      <w:szCs w:val="21"/>
                      <w:vertAlign w:val="superscript"/>
                    </w:rPr>
                    <w:t>3</w:t>
                  </w:r>
                  <w:r>
                    <w:rPr>
                      <w:b/>
                      <w:color w:val="auto"/>
                      <w:sz w:val="21"/>
                      <w:szCs w:val="21"/>
                    </w:rPr>
                    <w:t>）</w:t>
                  </w:r>
                </w:p>
              </w:tc>
              <w:tc>
                <w:tcPr>
                  <w:tcW w:w="1164" w:type="dxa"/>
                  <w:vAlign w:val="center"/>
                </w:tcPr>
                <w:p>
                  <w:pPr>
                    <w:adjustRightInd w:val="0"/>
                    <w:snapToGrid w:val="0"/>
                    <w:jc w:val="center"/>
                    <w:rPr>
                      <w:b/>
                      <w:color w:val="auto"/>
                      <w:szCs w:val="21"/>
                    </w:rPr>
                  </w:pPr>
                  <w:r>
                    <w:rPr>
                      <w:b/>
                      <w:color w:val="auto"/>
                      <w:szCs w:val="21"/>
                    </w:rPr>
                    <w:t>标准值</w:t>
                  </w:r>
                </w:p>
                <w:p>
                  <w:pPr>
                    <w:pStyle w:val="6"/>
                    <w:adjustRightInd w:val="0"/>
                    <w:snapToGrid w:val="0"/>
                    <w:spacing w:after="0"/>
                    <w:ind w:left="0" w:leftChars="0" w:firstLine="0" w:firstLineChars="0"/>
                    <w:jc w:val="center"/>
                    <w:rPr>
                      <w:b/>
                      <w:color w:val="auto"/>
                      <w:szCs w:val="21"/>
                    </w:rPr>
                  </w:pPr>
                  <w:r>
                    <w:rPr>
                      <w:b/>
                      <w:color w:val="auto"/>
                      <w:sz w:val="21"/>
                      <w:szCs w:val="21"/>
                    </w:rPr>
                    <w:t>（μg/m</w:t>
                  </w:r>
                  <w:r>
                    <w:rPr>
                      <w:b/>
                      <w:color w:val="auto"/>
                      <w:sz w:val="21"/>
                      <w:szCs w:val="21"/>
                      <w:vertAlign w:val="superscript"/>
                    </w:rPr>
                    <w:t>3</w:t>
                  </w:r>
                  <w:r>
                    <w:rPr>
                      <w:b/>
                      <w:color w:val="auto"/>
                      <w:sz w:val="21"/>
                      <w:szCs w:val="21"/>
                    </w:rPr>
                    <w:t>）</w:t>
                  </w:r>
                </w:p>
              </w:tc>
              <w:tc>
                <w:tcPr>
                  <w:tcW w:w="1042" w:type="dxa"/>
                  <w:vAlign w:val="center"/>
                </w:tcPr>
                <w:p>
                  <w:pPr>
                    <w:adjustRightInd w:val="0"/>
                    <w:snapToGrid w:val="0"/>
                    <w:jc w:val="center"/>
                    <w:rPr>
                      <w:b/>
                      <w:color w:val="auto"/>
                      <w:szCs w:val="21"/>
                    </w:rPr>
                  </w:pPr>
                  <w:r>
                    <w:rPr>
                      <w:b/>
                      <w:color w:val="auto"/>
                      <w:szCs w:val="21"/>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1304" w:type="dxa"/>
                  <w:vMerge w:val="restart"/>
                  <w:vAlign w:val="center"/>
                </w:tcPr>
                <w:p>
                  <w:pPr>
                    <w:adjustRightInd w:val="0"/>
                    <w:snapToGrid w:val="0"/>
                    <w:jc w:val="center"/>
                    <w:rPr>
                      <w:color w:val="auto"/>
                      <w:szCs w:val="21"/>
                    </w:rPr>
                  </w:pPr>
                  <w:r>
                    <w:rPr>
                      <w:color w:val="auto"/>
                      <w:szCs w:val="21"/>
                    </w:rPr>
                    <w:t>1#厂址下风向</w:t>
                  </w:r>
                </w:p>
              </w:tc>
              <w:tc>
                <w:tcPr>
                  <w:tcW w:w="1091" w:type="dxa"/>
                  <w:vMerge w:val="restart"/>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TSP</w:t>
                  </w:r>
                </w:p>
              </w:tc>
              <w:tc>
                <w:tcPr>
                  <w:tcW w:w="2156" w:type="dxa"/>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2024年</w:t>
                  </w:r>
                  <w:r>
                    <w:rPr>
                      <w:rFonts w:hint="eastAsia" w:cs="Times New Roman"/>
                      <w:color w:val="auto"/>
                      <w:szCs w:val="21"/>
                      <w:lang w:val="en-US" w:eastAsia="zh-CN"/>
                    </w:rPr>
                    <w:t>7</w:t>
                  </w:r>
                  <w:r>
                    <w:rPr>
                      <w:rFonts w:hint="eastAsia" w:ascii="Times New Roman" w:hAnsi="Times New Roman" w:eastAsia="宋体" w:cs="Times New Roman"/>
                      <w:color w:val="auto"/>
                      <w:szCs w:val="21"/>
                      <w:lang w:val="en-US" w:eastAsia="zh-CN"/>
                    </w:rPr>
                    <w:t>月</w:t>
                  </w:r>
                  <w:r>
                    <w:rPr>
                      <w:rFonts w:hint="eastAsia" w:cs="Times New Roman"/>
                      <w:color w:val="auto"/>
                      <w:szCs w:val="21"/>
                      <w:lang w:val="en-US" w:eastAsia="zh-CN"/>
                    </w:rPr>
                    <w:t>11</w:t>
                  </w:r>
                  <w:r>
                    <w:rPr>
                      <w:rFonts w:hint="eastAsia" w:ascii="Times New Roman" w:hAnsi="Times New Roman" w:eastAsia="宋体" w:cs="Times New Roman"/>
                      <w:color w:val="auto"/>
                      <w:szCs w:val="21"/>
                      <w:lang w:val="en-US" w:eastAsia="zh-CN"/>
                    </w:rPr>
                    <w:t>日</w:t>
                  </w:r>
                </w:p>
              </w:tc>
              <w:tc>
                <w:tcPr>
                  <w:tcW w:w="1577" w:type="dxa"/>
                  <w:vAlign w:val="center"/>
                </w:tcPr>
                <w:p>
                  <w:pPr>
                    <w:adjustRightInd w:val="0"/>
                    <w:snapToGrid w:val="0"/>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276</w:t>
                  </w:r>
                </w:p>
              </w:tc>
              <w:tc>
                <w:tcPr>
                  <w:tcW w:w="1164" w:type="dxa"/>
                  <w:vMerge w:val="restart"/>
                  <w:vAlign w:val="center"/>
                </w:tcPr>
                <w:p>
                  <w:pPr>
                    <w:adjustRightInd w:val="0"/>
                    <w:snapToGrid w:val="0"/>
                    <w:jc w:val="center"/>
                    <w:rPr>
                      <w:color w:val="auto"/>
                      <w:kern w:val="0"/>
                      <w:szCs w:val="21"/>
                      <w:lang w:bidi="ar"/>
                    </w:rPr>
                  </w:pPr>
                  <w:r>
                    <w:rPr>
                      <w:color w:val="auto"/>
                      <w:kern w:val="0"/>
                      <w:szCs w:val="21"/>
                      <w:lang w:bidi="ar"/>
                    </w:rPr>
                    <w:t>300</w:t>
                  </w:r>
                </w:p>
              </w:tc>
              <w:tc>
                <w:tcPr>
                  <w:tcW w:w="1042" w:type="dxa"/>
                  <w:vAlign w:val="center"/>
                </w:tcPr>
                <w:p>
                  <w:pPr>
                    <w:adjustRightInd w:val="0"/>
                    <w:snapToGrid w:val="0"/>
                    <w:jc w:val="center"/>
                    <w:rPr>
                      <w:color w:val="auto"/>
                      <w:kern w:val="0"/>
                      <w:szCs w:val="21"/>
                      <w:lang w:bidi="ar"/>
                    </w:rPr>
                  </w:pPr>
                  <w:r>
                    <w:rPr>
                      <w:color w:val="auto"/>
                      <w:kern w:val="0"/>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1304" w:type="dxa"/>
                  <w:vMerge w:val="continue"/>
                  <w:vAlign w:val="center"/>
                </w:tcPr>
                <w:p>
                  <w:pPr>
                    <w:adjustRightInd w:val="0"/>
                    <w:snapToGrid w:val="0"/>
                    <w:jc w:val="center"/>
                    <w:rPr>
                      <w:color w:val="auto"/>
                      <w:szCs w:val="21"/>
                    </w:rPr>
                  </w:pPr>
                </w:p>
              </w:tc>
              <w:tc>
                <w:tcPr>
                  <w:tcW w:w="1091" w:type="dxa"/>
                  <w:vMerge w:val="continue"/>
                  <w:vAlign w:val="center"/>
                </w:tcPr>
                <w:p>
                  <w:pPr>
                    <w:adjustRightInd w:val="0"/>
                    <w:snapToGrid w:val="0"/>
                    <w:jc w:val="center"/>
                    <w:rPr>
                      <w:rFonts w:ascii="Times New Roman" w:hAnsi="Times New Roman" w:eastAsia="宋体" w:cs="Times New Roman"/>
                      <w:color w:val="auto"/>
                      <w:szCs w:val="21"/>
                    </w:rPr>
                  </w:pPr>
                </w:p>
              </w:tc>
              <w:tc>
                <w:tcPr>
                  <w:tcW w:w="2156" w:type="dxa"/>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2024年</w:t>
                  </w:r>
                  <w:r>
                    <w:rPr>
                      <w:rFonts w:hint="eastAsia" w:cs="Times New Roman"/>
                      <w:color w:val="auto"/>
                      <w:szCs w:val="21"/>
                      <w:lang w:val="en-US" w:eastAsia="zh-CN"/>
                    </w:rPr>
                    <w:t>7</w:t>
                  </w:r>
                  <w:r>
                    <w:rPr>
                      <w:rFonts w:hint="eastAsia" w:ascii="Times New Roman" w:hAnsi="Times New Roman" w:eastAsia="宋体" w:cs="Times New Roman"/>
                      <w:color w:val="auto"/>
                      <w:szCs w:val="21"/>
                      <w:lang w:val="en-US" w:eastAsia="zh-CN"/>
                    </w:rPr>
                    <w:t>月</w:t>
                  </w:r>
                  <w:r>
                    <w:rPr>
                      <w:rFonts w:hint="eastAsia" w:cs="Times New Roman"/>
                      <w:color w:val="auto"/>
                      <w:szCs w:val="21"/>
                      <w:lang w:val="en-US" w:eastAsia="zh-CN"/>
                    </w:rPr>
                    <w:t>12</w:t>
                  </w:r>
                  <w:r>
                    <w:rPr>
                      <w:rFonts w:hint="eastAsia" w:ascii="Times New Roman" w:hAnsi="Times New Roman" w:eastAsia="宋体" w:cs="Times New Roman"/>
                      <w:color w:val="auto"/>
                      <w:szCs w:val="21"/>
                      <w:lang w:val="en-US" w:eastAsia="zh-CN"/>
                    </w:rPr>
                    <w:t>日</w:t>
                  </w:r>
                </w:p>
              </w:tc>
              <w:tc>
                <w:tcPr>
                  <w:tcW w:w="1577" w:type="dxa"/>
                  <w:vAlign w:val="center"/>
                </w:tcPr>
                <w:p>
                  <w:pPr>
                    <w:adjustRightInd w:val="0"/>
                    <w:snapToGrid w:val="0"/>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231</w:t>
                  </w:r>
                </w:p>
              </w:tc>
              <w:tc>
                <w:tcPr>
                  <w:tcW w:w="1164" w:type="dxa"/>
                  <w:vMerge w:val="continue"/>
                  <w:vAlign w:val="center"/>
                </w:tcPr>
                <w:p>
                  <w:pPr>
                    <w:adjustRightInd w:val="0"/>
                    <w:snapToGrid w:val="0"/>
                    <w:jc w:val="center"/>
                    <w:rPr>
                      <w:color w:val="auto"/>
                      <w:kern w:val="0"/>
                      <w:szCs w:val="21"/>
                      <w:lang w:bidi="ar"/>
                    </w:rPr>
                  </w:pPr>
                </w:p>
              </w:tc>
              <w:tc>
                <w:tcPr>
                  <w:tcW w:w="1042" w:type="dxa"/>
                  <w:vAlign w:val="center"/>
                </w:tcPr>
                <w:p>
                  <w:pPr>
                    <w:adjustRightInd w:val="0"/>
                    <w:snapToGrid w:val="0"/>
                    <w:jc w:val="center"/>
                    <w:rPr>
                      <w:color w:val="auto"/>
                      <w:kern w:val="0"/>
                      <w:szCs w:val="21"/>
                      <w:lang w:bidi="ar"/>
                    </w:rPr>
                  </w:pPr>
                  <w:r>
                    <w:rPr>
                      <w:color w:val="auto"/>
                      <w:kern w:val="0"/>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1304" w:type="dxa"/>
                  <w:vMerge w:val="continue"/>
                  <w:vAlign w:val="center"/>
                </w:tcPr>
                <w:p>
                  <w:pPr>
                    <w:adjustRightInd w:val="0"/>
                    <w:snapToGrid w:val="0"/>
                    <w:jc w:val="center"/>
                    <w:rPr>
                      <w:color w:val="auto"/>
                      <w:szCs w:val="21"/>
                    </w:rPr>
                  </w:pPr>
                </w:p>
              </w:tc>
              <w:tc>
                <w:tcPr>
                  <w:tcW w:w="1091" w:type="dxa"/>
                  <w:vMerge w:val="continue"/>
                  <w:vAlign w:val="center"/>
                </w:tcPr>
                <w:p>
                  <w:pPr>
                    <w:adjustRightInd w:val="0"/>
                    <w:snapToGrid w:val="0"/>
                    <w:jc w:val="center"/>
                    <w:rPr>
                      <w:rFonts w:ascii="Times New Roman" w:hAnsi="Times New Roman" w:eastAsia="宋体" w:cs="Times New Roman"/>
                      <w:color w:val="auto"/>
                      <w:szCs w:val="21"/>
                    </w:rPr>
                  </w:pPr>
                </w:p>
              </w:tc>
              <w:tc>
                <w:tcPr>
                  <w:tcW w:w="2156" w:type="dxa"/>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2024年</w:t>
                  </w:r>
                  <w:r>
                    <w:rPr>
                      <w:rFonts w:hint="eastAsia" w:cs="Times New Roman"/>
                      <w:color w:val="auto"/>
                      <w:szCs w:val="21"/>
                      <w:lang w:val="en-US" w:eastAsia="zh-CN"/>
                    </w:rPr>
                    <w:t>7</w:t>
                  </w:r>
                  <w:r>
                    <w:rPr>
                      <w:rFonts w:hint="eastAsia" w:ascii="Times New Roman" w:hAnsi="Times New Roman" w:eastAsia="宋体" w:cs="Times New Roman"/>
                      <w:color w:val="auto"/>
                      <w:szCs w:val="21"/>
                      <w:lang w:val="en-US" w:eastAsia="zh-CN"/>
                    </w:rPr>
                    <w:t>月</w:t>
                  </w:r>
                  <w:r>
                    <w:rPr>
                      <w:rFonts w:hint="eastAsia" w:cs="Times New Roman"/>
                      <w:color w:val="auto"/>
                      <w:szCs w:val="21"/>
                      <w:lang w:val="en-US" w:eastAsia="zh-CN"/>
                    </w:rPr>
                    <w:t>13</w:t>
                  </w:r>
                  <w:r>
                    <w:rPr>
                      <w:rFonts w:hint="eastAsia" w:ascii="Times New Roman" w:hAnsi="Times New Roman" w:eastAsia="宋体" w:cs="Times New Roman"/>
                      <w:color w:val="auto"/>
                      <w:szCs w:val="21"/>
                      <w:lang w:val="en-US" w:eastAsia="zh-CN"/>
                    </w:rPr>
                    <w:t>日</w:t>
                  </w:r>
                </w:p>
              </w:tc>
              <w:tc>
                <w:tcPr>
                  <w:tcW w:w="1577" w:type="dxa"/>
                  <w:vAlign w:val="center"/>
                </w:tcPr>
                <w:p>
                  <w:pPr>
                    <w:adjustRightInd w:val="0"/>
                    <w:snapToGrid w:val="0"/>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269</w:t>
                  </w:r>
                </w:p>
              </w:tc>
              <w:tc>
                <w:tcPr>
                  <w:tcW w:w="1164" w:type="dxa"/>
                  <w:vMerge w:val="continue"/>
                  <w:vAlign w:val="center"/>
                </w:tcPr>
                <w:p>
                  <w:pPr>
                    <w:adjustRightInd w:val="0"/>
                    <w:snapToGrid w:val="0"/>
                    <w:jc w:val="center"/>
                    <w:rPr>
                      <w:color w:val="auto"/>
                      <w:kern w:val="0"/>
                      <w:szCs w:val="21"/>
                      <w:lang w:bidi="ar"/>
                    </w:rPr>
                  </w:pPr>
                </w:p>
              </w:tc>
              <w:tc>
                <w:tcPr>
                  <w:tcW w:w="1042" w:type="dxa"/>
                  <w:vAlign w:val="center"/>
                </w:tcPr>
                <w:p>
                  <w:pPr>
                    <w:adjustRightInd w:val="0"/>
                    <w:snapToGrid w:val="0"/>
                    <w:jc w:val="center"/>
                    <w:rPr>
                      <w:color w:val="auto"/>
                      <w:kern w:val="0"/>
                      <w:szCs w:val="21"/>
                      <w:lang w:bidi="ar"/>
                    </w:rPr>
                  </w:pPr>
                  <w:r>
                    <w:rPr>
                      <w:color w:val="auto"/>
                      <w:kern w:val="0"/>
                      <w:szCs w:val="21"/>
                      <w:lang w:bidi="ar"/>
                    </w:rPr>
                    <w:t>达标</w:t>
                  </w:r>
                </w:p>
              </w:tc>
            </w:tr>
          </w:tbl>
          <w:p>
            <w:pPr>
              <w:widowControl/>
              <w:adjustRightInd w:val="0"/>
              <w:snapToGrid w:val="0"/>
              <w:spacing w:before="156" w:beforeLines="50" w:line="360" w:lineRule="auto"/>
              <w:ind w:firstLine="480" w:firstLineChars="200"/>
              <w:jc w:val="both"/>
              <w:rPr>
                <w:color w:val="auto"/>
              </w:rPr>
            </w:pPr>
            <w:r>
              <w:rPr>
                <w:color w:val="auto"/>
                <w:kern w:val="0"/>
                <w:sz w:val="24"/>
                <w:lang w:bidi="ar"/>
              </w:rPr>
              <w:t>由上表可知，</w:t>
            </w:r>
            <w:r>
              <w:rPr>
                <w:rFonts w:hint="eastAsia"/>
                <w:color w:val="auto"/>
                <w:kern w:val="0"/>
                <w:sz w:val="24"/>
                <w:lang w:bidi="ar"/>
              </w:rPr>
              <w:t>本项目TSP监测</w:t>
            </w:r>
            <w:r>
              <w:rPr>
                <w:color w:val="auto"/>
                <w:kern w:val="0"/>
                <w:sz w:val="24"/>
                <w:lang w:bidi="ar"/>
              </w:rPr>
              <w:t>现状值均能够满足《环境空气质量标准》（GB3095-2012）中二级标准限值要求。</w:t>
            </w:r>
          </w:p>
          <w:p>
            <w:pPr>
              <w:numPr>
                <w:ilvl w:val="0"/>
                <w:numId w:val="7"/>
              </w:numPr>
              <w:adjustRightInd w:val="0"/>
              <w:snapToGrid w:val="0"/>
              <w:spacing w:line="360" w:lineRule="auto"/>
              <w:ind w:firstLine="481" w:firstLineChars="200"/>
              <w:rPr>
                <w:b/>
                <w:bCs/>
                <w:snapToGrid w:val="0"/>
                <w:color w:val="000000" w:themeColor="text1"/>
                <w:kern w:val="0"/>
                <w:sz w:val="24"/>
                <w:szCs w:val="22"/>
                <w14:textFill>
                  <w14:solidFill>
                    <w14:schemeClr w14:val="tx1"/>
                  </w14:solidFill>
                </w14:textFill>
              </w:rPr>
            </w:pPr>
            <w:r>
              <w:rPr>
                <w:b/>
                <w:bCs/>
                <w:snapToGrid w:val="0"/>
                <w:color w:val="000000" w:themeColor="text1"/>
                <w:kern w:val="0"/>
                <w:sz w:val="24"/>
                <w:szCs w:val="22"/>
                <w14:textFill>
                  <w14:solidFill>
                    <w14:schemeClr w14:val="tx1"/>
                  </w14:solidFill>
                </w14:textFill>
              </w:rPr>
              <w:t>地表水环境质量现状</w:t>
            </w:r>
          </w:p>
          <w:p>
            <w:pPr>
              <w:pStyle w:val="11"/>
              <w:adjustRightInd w:val="0"/>
              <w:spacing w:before="156" w:beforeLines="50" w:after="0" w:line="360" w:lineRule="auto"/>
              <w:ind w:right="0" w:firstLine="480" w:firstLineChars="200"/>
              <w:rPr>
                <w:color w:val="FF0000"/>
                <w:sz w:val="24"/>
                <w:szCs w:val="24"/>
                <w:lang w:bidi="ar"/>
              </w:rPr>
            </w:pPr>
            <w:r>
              <w:rPr>
                <w:color w:val="000000" w:themeColor="text1"/>
                <w:sz w:val="24"/>
                <w:szCs w:val="24"/>
                <w:lang w:bidi="ar"/>
                <w14:textFill>
                  <w14:solidFill>
                    <w14:schemeClr w14:val="tx1"/>
                  </w14:solidFill>
                </w14:textFill>
              </w:rPr>
              <w:t>本项目所在区域主要地表水</w:t>
            </w:r>
            <w:r>
              <w:rPr>
                <w:color w:val="auto"/>
                <w:sz w:val="24"/>
                <w:szCs w:val="24"/>
                <w:lang w:bidi="ar"/>
              </w:rPr>
              <w:t>体为</w:t>
            </w:r>
            <w:r>
              <w:rPr>
                <w:rFonts w:hint="eastAsia"/>
                <w:color w:val="auto"/>
                <w:sz w:val="24"/>
                <w:szCs w:val="24"/>
                <w:lang w:val="en-US" w:eastAsia="zh-CN" w:bidi="ar"/>
              </w:rPr>
              <w:t>北干渠</w:t>
            </w:r>
            <w:r>
              <w:rPr>
                <w:rFonts w:hint="eastAsia"/>
                <w:color w:val="auto"/>
                <w:kern w:val="0"/>
                <w:sz w:val="24"/>
                <w:lang w:val="en-US" w:eastAsia="zh-CN" w:bidi="ar"/>
              </w:rPr>
              <w:t>（S，0.27km）</w:t>
            </w:r>
            <w:r>
              <w:rPr>
                <w:rFonts w:hint="eastAsia"/>
                <w:color w:val="auto"/>
                <w:sz w:val="24"/>
                <w:szCs w:val="24"/>
                <w:lang w:val="en-US" w:eastAsia="zh-CN" w:bidi="ar"/>
              </w:rPr>
              <w:t>。</w:t>
            </w:r>
            <w:r>
              <w:rPr>
                <w:rFonts w:hint="eastAsia"/>
                <w:color w:val="auto"/>
                <w:kern w:val="0"/>
                <w:sz w:val="24"/>
                <w:lang w:val="en-US" w:eastAsia="zh-CN" w:bidi="ar"/>
              </w:rPr>
              <w:t>北干渠由跃进渠、第一排水沟最终汇入黄河。</w:t>
            </w:r>
            <w:r>
              <w:rPr>
                <w:color w:val="000000" w:themeColor="text1"/>
                <w:sz w:val="24"/>
                <w:szCs w:val="24"/>
                <w:lang w:bidi="ar"/>
                <w14:textFill>
                  <w14:solidFill>
                    <w14:schemeClr w14:val="tx1"/>
                  </w14:solidFill>
                </w14:textFill>
              </w:rPr>
              <w:t>黄河中卫段水质执行《地表水环境质量标准》（GB3838-2002）中Ⅱ类标准。本次评价采用</w:t>
            </w:r>
            <w:r>
              <w:rPr>
                <w:color w:val="000000" w:themeColor="text1"/>
                <w:sz w:val="24"/>
                <w:szCs w:val="24"/>
                <w14:textFill>
                  <w14:solidFill>
                    <w14:schemeClr w14:val="tx1"/>
                  </w14:solidFill>
                </w14:textFill>
              </w:rPr>
              <w:t>《202</w:t>
            </w:r>
            <w:r>
              <w:rPr>
                <w:rFonts w:hint="eastAsia"/>
                <w:color w:val="000000" w:themeColor="text1"/>
                <w:sz w:val="24"/>
                <w:szCs w:val="24"/>
                <w:lang w:val="en-US" w:eastAsia="zh-CN"/>
                <w14:textFill>
                  <w14:solidFill>
                    <w14:schemeClr w14:val="tx1"/>
                  </w14:solidFill>
                </w14:textFill>
              </w:rPr>
              <w:t>3</w:t>
            </w:r>
            <w:r>
              <w:rPr>
                <w:color w:val="000000" w:themeColor="text1"/>
                <w:sz w:val="24"/>
                <w:szCs w:val="24"/>
                <w14:textFill>
                  <w14:solidFill>
                    <w14:schemeClr w14:val="tx1"/>
                  </w14:solidFill>
                </w14:textFill>
              </w:rPr>
              <w:t>年宁夏生态环境质量状况》</w:t>
            </w:r>
            <w:r>
              <w:rPr>
                <w:color w:val="auto"/>
                <w:sz w:val="24"/>
                <w:szCs w:val="24"/>
                <w:lang w:bidi="ar"/>
              </w:rPr>
              <w:t>中黄河中卫下河沿、金沙湾两个断面监测数据进行现状评价。</w:t>
            </w:r>
          </w:p>
          <w:p>
            <w:pPr>
              <w:pStyle w:val="4"/>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表3-</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kern w:val="0"/>
                <w:sz w:val="21"/>
                <w:szCs w:val="21"/>
                <w:lang w:val="en-US" w:eastAsia="zh-CN" w:bidi="ar"/>
              </w:rPr>
              <w:t>黄河中卫下河沿、金沙湾断面主要污染指标平均浓度比较       单位mg/L</w:t>
            </w:r>
          </w:p>
          <w:tbl>
            <w:tblPr>
              <w:tblStyle w:val="25"/>
              <w:tblW w:w="819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5"/>
              <w:gridCol w:w="826"/>
              <w:gridCol w:w="728"/>
              <w:gridCol w:w="820"/>
              <w:gridCol w:w="820"/>
              <w:gridCol w:w="820"/>
              <w:gridCol w:w="820"/>
              <w:gridCol w:w="820"/>
              <w:gridCol w:w="820"/>
              <w:gridCol w:w="8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5" w:type="dxa"/>
                  <w:vMerge w:val="restart"/>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断面名称</w:t>
                  </w:r>
                </w:p>
              </w:tc>
              <w:tc>
                <w:tcPr>
                  <w:tcW w:w="2374" w:type="dxa"/>
                  <w:gridSpan w:val="3"/>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高锰酸盐指数</w:t>
                  </w:r>
                </w:p>
              </w:tc>
              <w:tc>
                <w:tcPr>
                  <w:tcW w:w="2460" w:type="dxa"/>
                  <w:gridSpan w:val="3"/>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氨氮</w:t>
                  </w:r>
                </w:p>
              </w:tc>
              <w:tc>
                <w:tcPr>
                  <w:tcW w:w="2460" w:type="dxa"/>
                  <w:gridSpan w:val="3"/>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总磷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5" w:type="dxa"/>
                  <w:vMerge w:val="continue"/>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p>
              </w:tc>
              <w:tc>
                <w:tcPr>
                  <w:tcW w:w="826"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20</w:t>
                  </w:r>
                  <w:r>
                    <w:rPr>
                      <w:rFonts w:hint="eastAsia" w:ascii="Times New Roman" w:hAnsi="Times New Roman" w:eastAsia="宋体" w:cs="Times New Roman"/>
                      <w:b/>
                      <w:bCs w:val="0"/>
                      <w:color w:val="auto"/>
                      <w:sz w:val="21"/>
                      <w:szCs w:val="21"/>
                      <w:vertAlign w:val="baseline"/>
                      <w:lang w:val="en-US" w:eastAsia="zh-CN"/>
                    </w:rPr>
                    <w:t>23</w:t>
                  </w:r>
                  <w:r>
                    <w:rPr>
                      <w:rFonts w:hint="default" w:ascii="Times New Roman" w:hAnsi="Times New Roman" w:eastAsia="宋体" w:cs="Times New Roman"/>
                      <w:b/>
                      <w:bCs w:val="0"/>
                      <w:color w:val="auto"/>
                      <w:sz w:val="21"/>
                      <w:szCs w:val="21"/>
                      <w:vertAlign w:val="baseline"/>
                      <w:lang w:val="en-US" w:eastAsia="zh-CN"/>
                    </w:rPr>
                    <w:t>年</w:t>
                  </w:r>
                </w:p>
              </w:tc>
              <w:tc>
                <w:tcPr>
                  <w:tcW w:w="728"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202</w:t>
                  </w:r>
                  <w:r>
                    <w:rPr>
                      <w:rFonts w:hint="eastAsia" w:ascii="Times New Roman" w:hAnsi="Times New Roman" w:eastAsia="宋体" w:cs="Times New Roman"/>
                      <w:b/>
                      <w:bCs w:val="0"/>
                      <w:color w:val="auto"/>
                      <w:sz w:val="21"/>
                      <w:szCs w:val="21"/>
                      <w:vertAlign w:val="baseline"/>
                      <w:lang w:val="en-US" w:eastAsia="zh-CN"/>
                    </w:rPr>
                    <w:t>2</w:t>
                  </w:r>
                  <w:r>
                    <w:rPr>
                      <w:rFonts w:hint="default" w:ascii="Times New Roman" w:hAnsi="Times New Roman" w:eastAsia="宋体" w:cs="Times New Roman"/>
                      <w:b/>
                      <w:bCs w:val="0"/>
                      <w:color w:val="auto"/>
                      <w:sz w:val="21"/>
                      <w:szCs w:val="21"/>
                      <w:vertAlign w:val="baseline"/>
                      <w:lang w:val="en-US" w:eastAsia="zh-CN"/>
                    </w:rPr>
                    <w:t>年</w:t>
                  </w:r>
                </w:p>
              </w:tc>
              <w:tc>
                <w:tcPr>
                  <w:tcW w:w="820"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同比（%）</w:t>
                  </w:r>
                </w:p>
              </w:tc>
              <w:tc>
                <w:tcPr>
                  <w:tcW w:w="820"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default" w:ascii="Times New Roman" w:hAnsi="Times New Roman" w:eastAsia="宋体" w:cs="Times New Roman"/>
                      <w:b/>
                      <w:bCs w:val="0"/>
                      <w:color w:val="auto"/>
                      <w:sz w:val="21"/>
                      <w:szCs w:val="21"/>
                      <w:vertAlign w:val="baseline"/>
                      <w:lang w:val="en-US" w:eastAsia="zh-CN"/>
                    </w:rPr>
                    <w:t>20</w:t>
                  </w:r>
                  <w:r>
                    <w:rPr>
                      <w:rFonts w:hint="eastAsia" w:ascii="Times New Roman" w:hAnsi="Times New Roman" w:eastAsia="宋体" w:cs="Times New Roman"/>
                      <w:b/>
                      <w:bCs w:val="0"/>
                      <w:color w:val="auto"/>
                      <w:sz w:val="21"/>
                      <w:szCs w:val="21"/>
                      <w:vertAlign w:val="baseline"/>
                      <w:lang w:val="en-US" w:eastAsia="zh-CN"/>
                    </w:rPr>
                    <w:t>23</w:t>
                  </w:r>
                  <w:r>
                    <w:rPr>
                      <w:rFonts w:hint="default" w:ascii="Times New Roman" w:hAnsi="Times New Roman" w:eastAsia="宋体" w:cs="Times New Roman"/>
                      <w:b/>
                      <w:bCs w:val="0"/>
                      <w:color w:val="auto"/>
                      <w:sz w:val="21"/>
                      <w:szCs w:val="21"/>
                      <w:vertAlign w:val="baseline"/>
                      <w:lang w:val="en-US" w:eastAsia="zh-CN"/>
                    </w:rPr>
                    <w:t>年</w:t>
                  </w:r>
                </w:p>
              </w:tc>
              <w:tc>
                <w:tcPr>
                  <w:tcW w:w="820"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default" w:ascii="Times New Roman" w:hAnsi="Times New Roman" w:eastAsia="宋体" w:cs="Times New Roman"/>
                      <w:b/>
                      <w:bCs w:val="0"/>
                      <w:color w:val="auto"/>
                      <w:sz w:val="21"/>
                      <w:szCs w:val="21"/>
                      <w:vertAlign w:val="baseline"/>
                      <w:lang w:val="en-US" w:eastAsia="zh-CN"/>
                    </w:rPr>
                    <w:t>202</w:t>
                  </w:r>
                  <w:r>
                    <w:rPr>
                      <w:rFonts w:hint="eastAsia" w:ascii="Times New Roman" w:hAnsi="Times New Roman" w:eastAsia="宋体" w:cs="Times New Roman"/>
                      <w:b/>
                      <w:bCs w:val="0"/>
                      <w:color w:val="auto"/>
                      <w:sz w:val="21"/>
                      <w:szCs w:val="21"/>
                      <w:vertAlign w:val="baseline"/>
                      <w:lang w:val="en-US" w:eastAsia="zh-CN"/>
                    </w:rPr>
                    <w:t>2</w:t>
                  </w:r>
                  <w:r>
                    <w:rPr>
                      <w:rFonts w:hint="default" w:ascii="Times New Roman" w:hAnsi="Times New Roman" w:eastAsia="宋体" w:cs="Times New Roman"/>
                      <w:b/>
                      <w:bCs w:val="0"/>
                      <w:color w:val="auto"/>
                      <w:sz w:val="21"/>
                      <w:szCs w:val="21"/>
                      <w:vertAlign w:val="baseline"/>
                      <w:lang w:val="en-US" w:eastAsia="zh-CN"/>
                    </w:rPr>
                    <w:t>年</w:t>
                  </w:r>
                </w:p>
              </w:tc>
              <w:tc>
                <w:tcPr>
                  <w:tcW w:w="820"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default" w:ascii="Times New Roman" w:hAnsi="Times New Roman" w:eastAsia="宋体" w:cs="Times New Roman"/>
                      <w:b/>
                      <w:bCs w:val="0"/>
                      <w:color w:val="auto"/>
                      <w:sz w:val="21"/>
                      <w:szCs w:val="21"/>
                      <w:vertAlign w:val="baseline"/>
                      <w:lang w:val="en-US" w:eastAsia="zh-CN"/>
                    </w:rPr>
                    <w:t>同比（%）</w:t>
                  </w:r>
                </w:p>
              </w:tc>
              <w:tc>
                <w:tcPr>
                  <w:tcW w:w="820"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default" w:ascii="Times New Roman" w:hAnsi="Times New Roman" w:eastAsia="宋体" w:cs="Times New Roman"/>
                      <w:b/>
                      <w:bCs w:val="0"/>
                      <w:color w:val="auto"/>
                      <w:sz w:val="21"/>
                      <w:szCs w:val="21"/>
                      <w:vertAlign w:val="baseline"/>
                      <w:lang w:val="en-US" w:eastAsia="zh-CN"/>
                    </w:rPr>
                    <w:t>20</w:t>
                  </w:r>
                  <w:r>
                    <w:rPr>
                      <w:rFonts w:hint="eastAsia" w:ascii="Times New Roman" w:hAnsi="Times New Roman" w:eastAsia="宋体" w:cs="Times New Roman"/>
                      <w:b/>
                      <w:bCs w:val="0"/>
                      <w:color w:val="auto"/>
                      <w:sz w:val="21"/>
                      <w:szCs w:val="21"/>
                      <w:vertAlign w:val="baseline"/>
                      <w:lang w:val="en-US" w:eastAsia="zh-CN"/>
                    </w:rPr>
                    <w:t>23</w:t>
                  </w:r>
                  <w:r>
                    <w:rPr>
                      <w:rFonts w:hint="default" w:ascii="Times New Roman" w:hAnsi="Times New Roman" w:eastAsia="宋体" w:cs="Times New Roman"/>
                      <w:b/>
                      <w:bCs w:val="0"/>
                      <w:color w:val="auto"/>
                      <w:sz w:val="21"/>
                      <w:szCs w:val="21"/>
                      <w:vertAlign w:val="baseline"/>
                      <w:lang w:val="en-US" w:eastAsia="zh-CN"/>
                    </w:rPr>
                    <w:t>年</w:t>
                  </w:r>
                </w:p>
              </w:tc>
              <w:tc>
                <w:tcPr>
                  <w:tcW w:w="820"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default" w:ascii="Times New Roman" w:hAnsi="Times New Roman" w:eastAsia="宋体" w:cs="Times New Roman"/>
                      <w:b/>
                      <w:bCs w:val="0"/>
                      <w:color w:val="auto"/>
                      <w:sz w:val="21"/>
                      <w:szCs w:val="21"/>
                      <w:vertAlign w:val="baseline"/>
                      <w:lang w:val="en-US" w:eastAsia="zh-CN"/>
                    </w:rPr>
                    <w:t>20</w:t>
                  </w:r>
                  <w:r>
                    <w:rPr>
                      <w:rFonts w:hint="eastAsia" w:ascii="Times New Roman" w:hAnsi="Times New Roman" w:eastAsia="宋体" w:cs="Times New Roman"/>
                      <w:b/>
                      <w:bCs w:val="0"/>
                      <w:color w:val="auto"/>
                      <w:sz w:val="21"/>
                      <w:szCs w:val="21"/>
                      <w:vertAlign w:val="baseline"/>
                      <w:lang w:val="en-US" w:eastAsia="zh-CN"/>
                    </w:rPr>
                    <w:t>22</w:t>
                  </w:r>
                  <w:r>
                    <w:rPr>
                      <w:rFonts w:hint="default" w:ascii="Times New Roman" w:hAnsi="Times New Roman" w:eastAsia="宋体" w:cs="Times New Roman"/>
                      <w:b/>
                      <w:bCs w:val="0"/>
                      <w:color w:val="auto"/>
                      <w:sz w:val="21"/>
                      <w:szCs w:val="21"/>
                      <w:vertAlign w:val="baseline"/>
                      <w:lang w:val="en-US" w:eastAsia="zh-CN"/>
                    </w:rPr>
                    <w:t>年</w:t>
                  </w:r>
                </w:p>
              </w:tc>
              <w:tc>
                <w:tcPr>
                  <w:tcW w:w="820"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default" w:ascii="Times New Roman" w:hAnsi="Times New Roman" w:eastAsia="宋体" w:cs="Times New Roman"/>
                      <w:b/>
                      <w:bCs w:val="0"/>
                      <w:color w:val="auto"/>
                      <w:sz w:val="21"/>
                      <w:szCs w:val="21"/>
                      <w:vertAlign w:val="baseline"/>
                      <w:lang w:val="en-US" w:eastAsia="zh-CN"/>
                    </w:rPr>
                    <w:t>同比（%）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5"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kern w:val="0"/>
                      <w:sz w:val="21"/>
                      <w:szCs w:val="21"/>
                      <w:lang w:val="en-US" w:eastAsia="zh-CN" w:bidi="ar"/>
                    </w:rPr>
                    <w:t>中卫下河沿</w:t>
                  </w:r>
                </w:p>
              </w:tc>
              <w:tc>
                <w:tcPr>
                  <w:tcW w:w="826"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1.7</w:t>
                  </w:r>
                </w:p>
              </w:tc>
              <w:tc>
                <w:tcPr>
                  <w:tcW w:w="728"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1.8</w:t>
                  </w:r>
                </w:p>
              </w:tc>
              <w:tc>
                <w:tcPr>
                  <w:tcW w:w="820"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w:t>
                  </w:r>
                  <w:r>
                    <w:rPr>
                      <w:rFonts w:hint="eastAsia" w:ascii="Times New Roman" w:hAnsi="Times New Roman" w:eastAsia="宋体" w:cs="Times New Roman"/>
                      <w:b w:val="0"/>
                      <w:bCs/>
                      <w:color w:val="auto"/>
                      <w:sz w:val="21"/>
                      <w:szCs w:val="21"/>
                      <w:vertAlign w:val="baseline"/>
                      <w:lang w:val="en-US" w:eastAsia="zh-CN"/>
                    </w:rPr>
                    <w:t>5.6</w:t>
                  </w:r>
                </w:p>
              </w:tc>
              <w:tc>
                <w:tcPr>
                  <w:tcW w:w="820"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0.0</w:t>
                  </w:r>
                  <w:r>
                    <w:rPr>
                      <w:rFonts w:hint="eastAsia" w:ascii="Times New Roman" w:hAnsi="Times New Roman" w:eastAsia="宋体" w:cs="Times New Roman"/>
                      <w:b w:val="0"/>
                      <w:bCs/>
                      <w:color w:val="auto"/>
                      <w:sz w:val="21"/>
                      <w:szCs w:val="21"/>
                      <w:vertAlign w:val="baseline"/>
                      <w:lang w:val="en-US" w:eastAsia="zh-CN"/>
                    </w:rPr>
                    <w:t>44</w:t>
                  </w:r>
                </w:p>
              </w:tc>
              <w:tc>
                <w:tcPr>
                  <w:tcW w:w="820"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0.</w:t>
                  </w:r>
                  <w:r>
                    <w:rPr>
                      <w:rFonts w:hint="eastAsia" w:ascii="Times New Roman" w:hAnsi="Times New Roman" w:eastAsia="宋体" w:cs="Times New Roman"/>
                      <w:b w:val="0"/>
                      <w:bCs/>
                      <w:color w:val="auto"/>
                      <w:sz w:val="21"/>
                      <w:szCs w:val="21"/>
                      <w:vertAlign w:val="baseline"/>
                      <w:lang w:val="en-US" w:eastAsia="zh-CN"/>
                    </w:rPr>
                    <w:t>048</w:t>
                  </w:r>
                </w:p>
              </w:tc>
              <w:tc>
                <w:tcPr>
                  <w:tcW w:w="820"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w:t>
                  </w:r>
                  <w:r>
                    <w:rPr>
                      <w:rFonts w:hint="eastAsia" w:ascii="Times New Roman" w:hAnsi="Times New Roman" w:eastAsia="宋体" w:cs="Times New Roman"/>
                      <w:b w:val="0"/>
                      <w:bCs/>
                      <w:color w:val="auto"/>
                      <w:sz w:val="21"/>
                      <w:szCs w:val="21"/>
                      <w:vertAlign w:val="baseline"/>
                      <w:lang w:val="en-US" w:eastAsia="zh-CN"/>
                    </w:rPr>
                    <w:t>8.3</w:t>
                  </w:r>
                </w:p>
              </w:tc>
              <w:tc>
                <w:tcPr>
                  <w:tcW w:w="820"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0.0</w:t>
                  </w:r>
                  <w:r>
                    <w:rPr>
                      <w:rFonts w:hint="eastAsia" w:ascii="Times New Roman" w:hAnsi="Times New Roman" w:eastAsia="宋体" w:cs="Times New Roman"/>
                      <w:b w:val="0"/>
                      <w:bCs/>
                      <w:color w:val="auto"/>
                      <w:sz w:val="21"/>
                      <w:szCs w:val="21"/>
                      <w:vertAlign w:val="baseline"/>
                      <w:lang w:val="en-US" w:eastAsia="zh-CN"/>
                    </w:rPr>
                    <w:t>38</w:t>
                  </w:r>
                </w:p>
              </w:tc>
              <w:tc>
                <w:tcPr>
                  <w:tcW w:w="820"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0.0</w:t>
                  </w:r>
                  <w:r>
                    <w:rPr>
                      <w:rFonts w:hint="eastAsia" w:ascii="Times New Roman" w:hAnsi="Times New Roman" w:eastAsia="宋体" w:cs="Times New Roman"/>
                      <w:b w:val="0"/>
                      <w:bCs/>
                      <w:color w:val="auto"/>
                      <w:sz w:val="21"/>
                      <w:szCs w:val="21"/>
                      <w:vertAlign w:val="baseline"/>
                      <w:lang w:val="en-US" w:eastAsia="zh-CN"/>
                    </w:rPr>
                    <w:t>5</w:t>
                  </w:r>
                </w:p>
              </w:tc>
              <w:tc>
                <w:tcPr>
                  <w:tcW w:w="820"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w:t>
                  </w:r>
                  <w:r>
                    <w:rPr>
                      <w:rFonts w:hint="eastAsia" w:ascii="Times New Roman" w:hAnsi="Times New Roman" w:eastAsia="宋体" w:cs="Times New Roman"/>
                      <w:b w:val="0"/>
                      <w:bCs/>
                      <w:color w:val="auto"/>
                      <w:sz w:val="21"/>
                      <w:szCs w:val="21"/>
                      <w:vertAlign w:val="baseline"/>
                      <w:lang w:val="en-US" w:eastAsia="zh-CN"/>
                    </w:rPr>
                    <w:t>24.0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905"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kern w:val="0"/>
                      <w:sz w:val="21"/>
                      <w:szCs w:val="21"/>
                      <w:lang w:val="en-US" w:eastAsia="zh-CN" w:bidi="ar"/>
                    </w:rPr>
                    <w:t>金沙湾</w:t>
                  </w:r>
                </w:p>
              </w:tc>
              <w:tc>
                <w:tcPr>
                  <w:tcW w:w="826"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1.9</w:t>
                  </w:r>
                </w:p>
              </w:tc>
              <w:tc>
                <w:tcPr>
                  <w:tcW w:w="728"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1.9</w:t>
                  </w:r>
                </w:p>
              </w:tc>
              <w:tc>
                <w:tcPr>
                  <w:tcW w:w="820"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0.0</w:t>
                  </w:r>
                </w:p>
              </w:tc>
              <w:tc>
                <w:tcPr>
                  <w:tcW w:w="820"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0.</w:t>
                  </w:r>
                  <w:r>
                    <w:rPr>
                      <w:rFonts w:hint="eastAsia" w:ascii="Times New Roman" w:hAnsi="Times New Roman" w:eastAsia="宋体" w:cs="Times New Roman"/>
                      <w:b w:val="0"/>
                      <w:bCs/>
                      <w:color w:val="auto"/>
                      <w:sz w:val="21"/>
                      <w:szCs w:val="21"/>
                      <w:vertAlign w:val="baseline"/>
                      <w:lang w:val="en-US" w:eastAsia="zh-CN"/>
                    </w:rPr>
                    <w:t>052</w:t>
                  </w:r>
                </w:p>
              </w:tc>
              <w:tc>
                <w:tcPr>
                  <w:tcW w:w="820"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0.0</w:t>
                  </w:r>
                  <w:r>
                    <w:rPr>
                      <w:rFonts w:hint="eastAsia" w:ascii="Times New Roman" w:hAnsi="Times New Roman" w:eastAsia="宋体" w:cs="Times New Roman"/>
                      <w:b w:val="0"/>
                      <w:bCs/>
                      <w:color w:val="auto"/>
                      <w:sz w:val="21"/>
                      <w:szCs w:val="21"/>
                      <w:vertAlign w:val="baseline"/>
                      <w:lang w:val="en-US" w:eastAsia="zh-CN"/>
                    </w:rPr>
                    <w:t>36</w:t>
                  </w:r>
                </w:p>
              </w:tc>
              <w:tc>
                <w:tcPr>
                  <w:tcW w:w="820"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44.4</w:t>
                  </w:r>
                </w:p>
              </w:tc>
              <w:tc>
                <w:tcPr>
                  <w:tcW w:w="820"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0.04</w:t>
                  </w:r>
                  <w:r>
                    <w:rPr>
                      <w:rFonts w:hint="eastAsia" w:ascii="Times New Roman" w:hAnsi="Times New Roman" w:eastAsia="宋体" w:cs="Times New Roman"/>
                      <w:b w:val="0"/>
                      <w:bCs/>
                      <w:color w:val="auto"/>
                      <w:sz w:val="21"/>
                      <w:szCs w:val="21"/>
                      <w:vertAlign w:val="baseline"/>
                      <w:lang w:val="en-US" w:eastAsia="zh-CN"/>
                    </w:rPr>
                    <w:t>7</w:t>
                  </w:r>
                </w:p>
              </w:tc>
              <w:tc>
                <w:tcPr>
                  <w:tcW w:w="820"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0.0</w:t>
                  </w:r>
                  <w:r>
                    <w:rPr>
                      <w:rFonts w:hint="eastAsia" w:ascii="Times New Roman" w:hAnsi="Times New Roman" w:eastAsia="宋体" w:cs="Times New Roman"/>
                      <w:b w:val="0"/>
                      <w:bCs/>
                      <w:color w:val="auto"/>
                      <w:sz w:val="21"/>
                      <w:szCs w:val="21"/>
                      <w:vertAlign w:val="baseline"/>
                      <w:lang w:val="en-US" w:eastAsia="zh-CN"/>
                    </w:rPr>
                    <w:t>44</w:t>
                  </w:r>
                </w:p>
              </w:tc>
              <w:tc>
                <w:tcPr>
                  <w:tcW w:w="820"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6.8</w:t>
                  </w:r>
                </w:p>
              </w:tc>
            </w:tr>
          </w:tbl>
          <w:p>
            <w:pPr>
              <w:pStyle w:val="11"/>
              <w:keepNext w:val="0"/>
              <w:keepLines w:val="0"/>
              <w:pageBreakBefore w:val="0"/>
              <w:kinsoku/>
              <w:wordWrap/>
              <w:overflowPunct/>
              <w:topLinePunct w:val="0"/>
              <w:autoSpaceDE/>
              <w:autoSpaceDN/>
              <w:bidi w:val="0"/>
              <w:adjustRightInd w:val="0"/>
              <w:spacing w:before="156" w:beforeLines="50" w:after="0" w:line="360" w:lineRule="auto"/>
              <w:ind w:right="0" w:firstLine="480" w:firstLineChars="200"/>
              <w:textAlignment w:val="auto"/>
              <w:rPr>
                <w:bCs/>
                <w:color w:val="000000" w:themeColor="text1"/>
                <w:kern w:val="2"/>
                <w:sz w:val="24"/>
                <w:szCs w:val="24"/>
                <w14:textFill>
                  <w14:solidFill>
                    <w14:schemeClr w14:val="tx1"/>
                  </w14:solidFill>
                </w14:textFill>
              </w:rPr>
            </w:pPr>
            <w:r>
              <w:rPr>
                <w:rFonts w:hint="eastAsia"/>
                <w:bCs/>
                <w:color w:val="000000" w:themeColor="text1"/>
                <w:kern w:val="2"/>
                <w:sz w:val="24"/>
                <w:szCs w:val="24"/>
                <w14:textFill>
                  <w14:solidFill>
                    <w14:schemeClr w14:val="tx1"/>
                  </w14:solidFill>
                </w14:textFill>
              </w:rPr>
              <w:t>由</w:t>
            </w:r>
            <w:r>
              <w:rPr>
                <w:rFonts w:hint="eastAsia"/>
                <w:bCs/>
                <w:color w:val="000000" w:themeColor="text1"/>
                <w:kern w:val="2"/>
                <w:sz w:val="24"/>
                <w:szCs w:val="24"/>
                <w:lang w:val="en-US" w:eastAsia="zh-CN"/>
                <w14:textFill>
                  <w14:solidFill>
                    <w14:schemeClr w14:val="tx1"/>
                  </w14:solidFill>
                </w14:textFill>
              </w:rPr>
              <w:t>表3-4</w:t>
            </w:r>
            <w:r>
              <w:rPr>
                <w:rFonts w:hint="eastAsia"/>
                <w:bCs/>
                <w:color w:val="000000" w:themeColor="text1"/>
                <w:kern w:val="2"/>
                <w:sz w:val="24"/>
                <w:szCs w:val="24"/>
                <w14:textFill>
                  <w14:solidFill>
                    <w14:schemeClr w14:val="tx1"/>
                  </w14:solidFill>
                </w14:textFill>
              </w:rPr>
              <w:t>可知，</w:t>
            </w:r>
            <w:r>
              <w:rPr>
                <w:bCs/>
                <w:color w:val="000000" w:themeColor="text1"/>
                <w:kern w:val="2"/>
                <w:sz w:val="24"/>
                <w:szCs w:val="24"/>
                <w14:textFill>
                  <w14:solidFill>
                    <w14:schemeClr w14:val="tx1"/>
                  </w14:solidFill>
                </w14:textFill>
              </w:rPr>
              <w:t>黄河中卫下河沿、金沙湾断面水质指标符合《地表水环境质量标准》（GB3838-2002）中的Ⅱ类标准。</w:t>
            </w:r>
          </w:p>
          <w:p>
            <w:pPr>
              <w:pStyle w:val="15"/>
              <w:keepNext w:val="0"/>
              <w:keepLines w:val="0"/>
              <w:pageBreakBefore w:val="0"/>
              <w:kinsoku/>
              <w:wordWrap/>
              <w:overflowPunct/>
              <w:topLinePunct w:val="0"/>
              <w:autoSpaceDE/>
              <w:autoSpaceDN/>
              <w:bidi w:val="0"/>
              <w:adjustRightInd w:val="0"/>
              <w:snapToGrid w:val="0"/>
              <w:spacing w:line="360" w:lineRule="auto"/>
              <w:ind w:firstLine="481" w:firstLineChars="200"/>
              <w:textAlignment w:val="auto"/>
              <w:rPr>
                <w:rFonts w:hint="default"/>
                <w:b/>
                <w:bCs/>
                <w:snapToGrid w:val="0"/>
                <w:color w:val="000000" w:themeColor="text1"/>
                <w:spacing w:val="0"/>
                <w:sz w:val="24"/>
                <w14:textFill>
                  <w14:solidFill>
                    <w14:schemeClr w14:val="tx1"/>
                  </w14:solidFill>
                </w14:textFill>
              </w:rPr>
            </w:pPr>
            <w:r>
              <w:rPr>
                <w:rFonts w:hint="default"/>
                <w:b/>
                <w:bCs/>
                <w:snapToGrid w:val="0"/>
                <w:color w:val="000000" w:themeColor="text1"/>
                <w:spacing w:val="0"/>
                <w:sz w:val="24"/>
                <w14:textFill>
                  <w14:solidFill>
                    <w14:schemeClr w14:val="tx1"/>
                  </w14:solidFill>
                </w14:textFill>
              </w:rPr>
              <w:t>3、声环境质量现状</w:t>
            </w:r>
          </w:p>
          <w:p>
            <w:pPr>
              <w:pStyle w:val="15"/>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b/>
                <w:color w:val="000000" w:themeColor="text1"/>
                <w:spacing w:val="2"/>
                <w:sz w:val="24"/>
                <w:lang w:val="en-US"/>
                <w14:textFill>
                  <w14:solidFill>
                    <w14:schemeClr w14:val="tx1"/>
                  </w14:solidFill>
                </w14:textFill>
              </w:rPr>
            </w:pPr>
            <w:r>
              <w:rPr>
                <w:rFonts w:hint="default"/>
                <w:snapToGrid w:val="0"/>
                <w:color w:val="000000" w:themeColor="text1"/>
                <w:spacing w:val="0"/>
                <w:sz w:val="24"/>
                <w14:textFill>
                  <w14:solidFill>
                    <w14:schemeClr w14:val="tx1"/>
                  </w14:solidFill>
                </w14:textFill>
              </w:rPr>
              <w:t>根据《建设项目环境影响报告表编制技术指南》（污染影响类）（试行）</w:t>
            </w:r>
            <w:r>
              <w:rPr>
                <w:rFonts w:hint="default"/>
                <w:color w:val="000000" w:themeColor="text1"/>
                <w:sz w:val="24"/>
                <w14:textFill>
                  <w14:solidFill>
                    <w14:schemeClr w14:val="tx1"/>
                  </w14:solidFill>
                </w14:textFill>
              </w:rPr>
              <w:t>[环办环评（2020）33号]</w:t>
            </w:r>
            <w:r>
              <w:rPr>
                <w:rFonts w:hint="default"/>
                <w:snapToGrid w:val="0"/>
                <w:color w:val="000000" w:themeColor="text1"/>
                <w:spacing w:val="0"/>
                <w:sz w:val="24"/>
                <w14:textFill>
                  <w14:solidFill>
                    <w14:schemeClr w14:val="tx1"/>
                  </w14:solidFill>
                </w14:textFill>
              </w:rPr>
              <w:t>中关于声环境质量现状监测要求</w:t>
            </w:r>
            <w:r>
              <w:rPr>
                <w:rFonts w:hint="eastAsia"/>
                <w:snapToGrid w:val="0"/>
                <w:color w:val="000000" w:themeColor="text1"/>
                <w:spacing w:val="0"/>
                <w:sz w:val="24"/>
                <w:lang w:eastAsia="zh-CN"/>
                <w14:textFill>
                  <w14:solidFill>
                    <w14:schemeClr w14:val="tx1"/>
                  </w14:solidFill>
                </w14:textFill>
              </w:rPr>
              <w:t>“</w:t>
            </w:r>
            <w:r>
              <w:rPr>
                <w:rFonts w:hint="default"/>
                <w:snapToGrid w:val="0"/>
                <w:color w:val="000000" w:themeColor="text1"/>
                <w:spacing w:val="0"/>
                <w:sz w:val="24"/>
                <w14:textFill>
                  <w14:solidFill>
                    <w14:schemeClr w14:val="tx1"/>
                  </w14:solidFill>
                </w14:textFill>
              </w:rPr>
              <w:t>厂界外周边50m范围内存在声环境保护目标的建设项目，应监测保护目标声环境质量现状并评价达标情况</w:t>
            </w:r>
            <w:r>
              <w:rPr>
                <w:rFonts w:hint="eastAsia"/>
                <w:snapToGrid w:val="0"/>
                <w:color w:val="000000" w:themeColor="text1"/>
                <w:spacing w:val="0"/>
                <w:sz w:val="24"/>
                <w:lang w:eastAsia="zh-CN"/>
                <w14:textFill>
                  <w14:solidFill>
                    <w14:schemeClr w14:val="tx1"/>
                  </w14:solidFill>
                </w14:textFill>
              </w:rPr>
              <w:t>”</w:t>
            </w:r>
            <w:r>
              <w:rPr>
                <w:rFonts w:hint="default"/>
                <w:snapToGrid w:val="0"/>
                <w:color w:val="000000" w:themeColor="text1"/>
                <w:spacing w:val="0"/>
                <w:sz w:val="24"/>
                <w14:textFill>
                  <w14:solidFill>
                    <w14:schemeClr w14:val="tx1"/>
                  </w14:solidFill>
                </w14:textFill>
              </w:rPr>
              <w:t>。根据现场踏勘，</w:t>
            </w:r>
            <w:r>
              <w:rPr>
                <w:snapToGrid w:val="0"/>
                <w:color w:val="000000" w:themeColor="text1"/>
                <w:spacing w:val="0"/>
                <w:sz w:val="24"/>
                <w14:textFill>
                  <w14:solidFill>
                    <w14:schemeClr w14:val="tx1"/>
                  </w14:solidFill>
                </w14:textFill>
              </w:rPr>
              <w:t>本项目</w:t>
            </w:r>
            <w:r>
              <w:rPr>
                <w:rFonts w:hint="default"/>
                <w:snapToGrid w:val="0"/>
                <w:color w:val="000000" w:themeColor="text1"/>
                <w:spacing w:val="0"/>
                <w:sz w:val="24"/>
                <w14:textFill>
                  <w14:solidFill>
                    <w14:schemeClr w14:val="tx1"/>
                  </w14:solidFill>
                </w14:textFill>
              </w:rPr>
              <w:t>厂区50m范围内</w:t>
            </w:r>
            <w:r>
              <w:rPr>
                <w:rFonts w:hint="eastAsia"/>
                <w:snapToGrid w:val="0"/>
                <w:color w:val="000000" w:themeColor="text1"/>
                <w:spacing w:val="0"/>
                <w:sz w:val="24"/>
                <w:lang w:val="en-US" w:eastAsia="zh-CN"/>
                <w14:textFill>
                  <w14:solidFill>
                    <w14:schemeClr w14:val="tx1"/>
                  </w14:solidFill>
                </w14:textFill>
              </w:rPr>
              <w:t>无声环境保护目标。因此，不开展声环境质量现状评价。</w:t>
            </w:r>
          </w:p>
          <w:p>
            <w:pPr>
              <w:pStyle w:val="11"/>
              <w:keepNext w:val="0"/>
              <w:keepLines w:val="0"/>
              <w:pageBreakBefore w:val="0"/>
              <w:kinsoku/>
              <w:wordWrap/>
              <w:overflowPunct/>
              <w:topLinePunct w:val="0"/>
              <w:autoSpaceDE/>
              <w:autoSpaceDN/>
              <w:bidi w:val="0"/>
              <w:spacing w:before="0" w:after="0" w:line="360" w:lineRule="auto"/>
              <w:ind w:right="0" w:firstLine="489" w:firstLineChars="200"/>
              <w:textAlignment w:val="auto"/>
              <w:rPr>
                <w:b/>
                <w:color w:val="auto"/>
                <w:spacing w:val="2"/>
                <w:kern w:val="2"/>
                <w:sz w:val="24"/>
                <w:szCs w:val="24"/>
              </w:rPr>
            </w:pPr>
            <w:r>
              <w:rPr>
                <w:b/>
                <w:color w:val="auto"/>
                <w:spacing w:val="2"/>
                <w:kern w:val="2"/>
                <w:sz w:val="24"/>
                <w:szCs w:val="24"/>
              </w:rPr>
              <w:t>4、生态环境质量现状</w:t>
            </w:r>
          </w:p>
          <w:p>
            <w:pPr>
              <w:keepNext w:val="0"/>
              <w:keepLines w:val="0"/>
              <w:pageBreakBefore w:val="0"/>
              <w:kinsoku/>
              <w:wordWrap/>
              <w:overflowPunct/>
              <w:topLinePunct w:val="0"/>
              <w:autoSpaceDE/>
              <w:autoSpaceDN/>
              <w:bidi w:val="0"/>
              <w:adjustRightInd w:val="0"/>
              <w:spacing w:line="360" w:lineRule="auto"/>
              <w:ind w:firstLine="480" w:firstLineChars="200"/>
              <w:jc w:val="left"/>
              <w:textAlignment w:val="auto"/>
              <w:rPr>
                <w:color w:val="auto"/>
                <w:spacing w:val="2"/>
                <w:sz w:val="24"/>
              </w:rPr>
            </w:pPr>
            <w:r>
              <w:rPr>
                <w:rFonts w:hint="default" w:ascii="Times New Roman" w:hAnsi="Times New Roman" w:eastAsia="宋体" w:cs="Times New Roman"/>
                <w:snapToGrid w:val="0"/>
                <w:color w:val="auto"/>
                <w:spacing w:val="0"/>
                <w:sz w:val="24"/>
                <w:lang w:val="en-US" w:eastAsia="zh-CN"/>
              </w:rPr>
              <w:t>本项目</w:t>
            </w:r>
            <w:r>
              <w:rPr>
                <w:rFonts w:hint="eastAsia" w:cs="Times New Roman"/>
                <w:snapToGrid w:val="0"/>
                <w:color w:val="auto"/>
                <w:spacing w:val="0"/>
                <w:sz w:val="24"/>
                <w:lang w:val="en-US" w:eastAsia="zh-CN"/>
              </w:rPr>
              <w:t>属于临时用地，土地利用类型为天然牧草地，已取得宁夏林业和草原局出具的《临时占用草地行政许可决定书》（宁林草许准临【2024】49号）。</w:t>
            </w:r>
            <w:r>
              <w:rPr>
                <w:rFonts w:hint="default" w:ascii="Times New Roman" w:hAnsi="Times New Roman" w:eastAsia="宋体" w:cs="Times New Roman"/>
                <w:snapToGrid w:val="0"/>
                <w:color w:val="auto"/>
                <w:spacing w:val="0"/>
                <w:sz w:val="24"/>
                <w:lang w:val="en-US" w:eastAsia="zh-CN"/>
              </w:rPr>
              <w:t>所在区域人类活动较为频繁，动物主要为一些鸟类及小型啮齿类动物等，无大型野生动物。在现场踏勘及走访过程中，未发现珍稀、濒危或国家及自治区级保护动物的栖息地和繁殖地分布。植被主要为农业栽培植被、人工林、灌木林植被。</w:t>
            </w:r>
          </w:p>
          <w:p>
            <w:pPr>
              <w:keepNext w:val="0"/>
              <w:keepLines w:val="0"/>
              <w:pageBreakBefore w:val="0"/>
              <w:kinsoku/>
              <w:wordWrap/>
              <w:overflowPunct/>
              <w:topLinePunct w:val="0"/>
              <w:autoSpaceDE/>
              <w:autoSpaceDN/>
              <w:bidi w:val="0"/>
              <w:adjustRightInd w:val="0"/>
              <w:spacing w:line="360" w:lineRule="auto"/>
              <w:ind w:firstLine="488" w:firstLineChars="200"/>
              <w:jc w:val="left"/>
              <w:textAlignment w:val="auto"/>
              <w:rPr>
                <w:b/>
                <w:bCs/>
                <w:color w:val="auto"/>
                <w:sz w:val="24"/>
              </w:rPr>
            </w:pPr>
            <w:r>
              <w:rPr>
                <w:color w:val="auto"/>
                <w:spacing w:val="2"/>
                <w:sz w:val="24"/>
              </w:rPr>
              <w:t>根据《建设项目环境影响报告表编制技术指南》（污染影响类）（试行）</w:t>
            </w:r>
            <w:r>
              <w:rPr>
                <w:color w:val="auto"/>
                <w:sz w:val="24"/>
              </w:rPr>
              <w:t>[环办环评（2020）33号]说明</w:t>
            </w:r>
            <w:r>
              <w:rPr>
                <w:color w:val="auto"/>
                <w:spacing w:val="2"/>
                <w:sz w:val="24"/>
              </w:rPr>
              <w:t>，“产业园区外建设项目新增用地且用地范围内含有生态环境保护目标时，应进行生态现状调查”。</w:t>
            </w:r>
            <w:r>
              <w:rPr>
                <w:snapToGrid w:val="0"/>
                <w:color w:val="auto"/>
                <w:sz w:val="24"/>
              </w:rPr>
              <w:t>本项目</w:t>
            </w:r>
            <w:r>
              <w:rPr>
                <w:rFonts w:hint="eastAsia"/>
                <w:snapToGrid w:val="0"/>
                <w:color w:val="auto"/>
                <w:sz w:val="24"/>
                <w:lang w:val="en-US" w:eastAsia="zh-CN"/>
              </w:rPr>
              <w:t>租用</w:t>
            </w:r>
            <w:r>
              <w:rPr>
                <w:rFonts w:hint="eastAsia"/>
                <w:color w:val="auto"/>
                <w:sz w:val="24"/>
                <w:lang w:val="en-US" w:eastAsia="zh-CN"/>
              </w:rPr>
              <w:t>沙坡头区东园镇土地</w:t>
            </w:r>
            <w:r>
              <w:rPr>
                <w:rFonts w:hint="eastAsia"/>
                <w:color w:val="auto"/>
                <w:sz w:val="24"/>
                <w:lang w:eastAsia="zh-CN"/>
              </w:rPr>
              <w:t>，</w:t>
            </w:r>
            <w:r>
              <w:rPr>
                <w:snapToGrid w:val="0"/>
                <w:color w:val="auto"/>
                <w:sz w:val="24"/>
              </w:rPr>
              <w:t>不新增用地且用地范围内不含生态环境保护目标，因此不进行生态现状调查。</w:t>
            </w:r>
          </w:p>
          <w:p>
            <w:pPr>
              <w:pStyle w:val="15"/>
              <w:keepNext w:val="0"/>
              <w:keepLines w:val="0"/>
              <w:pageBreakBefore w:val="0"/>
              <w:kinsoku/>
              <w:wordWrap/>
              <w:overflowPunct/>
              <w:topLinePunct w:val="0"/>
              <w:autoSpaceDE/>
              <w:autoSpaceDN/>
              <w:bidi w:val="0"/>
              <w:adjustRightInd w:val="0"/>
              <w:snapToGrid w:val="0"/>
              <w:spacing w:line="360" w:lineRule="auto"/>
              <w:ind w:firstLine="481" w:firstLineChars="200"/>
              <w:textAlignment w:val="auto"/>
              <w:rPr>
                <w:rFonts w:hint="default"/>
                <w:b/>
                <w:bCs/>
                <w:snapToGrid w:val="0"/>
                <w:color w:val="auto"/>
                <w:spacing w:val="0"/>
                <w:sz w:val="24"/>
              </w:rPr>
            </w:pPr>
            <w:r>
              <w:rPr>
                <w:b/>
                <w:bCs/>
                <w:snapToGrid w:val="0"/>
                <w:color w:val="auto"/>
                <w:spacing w:val="0"/>
                <w:sz w:val="24"/>
              </w:rPr>
              <w:t>5</w:t>
            </w:r>
            <w:r>
              <w:rPr>
                <w:rFonts w:hint="default"/>
                <w:b/>
                <w:bCs/>
                <w:snapToGrid w:val="0"/>
                <w:color w:val="auto"/>
                <w:spacing w:val="0"/>
                <w:sz w:val="24"/>
              </w:rPr>
              <w:t>、地下水、土壤环境质量现状</w:t>
            </w:r>
          </w:p>
          <w:p>
            <w:pPr>
              <w:pStyle w:val="6"/>
              <w:keepNext w:val="0"/>
              <w:keepLines w:val="0"/>
              <w:pageBreakBefore w:val="0"/>
              <w:kinsoku/>
              <w:wordWrap/>
              <w:overflowPunct/>
              <w:topLinePunct w:val="0"/>
              <w:autoSpaceDE/>
              <w:autoSpaceDN/>
              <w:bidi w:val="0"/>
              <w:adjustRightInd w:val="0"/>
              <w:snapToGrid w:val="0"/>
              <w:spacing w:after="0" w:line="360" w:lineRule="auto"/>
              <w:ind w:left="0" w:leftChars="0" w:firstLine="488"/>
              <w:textAlignment w:val="auto"/>
              <w:rPr>
                <w:color w:val="auto"/>
                <w:spacing w:val="2"/>
                <w:szCs w:val="24"/>
              </w:rPr>
            </w:pPr>
            <w:r>
              <w:rPr>
                <w:color w:val="auto"/>
                <w:spacing w:val="2"/>
                <w:szCs w:val="24"/>
              </w:rPr>
              <w:t>根据《建设项目环境影响报告表编制技术指南》（污染影响类）（试行）</w:t>
            </w:r>
            <w:r>
              <w:rPr>
                <w:color w:val="auto"/>
                <w:szCs w:val="24"/>
              </w:rPr>
              <w:t>[环办环评（2020）33号]说明</w:t>
            </w:r>
            <w:r>
              <w:rPr>
                <w:color w:val="auto"/>
                <w:spacing w:val="2"/>
                <w:szCs w:val="24"/>
              </w:rPr>
              <w:t>，“原则上不开展环境质量现状调查，建设项目存在土壤、地下水环境污染途径的，应结合污染源、保护目标分布情况开展现状调查以留作背景值”。</w:t>
            </w:r>
          </w:p>
          <w:p>
            <w:pPr>
              <w:pStyle w:val="6"/>
              <w:keepNext w:val="0"/>
              <w:keepLines w:val="0"/>
              <w:pageBreakBefore w:val="0"/>
              <w:kinsoku/>
              <w:wordWrap/>
              <w:overflowPunct/>
              <w:topLinePunct w:val="0"/>
              <w:autoSpaceDE/>
              <w:autoSpaceDN/>
              <w:bidi w:val="0"/>
              <w:adjustRightInd w:val="0"/>
              <w:snapToGrid w:val="0"/>
              <w:spacing w:after="0" w:line="360" w:lineRule="auto"/>
              <w:ind w:left="0" w:leftChars="0" w:firstLine="488"/>
              <w:textAlignment w:val="auto"/>
              <w:rPr>
                <w:snapToGrid w:val="0"/>
                <w:color w:val="FF0000"/>
              </w:rPr>
            </w:pPr>
            <w:r>
              <w:rPr>
                <w:color w:val="auto"/>
                <w:spacing w:val="2"/>
                <w:szCs w:val="24"/>
              </w:rPr>
              <w:t>本项目</w:t>
            </w:r>
            <w:r>
              <w:rPr>
                <w:rFonts w:hint="eastAsia"/>
                <w:color w:val="auto"/>
                <w:spacing w:val="2"/>
                <w:szCs w:val="24"/>
                <w:lang w:val="en-US" w:eastAsia="zh-CN"/>
              </w:rPr>
              <w:t>运营</w:t>
            </w:r>
            <w:r>
              <w:rPr>
                <w:color w:val="auto"/>
                <w:spacing w:val="2"/>
                <w:szCs w:val="24"/>
              </w:rPr>
              <w:t>过程中不</w:t>
            </w:r>
            <w:r>
              <w:rPr>
                <w:rFonts w:hint="eastAsia"/>
                <w:color w:val="auto"/>
                <w:spacing w:val="2"/>
                <w:szCs w:val="24"/>
                <w:lang w:val="en-US" w:eastAsia="zh-CN"/>
              </w:rPr>
              <w:t>产生</w:t>
            </w:r>
            <w:r>
              <w:rPr>
                <w:color w:val="auto"/>
                <w:spacing w:val="2"/>
                <w:szCs w:val="24"/>
              </w:rPr>
              <w:t>有毒有害大气污染物或水污染物</w:t>
            </w:r>
            <w:r>
              <w:rPr>
                <w:rFonts w:hint="eastAsia"/>
                <w:color w:val="auto"/>
                <w:spacing w:val="2"/>
                <w:szCs w:val="24"/>
                <w:lang w:eastAsia="zh-CN"/>
              </w:rPr>
              <w:t>。</w:t>
            </w:r>
            <w:r>
              <w:rPr>
                <w:color w:val="auto"/>
                <w:spacing w:val="2"/>
                <w:szCs w:val="24"/>
              </w:rPr>
              <w:t>项目</w:t>
            </w:r>
            <w:r>
              <w:rPr>
                <w:rFonts w:hint="eastAsia" w:eastAsiaTheme="minorEastAsia"/>
                <w:color w:val="auto"/>
                <w:szCs w:val="24"/>
                <w:lang w:val="en-US" w:eastAsia="zh-CN"/>
              </w:rPr>
              <w:t>生活污水进入化粪池初步处理后定期清运至中卫市第一污水处理厂处置。项目化粪池防渗层采用不低于1.5m厚渗透系数为1.0×10</w:t>
            </w:r>
            <w:r>
              <w:rPr>
                <w:rFonts w:hint="eastAsia" w:eastAsiaTheme="minorEastAsia"/>
                <w:color w:val="auto"/>
                <w:szCs w:val="24"/>
                <w:vertAlign w:val="superscript"/>
                <w:lang w:val="en-US" w:eastAsia="zh-CN"/>
              </w:rPr>
              <w:t>-7</w:t>
            </w:r>
            <w:r>
              <w:rPr>
                <w:rFonts w:hint="eastAsia" w:eastAsiaTheme="minorEastAsia"/>
                <w:color w:val="auto"/>
                <w:szCs w:val="24"/>
                <w:lang w:val="en-US" w:eastAsia="zh-CN"/>
              </w:rPr>
              <w:t>cm/s的黏土层进行防渗处理，正常情况下不会对地下水环境造成污染</w:t>
            </w:r>
            <w:r>
              <w:rPr>
                <w:color w:val="auto"/>
                <w:szCs w:val="24"/>
              </w:rPr>
              <w:t>；</w:t>
            </w:r>
            <w:r>
              <w:rPr>
                <w:rFonts w:hint="eastAsia"/>
                <w:color w:val="auto"/>
                <w:szCs w:val="24"/>
              </w:rPr>
              <w:t>生产废水</w:t>
            </w:r>
            <w:r>
              <w:rPr>
                <w:color w:val="auto"/>
                <w:szCs w:val="24"/>
              </w:rPr>
              <w:t>设置10m</w:t>
            </w:r>
            <w:r>
              <w:rPr>
                <w:color w:val="auto"/>
                <w:szCs w:val="24"/>
                <w:vertAlign w:val="superscript"/>
              </w:rPr>
              <w:t>3</w:t>
            </w:r>
            <w:r>
              <w:rPr>
                <w:color w:val="auto"/>
                <w:szCs w:val="24"/>
              </w:rPr>
              <w:t>沉淀池、洗车平台，搅拌机清洗废水及车辆冲洗废水沉淀后回用于道路洒水降尘；道路降尘用水自然蒸发。</w:t>
            </w:r>
            <w:r>
              <w:rPr>
                <w:rFonts w:hint="eastAsia"/>
                <w:color w:val="auto"/>
                <w:szCs w:val="24"/>
              </w:rPr>
              <w:t>固体废物中</w:t>
            </w:r>
            <w:r>
              <w:rPr>
                <w:color w:val="auto"/>
                <w:kern w:val="2"/>
                <w:szCs w:val="24"/>
              </w:rPr>
              <w:t>①</w:t>
            </w:r>
            <w:r>
              <w:rPr>
                <w:color w:val="auto"/>
                <w:szCs w:val="24"/>
              </w:rPr>
              <w:t>废石料暂存于原料仓，由生产厂家回收</w:t>
            </w:r>
            <w:r>
              <w:rPr>
                <w:rFonts w:hint="eastAsia"/>
                <w:color w:val="auto"/>
                <w:szCs w:val="24"/>
              </w:rPr>
              <w:t>；</w:t>
            </w:r>
            <w:r>
              <w:rPr>
                <w:color w:val="auto"/>
                <w:szCs w:val="24"/>
              </w:rPr>
              <w:t>②废水沉淀沉渣送至政府指定地点处置</w:t>
            </w:r>
            <w:r>
              <w:rPr>
                <w:rFonts w:hint="eastAsia"/>
                <w:color w:val="auto"/>
                <w:szCs w:val="24"/>
              </w:rPr>
              <w:t>；</w:t>
            </w:r>
            <w:r>
              <w:rPr>
                <w:color w:val="auto"/>
                <w:szCs w:val="24"/>
              </w:rPr>
              <w:t>③</w:t>
            </w:r>
            <w:r>
              <w:rPr>
                <w:rFonts w:hint="eastAsia"/>
                <w:color w:val="auto"/>
                <w:szCs w:val="24"/>
              </w:rPr>
              <w:t>厂区</w:t>
            </w:r>
            <w:r>
              <w:rPr>
                <w:color w:val="auto"/>
                <w:szCs w:val="24"/>
              </w:rPr>
              <w:t>设置2个垃圾桶收集生活垃圾，运至附近的垃圾转运点处理；④</w:t>
            </w:r>
            <w:r>
              <w:rPr>
                <w:rFonts w:hint="eastAsia"/>
                <w:color w:val="auto"/>
                <w:szCs w:val="24"/>
                <w:lang w:val="en-US" w:eastAsia="zh-CN"/>
              </w:rPr>
              <w:t>拌合</w:t>
            </w:r>
            <w:r>
              <w:rPr>
                <w:rFonts w:hint="eastAsia"/>
                <w:color w:val="auto"/>
                <w:szCs w:val="24"/>
              </w:rPr>
              <w:t>站拆除后的建筑垃圾</w:t>
            </w:r>
            <w:r>
              <w:rPr>
                <w:color w:val="auto"/>
                <w:szCs w:val="24"/>
              </w:rPr>
              <w:t>送至政府指定地点处置</w:t>
            </w:r>
            <w:r>
              <w:rPr>
                <w:rFonts w:hint="eastAsia"/>
                <w:color w:val="auto"/>
                <w:szCs w:val="24"/>
              </w:rPr>
              <w:t>。本项目</w:t>
            </w:r>
            <w:r>
              <w:rPr>
                <w:color w:val="auto"/>
                <w:szCs w:val="24"/>
              </w:rPr>
              <w:t>不存在土壤、地下水环境污染途径，故可不开展地下水和土壤环境质量现状调查。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08" w:type="dxa"/>
            <w:left w:w="108" w:type="dxa"/>
            <w:bottom w:w="0" w:type="dxa"/>
            <w:right w:w="108" w:type="dxa"/>
          </w:tblCellMar>
        </w:tblPrEx>
        <w:trPr>
          <w:trHeight w:val="90" w:hRule="atLeast"/>
          <w:jc w:val="center"/>
        </w:trPr>
        <w:tc>
          <w:tcPr>
            <w:tcW w:w="597" w:type="dxa"/>
            <w:vAlign w:val="center"/>
          </w:tcPr>
          <w:p>
            <w:pPr>
              <w:adjustRightInd w:val="0"/>
              <w:snapToGrid w:val="0"/>
              <w:jc w:val="center"/>
              <w:rPr>
                <w:b/>
                <w:bCs/>
                <w:color w:val="FF0000"/>
                <w:sz w:val="24"/>
              </w:rPr>
            </w:pPr>
            <w:r>
              <w:rPr>
                <w:b/>
                <w:bCs/>
                <w:color w:val="auto"/>
                <w:kern w:val="0"/>
                <w:sz w:val="24"/>
              </w:rPr>
              <w:t>环境保护目标</w:t>
            </w:r>
          </w:p>
        </w:tc>
        <w:tc>
          <w:tcPr>
            <w:tcW w:w="8577" w:type="dxa"/>
            <w:vAlign w:val="center"/>
          </w:tcPr>
          <w:p>
            <w:pPr>
              <w:adjustRightInd w:val="0"/>
              <w:snapToGrid w:val="0"/>
              <w:spacing w:line="360" w:lineRule="auto"/>
              <w:ind w:firstLine="481" w:firstLineChars="200"/>
              <w:rPr>
                <w:b/>
                <w:bCs/>
                <w:color w:val="auto"/>
                <w:sz w:val="24"/>
              </w:rPr>
            </w:pPr>
            <w:r>
              <w:rPr>
                <w:b/>
                <w:bCs/>
                <w:color w:val="auto"/>
                <w:sz w:val="24"/>
              </w:rPr>
              <w:t>1、大气环境保护目标</w:t>
            </w:r>
          </w:p>
          <w:p>
            <w:pPr>
              <w:adjustRightInd w:val="0"/>
              <w:snapToGrid w:val="0"/>
              <w:spacing w:line="360" w:lineRule="auto"/>
              <w:ind w:firstLine="480" w:firstLineChars="200"/>
              <w:rPr>
                <w:color w:val="auto"/>
                <w:sz w:val="24"/>
              </w:rPr>
            </w:pPr>
            <w:r>
              <w:rPr>
                <w:color w:val="auto"/>
                <w:sz w:val="24"/>
              </w:rPr>
              <w:t>经调查，项目周边500m范围大气环境保护目标主要为</w:t>
            </w:r>
            <w:r>
              <w:rPr>
                <w:rFonts w:hint="eastAsia"/>
                <w:bCs/>
                <w:color w:val="auto"/>
                <w:sz w:val="24"/>
                <w:lang w:val="en-US" w:eastAsia="zh-CN"/>
              </w:rPr>
              <w:t>新星村一队</w:t>
            </w:r>
            <w:r>
              <w:rPr>
                <w:color w:val="auto"/>
                <w:sz w:val="24"/>
              </w:rPr>
              <w:t>居民。</w:t>
            </w:r>
          </w:p>
          <w:p>
            <w:pPr>
              <w:keepNext w:val="0"/>
              <w:keepLines w:val="0"/>
              <w:pageBreakBefore w:val="0"/>
              <w:kinsoku/>
              <w:wordWrap/>
              <w:overflowPunct/>
              <w:topLinePunct w:val="0"/>
              <w:autoSpaceDE/>
              <w:autoSpaceDN/>
              <w:bidi w:val="0"/>
              <w:adjustRightInd w:val="0"/>
              <w:snapToGrid w:val="0"/>
              <w:spacing w:before="156" w:beforeLines="50" w:line="360" w:lineRule="auto"/>
              <w:ind w:firstLine="481" w:firstLineChars="200"/>
              <w:textAlignment w:val="auto"/>
              <w:rPr>
                <w:color w:val="auto"/>
                <w:sz w:val="24"/>
              </w:rPr>
            </w:pPr>
            <w:r>
              <w:rPr>
                <w:b/>
                <w:bCs/>
                <w:color w:val="auto"/>
                <w:sz w:val="24"/>
              </w:rPr>
              <w:t>2、声环境保护目标</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lang w:eastAsia="zh-CN"/>
              </w:rPr>
            </w:pPr>
            <w:r>
              <w:rPr>
                <w:color w:val="auto"/>
                <w:sz w:val="24"/>
              </w:rPr>
              <w:t>根据现场调查，项目周边50m范围内</w:t>
            </w:r>
            <w:r>
              <w:rPr>
                <w:rFonts w:hint="eastAsia"/>
                <w:color w:val="auto"/>
                <w:sz w:val="24"/>
                <w:lang w:val="en-US" w:eastAsia="zh-CN"/>
              </w:rPr>
              <w:t>无</w:t>
            </w:r>
            <w:r>
              <w:rPr>
                <w:color w:val="auto"/>
                <w:sz w:val="24"/>
              </w:rPr>
              <w:t>声环境</w:t>
            </w:r>
            <w:r>
              <w:rPr>
                <w:rFonts w:hint="eastAsia"/>
                <w:color w:val="auto"/>
                <w:sz w:val="24"/>
              </w:rPr>
              <w:t>保护</w:t>
            </w:r>
            <w:r>
              <w:rPr>
                <w:color w:val="auto"/>
                <w:sz w:val="24"/>
              </w:rPr>
              <w:t>目标</w:t>
            </w:r>
            <w:r>
              <w:rPr>
                <w:rFonts w:hint="eastAsia"/>
                <w:color w:val="auto"/>
                <w:sz w:val="24"/>
                <w:lang w:eastAsia="zh-CN"/>
              </w:rPr>
              <w:t>。</w:t>
            </w:r>
          </w:p>
          <w:p>
            <w:pPr>
              <w:keepNext w:val="0"/>
              <w:keepLines w:val="0"/>
              <w:pageBreakBefore w:val="0"/>
              <w:numPr>
                <w:ilvl w:val="0"/>
                <w:numId w:val="7"/>
              </w:numPr>
              <w:kinsoku/>
              <w:wordWrap/>
              <w:overflowPunct/>
              <w:topLinePunct w:val="0"/>
              <w:autoSpaceDE/>
              <w:autoSpaceDN/>
              <w:bidi w:val="0"/>
              <w:adjustRightInd w:val="0"/>
              <w:snapToGrid w:val="0"/>
              <w:spacing w:line="360" w:lineRule="auto"/>
              <w:ind w:left="0" w:leftChars="0" w:firstLine="481" w:firstLineChars="200"/>
              <w:textAlignment w:val="auto"/>
              <w:rPr>
                <w:b/>
                <w:bCs/>
                <w:color w:val="auto"/>
                <w:sz w:val="24"/>
              </w:rPr>
            </w:pPr>
            <w:r>
              <w:rPr>
                <w:rFonts w:hint="eastAsia"/>
                <w:b/>
                <w:bCs/>
                <w:color w:val="auto"/>
                <w:sz w:val="24"/>
                <w:lang w:val="en-US" w:eastAsia="zh-CN"/>
              </w:rPr>
              <w:t>地表水</w:t>
            </w:r>
            <w:r>
              <w:rPr>
                <w:b/>
                <w:bCs/>
                <w:color w:val="auto"/>
                <w:sz w:val="24"/>
              </w:rPr>
              <w:t>环境保护目标</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color w:val="auto"/>
                <w:sz w:val="24"/>
                <w:lang w:val="en-US" w:eastAsia="zh-CN"/>
              </w:rPr>
            </w:pPr>
            <w:r>
              <w:rPr>
                <w:color w:val="auto"/>
                <w:sz w:val="24"/>
              </w:rPr>
              <w:t>本项目</w:t>
            </w:r>
            <w:r>
              <w:rPr>
                <w:rFonts w:hint="eastAsia"/>
                <w:color w:val="auto"/>
                <w:sz w:val="24"/>
                <w:lang w:val="en-US" w:eastAsia="zh-CN"/>
              </w:rPr>
              <w:t>所在区域主要地表水保护目标为北干渠</w:t>
            </w:r>
            <w:r>
              <w:rPr>
                <w:rFonts w:hint="eastAsia"/>
                <w:color w:val="auto"/>
                <w:kern w:val="0"/>
                <w:sz w:val="24"/>
                <w:lang w:val="en-US" w:eastAsia="zh-CN" w:bidi="ar"/>
              </w:rPr>
              <w:t>（S，0.27km）</w:t>
            </w:r>
            <w:r>
              <w:rPr>
                <w:rFonts w:hint="eastAsia"/>
                <w:color w:val="auto"/>
                <w:kern w:val="0"/>
                <w:sz w:val="24"/>
                <w:lang w:bidi="ar"/>
              </w:rPr>
              <w:t>。</w:t>
            </w:r>
            <w:r>
              <w:rPr>
                <w:rFonts w:hint="eastAsia"/>
                <w:color w:val="auto"/>
                <w:kern w:val="0"/>
                <w:sz w:val="24"/>
                <w:lang w:val="en-US" w:eastAsia="zh-CN" w:bidi="ar"/>
              </w:rPr>
              <w:t>其中，北干渠由跃进渠、第一排水沟最终汇入黄河。</w:t>
            </w:r>
            <w:r>
              <w:rPr>
                <w:color w:val="auto"/>
                <w:kern w:val="0"/>
                <w:sz w:val="24"/>
                <w:lang w:bidi="ar"/>
              </w:rPr>
              <w:t>黄河中卫段水质执行《地表水环境质量标准》（GB3838-2002）中Ⅱ类标准。</w:t>
            </w:r>
          </w:p>
          <w:p>
            <w:pPr>
              <w:keepNext w:val="0"/>
              <w:keepLines w:val="0"/>
              <w:pageBreakBefore w:val="0"/>
              <w:kinsoku/>
              <w:wordWrap/>
              <w:overflowPunct/>
              <w:topLinePunct w:val="0"/>
              <w:autoSpaceDE/>
              <w:autoSpaceDN/>
              <w:bidi w:val="0"/>
              <w:adjustRightInd w:val="0"/>
              <w:snapToGrid w:val="0"/>
              <w:spacing w:line="360" w:lineRule="auto"/>
              <w:ind w:firstLine="481" w:firstLineChars="200"/>
              <w:textAlignment w:val="auto"/>
              <w:rPr>
                <w:b/>
                <w:bCs/>
                <w:color w:val="auto"/>
                <w:sz w:val="24"/>
              </w:rPr>
            </w:pPr>
            <w:r>
              <w:rPr>
                <w:rFonts w:hint="eastAsia"/>
                <w:b/>
                <w:bCs/>
                <w:color w:val="auto"/>
                <w:sz w:val="24"/>
                <w:lang w:val="en-US" w:eastAsia="zh-CN"/>
              </w:rPr>
              <w:t>4</w:t>
            </w:r>
            <w:r>
              <w:rPr>
                <w:b/>
                <w:bCs/>
                <w:color w:val="auto"/>
                <w:sz w:val="24"/>
              </w:rPr>
              <w:t>、地下水环境保护目标</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本项目厂界</w:t>
            </w:r>
            <w:r>
              <w:rPr>
                <w:rFonts w:hint="eastAsia"/>
                <w:color w:val="auto"/>
                <w:sz w:val="24"/>
              </w:rPr>
              <w:t>外</w:t>
            </w:r>
            <w:r>
              <w:rPr>
                <w:color w:val="auto"/>
                <w:sz w:val="24"/>
              </w:rPr>
              <w:t>500米范围内无地下水集中式饮用水水源和热水、矿泉水、温泉等特殊地下水资源，无地下水环境保护目标。</w:t>
            </w:r>
          </w:p>
          <w:p>
            <w:pPr>
              <w:keepNext w:val="0"/>
              <w:keepLines w:val="0"/>
              <w:pageBreakBefore w:val="0"/>
              <w:kinsoku/>
              <w:wordWrap/>
              <w:overflowPunct/>
              <w:topLinePunct w:val="0"/>
              <w:autoSpaceDE/>
              <w:autoSpaceDN/>
              <w:bidi w:val="0"/>
              <w:adjustRightInd w:val="0"/>
              <w:snapToGrid w:val="0"/>
              <w:spacing w:line="360" w:lineRule="auto"/>
              <w:ind w:firstLine="481" w:firstLineChars="200"/>
              <w:textAlignment w:val="auto"/>
              <w:rPr>
                <w:b/>
                <w:bCs/>
                <w:color w:val="auto"/>
                <w:sz w:val="24"/>
              </w:rPr>
            </w:pPr>
            <w:r>
              <w:rPr>
                <w:rFonts w:hint="eastAsia"/>
                <w:b/>
                <w:bCs/>
                <w:color w:val="auto"/>
                <w:sz w:val="24"/>
                <w:lang w:val="en-US" w:eastAsia="zh-CN"/>
              </w:rPr>
              <w:t>5</w:t>
            </w:r>
            <w:r>
              <w:rPr>
                <w:b/>
                <w:bCs/>
                <w:color w:val="auto"/>
                <w:sz w:val="24"/>
              </w:rPr>
              <w:t>、生态环境保护目标</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本项目位于</w:t>
            </w:r>
            <w:r>
              <w:rPr>
                <w:rFonts w:hint="eastAsia"/>
                <w:color w:val="auto"/>
                <w:sz w:val="24"/>
                <w:lang w:val="en-US" w:eastAsia="zh-CN"/>
              </w:rPr>
              <w:t>中卫市沙坡头区东园镇新北山区</w:t>
            </w:r>
            <w:r>
              <w:rPr>
                <w:snapToGrid w:val="0"/>
                <w:color w:val="auto"/>
                <w:sz w:val="24"/>
              </w:rPr>
              <w:t>，</w:t>
            </w:r>
            <w:r>
              <w:rPr>
                <w:rFonts w:hint="eastAsia"/>
                <w:snapToGrid w:val="0"/>
                <w:color w:val="auto"/>
                <w:sz w:val="24"/>
                <w:lang w:val="en-US" w:eastAsia="zh-CN"/>
              </w:rPr>
              <w:t>用地类型为天然牧草地，</w:t>
            </w:r>
            <w:r>
              <w:rPr>
                <w:snapToGrid w:val="0"/>
                <w:color w:val="auto"/>
                <w:sz w:val="24"/>
              </w:rPr>
              <w:t>不新增用地。</w:t>
            </w:r>
            <w:r>
              <w:rPr>
                <w:color w:val="auto"/>
                <w:sz w:val="24"/>
              </w:rPr>
              <w:t>根据调查，项目用地范围内及周边主要以人工绿化为主，不涉及珍稀保护野生动植物，厂区周边无生态环境保护目标。</w:t>
            </w:r>
          </w:p>
          <w:p>
            <w:pPr>
              <w:keepNext w:val="0"/>
              <w:keepLines w:val="0"/>
              <w:pageBreakBefore w:val="0"/>
              <w:kinsoku/>
              <w:wordWrap/>
              <w:overflowPunct/>
              <w:topLinePunct w:val="0"/>
              <w:autoSpaceDE/>
              <w:autoSpaceDN/>
              <w:bidi w:val="0"/>
              <w:adjustRightInd w:val="0"/>
              <w:snapToGrid w:val="0"/>
              <w:spacing w:line="360" w:lineRule="auto"/>
              <w:ind w:firstLine="481" w:firstLineChars="200"/>
              <w:textAlignment w:val="auto"/>
              <w:rPr>
                <w:rFonts w:hint="eastAsia" w:eastAsia="宋体"/>
                <w:b/>
                <w:bCs/>
                <w:color w:val="auto"/>
                <w:sz w:val="24"/>
                <w:lang w:eastAsia="zh-CN"/>
              </w:rPr>
            </w:pPr>
            <w:r>
              <w:rPr>
                <w:rFonts w:hint="eastAsia"/>
                <w:b/>
                <w:bCs/>
                <w:color w:val="auto"/>
                <w:sz w:val="24"/>
                <w:lang w:val="en-US" w:eastAsia="zh-CN"/>
              </w:rPr>
              <w:t>6</w:t>
            </w:r>
            <w:r>
              <w:rPr>
                <w:b/>
                <w:bCs/>
                <w:color w:val="auto"/>
                <w:sz w:val="24"/>
              </w:rPr>
              <w:t>、</w:t>
            </w:r>
            <w:r>
              <w:rPr>
                <w:rFonts w:hint="eastAsia"/>
                <w:b/>
                <w:bCs/>
                <w:color w:val="auto"/>
                <w:sz w:val="24"/>
                <w:lang w:val="en-US" w:eastAsia="zh-CN"/>
              </w:rPr>
              <w:t>其他</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color w:val="auto"/>
              </w:rPr>
            </w:pPr>
            <w:r>
              <w:rPr>
                <w:rFonts w:hint="eastAsia"/>
                <w:color w:val="auto"/>
                <w:sz w:val="24"/>
                <w:lang w:val="en-US" w:eastAsia="zh-CN"/>
              </w:rPr>
              <w:t>本项目南侧厂界有一处自治区文物保护单位—长城。结合现场踏勘，长城墙体两侧、烽火台四周及城址墙体四周各50米为长城保护范围；墙体保护范围外两侧、烽火台及城址保护范围外四项各扩100米为长城建设控制地带。本项目用地范围覆盖长城建设控制地带，</w:t>
            </w:r>
            <w:r>
              <w:rPr>
                <w:rFonts w:hint="eastAsia"/>
                <w:b w:val="0"/>
                <w:bCs w:val="0"/>
                <w:color w:val="auto"/>
                <w:sz w:val="24"/>
                <w:lang w:val="en-US" w:eastAsia="zh-CN"/>
              </w:rPr>
              <w:t>为减少对长城的影响，本次环评要求项目应严格控制与长城的距离，项目建设须避开长城建设控制地带。</w:t>
            </w:r>
            <w:r>
              <w:rPr>
                <w:rFonts w:hint="eastAsia"/>
                <w:color w:val="auto"/>
                <w:sz w:val="24"/>
                <w:lang w:val="en-US" w:eastAsia="zh-CN"/>
              </w:rPr>
              <w:t>在项目实施过程中应采取如下措施：路过车辆减少鸣笛、运输车辆缓慢行驶且不得超载、物料采用苫布遮挡覆盖以及定期道路洒水抑尘措施，保证对长城遗址的影响降到最低。</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color w:val="auto"/>
                <w:sz w:val="24"/>
              </w:rPr>
            </w:pPr>
            <w:r>
              <w:rPr>
                <w:color w:val="auto"/>
                <w:sz w:val="24"/>
              </w:rPr>
              <w:t>本项目</w:t>
            </w:r>
            <w:r>
              <w:rPr>
                <w:rFonts w:hint="eastAsia"/>
                <w:color w:val="auto"/>
                <w:sz w:val="24"/>
                <w:lang w:val="en-US" w:eastAsia="zh-CN"/>
              </w:rPr>
              <w:t>各项环境</w:t>
            </w:r>
            <w:r>
              <w:rPr>
                <w:color w:val="auto"/>
                <w:sz w:val="24"/>
              </w:rPr>
              <w:t>要素保护目标分布见</w:t>
            </w:r>
            <w:r>
              <w:rPr>
                <w:rFonts w:hint="eastAsia"/>
                <w:color w:val="auto"/>
                <w:sz w:val="24"/>
                <w:lang w:val="en-US" w:eastAsia="zh-CN"/>
              </w:rPr>
              <w:t>表3-5，</w:t>
            </w:r>
            <w:r>
              <w:rPr>
                <w:color w:val="auto"/>
                <w:sz w:val="24"/>
              </w:rPr>
              <w:t>图3-</w:t>
            </w:r>
            <w:r>
              <w:rPr>
                <w:rFonts w:hint="eastAsia"/>
                <w:color w:val="auto"/>
                <w:sz w:val="24"/>
                <w:lang w:val="en-US" w:eastAsia="zh-CN"/>
              </w:rPr>
              <w:t>2</w:t>
            </w:r>
            <w:r>
              <w:rPr>
                <w:color w:val="auto"/>
                <w:sz w:val="24"/>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rPr>
            </w:pPr>
            <w:r>
              <w:rPr>
                <w:b/>
                <w:bCs/>
                <w:color w:val="auto"/>
                <w:sz w:val="21"/>
                <w:szCs w:val="21"/>
              </w:rPr>
              <w:t>表3-</w:t>
            </w:r>
            <w:r>
              <w:rPr>
                <w:rFonts w:hint="eastAsia"/>
                <w:b/>
                <w:bCs/>
                <w:color w:val="auto"/>
                <w:sz w:val="21"/>
                <w:szCs w:val="21"/>
                <w:lang w:val="en-US" w:eastAsia="zh-CN"/>
              </w:rPr>
              <w:t>5</w:t>
            </w:r>
            <w:r>
              <w:rPr>
                <w:b/>
                <w:bCs/>
                <w:color w:val="auto"/>
                <w:sz w:val="21"/>
                <w:szCs w:val="21"/>
              </w:rPr>
              <w:t xml:space="preserve"> </w:t>
            </w:r>
            <w:r>
              <w:rPr>
                <w:rFonts w:hint="eastAsia"/>
                <w:b/>
                <w:bCs/>
                <w:color w:val="auto"/>
                <w:sz w:val="21"/>
                <w:szCs w:val="21"/>
              </w:rPr>
              <w:t xml:space="preserve"> </w:t>
            </w:r>
            <w:r>
              <w:rPr>
                <w:b/>
                <w:bCs/>
                <w:color w:val="auto"/>
                <w:sz w:val="21"/>
                <w:szCs w:val="21"/>
              </w:rPr>
              <w:t xml:space="preserve"> </w:t>
            </w:r>
            <w:r>
              <w:rPr>
                <w:rFonts w:hint="eastAsia"/>
                <w:b/>
                <w:bCs/>
                <w:color w:val="auto"/>
                <w:sz w:val="21"/>
                <w:szCs w:val="21"/>
                <w:lang w:val="en-US" w:eastAsia="zh-CN"/>
              </w:rPr>
              <w:t>各环境要素</w:t>
            </w:r>
            <w:r>
              <w:rPr>
                <w:b/>
                <w:bCs/>
                <w:color w:val="auto"/>
                <w:sz w:val="21"/>
                <w:szCs w:val="21"/>
              </w:rPr>
              <w:t>具体情况一览表</w:t>
            </w:r>
          </w:p>
          <w:tbl>
            <w:tblPr>
              <w:tblStyle w:val="25"/>
              <w:tblW w:w="83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741"/>
              <w:gridCol w:w="1167"/>
              <w:gridCol w:w="1180"/>
              <w:gridCol w:w="1321"/>
              <w:gridCol w:w="778"/>
              <w:gridCol w:w="9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vMerge w:val="restart"/>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ascii="Times New Roman" w:hAnsi="Times New Roman" w:eastAsia="宋体"/>
                      <w:color w:val="auto"/>
                      <w:sz w:val="21"/>
                      <w:szCs w:val="21"/>
                    </w:rPr>
                  </w:pPr>
                  <w:r>
                    <w:rPr>
                      <w:rFonts w:hint="default" w:ascii="Times New Roman" w:hAnsi="Times New Roman" w:eastAsia="宋体" w:cs="Times New Roman"/>
                      <w:b/>
                      <w:bCs w:val="0"/>
                      <w:color w:val="auto"/>
                      <w:sz w:val="21"/>
                      <w:szCs w:val="21"/>
                      <w:vertAlign w:val="baseline"/>
                      <w:lang w:val="en-US" w:eastAsia="zh-CN"/>
                    </w:rPr>
                    <w:t>名称</w:t>
                  </w:r>
                </w:p>
              </w:tc>
              <w:tc>
                <w:tcPr>
                  <w:tcW w:w="1741" w:type="dxa"/>
                  <w:vMerge w:val="restart"/>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ascii="Times New Roman" w:hAnsi="Times New Roman" w:eastAsia="宋体"/>
                      <w:color w:val="auto"/>
                      <w:sz w:val="21"/>
                      <w:szCs w:val="21"/>
                    </w:rPr>
                  </w:pPr>
                  <w:r>
                    <w:rPr>
                      <w:rFonts w:hint="default" w:ascii="Times New Roman" w:hAnsi="Times New Roman" w:eastAsia="宋体" w:cs="Times New Roman"/>
                      <w:b/>
                      <w:bCs w:val="0"/>
                      <w:color w:val="auto"/>
                      <w:sz w:val="21"/>
                      <w:szCs w:val="21"/>
                      <w:vertAlign w:val="baseline"/>
                      <w:lang w:val="en-US" w:eastAsia="zh-CN"/>
                    </w:rPr>
                    <w:t>坐标</w:t>
                  </w:r>
                </w:p>
              </w:tc>
              <w:tc>
                <w:tcPr>
                  <w:tcW w:w="1167" w:type="dxa"/>
                  <w:vMerge w:val="restart"/>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ascii="Times New Roman" w:hAnsi="Times New Roman" w:eastAsia="宋体"/>
                      <w:color w:val="auto"/>
                      <w:sz w:val="21"/>
                      <w:szCs w:val="21"/>
                    </w:rPr>
                  </w:pPr>
                  <w:r>
                    <w:rPr>
                      <w:rFonts w:hint="default" w:ascii="Times New Roman" w:hAnsi="Times New Roman" w:eastAsia="宋体" w:cs="Times New Roman"/>
                      <w:b/>
                      <w:bCs w:val="0"/>
                      <w:color w:val="auto"/>
                      <w:sz w:val="21"/>
                      <w:szCs w:val="21"/>
                      <w:vertAlign w:val="baseline"/>
                      <w:lang w:val="en-US" w:eastAsia="zh-CN"/>
                    </w:rPr>
                    <w:t>保护对象</w:t>
                  </w:r>
                </w:p>
              </w:tc>
              <w:tc>
                <w:tcPr>
                  <w:tcW w:w="1180" w:type="dxa"/>
                  <w:vMerge w:val="restart"/>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ascii="Times New Roman" w:hAnsi="Times New Roman" w:eastAsia="宋体"/>
                      <w:color w:val="auto"/>
                      <w:sz w:val="21"/>
                      <w:szCs w:val="21"/>
                    </w:rPr>
                  </w:pPr>
                  <w:r>
                    <w:rPr>
                      <w:rFonts w:hint="default" w:ascii="Times New Roman" w:hAnsi="Times New Roman" w:eastAsia="宋体" w:cs="Times New Roman"/>
                      <w:b/>
                      <w:bCs w:val="0"/>
                      <w:color w:val="auto"/>
                      <w:sz w:val="21"/>
                      <w:szCs w:val="21"/>
                      <w:vertAlign w:val="baseline"/>
                      <w:lang w:val="en-US" w:eastAsia="zh-CN"/>
                    </w:rPr>
                    <w:t>保护内容</w:t>
                  </w:r>
                </w:p>
              </w:tc>
              <w:tc>
                <w:tcPr>
                  <w:tcW w:w="1321" w:type="dxa"/>
                  <w:vMerge w:val="restart"/>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ascii="Times New Roman" w:hAnsi="Times New Roman" w:eastAsia="宋体"/>
                      <w:color w:val="auto"/>
                      <w:sz w:val="21"/>
                      <w:szCs w:val="21"/>
                    </w:rPr>
                  </w:pPr>
                  <w:r>
                    <w:rPr>
                      <w:rFonts w:hint="default" w:ascii="Times New Roman" w:hAnsi="Times New Roman" w:eastAsia="宋体" w:cs="Times New Roman"/>
                      <w:b/>
                      <w:bCs w:val="0"/>
                      <w:color w:val="auto"/>
                      <w:sz w:val="21"/>
                      <w:szCs w:val="21"/>
                      <w:vertAlign w:val="baseline"/>
                      <w:lang w:val="en-US" w:eastAsia="zh-CN"/>
                    </w:rPr>
                    <w:t>环境功能区</w:t>
                  </w:r>
                </w:p>
              </w:tc>
              <w:tc>
                <w:tcPr>
                  <w:tcW w:w="1737" w:type="dxa"/>
                  <w:gridSpan w:val="2"/>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ascii="Times New Roman" w:hAnsi="Times New Roman" w:eastAsia="宋体"/>
                      <w:color w:val="auto"/>
                      <w:sz w:val="21"/>
                      <w:szCs w:val="21"/>
                    </w:rPr>
                  </w:pPr>
                  <w:r>
                    <w:rPr>
                      <w:rFonts w:hint="default" w:ascii="Times New Roman" w:hAnsi="Times New Roman" w:eastAsia="宋体" w:cs="Times New Roman"/>
                      <w:b/>
                      <w:bCs w:val="0"/>
                      <w:color w:val="auto"/>
                      <w:kern w:val="2"/>
                      <w:sz w:val="21"/>
                      <w:szCs w:val="21"/>
                      <w:lang w:val="en-US" w:eastAsia="zh-CN" w:bidi="ar-SA"/>
                    </w:rPr>
                    <w:t>空间位置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vMerge w:val="continue"/>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ascii="Times New Roman" w:hAnsi="Times New Roman" w:eastAsia="宋体"/>
                      <w:color w:val="auto"/>
                      <w:sz w:val="21"/>
                      <w:szCs w:val="21"/>
                    </w:rPr>
                  </w:pPr>
                </w:p>
              </w:tc>
              <w:tc>
                <w:tcPr>
                  <w:tcW w:w="1741" w:type="dxa"/>
                  <w:vMerge w:val="continue"/>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ascii="Times New Roman" w:hAnsi="Times New Roman" w:eastAsia="宋体"/>
                      <w:color w:val="auto"/>
                      <w:sz w:val="21"/>
                      <w:szCs w:val="21"/>
                    </w:rPr>
                  </w:pPr>
                </w:p>
              </w:tc>
              <w:tc>
                <w:tcPr>
                  <w:tcW w:w="1167" w:type="dxa"/>
                  <w:vMerge w:val="continue"/>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ascii="Times New Roman" w:hAnsi="Times New Roman" w:eastAsia="宋体"/>
                      <w:color w:val="auto"/>
                      <w:sz w:val="21"/>
                      <w:szCs w:val="21"/>
                    </w:rPr>
                  </w:pPr>
                </w:p>
              </w:tc>
              <w:tc>
                <w:tcPr>
                  <w:tcW w:w="1180" w:type="dxa"/>
                  <w:vMerge w:val="continue"/>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ascii="Times New Roman" w:hAnsi="Times New Roman" w:eastAsia="宋体"/>
                      <w:color w:val="auto"/>
                      <w:sz w:val="21"/>
                      <w:szCs w:val="21"/>
                    </w:rPr>
                  </w:pPr>
                </w:p>
              </w:tc>
              <w:tc>
                <w:tcPr>
                  <w:tcW w:w="1321" w:type="dxa"/>
                  <w:vMerge w:val="continue"/>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ascii="Times New Roman" w:hAnsi="Times New Roman" w:eastAsia="宋体"/>
                      <w:color w:val="auto"/>
                      <w:sz w:val="21"/>
                      <w:szCs w:val="21"/>
                    </w:rPr>
                  </w:pPr>
                </w:p>
              </w:tc>
              <w:tc>
                <w:tcPr>
                  <w:tcW w:w="778"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ascii="Times New Roman" w:hAnsi="Times New Roman" w:eastAsia="宋体"/>
                      <w:color w:val="auto"/>
                      <w:sz w:val="21"/>
                      <w:szCs w:val="21"/>
                    </w:rPr>
                  </w:pPr>
                  <w:r>
                    <w:rPr>
                      <w:rFonts w:hint="default" w:ascii="Times New Roman" w:hAnsi="Times New Roman" w:eastAsia="宋体" w:cs="Times New Roman"/>
                      <w:b/>
                      <w:bCs w:val="0"/>
                      <w:color w:val="auto"/>
                      <w:sz w:val="21"/>
                      <w:szCs w:val="21"/>
                      <w:vertAlign w:val="baseline"/>
                      <w:lang w:val="en-US" w:eastAsia="zh-CN"/>
                    </w:rPr>
                    <w:t>方位</w:t>
                  </w:r>
                </w:p>
              </w:tc>
              <w:tc>
                <w:tcPr>
                  <w:tcW w:w="959"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ascii="Times New Roman" w:hAnsi="Times New Roman" w:eastAsia="宋体"/>
                      <w:color w:val="auto"/>
                      <w:sz w:val="21"/>
                      <w:szCs w:val="21"/>
                    </w:rPr>
                  </w:pPr>
                  <w:r>
                    <w:rPr>
                      <w:rFonts w:hint="default" w:ascii="Times New Roman" w:hAnsi="Times New Roman" w:eastAsia="宋体" w:cs="Times New Roman"/>
                      <w:b/>
                      <w:bCs w:val="0"/>
                      <w:color w:val="auto"/>
                      <w:sz w:val="21"/>
                      <w:szCs w:val="21"/>
                      <w:vertAlign w:val="baseline"/>
                      <w:lang w:val="en-US" w:eastAsia="zh-CN"/>
                    </w:rPr>
                    <w:t>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b w:val="0"/>
                      <w:bCs/>
                      <w:color w:val="auto"/>
                      <w:sz w:val="21"/>
                      <w:szCs w:val="21"/>
                      <w:lang w:val="en-US" w:eastAsia="zh-CN"/>
                    </w:rPr>
                  </w:pPr>
                  <w:r>
                    <w:rPr>
                      <w:rFonts w:hint="eastAsia" w:ascii="Times New Roman" w:hAnsi="Times New Roman" w:eastAsia="宋体"/>
                      <w:b w:val="0"/>
                      <w:bCs/>
                      <w:color w:val="auto"/>
                      <w:sz w:val="21"/>
                      <w:szCs w:val="21"/>
                      <w:lang w:val="en-US" w:eastAsia="zh-CN"/>
                    </w:rPr>
                    <w:t>新星村一队</w:t>
                  </w:r>
                </w:p>
              </w:tc>
              <w:tc>
                <w:tcPr>
                  <w:tcW w:w="1741" w:type="dxa"/>
                  <w:vAlign w:val="center"/>
                </w:tcPr>
                <w:p>
                  <w:pPr>
                    <w:pStyle w:val="4"/>
                    <w:pageBreakBefore w:val="0"/>
                    <w:widowControl w:val="0"/>
                    <w:kinsoku/>
                    <w:wordWrap/>
                    <w:overflowPunct/>
                    <w:topLinePunct w:val="0"/>
                    <w:autoSpaceDE/>
                    <w:autoSpaceDN/>
                    <w:bidi w:val="0"/>
                    <w:adjustRightInd w:val="0"/>
                    <w:snapToGrid w:val="0"/>
                    <w:spacing w:before="0" w:after="0" w:line="240" w:lineRule="auto"/>
                    <w:ind w:firstLine="0" w:firstLineChars="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E:</w:t>
                  </w:r>
                  <w:r>
                    <w:rPr>
                      <w:rFonts w:hint="default" w:ascii="Times New Roman" w:hAnsi="Times New Roman" w:eastAsia="宋体" w:cs="Times New Roman"/>
                      <w:b w:val="0"/>
                      <w:bCs/>
                      <w:color w:val="auto"/>
                      <w:sz w:val="21"/>
                      <w:szCs w:val="21"/>
                      <w:vertAlign w:val="baseline"/>
                      <w:lang w:val="en-US" w:eastAsia="zh-CN"/>
                    </w:rPr>
                    <w:t>105</w:t>
                  </w:r>
                  <w:r>
                    <w:rPr>
                      <w:rFonts w:hint="eastAsia" w:ascii="Times New Roman" w:hAnsi="Times New Roman" w:eastAsia="宋体" w:cs="Times New Roman"/>
                      <w:b w:val="0"/>
                      <w:bCs/>
                      <w:color w:val="auto"/>
                      <w:sz w:val="21"/>
                      <w:szCs w:val="21"/>
                      <w:vertAlign w:val="baseline"/>
                      <w:lang w:val="en-US" w:eastAsia="zh-CN"/>
                    </w:rPr>
                    <w:t>.</w:t>
                  </w:r>
                  <w:r>
                    <w:rPr>
                      <w:rFonts w:hint="default" w:ascii="Times New Roman" w:hAnsi="Times New Roman" w:eastAsia="宋体" w:cs="Times New Roman"/>
                      <w:b w:val="0"/>
                      <w:bCs/>
                      <w:color w:val="auto"/>
                      <w:sz w:val="21"/>
                      <w:szCs w:val="21"/>
                      <w:vertAlign w:val="baseline"/>
                      <w:lang w:val="en-US" w:eastAsia="zh-CN"/>
                    </w:rPr>
                    <w:t>1636105</w:t>
                  </w:r>
                  <w:r>
                    <w:rPr>
                      <w:rFonts w:hint="eastAsia" w:ascii="Times New Roman" w:hAnsi="Times New Roman" w:eastAsia="宋体" w:cs="Times New Roman"/>
                      <w:b w:val="0"/>
                      <w:bCs/>
                      <w:color w:val="auto"/>
                      <w:sz w:val="21"/>
                      <w:szCs w:val="21"/>
                      <w:vertAlign w:val="baseline"/>
                      <w:lang w:val="en-US" w:eastAsia="zh-CN"/>
                    </w:rPr>
                    <w:t>6</w:t>
                  </w:r>
                </w:p>
                <w:p>
                  <w:pPr>
                    <w:pStyle w:val="4"/>
                    <w:pageBreakBefore w:val="0"/>
                    <w:widowControl w:val="0"/>
                    <w:kinsoku/>
                    <w:wordWrap/>
                    <w:overflowPunct/>
                    <w:topLinePunct w:val="0"/>
                    <w:autoSpaceDE/>
                    <w:autoSpaceDN/>
                    <w:bidi w:val="0"/>
                    <w:adjustRightInd w:val="0"/>
                    <w:snapToGrid w:val="0"/>
                    <w:spacing w:before="0" w:after="0" w:line="240" w:lineRule="auto"/>
                    <w:ind w:firstLine="0" w:firstLineChars="0"/>
                    <w:jc w:val="both"/>
                    <w:textAlignment w:val="auto"/>
                    <w:rPr>
                      <w:rFonts w:hint="default" w:ascii="Times New Roman" w:hAnsi="Times New Roman" w:eastAsia="宋体"/>
                      <w:b w:val="0"/>
                      <w:bCs/>
                      <w:color w:val="auto"/>
                      <w:sz w:val="21"/>
                      <w:szCs w:val="21"/>
                      <w:lang w:val="en-US"/>
                    </w:rPr>
                  </w:pPr>
                  <w:r>
                    <w:rPr>
                      <w:rFonts w:hint="eastAsia" w:ascii="Times New Roman" w:hAnsi="Times New Roman" w:eastAsia="宋体" w:cs="Times New Roman"/>
                      <w:b w:val="0"/>
                      <w:bCs/>
                      <w:color w:val="auto"/>
                      <w:sz w:val="21"/>
                      <w:szCs w:val="21"/>
                      <w:vertAlign w:val="baseline"/>
                      <w:lang w:val="en-US" w:eastAsia="zh-CN"/>
                    </w:rPr>
                    <w:t>N:</w:t>
                  </w:r>
                  <w:r>
                    <w:rPr>
                      <w:rFonts w:hint="default" w:ascii="Times New Roman" w:hAnsi="Times New Roman" w:eastAsia="宋体" w:cs="Times New Roman"/>
                      <w:b w:val="0"/>
                      <w:bCs/>
                      <w:color w:val="auto"/>
                      <w:sz w:val="21"/>
                      <w:szCs w:val="21"/>
                      <w:vertAlign w:val="baseline"/>
                      <w:lang w:val="en-US" w:eastAsia="zh-CN"/>
                    </w:rPr>
                    <w:t>37</w:t>
                  </w:r>
                  <w:r>
                    <w:rPr>
                      <w:rFonts w:hint="eastAsia" w:ascii="Times New Roman" w:hAnsi="Times New Roman" w:eastAsia="宋体" w:cs="Times New Roman"/>
                      <w:b w:val="0"/>
                      <w:bCs/>
                      <w:color w:val="auto"/>
                      <w:sz w:val="21"/>
                      <w:szCs w:val="21"/>
                      <w:vertAlign w:val="baseline"/>
                      <w:lang w:val="en-US" w:eastAsia="zh-CN"/>
                    </w:rPr>
                    <w:t>.</w:t>
                  </w:r>
                  <w:r>
                    <w:rPr>
                      <w:rFonts w:hint="default" w:ascii="Times New Roman" w:hAnsi="Times New Roman" w:eastAsia="宋体" w:cs="Times New Roman"/>
                      <w:b w:val="0"/>
                      <w:bCs/>
                      <w:color w:val="auto"/>
                      <w:sz w:val="21"/>
                      <w:szCs w:val="21"/>
                      <w:vertAlign w:val="baseline"/>
                      <w:lang w:val="en-US" w:eastAsia="zh-CN"/>
                    </w:rPr>
                    <w:t>3510464</w:t>
                  </w:r>
                  <w:r>
                    <w:rPr>
                      <w:rFonts w:hint="eastAsia" w:ascii="Times New Roman" w:hAnsi="Times New Roman" w:eastAsia="宋体" w:cs="Times New Roman"/>
                      <w:b w:val="0"/>
                      <w:bCs/>
                      <w:color w:val="auto"/>
                      <w:sz w:val="21"/>
                      <w:szCs w:val="21"/>
                      <w:vertAlign w:val="baseline"/>
                      <w:lang w:val="en-US" w:eastAsia="zh-CN"/>
                    </w:rPr>
                    <w:t>0</w:t>
                  </w:r>
                </w:p>
              </w:tc>
              <w:tc>
                <w:tcPr>
                  <w:tcW w:w="1167" w:type="dxa"/>
                  <w:vAlign w:val="center"/>
                </w:tcPr>
                <w:p>
                  <w:pPr>
                    <w:pStyle w:val="4"/>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ascii="Times New Roman" w:hAnsi="Times New Roman" w:eastAsia="宋体"/>
                      <w:b w:val="0"/>
                      <w:bCs/>
                      <w:color w:val="auto"/>
                      <w:sz w:val="21"/>
                      <w:szCs w:val="21"/>
                    </w:rPr>
                  </w:pPr>
                  <w:r>
                    <w:rPr>
                      <w:rFonts w:hint="eastAsia" w:ascii="Times New Roman" w:hAnsi="Times New Roman" w:eastAsia="宋体"/>
                      <w:b w:val="0"/>
                      <w:bCs/>
                      <w:color w:val="auto"/>
                      <w:sz w:val="21"/>
                      <w:szCs w:val="21"/>
                      <w:lang w:val="en-US" w:eastAsia="zh-CN"/>
                    </w:rPr>
                    <w:t>新星村一队</w:t>
                  </w:r>
                </w:p>
              </w:tc>
              <w:tc>
                <w:tcPr>
                  <w:tcW w:w="1180"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ascii="Times New Roman" w:hAnsi="Times New Roman" w:eastAsia="宋体"/>
                      <w:b w:val="0"/>
                      <w:bCs/>
                      <w:color w:val="auto"/>
                      <w:sz w:val="21"/>
                      <w:szCs w:val="21"/>
                    </w:rPr>
                  </w:pPr>
                  <w:r>
                    <w:rPr>
                      <w:rFonts w:hint="default" w:ascii="Times New Roman" w:hAnsi="Times New Roman" w:eastAsia="宋体" w:cs="Times New Roman"/>
                      <w:b w:val="0"/>
                      <w:bCs/>
                      <w:color w:val="auto"/>
                      <w:sz w:val="21"/>
                      <w:szCs w:val="21"/>
                      <w:lang w:val="en-US" w:eastAsia="zh-CN"/>
                    </w:rPr>
                    <w:t>约</w:t>
                  </w:r>
                  <w:r>
                    <w:rPr>
                      <w:rFonts w:hint="eastAsia" w:ascii="Times New Roman" w:hAnsi="Times New Roman" w:eastAsia="宋体" w:cs="Times New Roman"/>
                      <w:b w:val="0"/>
                      <w:bCs/>
                      <w:color w:val="auto"/>
                      <w:sz w:val="21"/>
                      <w:szCs w:val="21"/>
                      <w:lang w:val="en-US" w:eastAsia="zh-CN"/>
                    </w:rPr>
                    <w:t>16</w:t>
                  </w:r>
                  <w:r>
                    <w:rPr>
                      <w:rFonts w:hint="default" w:ascii="Times New Roman" w:hAnsi="Times New Roman" w:eastAsia="宋体" w:cs="Times New Roman"/>
                      <w:b w:val="0"/>
                      <w:bCs/>
                      <w:color w:val="auto"/>
                      <w:sz w:val="21"/>
                      <w:szCs w:val="21"/>
                      <w:lang w:val="en-US" w:eastAsia="zh-CN"/>
                    </w:rPr>
                    <w:t>户</w:t>
                  </w:r>
                </w:p>
              </w:tc>
              <w:tc>
                <w:tcPr>
                  <w:tcW w:w="1321"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ascii="Times New Roman" w:hAnsi="Times New Roman" w:eastAsia="宋体"/>
                      <w:b w:val="0"/>
                      <w:bCs/>
                      <w:color w:val="auto"/>
                      <w:sz w:val="21"/>
                      <w:szCs w:val="21"/>
                    </w:rPr>
                  </w:pPr>
                  <w:r>
                    <w:rPr>
                      <w:rFonts w:hint="default" w:ascii="Times New Roman" w:hAnsi="Times New Roman" w:eastAsia="宋体" w:cs="Times New Roman"/>
                      <w:b w:val="0"/>
                      <w:bCs/>
                      <w:color w:val="auto"/>
                      <w:sz w:val="21"/>
                      <w:szCs w:val="21"/>
                      <w:vertAlign w:val="baseline"/>
                      <w:lang w:val="en-US" w:eastAsia="zh-CN"/>
                    </w:rPr>
                    <w:t>二类区</w:t>
                  </w:r>
                </w:p>
              </w:tc>
              <w:tc>
                <w:tcPr>
                  <w:tcW w:w="778" w:type="dxa"/>
                  <w:vAlign w:val="center"/>
                </w:tcPr>
                <w:p>
                  <w:pPr>
                    <w:pStyle w:val="4"/>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b w:val="0"/>
                      <w:bCs/>
                      <w:color w:val="auto"/>
                      <w:sz w:val="21"/>
                      <w:szCs w:val="21"/>
                      <w:lang w:val="en-US"/>
                    </w:rPr>
                  </w:pPr>
                  <w:r>
                    <w:rPr>
                      <w:rFonts w:hint="eastAsia" w:ascii="Times New Roman" w:hAnsi="Times New Roman" w:eastAsia="宋体" w:cs="Times New Roman"/>
                      <w:b w:val="0"/>
                      <w:bCs/>
                      <w:color w:val="auto"/>
                      <w:sz w:val="21"/>
                      <w:szCs w:val="21"/>
                      <w:vertAlign w:val="baseline"/>
                      <w:lang w:val="en-US" w:eastAsia="zh-CN"/>
                    </w:rPr>
                    <w:t>SW</w:t>
                  </w:r>
                </w:p>
              </w:tc>
              <w:tc>
                <w:tcPr>
                  <w:tcW w:w="959"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ascii="Times New Roman" w:hAnsi="Times New Roman" w:eastAsia="宋体"/>
                      <w:b w:val="0"/>
                      <w:bCs/>
                      <w:color w:val="auto"/>
                      <w:sz w:val="21"/>
                      <w:szCs w:val="21"/>
                    </w:rPr>
                  </w:pPr>
                  <w:r>
                    <w:rPr>
                      <w:rFonts w:hint="eastAsia" w:ascii="Times New Roman" w:hAnsi="Times New Roman" w:eastAsia="宋体" w:cs="Times New Roman"/>
                      <w:b w:val="0"/>
                      <w:bCs/>
                      <w:color w:val="auto"/>
                      <w:sz w:val="21"/>
                      <w:szCs w:val="21"/>
                      <w:vertAlign w:val="baseline"/>
                      <w:lang w:val="en-US" w:eastAsia="zh-CN"/>
                    </w:rPr>
                    <w:t>126</w:t>
                  </w:r>
                  <w:r>
                    <w:rPr>
                      <w:rFonts w:hint="default" w:ascii="Times New Roman" w:hAnsi="Times New Roman" w:eastAsia="宋体" w:cs="Times New Roman"/>
                      <w:b w:val="0"/>
                      <w:bCs/>
                      <w:color w:val="auto"/>
                      <w:sz w:val="21"/>
                      <w:szCs w:val="21"/>
                      <w:vertAlign w:val="baseline"/>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Times New Roman" w:hAnsi="Times New Roman" w:eastAsia="宋体"/>
                      <w:b w:val="0"/>
                      <w:bCs/>
                      <w:color w:val="auto"/>
                      <w:sz w:val="21"/>
                      <w:szCs w:val="21"/>
                      <w:lang w:val="en-US" w:eastAsia="zh-CN"/>
                    </w:rPr>
                  </w:pPr>
                  <w:r>
                    <w:rPr>
                      <w:rFonts w:hint="eastAsia" w:ascii="Times New Roman" w:hAnsi="Times New Roman" w:eastAsia="宋体"/>
                      <w:b w:val="0"/>
                      <w:bCs/>
                      <w:color w:val="auto"/>
                      <w:sz w:val="21"/>
                      <w:szCs w:val="21"/>
                      <w:lang w:val="en-US" w:eastAsia="zh-CN"/>
                    </w:rPr>
                    <w:t>地表水</w:t>
                  </w:r>
                </w:p>
              </w:tc>
              <w:tc>
                <w:tcPr>
                  <w:tcW w:w="2908" w:type="dxa"/>
                  <w:gridSpan w:val="2"/>
                  <w:vAlign w:val="center"/>
                </w:tcPr>
                <w:p>
                  <w:pPr>
                    <w:pStyle w:val="4"/>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Times New Roman" w:hAnsi="Times New Roman" w:eastAsia="宋体"/>
                      <w:b w:val="0"/>
                      <w:bCs/>
                      <w:color w:val="auto"/>
                      <w:sz w:val="21"/>
                      <w:szCs w:val="21"/>
                      <w:lang w:val="en-US" w:eastAsia="zh-CN"/>
                    </w:rPr>
                  </w:pPr>
                  <w:r>
                    <w:rPr>
                      <w:rFonts w:hint="eastAsia" w:ascii="Times New Roman" w:hAnsi="Times New Roman" w:eastAsia="宋体"/>
                      <w:b w:val="0"/>
                      <w:bCs/>
                      <w:color w:val="auto"/>
                      <w:sz w:val="21"/>
                      <w:szCs w:val="21"/>
                      <w:lang w:val="en-US" w:eastAsia="zh-CN"/>
                    </w:rPr>
                    <w:t>北干渠</w:t>
                  </w:r>
                </w:p>
              </w:tc>
              <w:tc>
                <w:tcPr>
                  <w:tcW w:w="2501" w:type="dxa"/>
                  <w:gridSpan w:val="2"/>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《地表水环境质量标准》（GB3838-2002）Ⅱ类标准</w:t>
                  </w:r>
                </w:p>
              </w:tc>
              <w:tc>
                <w:tcPr>
                  <w:tcW w:w="778" w:type="dxa"/>
                  <w:vAlign w:val="center"/>
                </w:tcPr>
                <w:p>
                  <w:pPr>
                    <w:pStyle w:val="4"/>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S</w:t>
                  </w:r>
                </w:p>
              </w:tc>
              <w:tc>
                <w:tcPr>
                  <w:tcW w:w="959"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270.5m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b w:val="0"/>
                      <w:bCs/>
                      <w:color w:val="auto"/>
                      <w:sz w:val="21"/>
                      <w:szCs w:val="21"/>
                      <w:lang w:val="en-US" w:eastAsia="zh-CN"/>
                    </w:rPr>
                  </w:pPr>
                  <w:r>
                    <w:rPr>
                      <w:rFonts w:hint="eastAsia" w:ascii="Times New Roman" w:hAnsi="Times New Roman" w:eastAsia="宋体"/>
                      <w:b w:val="0"/>
                      <w:bCs/>
                      <w:color w:val="auto"/>
                      <w:sz w:val="21"/>
                      <w:szCs w:val="21"/>
                      <w:lang w:val="en-US" w:eastAsia="zh-CN"/>
                    </w:rPr>
                    <w:t>地下水</w:t>
                  </w:r>
                </w:p>
              </w:tc>
              <w:tc>
                <w:tcPr>
                  <w:tcW w:w="7146" w:type="dxa"/>
                  <w:gridSpan w:val="6"/>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项目所在地500米范围内无地下水集中式饮用水水源和热水、矿泉水、温泉等特殊地下水资源保护目标。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b w:val="0"/>
                      <w:bCs/>
                      <w:color w:val="auto"/>
                      <w:sz w:val="21"/>
                      <w:szCs w:val="21"/>
                      <w:lang w:val="en-US" w:eastAsia="zh-CN"/>
                    </w:rPr>
                  </w:pPr>
                  <w:r>
                    <w:rPr>
                      <w:rFonts w:hint="eastAsia" w:ascii="Times New Roman" w:hAnsi="Times New Roman" w:eastAsia="宋体"/>
                      <w:b w:val="0"/>
                      <w:bCs/>
                      <w:color w:val="auto"/>
                      <w:sz w:val="21"/>
                      <w:szCs w:val="21"/>
                      <w:lang w:val="en-US" w:eastAsia="zh-CN"/>
                    </w:rPr>
                    <w:t>生态环境</w:t>
                  </w:r>
                </w:p>
              </w:tc>
              <w:tc>
                <w:tcPr>
                  <w:tcW w:w="7146" w:type="dxa"/>
                  <w:gridSpan w:val="6"/>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本项目无新增用地，无生态环境保护目标。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b w:val="0"/>
                      <w:bCs/>
                      <w:color w:val="auto"/>
                      <w:sz w:val="21"/>
                      <w:szCs w:val="21"/>
                      <w:lang w:val="en-US" w:eastAsia="zh-CN"/>
                    </w:rPr>
                  </w:pPr>
                  <w:r>
                    <w:rPr>
                      <w:rFonts w:hint="eastAsia" w:ascii="Times New Roman" w:hAnsi="Times New Roman" w:eastAsia="宋体"/>
                      <w:b w:val="0"/>
                      <w:bCs/>
                      <w:color w:val="auto"/>
                      <w:sz w:val="21"/>
                      <w:szCs w:val="21"/>
                      <w:lang w:val="en-US" w:eastAsia="zh-CN"/>
                    </w:rPr>
                    <w:t>其他</w:t>
                  </w:r>
                </w:p>
              </w:tc>
              <w:tc>
                <w:tcPr>
                  <w:tcW w:w="2908" w:type="dxa"/>
                  <w:gridSpan w:val="2"/>
                  <w:vAlign w:val="center"/>
                </w:tcPr>
                <w:p>
                  <w:pPr>
                    <w:pStyle w:val="4"/>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b w:val="0"/>
                      <w:bCs/>
                      <w:color w:val="auto"/>
                      <w:sz w:val="21"/>
                      <w:szCs w:val="21"/>
                      <w:lang w:val="en-US" w:eastAsia="zh-CN"/>
                    </w:rPr>
                  </w:pPr>
                  <w:r>
                    <w:rPr>
                      <w:rFonts w:hint="eastAsia" w:ascii="Times New Roman" w:hAnsi="Times New Roman" w:eastAsia="宋体"/>
                      <w:b w:val="0"/>
                      <w:bCs/>
                      <w:color w:val="auto"/>
                      <w:sz w:val="21"/>
                      <w:szCs w:val="21"/>
                      <w:lang w:val="en-US" w:eastAsia="zh-CN"/>
                    </w:rPr>
                    <w:t>长城遗址</w:t>
                  </w:r>
                </w:p>
              </w:tc>
              <w:tc>
                <w:tcPr>
                  <w:tcW w:w="2501" w:type="dxa"/>
                  <w:gridSpan w:val="2"/>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本项目厂界位于长城建设控制地带，建设过程中应避开长城建设控制地带，减少对长城的影响。</w:t>
                  </w:r>
                </w:p>
              </w:tc>
              <w:tc>
                <w:tcPr>
                  <w:tcW w:w="778" w:type="dxa"/>
                  <w:vAlign w:val="center"/>
                </w:tcPr>
                <w:p>
                  <w:pPr>
                    <w:pStyle w:val="4"/>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S</w:t>
                  </w:r>
                </w:p>
              </w:tc>
              <w:tc>
                <w:tcPr>
                  <w:tcW w:w="959" w:type="dxa"/>
                  <w:vAlign w:val="center"/>
                </w:tcPr>
                <w:p>
                  <w:pPr>
                    <w:pStyle w:val="4"/>
                    <w:keepNext/>
                    <w:keepLines/>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74m</w:t>
                  </w:r>
                </w:p>
              </w:tc>
            </w:tr>
          </w:tbl>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rPr>
            </w:pPr>
          </w:p>
          <w:p>
            <w:pPr>
              <w:pStyle w:val="6"/>
              <w:ind w:left="0" w:leftChars="0" w:firstLine="0" w:firstLineChars="0"/>
              <w:rPr>
                <w:rFonts w:hint="eastAsia"/>
                <w:lang w:val="en-US" w:eastAsia="zh-CN"/>
              </w:rPr>
            </w:pPr>
          </w:p>
          <w:p>
            <w:pPr>
              <w:pStyle w:val="6"/>
              <w:ind w:left="0" w:leftChars="0" w:firstLine="0" w:firstLineChars="0"/>
              <w:rPr>
                <w:rFonts w:hint="eastAsia"/>
                <w:lang w:val="en-US" w:eastAsia="zh-CN"/>
              </w:rPr>
            </w:pPr>
          </w:p>
          <w:p>
            <w:pPr>
              <w:pStyle w:val="6"/>
              <w:ind w:left="0" w:leftChars="0" w:firstLine="0" w:firstLineChars="0"/>
              <w:rPr>
                <w:rFonts w:hint="eastAsia"/>
                <w:lang w:val="en-US" w:eastAsia="zh-CN"/>
              </w:rPr>
            </w:pPr>
          </w:p>
          <w:p>
            <w:pPr>
              <w:pStyle w:val="6"/>
              <w:ind w:left="0" w:leftChars="0" w:firstLine="0" w:firstLineChars="0"/>
              <w:rPr>
                <w:rFonts w:hint="eastAsia"/>
                <w:lang w:val="en-US" w:eastAsia="zh-CN"/>
              </w:rPr>
            </w:pPr>
          </w:p>
          <w:p>
            <w:pPr>
              <w:pStyle w:val="6"/>
              <w:ind w:left="0" w:leftChars="0" w:firstLine="0" w:firstLineChars="0"/>
              <w:rPr>
                <w:rFonts w:hint="eastAsia"/>
                <w:lang w:val="en-US" w:eastAsia="zh-CN"/>
              </w:rPr>
            </w:pPr>
          </w:p>
          <w:p>
            <w:pPr>
              <w:pStyle w:val="6"/>
              <w:ind w:left="0" w:leftChars="0" w:firstLine="0" w:firstLineChars="0"/>
              <w:rPr>
                <w:rFonts w:hint="eastAsia"/>
                <w:lang w:val="en-US" w:eastAsia="zh-CN"/>
              </w:rPr>
            </w:pPr>
          </w:p>
          <w:p>
            <w:pPr>
              <w:pStyle w:val="6"/>
              <w:ind w:left="0" w:leftChars="0" w:firstLine="0" w:firstLineChars="0"/>
              <w:rPr>
                <w:rFonts w:hint="eastAsia"/>
                <w:lang w:val="en-US" w:eastAsia="zh-CN"/>
              </w:rPr>
            </w:pPr>
          </w:p>
          <w:p>
            <w:pPr>
              <w:pStyle w:val="6"/>
              <w:ind w:left="0" w:leftChars="0" w:firstLine="0" w:firstLineChars="0"/>
              <w:rPr>
                <w:rFonts w:hint="eastAsia"/>
                <w:lang w:val="en-US" w:eastAsia="zh-CN"/>
              </w:rPr>
            </w:pPr>
          </w:p>
          <w:p>
            <w:pPr>
              <w:pStyle w:val="6"/>
              <w:ind w:left="0" w:leftChars="0" w:firstLine="0" w:firstLineChars="0"/>
              <w:rPr>
                <w:rFonts w:hint="eastAsia"/>
                <w:lang w:val="en-US" w:eastAsia="zh-CN"/>
              </w:rPr>
            </w:pPr>
          </w:p>
          <w:p>
            <w:pPr>
              <w:pStyle w:val="6"/>
              <w:ind w:left="0" w:leftChars="0" w:firstLine="0" w:firstLineChars="0"/>
              <w:rPr>
                <w:rFonts w:hint="eastAsia"/>
                <w:lang w:val="en-US" w:eastAsia="zh-CN"/>
              </w:rPr>
            </w:pPr>
          </w:p>
          <w:p>
            <w:pPr>
              <w:pStyle w:val="6"/>
              <w:ind w:left="0" w:leftChars="0" w:firstLine="0" w:firstLineChars="0"/>
              <w:rPr>
                <w:rFonts w:hint="eastAsia"/>
                <w:lang w:val="en-US" w:eastAsia="zh-CN"/>
              </w:rPr>
            </w:pPr>
          </w:p>
          <w:p>
            <w:pPr>
              <w:pStyle w:val="6"/>
              <w:ind w:left="0" w:leftChars="0" w:firstLine="0" w:firstLineChars="0"/>
              <w:rPr>
                <w:rFonts w:hint="eastAsia"/>
                <w:lang w:val="en-US" w:eastAsia="zh-CN"/>
              </w:rPr>
            </w:pPr>
          </w:p>
          <w:p>
            <w:pPr>
              <w:pStyle w:val="6"/>
              <w:ind w:left="0" w:leftChars="0" w:firstLine="0" w:firstLineChars="0"/>
              <w:rPr>
                <w:rFonts w:hint="eastAsia"/>
                <w:lang w:val="en-US" w:eastAsia="zh-CN"/>
              </w:rPr>
            </w:pPr>
          </w:p>
          <w:p>
            <w:pPr>
              <w:pStyle w:val="6"/>
              <w:ind w:left="0" w:leftChars="0" w:firstLine="0" w:firstLineChars="0"/>
              <w:rPr>
                <w:rFonts w:hint="eastAsia"/>
                <w:lang w:val="en-US" w:eastAsia="zh-CN"/>
              </w:rPr>
            </w:pPr>
            <w:r>
              <w:rPr>
                <w:rFonts w:hint="eastAsia" w:eastAsia="宋体"/>
                <w:lang w:eastAsia="zh-CN"/>
              </w:rPr>
              <w:drawing>
                <wp:anchor distT="0" distB="0" distL="114300" distR="114300" simplePos="0" relativeHeight="251678720" behindDoc="0" locked="0" layoutInCell="1" allowOverlap="1">
                  <wp:simplePos x="0" y="0"/>
                  <wp:positionH relativeFrom="column">
                    <wp:posOffset>-25400</wp:posOffset>
                  </wp:positionH>
                  <wp:positionV relativeFrom="paragraph">
                    <wp:posOffset>57785</wp:posOffset>
                  </wp:positionV>
                  <wp:extent cx="681990" cy="505460"/>
                  <wp:effectExtent l="0" t="0" r="3810" b="8890"/>
                  <wp:wrapNone/>
                  <wp:docPr id="35" name="图片 35" descr="17098968216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1709896821632"/>
                          <pic:cNvPicPr>
                            <a:picLocks noChangeAspect="true"/>
                          </pic:cNvPicPr>
                        </pic:nvPicPr>
                        <pic:blipFill>
                          <a:blip r:embed="rId21"/>
                          <a:stretch>
                            <a:fillRect/>
                          </a:stretch>
                        </pic:blipFill>
                        <pic:spPr>
                          <a:xfrm>
                            <a:off x="0" y="0"/>
                            <a:ext cx="681990" cy="505460"/>
                          </a:xfrm>
                          <a:prstGeom prst="rect">
                            <a:avLst/>
                          </a:prstGeom>
                        </pic:spPr>
                      </pic:pic>
                    </a:graphicData>
                  </a:graphic>
                </wp:anchor>
              </w:drawing>
            </w:r>
            <w:r>
              <w:rPr>
                <w:sz w:val="21"/>
              </w:rPr>
              <mc:AlternateContent>
                <mc:Choice Requires="wps">
                  <w:drawing>
                    <wp:anchor distT="0" distB="0" distL="114300" distR="114300" simplePos="0" relativeHeight="251684864" behindDoc="0" locked="0" layoutInCell="1" allowOverlap="1">
                      <wp:simplePos x="0" y="0"/>
                      <wp:positionH relativeFrom="column">
                        <wp:posOffset>833120</wp:posOffset>
                      </wp:positionH>
                      <wp:positionV relativeFrom="paragraph">
                        <wp:posOffset>4893310</wp:posOffset>
                      </wp:positionV>
                      <wp:extent cx="325120" cy="162560"/>
                      <wp:effectExtent l="7620" t="7620" r="10160" b="20320"/>
                      <wp:wrapNone/>
                      <wp:docPr id="42" name="矩形 42"/>
                      <wp:cNvGraphicFramePr/>
                      <a:graphic xmlns:a="http://schemas.openxmlformats.org/drawingml/2006/main">
                        <a:graphicData uri="http://schemas.microsoft.com/office/word/2010/wordprocessingShape">
                          <wps:wsp>
                            <wps:cNvSpPr/>
                            <wps:spPr>
                              <a:xfrm>
                                <a:off x="0" y="0"/>
                                <a:ext cx="325120" cy="162560"/>
                              </a:xfrm>
                              <a:prstGeom prst="rect">
                                <a:avLst/>
                              </a:prstGeom>
                              <a:solidFill>
                                <a:schemeClr val="bg1"/>
                              </a:solidFill>
                              <a:ln w="1524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65.6pt;margin-top:385.3pt;height:12.8pt;width:25.6pt;z-index:251684864;v-text-anchor:middle;mso-width-relative:page;mso-height-relative:page;" fillcolor="#FFFFFF [3212]" filled="t" stroked="t" coordsize="21600,21600" o:gfxdata="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Cv10fC2AAAAAsBAAAPAAAAAAAAAAEAIAAAADgAAABkcnMvZG93bnJl&#10;di54bWxQSwECFAAUAAAACACHTuJADoxoClkCAAC2BAAADgAAAAAAAAABACAAAAA9AQAAZHJzL2Uy&#10;b0RvYy54bWxQSwUGAAAAAAYABgBZAQAACAYAAAAA&#10;">
                      <v:fill on="t" focussize="0,0"/>
                      <v:stroke weight="1.2pt" color="#000000 [3213]" miterlimit="8" joinstyle="miter"/>
                      <v:imagedata o:title=""/>
                      <o:lock v:ext="edit" aspectratio="f"/>
                    </v:rect>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834390</wp:posOffset>
                      </wp:positionH>
                      <wp:positionV relativeFrom="paragraph">
                        <wp:posOffset>4679315</wp:posOffset>
                      </wp:positionV>
                      <wp:extent cx="325120" cy="162560"/>
                      <wp:effectExtent l="6350" t="6350" r="11430" b="21590"/>
                      <wp:wrapNone/>
                      <wp:docPr id="41" name="矩形 41"/>
                      <wp:cNvGraphicFramePr/>
                      <a:graphic xmlns:a="http://schemas.openxmlformats.org/drawingml/2006/main">
                        <a:graphicData uri="http://schemas.microsoft.com/office/word/2010/wordprocessingShape">
                          <wps:wsp>
                            <wps:cNvSpPr/>
                            <wps:spPr>
                              <a:xfrm>
                                <a:off x="0" y="0"/>
                                <a:ext cx="325120" cy="162560"/>
                              </a:xfrm>
                              <a:prstGeom prst="rect">
                                <a:avLst/>
                              </a:prstGeom>
                              <a:solidFill>
                                <a:srgbClr val="326980">
                                  <a:alpha val="80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65.7pt;margin-top:368.45pt;height:12.8pt;width:25.6pt;z-index:251683840;v-text-anchor:middle;mso-width-relative:page;mso-height-relative:page;" fillcolor="#326980" filled="t" stroked="t" coordsize="21600,21600" o:gfxdata="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AhIGsB1wAAAAsB&#10;AAAPAAAAAAAAAAEAIAAAADgAAABkcnMvZG93bnJldi54bWxQSwECFAAUAAAACACHTuJAFuzRZXgC&#10;AAD5BAAADgAAAAAAAAABACAAAAA8AQAAZHJzL2Uyb0RvYy54bWxQSwUGAAAAAAYABgBZAQAAJgYA&#10;AAAA&#10;">
                      <v:fill on="t" opacity="52428f"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1149350</wp:posOffset>
                      </wp:positionH>
                      <wp:positionV relativeFrom="paragraph">
                        <wp:posOffset>4528820</wp:posOffset>
                      </wp:positionV>
                      <wp:extent cx="255270" cy="0"/>
                      <wp:effectExtent l="0" t="22225" r="11430" b="34925"/>
                      <wp:wrapNone/>
                      <wp:docPr id="40" name="直接连接符 40"/>
                      <wp:cNvGraphicFramePr/>
                      <a:graphic xmlns:a="http://schemas.openxmlformats.org/drawingml/2006/main">
                        <a:graphicData uri="http://schemas.microsoft.com/office/word/2010/wordprocessingShape">
                          <wps:wsp>
                            <wps:cNvCnPr/>
                            <wps:spPr>
                              <a:xfrm>
                                <a:off x="0" y="0"/>
                                <a:ext cx="255270" cy="0"/>
                              </a:xfrm>
                              <a:prstGeom prst="line">
                                <a:avLst/>
                              </a:prstGeom>
                              <a:ln w="44450" cmpd="sng">
                                <a:solidFill>
                                  <a:schemeClr val="accent5"/>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90.5pt;margin-top:356.6pt;height:0pt;width:20.1pt;z-index:251682816;mso-width-relative:page;mso-height-relative:page;" filled="f" stroked="t" coordsize="21600,21600" o:gfxdata="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LC6UvPXAAAACwEA&#10;AA8AAAAAAAAAAQAgAAAAOAAAAGRycy9kb3ducmV2LnhtbFBLAQIUABQAAAAIAIdO4kBk0e1wzAEA&#10;AGUDAAAOAAAAAAAAAAEAIAAAADwBAABkcnMvZTJvRG9jLnhtbFBLBQYAAAAABgAGAFkBAAB6BQAA&#10;AAA=&#10;">
                      <v:fill on="f" focussize="0,0"/>
                      <v:stroke weight="3.5pt" color="#30C0B4 [3208]" miterlimit="8" joinstyle="miter"/>
                      <v:imagedata o:title=""/>
                      <o:lock v:ext="edit" aspectratio="f"/>
                    </v:lin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697230</wp:posOffset>
                      </wp:positionH>
                      <wp:positionV relativeFrom="paragraph">
                        <wp:posOffset>4261485</wp:posOffset>
                      </wp:positionV>
                      <wp:extent cx="344170" cy="176530"/>
                      <wp:effectExtent l="6350" t="6350" r="11430" b="7620"/>
                      <wp:wrapNone/>
                      <wp:docPr id="39" name="矩形 39"/>
                      <wp:cNvGraphicFramePr/>
                      <a:graphic xmlns:a="http://schemas.openxmlformats.org/drawingml/2006/main">
                        <a:graphicData uri="http://schemas.microsoft.com/office/word/2010/wordprocessingShape">
                          <wps:wsp>
                            <wps:cNvSpPr/>
                            <wps:spPr>
                              <a:xfrm>
                                <a:off x="0" y="0"/>
                                <a:ext cx="344170" cy="176530"/>
                              </a:xfrm>
                              <a:prstGeom prst="rect">
                                <a:avLst/>
                              </a:prstGeom>
                              <a:solidFill>
                                <a:srgbClr val="2E2B82">
                                  <a:alpha val="80000"/>
                                </a:srgbClr>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54.9pt;margin-top:335.55pt;height:13.9pt;width:27.1pt;z-index:251681792;v-text-anchor:middle;mso-width-relative:page;mso-height-relative:page;" fillcolor="#2E2B82" filled="t" stroked="t" coordsize="21600,21600" o:gfxdata="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mldX9tYAAAALAQAADwAAAAAAAAABACAA&#10;AAA4AAAAZHJzL2Rvd25yZXYueG1sUEsBAhQAFAAAAAgAh07iQMPDQtdrAgAA1wQAAA4AAAAAAAAA&#10;AQAgAAAAOwEAAGRycy9lMm9Eb2MueG1sUEsFBgAAAAAGAAYAWQEAABgGAAAAAA==&#10;">
                      <v:fill on="t" opacity="52428f" focussize="0,0"/>
                      <v:stroke weight="1pt" color="#FF0000 [2404]" miterlimit="8" joinstyle="miter"/>
                      <v:imagedata o:title=""/>
                      <o:lock v:ext="edit" aspectratio="f"/>
                    </v:rect>
                  </w:pict>
                </mc:Fallback>
              </mc:AlternateContent>
            </w:r>
            <w:r>
              <w:rPr>
                <w:color w:val="FF0000"/>
              </w:rPr>
              <mc:AlternateContent>
                <mc:Choice Requires="wps">
                  <w:drawing>
                    <wp:anchor distT="0" distB="0" distL="114300" distR="114300" simplePos="0" relativeHeight="251680768" behindDoc="0" locked="0" layoutInCell="1" allowOverlap="1">
                      <wp:simplePos x="0" y="0"/>
                      <wp:positionH relativeFrom="column">
                        <wp:posOffset>2540</wp:posOffset>
                      </wp:positionH>
                      <wp:positionV relativeFrom="paragraph">
                        <wp:posOffset>4021455</wp:posOffset>
                      </wp:positionV>
                      <wp:extent cx="1466850" cy="1066165"/>
                      <wp:effectExtent l="5080" t="5080" r="13970" b="14605"/>
                      <wp:wrapNone/>
                      <wp:docPr id="37" name="文本框 37"/>
                      <wp:cNvGraphicFramePr/>
                      <a:graphic xmlns:a="http://schemas.openxmlformats.org/drawingml/2006/main">
                        <a:graphicData uri="http://schemas.microsoft.com/office/word/2010/wordprocessingShape">
                          <wps:wsp>
                            <wps:cNvSpPr txBox="true"/>
                            <wps:spPr>
                              <a:xfrm>
                                <a:off x="0" y="0"/>
                                <a:ext cx="1466850" cy="1066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b/>
                                      <w:bCs/>
                                      <w:sz w:val="18"/>
                                      <w:szCs w:val="21"/>
                                    </w:rPr>
                                  </w:pPr>
                                  <w:r>
                                    <w:rPr>
                                      <w:rFonts w:hint="eastAsia"/>
                                      <w:b/>
                                      <w:bCs/>
                                      <w:sz w:val="18"/>
                                      <w:szCs w:val="21"/>
                                    </w:rPr>
                                    <w:t>图例</w:t>
                                  </w:r>
                                </w:p>
                                <w:p>
                                  <w:pPr>
                                    <w:keepNext w:val="0"/>
                                    <w:keepLines w:val="0"/>
                                    <w:pageBreakBefore w:val="0"/>
                                    <w:widowControl w:val="0"/>
                                    <w:kinsoku/>
                                    <w:wordWrap/>
                                    <w:overflowPunct/>
                                    <w:topLinePunct w:val="0"/>
                                    <w:bidi w:val="0"/>
                                    <w:adjustRightInd/>
                                    <w:snapToGrid/>
                                    <w:spacing w:line="240" w:lineRule="auto"/>
                                    <w:textAlignment w:val="auto"/>
                                    <w:rPr>
                                      <w:b/>
                                      <w:bCs/>
                                      <w:sz w:val="16"/>
                                      <w:szCs w:val="20"/>
                                    </w:rPr>
                                  </w:pPr>
                                  <w:r>
                                    <w:rPr>
                                      <w:rFonts w:hint="eastAsia"/>
                                      <w:b/>
                                      <w:bCs/>
                                      <w:sz w:val="16"/>
                                      <w:szCs w:val="20"/>
                                    </w:rPr>
                                    <w:t>本项目位置：</w:t>
                                  </w:r>
                                </w:p>
                                <w:p>
                                  <w:pPr>
                                    <w:keepNext w:val="0"/>
                                    <w:keepLines w:val="0"/>
                                    <w:pageBreakBefore w:val="0"/>
                                    <w:widowControl w:val="0"/>
                                    <w:kinsoku/>
                                    <w:wordWrap/>
                                    <w:overflowPunct/>
                                    <w:topLinePunct w:val="0"/>
                                    <w:bidi w:val="0"/>
                                    <w:adjustRightInd/>
                                    <w:snapToGrid/>
                                    <w:spacing w:line="240" w:lineRule="auto"/>
                                    <w:textAlignment w:val="auto"/>
                                    <w:rPr>
                                      <w:rFonts w:hint="eastAsia"/>
                                      <w:b/>
                                      <w:bCs/>
                                      <w:sz w:val="16"/>
                                      <w:szCs w:val="20"/>
                                    </w:rPr>
                                  </w:pPr>
                                  <w:r>
                                    <w:rPr>
                                      <w:rFonts w:hint="eastAsia"/>
                                      <w:b/>
                                      <w:bCs/>
                                      <w:sz w:val="16"/>
                                      <w:szCs w:val="20"/>
                                      <w:lang w:val="en-US" w:eastAsia="zh-CN"/>
                                    </w:rPr>
                                    <w:t>地表水</w:t>
                                  </w:r>
                                  <w:r>
                                    <w:rPr>
                                      <w:rFonts w:hint="eastAsia"/>
                                      <w:b/>
                                      <w:bCs/>
                                      <w:sz w:val="16"/>
                                      <w:szCs w:val="20"/>
                                    </w:rPr>
                                    <w:t>环境保护目标：</w:t>
                                  </w:r>
                                </w:p>
                                <w:p>
                                  <w:pPr>
                                    <w:keepNext w:val="0"/>
                                    <w:keepLines w:val="0"/>
                                    <w:pageBreakBefore w:val="0"/>
                                    <w:widowControl w:val="0"/>
                                    <w:kinsoku/>
                                    <w:wordWrap/>
                                    <w:overflowPunct/>
                                    <w:topLinePunct w:val="0"/>
                                    <w:bidi w:val="0"/>
                                    <w:adjustRightInd/>
                                    <w:snapToGrid/>
                                    <w:spacing w:line="240" w:lineRule="auto"/>
                                    <w:textAlignment w:val="auto"/>
                                    <w:rPr>
                                      <w:rFonts w:hint="eastAsia"/>
                                      <w:b/>
                                      <w:bCs/>
                                      <w:color w:val="auto"/>
                                      <w:sz w:val="16"/>
                                      <w:szCs w:val="20"/>
                                      <w:lang w:val="en-US" w:eastAsia="zh-CN"/>
                                    </w:rPr>
                                  </w:pPr>
                                  <w:r>
                                    <w:rPr>
                                      <w:rFonts w:hint="eastAsia"/>
                                      <w:b/>
                                      <w:bCs/>
                                      <w:color w:val="auto"/>
                                      <w:sz w:val="16"/>
                                      <w:szCs w:val="20"/>
                                      <w:lang w:val="en-US" w:eastAsia="zh-CN"/>
                                    </w:rPr>
                                    <w:t>文物-长城遗址：</w:t>
                                  </w:r>
                                </w:p>
                                <w:p>
                                  <w:pPr>
                                    <w:keepNext w:val="0"/>
                                    <w:keepLines w:val="0"/>
                                    <w:pageBreakBefore w:val="0"/>
                                    <w:widowControl w:val="0"/>
                                    <w:kinsoku/>
                                    <w:wordWrap/>
                                    <w:overflowPunct/>
                                    <w:topLinePunct w:val="0"/>
                                    <w:bidi w:val="0"/>
                                    <w:adjustRightInd/>
                                    <w:snapToGrid/>
                                    <w:spacing w:line="240" w:lineRule="auto"/>
                                    <w:textAlignment w:val="auto"/>
                                    <w:rPr>
                                      <w:rFonts w:hint="default"/>
                                      <w:b/>
                                      <w:bCs/>
                                      <w:sz w:val="16"/>
                                      <w:szCs w:val="20"/>
                                      <w:lang w:val="en-US" w:eastAsia="zh-CN"/>
                                    </w:rPr>
                                  </w:pPr>
                                  <w:r>
                                    <w:rPr>
                                      <w:rFonts w:hint="eastAsia"/>
                                      <w:b/>
                                      <w:bCs/>
                                      <w:sz w:val="16"/>
                                      <w:szCs w:val="20"/>
                                      <w:lang w:val="en-US" w:eastAsia="zh-CN"/>
                                    </w:rPr>
                                    <w:t>项目占地范围：</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0.2pt;margin-top:316.65pt;height:83.95pt;width:115.5pt;z-index:251680768;mso-width-relative:page;mso-height-relative:page;" fillcolor="#FFFFFF [3201]" filled="t" stroked="t" coordsize="21600,21600" o:gfxdata="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kYPI2dQAAAAI&#10;AQAADwAAAAAAAAABACAAAAA4AAAAZHJzL2Rvd25yZXYueG1sUEsBAhQAFAAAAAgAh07iQGIYZpxD&#10;AgAAfgQAAA4AAAAAAAAAAQAgAAAAOQEAAGRycy9lMm9Eb2MueG1sUEsFBgAAAAAGAAYAWQEAAO4F&#10;AAAAAA==&#10;">
                      <v:fill on="t" focussize="0,0"/>
                      <v:stroke weight="0.5pt" color="#000000 [3204]" joinstyle="round"/>
                      <v:imagedata o:title=""/>
                      <o:lock v:ext="edit" aspectratio="f"/>
                      <v:textbox>
                        <w:txbxContent>
                          <w:p>
                            <w:pPr>
                              <w:jc w:val="center"/>
                              <w:rPr>
                                <w:b/>
                                <w:bCs/>
                                <w:sz w:val="18"/>
                                <w:szCs w:val="21"/>
                              </w:rPr>
                            </w:pPr>
                            <w:r>
                              <w:rPr>
                                <w:rFonts w:hint="eastAsia"/>
                                <w:b/>
                                <w:bCs/>
                                <w:sz w:val="18"/>
                                <w:szCs w:val="21"/>
                              </w:rPr>
                              <w:t>图例</w:t>
                            </w:r>
                          </w:p>
                          <w:p>
                            <w:pPr>
                              <w:keepNext w:val="0"/>
                              <w:keepLines w:val="0"/>
                              <w:pageBreakBefore w:val="0"/>
                              <w:widowControl w:val="0"/>
                              <w:kinsoku/>
                              <w:wordWrap/>
                              <w:overflowPunct/>
                              <w:topLinePunct w:val="0"/>
                              <w:bidi w:val="0"/>
                              <w:adjustRightInd/>
                              <w:snapToGrid/>
                              <w:spacing w:line="240" w:lineRule="auto"/>
                              <w:textAlignment w:val="auto"/>
                              <w:rPr>
                                <w:b/>
                                <w:bCs/>
                                <w:sz w:val="16"/>
                                <w:szCs w:val="20"/>
                              </w:rPr>
                            </w:pPr>
                            <w:r>
                              <w:rPr>
                                <w:rFonts w:hint="eastAsia"/>
                                <w:b/>
                                <w:bCs/>
                                <w:sz w:val="16"/>
                                <w:szCs w:val="20"/>
                              </w:rPr>
                              <w:t>本项目位置：</w:t>
                            </w:r>
                          </w:p>
                          <w:p>
                            <w:pPr>
                              <w:keepNext w:val="0"/>
                              <w:keepLines w:val="0"/>
                              <w:pageBreakBefore w:val="0"/>
                              <w:widowControl w:val="0"/>
                              <w:kinsoku/>
                              <w:wordWrap/>
                              <w:overflowPunct/>
                              <w:topLinePunct w:val="0"/>
                              <w:bidi w:val="0"/>
                              <w:adjustRightInd/>
                              <w:snapToGrid/>
                              <w:spacing w:line="240" w:lineRule="auto"/>
                              <w:textAlignment w:val="auto"/>
                              <w:rPr>
                                <w:rFonts w:hint="eastAsia"/>
                                <w:b/>
                                <w:bCs/>
                                <w:sz w:val="16"/>
                                <w:szCs w:val="20"/>
                              </w:rPr>
                            </w:pPr>
                            <w:r>
                              <w:rPr>
                                <w:rFonts w:hint="eastAsia"/>
                                <w:b/>
                                <w:bCs/>
                                <w:sz w:val="16"/>
                                <w:szCs w:val="20"/>
                                <w:lang w:val="en-US" w:eastAsia="zh-CN"/>
                              </w:rPr>
                              <w:t>地表水</w:t>
                            </w:r>
                            <w:r>
                              <w:rPr>
                                <w:rFonts w:hint="eastAsia"/>
                                <w:b/>
                                <w:bCs/>
                                <w:sz w:val="16"/>
                                <w:szCs w:val="20"/>
                              </w:rPr>
                              <w:t>环境保护目标：</w:t>
                            </w:r>
                          </w:p>
                          <w:p>
                            <w:pPr>
                              <w:keepNext w:val="0"/>
                              <w:keepLines w:val="0"/>
                              <w:pageBreakBefore w:val="0"/>
                              <w:widowControl w:val="0"/>
                              <w:kinsoku/>
                              <w:wordWrap/>
                              <w:overflowPunct/>
                              <w:topLinePunct w:val="0"/>
                              <w:bidi w:val="0"/>
                              <w:adjustRightInd/>
                              <w:snapToGrid/>
                              <w:spacing w:line="240" w:lineRule="auto"/>
                              <w:textAlignment w:val="auto"/>
                              <w:rPr>
                                <w:rFonts w:hint="eastAsia"/>
                                <w:b/>
                                <w:bCs/>
                                <w:color w:val="auto"/>
                                <w:sz w:val="16"/>
                                <w:szCs w:val="20"/>
                                <w:lang w:val="en-US" w:eastAsia="zh-CN"/>
                              </w:rPr>
                            </w:pPr>
                            <w:r>
                              <w:rPr>
                                <w:rFonts w:hint="eastAsia"/>
                                <w:b/>
                                <w:bCs/>
                                <w:color w:val="auto"/>
                                <w:sz w:val="16"/>
                                <w:szCs w:val="20"/>
                                <w:lang w:val="en-US" w:eastAsia="zh-CN"/>
                              </w:rPr>
                              <w:t>文物-长城遗址：</w:t>
                            </w:r>
                          </w:p>
                          <w:p>
                            <w:pPr>
                              <w:keepNext w:val="0"/>
                              <w:keepLines w:val="0"/>
                              <w:pageBreakBefore w:val="0"/>
                              <w:widowControl w:val="0"/>
                              <w:kinsoku/>
                              <w:wordWrap/>
                              <w:overflowPunct/>
                              <w:topLinePunct w:val="0"/>
                              <w:bidi w:val="0"/>
                              <w:adjustRightInd/>
                              <w:snapToGrid/>
                              <w:spacing w:line="240" w:lineRule="auto"/>
                              <w:textAlignment w:val="auto"/>
                              <w:rPr>
                                <w:rFonts w:hint="default"/>
                                <w:b/>
                                <w:bCs/>
                                <w:sz w:val="16"/>
                                <w:szCs w:val="20"/>
                                <w:lang w:val="en-US" w:eastAsia="zh-CN"/>
                              </w:rPr>
                            </w:pPr>
                            <w:r>
                              <w:rPr>
                                <w:rFonts w:hint="eastAsia"/>
                                <w:b/>
                                <w:bCs/>
                                <w:sz w:val="16"/>
                                <w:szCs w:val="20"/>
                                <w:lang w:val="en-US" w:eastAsia="zh-CN"/>
                              </w:rPr>
                              <w:t>项目占地范围：</w:t>
                            </w:r>
                          </w:p>
                        </w:txbxContent>
                      </v:textbox>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545465</wp:posOffset>
                      </wp:positionH>
                      <wp:positionV relativeFrom="paragraph">
                        <wp:posOffset>2626995</wp:posOffset>
                      </wp:positionV>
                      <wp:extent cx="869950" cy="492125"/>
                      <wp:effectExtent l="0" t="0" r="0" b="0"/>
                      <wp:wrapNone/>
                      <wp:docPr id="36" name="文本框 36"/>
                      <wp:cNvGraphicFramePr/>
                      <a:graphic xmlns:a="http://schemas.openxmlformats.org/drawingml/2006/main">
                        <a:graphicData uri="http://schemas.microsoft.com/office/word/2010/wordprocessingShape">
                          <wps:wsp>
                            <wps:cNvSpPr txBox="true"/>
                            <wps:spPr>
                              <a:xfrm>
                                <a:off x="0" y="0"/>
                                <a:ext cx="869950" cy="492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0000"/>
                                      <w:lang w:val="en-US" w:eastAsia="zh-CN"/>
                                    </w:rPr>
                                  </w:pPr>
                                  <w:r>
                                    <w:rPr>
                                      <w:rFonts w:hint="eastAsia"/>
                                      <w:b/>
                                      <w:bCs/>
                                      <w:color w:val="FF0000"/>
                                      <w:lang w:val="en-US" w:eastAsia="zh-CN"/>
                                    </w:rPr>
                                    <w:t>新星村一队</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2.95pt;margin-top:206.85pt;height:38.75pt;width:68.5pt;z-index:251679744;mso-width-relative:page;mso-height-relative:page;" filled="f" stroked="f" coordsize="21600,21600" o:gfxdata="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o0LyJNoAAAAKAQAADwAAAAAAAAABACAAAAA4AAAAZHJz&#10;L2Rvd25yZXYueG1sUEsBAhQAFAAAAAgAh07iQHrua1clAgAAKwQAAA4AAAAAAAAAAQAgAAAAPwEA&#10;AGRycy9lMm9Eb2MueG1sUEsFBgAAAAAGAAYAWQEAANYFAAAAAA==&#10;">
                      <v:fill on="f" focussize="0,0"/>
                      <v:stroke on="f" weight="0.5pt"/>
                      <v:imagedata o:title=""/>
                      <o:lock v:ext="edit" aspectratio="f"/>
                      <v:textbox>
                        <w:txbxContent>
                          <w:p>
                            <w:pPr>
                              <w:rPr>
                                <w:rFonts w:hint="default" w:eastAsia="宋体"/>
                                <w:b/>
                                <w:bCs/>
                                <w:color w:val="FF0000"/>
                                <w:lang w:val="en-US" w:eastAsia="zh-CN"/>
                              </w:rPr>
                            </w:pPr>
                            <w:r>
                              <w:rPr>
                                <w:rFonts w:hint="eastAsia"/>
                                <w:b/>
                                <w:bCs/>
                                <w:color w:val="FF0000"/>
                                <w:lang w:val="en-US" w:eastAsia="zh-CN"/>
                              </w:rPr>
                              <w:t>新星村一队</w:t>
                            </w:r>
                          </w:p>
                        </w:txbxContent>
                      </v:textbox>
                    </v:shape>
                  </w:pict>
                </mc:Fallback>
              </mc:AlternateContent>
            </w:r>
            <w:r>
              <w:rPr>
                <w:rFonts w:hint="eastAsia"/>
                <w:lang w:val="en-US" w:eastAsia="zh-CN"/>
              </w:rPr>
              <w:drawing>
                <wp:inline distT="0" distB="0" distL="114300" distR="114300">
                  <wp:extent cx="5307965" cy="5064760"/>
                  <wp:effectExtent l="0" t="0" r="6985" b="2540"/>
                  <wp:docPr id="34" name="图片 34" descr="17303612585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1730361258529"/>
                          <pic:cNvPicPr>
                            <a:picLocks noChangeAspect="true"/>
                          </pic:cNvPicPr>
                        </pic:nvPicPr>
                        <pic:blipFill>
                          <a:blip r:embed="rId23"/>
                          <a:stretch>
                            <a:fillRect/>
                          </a:stretch>
                        </pic:blipFill>
                        <pic:spPr>
                          <a:xfrm>
                            <a:off x="0" y="0"/>
                            <a:ext cx="5307965" cy="5064760"/>
                          </a:xfrm>
                          <a:prstGeom prst="rect">
                            <a:avLst/>
                          </a:prstGeom>
                        </pic:spPr>
                      </pic:pic>
                    </a:graphicData>
                  </a:graphic>
                </wp:inline>
              </w:drawing>
            </w:r>
          </w:p>
          <w:p>
            <w:pPr>
              <w:pStyle w:val="5"/>
              <w:ind w:left="0" w:leftChars="0" w:firstLine="0" w:firstLineChars="0"/>
              <w:jc w:val="center"/>
              <w:rPr>
                <w:rFonts w:hint="eastAsia" w:eastAsia="宋体"/>
                <w:color w:val="FF0000"/>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738505</wp:posOffset>
                      </wp:positionH>
                      <wp:positionV relativeFrom="paragraph">
                        <wp:posOffset>4578985</wp:posOffset>
                      </wp:positionV>
                      <wp:extent cx="344170" cy="176530"/>
                      <wp:effectExtent l="6350" t="6350" r="11430" b="7620"/>
                      <wp:wrapNone/>
                      <wp:docPr id="4" name="矩形 4"/>
                      <wp:cNvGraphicFramePr/>
                      <a:graphic xmlns:a="http://schemas.openxmlformats.org/drawingml/2006/main">
                        <a:graphicData uri="http://schemas.microsoft.com/office/word/2010/wordprocessingShape">
                          <wps:wsp>
                            <wps:cNvSpPr/>
                            <wps:spPr>
                              <a:xfrm>
                                <a:off x="2035810" y="8363585"/>
                                <a:ext cx="344170" cy="176530"/>
                              </a:xfrm>
                              <a:prstGeom prst="rect">
                                <a:avLst/>
                              </a:prstGeom>
                              <a:solidFill>
                                <a:srgbClr val="2E2B82">
                                  <a:alpha val="80000"/>
                                </a:srgbClr>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58.15pt;margin-top:360.55pt;height:13.9pt;width:27.1pt;z-index:251662336;v-text-anchor:middle;mso-width-relative:page;mso-height-relative:page;" fillcolor="#2E2B82" filled="t" stroked="t" coordsize="21600,21600" o:gfxdata="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BF1K+jXAAAACwEA&#10;AA8AAAAAAAAAAQAgAAAAOAAAAGRycy9kb3ducmV2LnhtbFBLAQIUABQAAAAIAIdO4kBVnTewdwIA&#10;AOEEAAAOAAAAAAAAAAEAIAAAADwBAABkcnMvZTJvRG9jLnhtbFBLBQYAAAAABgAGAFkBAAAlBgAA&#10;AAA=&#10;">
                      <v:fill on="t" opacity="52428f" focussize="0,0"/>
                      <v:stroke weight="1pt" color="#FF0000 [2404]" miterlimit="8" joinstyle="miter"/>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1087755</wp:posOffset>
                      </wp:positionH>
                      <wp:positionV relativeFrom="paragraph">
                        <wp:posOffset>4836160</wp:posOffset>
                      </wp:positionV>
                      <wp:extent cx="255270" cy="0"/>
                      <wp:effectExtent l="0" t="17145" r="11430" b="20955"/>
                      <wp:wrapNone/>
                      <wp:docPr id="6" name="直接连接符 6"/>
                      <wp:cNvGraphicFramePr/>
                      <a:graphic xmlns:a="http://schemas.openxmlformats.org/drawingml/2006/main">
                        <a:graphicData uri="http://schemas.microsoft.com/office/word/2010/wordprocessingShape">
                          <wps:wsp>
                            <wps:cNvCnPr/>
                            <wps:spPr>
                              <a:xfrm>
                                <a:off x="2438400" y="8404860"/>
                                <a:ext cx="255270" cy="0"/>
                              </a:xfrm>
                              <a:prstGeom prst="line">
                                <a:avLst/>
                              </a:prstGeom>
                              <a:ln w="34925" cmpd="sng">
                                <a:solidFill>
                                  <a:schemeClr val="accent5"/>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85.65pt;margin-top:380.8pt;height:0pt;width:20.1pt;z-index:251663360;mso-width-relative:page;mso-height-relative:page;" filled="f" stroked="t" coordsize="21600,21600" o:gfxdata="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FgAAAGRycy9QSwECFAAUAAAACACH&#10;TuJAmp1SZ9gAAAALAQAADwAAAAAAAAABACAAAAA4AAAAZHJzL2Rvd25yZXYueG1sUEsBAhQAFAAA&#10;AAgAh07iQEhDFQ/ZAQAAbwMAAA4AAAAAAAAAAQAgAAAAPQEAAGRycy9lMm9Eb2MueG1sUEsFBgAA&#10;AAAGAAYAWQEAAIgFAAAAAA==&#10;">
                      <v:fill on="f" focussize="0,0"/>
                      <v:stroke weight="2.75pt" color="#30C0B4 [3208]" miterlimit="8" joinstyle="miter"/>
                      <v:imagedata o:title=""/>
                      <o:lock v:ext="edit" aspectratio="f"/>
                    </v:lin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824230</wp:posOffset>
                      </wp:positionH>
                      <wp:positionV relativeFrom="paragraph">
                        <wp:posOffset>4986655</wp:posOffset>
                      </wp:positionV>
                      <wp:extent cx="325120" cy="162560"/>
                      <wp:effectExtent l="6350" t="6350" r="11430" b="21590"/>
                      <wp:wrapNone/>
                      <wp:docPr id="10" name="矩形 10"/>
                      <wp:cNvGraphicFramePr/>
                      <a:graphic xmlns:a="http://schemas.openxmlformats.org/drawingml/2006/main">
                        <a:graphicData uri="http://schemas.microsoft.com/office/word/2010/wordprocessingShape">
                          <wps:wsp>
                            <wps:cNvSpPr/>
                            <wps:spPr>
                              <a:xfrm>
                                <a:off x="2112010" y="8528050"/>
                                <a:ext cx="325120" cy="162560"/>
                              </a:xfrm>
                              <a:prstGeom prst="rect">
                                <a:avLst/>
                              </a:prstGeom>
                              <a:solidFill>
                                <a:srgbClr val="326980">
                                  <a:alpha val="80000"/>
                                </a:srgb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64.9pt;margin-top:392.65pt;height:12.8pt;width:25.6pt;z-index:251664384;v-text-anchor:middle;mso-width-relative:page;mso-height-relative:page;" fillcolor="#326980" filled="t" stroked="t" coordsize="21600,21600" o:gfxdata="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h3BYE9cAAAALAQAADwAAAAAAAAABACAAAAA4AAAAZHJzL2Rvd25yZXYueG1sUEsBAhQAFAAAAAgA&#10;h07iQMqqozeCAgAABQUAAA4AAAAAAAAAAQAgAAAAPAEAAGRycy9lMm9Eb2MueG1sUEsFBgAAAAAG&#10;AAYAWQEAADAGAAAAAA==&#10;">
                      <v:fill on="t" opacity="52428f" focussize="0,0"/>
                      <v:stroke weight="1pt" color="#2E54A1 [2404]" miterlimit="8" joinstyle="miter"/>
                      <v:imagedata o:title=""/>
                      <o:lock v:ext="edit" aspectratio="f"/>
                    </v:rect>
                  </w:pict>
                </mc:Fallback>
              </mc:AlternateContent>
            </w:r>
            <w:r>
              <w:rPr>
                <w:b/>
                <w:bCs/>
                <w:color w:val="auto"/>
                <w:sz w:val="21"/>
                <w:szCs w:val="21"/>
              </w:rPr>
              <w:t>图3-</w:t>
            </w:r>
            <w:r>
              <w:rPr>
                <w:rFonts w:hint="eastAsia"/>
                <w:b/>
                <w:bCs/>
                <w:color w:val="auto"/>
                <w:sz w:val="21"/>
                <w:szCs w:val="21"/>
                <w:lang w:val="en-US" w:eastAsia="zh-CN"/>
              </w:rPr>
              <w:t>2</w:t>
            </w:r>
            <w:r>
              <w:rPr>
                <w:rFonts w:hint="eastAsia"/>
                <w:b/>
                <w:bCs/>
                <w:color w:val="auto"/>
                <w:sz w:val="21"/>
                <w:szCs w:val="21"/>
              </w:rPr>
              <w:t xml:space="preserve">  </w:t>
            </w:r>
            <w:r>
              <w:rPr>
                <w:rFonts w:hint="eastAsia"/>
                <w:b/>
                <w:bCs/>
                <w:color w:val="auto"/>
                <w:sz w:val="21"/>
                <w:szCs w:val="21"/>
                <w:lang w:val="en-US" w:eastAsia="zh-CN"/>
              </w:rPr>
              <w:t>各项</w:t>
            </w:r>
            <w:r>
              <w:rPr>
                <w:b/>
                <w:bCs/>
                <w:color w:val="auto"/>
                <w:sz w:val="21"/>
                <w:szCs w:val="21"/>
              </w:rPr>
              <w:t>环境要素保护目标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08" w:type="dxa"/>
            <w:left w:w="108" w:type="dxa"/>
            <w:bottom w:w="0" w:type="dxa"/>
            <w:right w:w="108" w:type="dxa"/>
          </w:tblCellMar>
        </w:tblPrEx>
        <w:trPr>
          <w:trHeight w:val="13915" w:hRule="atLeast"/>
          <w:jc w:val="center"/>
        </w:trPr>
        <w:tc>
          <w:tcPr>
            <w:tcW w:w="597" w:type="dxa"/>
            <w:tcMar>
              <w:left w:w="28" w:type="dxa"/>
              <w:right w:w="28" w:type="dxa"/>
            </w:tcMar>
            <w:vAlign w:val="center"/>
          </w:tcPr>
          <w:p>
            <w:pPr>
              <w:adjustRightInd w:val="0"/>
              <w:snapToGrid w:val="0"/>
              <w:jc w:val="center"/>
              <w:rPr>
                <w:b/>
                <w:bCs/>
                <w:color w:val="FF0000"/>
                <w:sz w:val="24"/>
              </w:rPr>
            </w:pPr>
            <w:r>
              <w:rPr>
                <w:b/>
                <w:bCs/>
                <w:color w:val="auto"/>
                <w:kern w:val="0"/>
                <w:sz w:val="24"/>
              </w:rPr>
              <w:t>污染物排放控制标准</w:t>
            </w:r>
          </w:p>
        </w:tc>
        <w:tc>
          <w:tcPr>
            <w:tcW w:w="8577" w:type="dxa"/>
            <w:vAlign w:val="center"/>
          </w:tcPr>
          <w:p>
            <w:pPr>
              <w:adjustRightInd w:val="0"/>
              <w:snapToGrid w:val="0"/>
              <w:spacing w:line="360" w:lineRule="auto"/>
              <w:ind w:firstLine="481" w:firstLineChars="200"/>
              <w:jc w:val="left"/>
              <w:rPr>
                <w:b/>
                <w:bCs/>
                <w:color w:val="auto"/>
                <w:sz w:val="24"/>
              </w:rPr>
            </w:pPr>
            <w:r>
              <w:rPr>
                <w:b/>
                <w:bCs/>
                <w:color w:val="auto"/>
                <w:sz w:val="24"/>
              </w:rPr>
              <w:t>1、废气</w:t>
            </w:r>
          </w:p>
          <w:p>
            <w:pPr>
              <w:widowControl/>
              <w:adjustRightInd w:val="0"/>
              <w:snapToGrid w:val="0"/>
              <w:spacing w:line="360" w:lineRule="auto"/>
              <w:ind w:firstLine="480" w:firstLineChars="200"/>
              <w:rPr>
                <w:color w:val="000000" w:themeColor="text1"/>
                <w:sz w:val="24"/>
                <w14:textFill>
                  <w14:solidFill>
                    <w14:schemeClr w14:val="tx1"/>
                  </w14:solidFill>
                </w14:textFill>
              </w:rPr>
            </w:pPr>
            <w:r>
              <w:rPr>
                <w:color w:val="auto"/>
                <w:sz w:val="24"/>
              </w:rPr>
              <w:t>施工期：粉尘执行《大气污染物综合排放标准》（GB16297-1996）“表2新污染源大气污染物排放限值”。</w:t>
            </w:r>
          </w:p>
          <w:p>
            <w:pPr>
              <w:widowControl/>
              <w:adjustRightInd w:val="0"/>
              <w:snapToGrid w:val="0"/>
              <w:spacing w:line="360" w:lineRule="auto"/>
              <w:ind w:firstLine="480" w:firstLineChars="200"/>
              <w:rPr>
                <w:color w:val="auto"/>
                <w:sz w:val="24"/>
              </w:rPr>
            </w:pPr>
            <w:r>
              <w:rPr>
                <w:color w:val="auto"/>
                <w:sz w:val="24"/>
              </w:rPr>
              <w:t>运营期：</w:t>
            </w:r>
            <w:r>
              <w:rPr>
                <w:rFonts w:hint="eastAsia"/>
                <w:color w:val="auto"/>
                <w:sz w:val="24"/>
                <w:lang w:eastAsia="zh-CN"/>
              </w:rPr>
              <w:t>无组织</w:t>
            </w:r>
            <w:r>
              <w:rPr>
                <w:color w:val="auto"/>
                <w:sz w:val="24"/>
              </w:rPr>
              <w:t>粉尘执行《水泥工业大气污染物排放标准》</w:t>
            </w:r>
            <w:r>
              <w:rPr>
                <w:rFonts w:hint="eastAsia"/>
                <w:color w:val="auto"/>
                <w:sz w:val="24"/>
                <w:lang w:eastAsia="zh-CN"/>
              </w:rPr>
              <w:t>（</w:t>
            </w:r>
            <w:r>
              <w:rPr>
                <w:rFonts w:hint="eastAsia"/>
                <w:color w:val="auto"/>
                <w:sz w:val="24"/>
                <w:lang w:val="en-US" w:eastAsia="zh-CN"/>
              </w:rPr>
              <w:t>DB64/1995-2024</w:t>
            </w:r>
            <w:r>
              <w:rPr>
                <w:rFonts w:hint="eastAsia"/>
                <w:color w:val="auto"/>
                <w:sz w:val="24"/>
                <w:lang w:eastAsia="zh-CN"/>
              </w:rPr>
              <w:t>）</w:t>
            </w:r>
            <w:r>
              <w:rPr>
                <w:color w:val="auto"/>
                <w:sz w:val="24"/>
              </w:rPr>
              <w:t>表</w:t>
            </w:r>
            <w:r>
              <w:rPr>
                <w:rFonts w:hint="eastAsia"/>
                <w:color w:val="auto"/>
                <w:sz w:val="24"/>
                <w:lang w:val="en-US" w:eastAsia="zh-CN"/>
              </w:rPr>
              <w:t>2</w:t>
            </w:r>
            <w:r>
              <w:rPr>
                <w:rFonts w:hint="eastAsia"/>
                <w:color w:val="auto"/>
                <w:sz w:val="24"/>
              </w:rPr>
              <w:t>企业边界大气污染物浓度限值</w:t>
            </w:r>
            <w:r>
              <w:rPr>
                <w:color w:val="auto"/>
                <w:sz w:val="24"/>
              </w:rPr>
              <w:t>。具体标准限值见表3-</w:t>
            </w:r>
            <w:r>
              <w:rPr>
                <w:rFonts w:hint="eastAsia"/>
                <w:color w:val="auto"/>
                <w:sz w:val="24"/>
                <w:lang w:val="en-US" w:eastAsia="zh-CN"/>
              </w:rPr>
              <w:t>6</w:t>
            </w:r>
            <w:r>
              <w:rPr>
                <w:color w:val="auto"/>
                <w:sz w:val="24"/>
              </w:rPr>
              <w:t>。</w:t>
            </w:r>
          </w:p>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auto"/>
                <w:sz w:val="21"/>
                <w:szCs w:val="21"/>
                <w:lang w:val="en-US" w:eastAsia="zh-CN"/>
              </w:rPr>
            </w:pPr>
            <w:r>
              <w:rPr>
                <w:b/>
                <w:bCs/>
                <w:color w:val="auto"/>
                <w:sz w:val="21"/>
                <w:szCs w:val="21"/>
              </w:rPr>
              <w:t>表3-</w:t>
            </w:r>
            <w:r>
              <w:rPr>
                <w:rFonts w:hint="eastAsia"/>
                <w:b/>
                <w:bCs/>
                <w:color w:val="auto"/>
                <w:sz w:val="21"/>
                <w:szCs w:val="21"/>
                <w:lang w:val="en-US" w:eastAsia="zh-CN"/>
              </w:rPr>
              <w:t>6</w:t>
            </w:r>
            <w:r>
              <w:rPr>
                <w:b/>
                <w:bCs/>
                <w:color w:val="auto"/>
                <w:sz w:val="21"/>
                <w:szCs w:val="21"/>
              </w:rPr>
              <w:t xml:space="preserve">  </w:t>
            </w:r>
            <w:r>
              <w:rPr>
                <w:rFonts w:hint="eastAsia"/>
                <w:b/>
                <w:bCs/>
                <w:color w:val="auto"/>
                <w:sz w:val="21"/>
                <w:szCs w:val="21"/>
              </w:rPr>
              <w:t xml:space="preserve"> </w:t>
            </w:r>
            <w:r>
              <w:rPr>
                <w:b/>
                <w:bCs/>
                <w:color w:val="auto"/>
                <w:sz w:val="21"/>
                <w:szCs w:val="21"/>
              </w:rPr>
              <w:t>大气污染物无组织排放标准限值</w:t>
            </w:r>
            <w:r>
              <w:rPr>
                <w:rFonts w:hint="eastAsia"/>
                <w:b/>
                <w:bCs/>
                <w:color w:val="auto"/>
                <w:sz w:val="21"/>
                <w:szCs w:val="21"/>
                <w:lang w:val="en-US" w:eastAsia="zh-CN"/>
              </w:rPr>
              <w:t xml:space="preserve">  单位</w:t>
            </w:r>
            <w:r>
              <w:rPr>
                <w:rFonts w:ascii="Times New Roman" w:hAnsi="Times New Roman" w:eastAsia="宋体" w:cs="Times New Roman"/>
                <w:b/>
                <w:color w:val="auto"/>
                <w:kern w:val="1"/>
                <w:sz w:val="21"/>
                <w:szCs w:val="21"/>
                <w:highlight w:val="none"/>
              </w:rPr>
              <w:t>mg/m</w:t>
            </w:r>
            <w:r>
              <w:rPr>
                <w:rFonts w:ascii="Times New Roman" w:hAnsi="Times New Roman" w:eastAsia="宋体" w:cs="Times New Roman"/>
                <w:b/>
                <w:color w:val="auto"/>
                <w:kern w:val="1"/>
                <w:sz w:val="21"/>
                <w:szCs w:val="21"/>
                <w:highlight w:val="none"/>
                <w:vertAlign w:val="superscript"/>
              </w:rPr>
              <w:t>3</w:t>
            </w:r>
          </w:p>
          <w:tbl>
            <w:tblPr>
              <w:tblStyle w:val="24"/>
              <w:tblW w:w="833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975"/>
              <w:gridCol w:w="1256"/>
              <w:gridCol w:w="410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5" w:type="dxa"/>
                  <w:tcBorders>
                    <w:tl2br w:val="nil"/>
                    <w:tr2bl w:val="nil"/>
                  </w:tcBorders>
                  <w:shd w:val="clear" w:color="auto" w:fill="auto"/>
                  <w:vAlign w:val="center"/>
                </w:tcPr>
                <w:p>
                  <w:pPr>
                    <w:pStyle w:val="56"/>
                    <w:framePr w:hSpace="0" w:wrap="auto" w:vAnchor="margin" w:hAnchor="text" w:xAlign="left" w:yAlign="inline"/>
                    <w:adjustRightInd w:val="0"/>
                    <w:snapToGrid w:val="0"/>
                    <w:spacing w:line="240" w:lineRule="auto"/>
                    <w:rPr>
                      <w:b/>
                      <w:bCs/>
                      <w:color w:val="auto"/>
                      <w:sz w:val="21"/>
                      <w:szCs w:val="21"/>
                    </w:rPr>
                  </w:pPr>
                  <w:r>
                    <w:rPr>
                      <w:b/>
                      <w:bCs/>
                      <w:color w:val="auto"/>
                      <w:sz w:val="21"/>
                      <w:szCs w:val="21"/>
                    </w:rPr>
                    <w:t>污染物项目</w:t>
                  </w:r>
                </w:p>
              </w:tc>
              <w:tc>
                <w:tcPr>
                  <w:tcW w:w="1256" w:type="dxa"/>
                  <w:tcBorders>
                    <w:tl2br w:val="nil"/>
                    <w:tr2bl w:val="nil"/>
                  </w:tcBorders>
                  <w:shd w:val="clear" w:color="auto" w:fill="auto"/>
                  <w:vAlign w:val="center"/>
                </w:tcPr>
                <w:p>
                  <w:pPr>
                    <w:pStyle w:val="56"/>
                    <w:framePr w:hSpace="0" w:wrap="auto" w:vAnchor="margin" w:hAnchor="text" w:xAlign="left" w:yAlign="inline"/>
                    <w:adjustRightInd w:val="0"/>
                    <w:snapToGrid w:val="0"/>
                    <w:spacing w:line="240" w:lineRule="auto"/>
                    <w:rPr>
                      <w:b/>
                      <w:bCs/>
                      <w:color w:val="auto"/>
                      <w:sz w:val="21"/>
                      <w:szCs w:val="21"/>
                    </w:rPr>
                  </w:pPr>
                  <w:r>
                    <w:rPr>
                      <w:b/>
                      <w:bCs/>
                      <w:color w:val="auto"/>
                      <w:sz w:val="21"/>
                      <w:szCs w:val="21"/>
                    </w:rPr>
                    <w:t>限值</w:t>
                  </w:r>
                </w:p>
              </w:tc>
              <w:tc>
                <w:tcPr>
                  <w:tcW w:w="4103" w:type="dxa"/>
                  <w:tcBorders>
                    <w:tl2br w:val="nil"/>
                    <w:tr2bl w:val="nil"/>
                  </w:tcBorders>
                  <w:shd w:val="clear" w:color="auto" w:fill="auto"/>
                  <w:vAlign w:val="center"/>
                </w:tcPr>
                <w:p>
                  <w:pPr>
                    <w:pStyle w:val="56"/>
                    <w:framePr w:hSpace="0" w:wrap="auto" w:vAnchor="margin" w:hAnchor="text" w:xAlign="left" w:yAlign="inline"/>
                    <w:adjustRightInd w:val="0"/>
                    <w:snapToGrid w:val="0"/>
                    <w:spacing w:line="240" w:lineRule="auto"/>
                    <w:rPr>
                      <w:b/>
                      <w:bCs/>
                      <w:color w:val="auto"/>
                      <w:sz w:val="21"/>
                      <w:szCs w:val="21"/>
                    </w:rPr>
                  </w:pPr>
                  <w:r>
                    <w:rPr>
                      <w:b/>
                      <w:bCs/>
                      <w:color w:val="auto"/>
                      <w:sz w:val="21"/>
                      <w:szCs w:val="21"/>
                    </w:rPr>
                    <w:t>无组织排放监控位置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5" w:type="dxa"/>
                  <w:tcBorders>
                    <w:tl2br w:val="nil"/>
                    <w:tr2bl w:val="nil"/>
                  </w:tcBorders>
                  <w:shd w:val="clear" w:color="auto" w:fill="auto"/>
                  <w:vAlign w:val="center"/>
                </w:tcPr>
                <w:p>
                  <w:pPr>
                    <w:pStyle w:val="56"/>
                    <w:framePr w:hSpace="0" w:wrap="auto" w:vAnchor="margin" w:hAnchor="text" w:xAlign="left" w:yAlign="inline"/>
                    <w:adjustRightInd w:val="0"/>
                    <w:snapToGrid w:val="0"/>
                    <w:spacing w:line="240" w:lineRule="auto"/>
                    <w:rPr>
                      <w:color w:val="auto"/>
                      <w:sz w:val="21"/>
                      <w:szCs w:val="21"/>
                    </w:rPr>
                  </w:pPr>
                  <w:r>
                    <w:rPr>
                      <w:color w:val="auto"/>
                      <w:sz w:val="21"/>
                      <w:szCs w:val="21"/>
                    </w:rPr>
                    <w:t>颗粒物（施工期）</w:t>
                  </w:r>
                </w:p>
              </w:tc>
              <w:tc>
                <w:tcPr>
                  <w:tcW w:w="1256" w:type="dxa"/>
                  <w:tcBorders>
                    <w:tl2br w:val="nil"/>
                    <w:tr2bl w:val="nil"/>
                  </w:tcBorders>
                  <w:shd w:val="clear" w:color="auto" w:fill="auto"/>
                  <w:vAlign w:val="center"/>
                </w:tcPr>
                <w:p>
                  <w:pPr>
                    <w:pStyle w:val="56"/>
                    <w:framePr w:hSpace="0" w:wrap="auto" w:vAnchor="margin" w:hAnchor="text" w:xAlign="left" w:yAlign="inline"/>
                    <w:adjustRightInd w:val="0"/>
                    <w:snapToGrid w:val="0"/>
                    <w:spacing w:line="240" w:lineRule="auto"/>
                    <w:rPr>
                      <w:color w:val="auto"/>
                      <w:sz w:val="21"/>
                      <w:szCs w:val="21"/>
                    </w:rPr>
                  </w:pPr>
                  <w:r>
                    <w:rPr>
                      <w:color w:val="auto"/>
                      <w:sz w:val="21"/>
                      <w:szCs w:val="21"/>
                    </w:rPr>
                    <w:t>1.0</w:t>
                  </w:r>
                </w:p>
              </w:tc>
              <w:tc>
                <w:tcPr>
                  <w:tcW w:w="4103" w:type="dxa"/>
                  <w:tcBorders>
                    <w:tl2br w:val="nil"/>
                    <w:tr2bl w:val="nil"/>
                  </w:tcBorders>
                  <w:shd w:val="clear" w:color="auto" w:fill="auto"/>
                  <w:vAlign w:val="center"/>
                </w:tcPr>
                <w:p>
                  <w:pPr>
                    <w:pStyle w:val="56"/>
                    <w:framePr w:hSpace="0" w:wrap="auto" w:vAnchor="margin" w:hAnchor="text" w:xAlign="left" w:yAlign="inline"/>
                    <w:adjustRightInd w:val="0"/>
                    <w:snapToGrid w:val="0"/>
                    <w:spacing w:line="240" w:lineRule="auto"/>
                    <w:rPr>
                      <w:color w:val="auto"/>
                      <w:sz w:val="21"/>
                      <w:szCs w:val="21"/>
                    </w:rPr>
                  </w:pPr>
                  <w:r>
                    <w:rPr>
                      <w:color w:val="auto"/>
                      <w:sz w:val="21"/>
                      <w:szCs w:val="21"/>
                    </w:rPr>
                    <w:t>周界外浓度最高点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75" w:type="dxa"/>
                  <w:tcBorders>
                    <w:tl2br w:val="nil"/>
                    <w:tr2bl w:val="nil"/>
                  </w:tcBorders>
                  <w:shd w:val="clear" w:color="auto" w:fill="auto"/>
                  <w:vAlign w:val="center"/>
                </w:tcPr>
                <w:p>
                  <w:pPr>
                    <w:pStyle w:val="56"/>
                    <w:framePr w:hSpace="0" w:wrap="auto" w:vAnchor="margin" w:hAnchor="text" w:xAlign="left" w:yAlign="inline"/>
                    <w:adjustRightInd w:val="0"/>
                    <w:snapToGrid w:val="0"/>
                    <w:spacing w:line="240" w:lineRule="auto"/>
                    <w:rPr>
                      <w:color w:val="auto"/>
                      <w:sz w:val="21"/>
                      <w:szCs w:val="21"/>
                    </w:rPr>
                  </w:pPr>
                  <w:r>
                    <w:rPr>
                      <w:color w:val="auto"/>
                      <w:sz w:val="21"/>
                      <w:szCs w:val="21"/>
                    </w:rPr>
                    <w:t>颗粒物（运营期）</w:t>
                  </w:r>
                </w:p>
              </w:tc>
              <w:tc>
                <w:tcPr>
                  <w:tcW w:w="1256" w:type="dxa"/>
                  <w:tcBorders>
                    <w:tl2br w:val="nil"/>
                    <w:tr2bl w:val="nil"/>
                  </w:tcBorders>
                  <w:shd w:val="clear" w:color="auto" w:fill="auto"/>
                  <w:vAlign w:val="center"/>
                </w:tcPr>
                <w:p>
                  <w:pPr>
                    <w:pStyle w:val="56"/>
                    <w:framePr w:hSpace="0" w:wrap="auto" w:vAnchor="margin" w:hAnchor="text" w:xAlign="left" w:yAlign="inline"/>
                    <w:adjustRightInd w:val="0"/>
                    <w:snapToGrid w:val="0"/>
                    <w:spacing w:line="240" w:lineRule="auto"/>
                    <w:rPr>
                      <w:color w:val="auto"/>
                      <w:sz w:val="21"/>
                      <w:szCs w:val="21"/>
                    </w:rPr>
                  </w:pPr>
                  <w:r>
                    <w:rPr>
                      <w:color w:val="auto"/>
                      <w:sz w:val="21"/>
                      <w:szCs w:val="21"/>
                    </w:rPr>
                    <w:t>0.5</w:t>
                  </w:r>
                </w:p>
              </w:tc>
              <w:tc>
                <w:tcPr>
                  <w:tcW w:w="4103" w:type="dxa"/>
                  <w:tcBorders>
                    <w:tl2br w:val="nil"/>
                    <w:tr2bl w:val="nil"/>
                  </w:tcBorders>
                  <w:shd w:val="clear" w:color="auto" w:fill="auto"/>
                  <w:vAlign w:val="center"/>
                </w:tcPr>
                <w:p>
                  <w:pPr>
                    <w:pStyle w:val="56"/>
                    <w:framePr w:hSpace="0" w:wrap="auto" w:vAnchor="margin" w:hAnchor="text" w:xAlign="left" w:yAlign="inline"/>
                    <w:adjustRightInd w:val="0"/>
                    <w:snapToGrid w:val="0"/>
                    <w:spacing w:line="240" w:lineRule="auto"/>
                    <w:rPr>
                      <w:color w:val="auto"/>
                      <w:sz w:val="21"/>
                      <w:szCs w:val="21"/>
                    </w:rPr>
                  </w:pPr>
                  <w:r>
                    <w:rPr>
                      <w:rFonts w:hint="default"/>
                      <w:color w:val="auto"/>
                      <w:sz w:val="21"/>
                      <w:szCs w:val="21"/>
                      <w:lang w:val="en-US" w:eastAsia="zh-CN"/>
                    </w:rPr>
                    <w:t>厂界外20m处上风向设参照点，下风向设监控点</w:t>
                  </w:r>
                </w:p>
              </w:tc>
            </w:tr>
          </w:tbl>
          <w:p>
            <w:pPr>
              <w:adjustRightInd w:val="0"/>
              <w:snapToGrid w:val="0"/>
              <w:spacing w:before="156" w:beforeLines="50" w:line="360" w:lineRule="auto"/>
              <w:ind w:firstLine="481" w:firstLineChars="200"/>
              <w:rPr>
                <w:b/>
                <w:bCs/>
                <w:color w:val="auto"/>
                <w:sz w:val="24"/>
                <w:szCs w:val="22"/>
              </w:rPr>
            </w:pPr>
            <w:r>
              <w:rPr>
                <w:b/>
                <w:bCs/>
                <w:color w:val="auto"/>
                <w:sz w:val="24"/>
                <w:szCs w:val="22"/>
              </w:rPr>
              <w:t>2、废水</w:t>
            </w:r>
          </w:p>
          <w:p>
            <w:pPr>
              <w:adjustRightInd w:val="0"/>
              <w:snapToGrid w:val="0"/>
              <w:spacing w:line="360" w:lineRule="auto"/>
              <w:ind w:firstLine="480" w:firstLineChars="200"/>
              <w:rPr>
                <w:color w:val="auto"/>
                <w:sz w:val="24"/>
              </w:rPr>
            </w:pPr>
            <w:r>
              <w:rPr>
                <w:color w:val="auto"/>
                <w:sz w:val="24"/>
              </w:rPr>
              <w:t>施工期：施工人员食宿依托附近民用住房；提供环保</w:t>
            </w:r>
            <w:r>
              <w:rPr>
                <w:rFonts w:hint="eastAsia"/>
                <w:color w:val="auto"/>
                <w:sz w:val="24"/>
                <w:lang w:val="en-US" w:eastAsia="zh-CN"/>
              </w:rPr>
              <w:t>厕所</w:t>
            </w:r>
            <w:r>
              <w:rPr>
                <w:color w:val="auto"/>
                <w:sz w:val="24"/>
              </w:rPr>
              <w:t>供施工人员方便，生活污水经</w:t>
            </w:r>
            <w:r>
              <w:rPr>
                <w:rFonts w:hint="eastAsia"/>
                <w:color w:val="auto"/>
                <w:sz w:val="24"/>
                <w:lang w:val="en-US" w:eastAsia="zh-CN"/>
              </w:rPr>
              <w:t>化粪池</w:t>
            </w:r>
            <w:r>
              <w:rPr>
                <w:rFonts w:hint="eastAsia"/>
                <w:color w:val="auto"/>
                <w:kern w:val="0"/>
                <w:sz w:val="24"/>
              </w:rPr>
              <w:t>处理后</w:t>
            </w:r>
            <w:r>
              <w:rPr>
                <w:rFonts w:eastAsiaTheme="minorEastAsia"/>
                <w:color w:val="auto"/>
                <w:kern w:val="0"/>
                <w:sz w:val="24"/>
              </w:rPr>
              <w:t>定期</w:t>
            </w:r>
            <w:r>
              <w:rPr>
                <w:rFonts w:hint="eastAsia" w:eastAsiaTheme="minorEastAsia"/>
                <w:color w:val="auto"/>
                <w:kern w:val="0"/>
                <w:sz w:val="24"/>
                <w:lang w:val="en-US" w:eastAsia="zh-CN"/>
              </w:rPr>
              <w:t>清运</w:t>
            </w:r>
            <w:r>
              <w:rPr>
                <w:color w:val="auto"/>
                <w:sz w:val="24"/>
              </w:rPr>
              <w:t>。</w:t>
            </w:r>
          </w:p>
          <w:p>
            <w:pPr>
              <w:adjustRightInd w:val="0"/>
              <w:snapToGrid w:val="0"/>
              <w:spacing w:line="360" w:lineRule="auto"/>
              <w:ind w:firstLine="480" w:firstLineChars="200"/>
              <w:rPr>
                <w:color w:val="auto"/>
                <w:sz w:val="24"/>
                <w:szCs w:val="22"/>
              </w:rPr>
            </w:pPr>
            <w:r>
              <w:rPr>
                <w:color w:val="auto"/>
                <w:sz w:val="24"/>
              </w:rPr>
              <w:t>运营期：生活污水经</w:t>
            </w:r>
            <w:r>
              <w:rPr>
                <w:rFonts w:hint="eastAsia"/>
                <w:color w:val="auto"/>
                <w:sz w:val="24"/>
                <w:lang w:val="en-US" w:eastAsia="zh-CN"/>
              </w:rPr>
              <w:t>化粪池初步处理后</w:t>
            </w:r>
            <w:r>
              <w:rPr>
                <w:rFonts w:hint="eastAsia"/>
                <w:color w:val="auto"/>
                <w:kern w:val="0"/>
                <w:sz w:val="24"/>
              </w:rPr>
              <w:t>处理后定期</w:t>
            </w:r>
            <w:r>
              <w:rPr>
                <w:rFonts w:hint="eastAsia"/>
                <w:color w:val="auto"/>
                <w:kern w:val="0"/>
                <w:sz w:val="24"/>
                <w:lang w:val="en-US" w:eastAsia="zh-CN"/>
              </w:rPr>
              <w:t>清运至中卫市第一污水处理厂</w:t>
            </w:r>
            <w:r>
              <w:rPr>
                <w:color w:val="auto"/>
                <w:sz w:val="24"/>
              </w:rPr>
              <w:t>；</w:t>
            </w:r>
            <w:r>
              <w:rPr>
                <w:color w:val="auto"/>
                <w:sz w:val="24"/>
                <w:szCs w:val="22"/>
              </w:rPr>
              <w:t>混凝土生产用水进入产品；厂区设置10m</w:t>
            </w:r>
            <w:r>
              <w:rPr>
                <w:color w:val="auto"/>
                <w:sz w:val="24"/>
                <w:szCs w:val="22"/>
                <w:vertAlign w:val="superscript"/>
              </w:rPr>
              <w:t>3</w:t>
            </w:r>
            <w:r>
              <w:rPr>
                <w:color w:val="auto"/>
                <w:sz w:val="24"/>
                <w:szCs w:val="22"/>
              </w:rPr>
              <w:t>沉淀池，车辆冲洗废水及搅拌机清洗废水经沉淀后</w:t>
            </w:r>
            <w:r>
              <w:rPr>
                <w:rFonts w:hint="eastAsia"/>
                <w:color w:val="auto"/>
                <w:sz w:val="24"/>
                <w:szCs w:val="22"/>
                <w:lang w:val="en-US" w:eastAsia="zh-CN"/>
              </w:rPr>
              <w:t>取上层清水</w:t>
            </w:r>
            <w:r>
              <w:rPr>
                <w:color w:val="auto"/>
                <w:sz w:val="24"/>
                <w:szCs w:val="22"/>
              </w:rPr>
              <w:t>回用于厂区道路洒水降尘；厂区道路洒水自然蒸发，不外排。</w:t>
            </w:r>
          </w:p>
          <w:p>
            <w:pPr>
              <w:adjustRightInd w:val="0"/>
              <w:snapToGrid w:val="0"/>
              <w:spacing w:line="360" w:lineRule="auto"/>
              <w:ind w:firstLine="481" w:firstLineChars="200"/>
              <w:jc w:val="left"/>
              <w:rPr>
                <w:b/>
                <w:bCs/>
                <w:color w:val="auto"/>
                <w:sz w:val="24"/>
              </w:rPr>
            </w:pPr>
            <w:r>
              <w:rPr>
                <w:b/>
                <w:bCs/>
                <w:color w:val="auto"/>
                <w:sz w:val="24"/>
              </w:rPr>
              <w:t>3、噪声</w:t>
            </w:r>
          </w:p>
          <w:p>
            <w:pPr>
              <w:pStyle w:val="39"/>
              <w:ind w:firstLine="480"/>
              <w:rPr>
                <w:rFonts w:hAnsi="Times New Roman" w:eastAsia="宋体"/>
                <w:color w:val="auto"/>
                <w:szCs w:val="22"/>
              </w:rPr>
            </w:pPr>
            <w:r>
              <w:rPr>
                <w:rFonts w:hAnsi="Times New Roman" w:eastAsia="宋体"/>
                <w:color w:val="auto"/>
              </w:rPr>
              <w:t>施工期噪声执行《建筑施工场界环境噪声排放标准》（GB 12523-2011）</w:t>
            </w:r>
            <w:r>
              <w:rPr>
                <w:rFonts w:hint="eastAsia" w:hAnsi="Times New Roman" w:eastAsia="宋体"/>
                <w:color w:val="auto"/>
                <w:lang w:val="en-US" w:eastAsia="zh-CN"/>
              </w:rPr>
              <w:t>中表1规定的排放限值</w:t>
            </w:r>
            <w:r>
              <w:rPr>
                <w:rFonts w:hAnsi="Times New Roman" w:eastAsia="宋体"/>
                <w:color w:val="auto"/>
              </w:rPr>
              <w:t>。运营期噪声执行《工业企业厂界环境噪声排放标准》（GB 12348-2008）中的</w:t>
            </w:r>
            <w:r>
              <w:rPr>
                <w:rFonts w:hint="eastAsia" w:hAnsi="Times New Roman" w:eastAsia="宋体"/>
                <w:color w:val="auto"/>
                <w:lang w:val="en-US" w:eastAsia="zh-CN"/>
              </w:rPr>
              <w:t>2</w:t>
            </w:r>
            <w:r>
              <w:rPr>
                <w:rFonts w:hAnsi="Times New Roman" w:eastAsia="宋体"/>
                <w:color w:val="auto"/>
              </w:rPr>
              <w:t>类区标准。</w:t>
            </w:r>
            <w:r>
              <w:rPr>
                <w:rFonts w:hAnsi="Times New Roman" w:eastAsia="宋体"/>
                <w:color w:val="auto"/>
                <w:szCs w:val="22"/>
              </w:rPr>
              <w:t>详见表3-</w:t>
            </w:r>
            <w:r>
              <w:rPr>
                <w:rFonts w:hint="eastAsia" w:hAnsi="Times New Roman" w:eastAsia="宋体"/>
                <w:color w:val="auto"/>
                <w:szCs w:val="22"/>
                <w:lang w:val="en-US" w:eastAsia="zh-CN"/>
              </w:rPr>
              <w:t>7</w:t>
            </w:r>
            <w:r>
              <w:rPr>
                <w:rFonts w:hAnsi="Times New Roman" w:eastAsia="宋体"/>
                <w:color w:val="auto"/>
                <w:szCs w:val="22"/>
              </w:rPr>
              <w:t>。</w:t>
            </w:r>
          </w:p>
          <w:p>
            <w:pPr>
              <w:pStyle w:val="16"/>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 w:val="21"/>
                <w:szCs w:val="21"/>
              </w:rPr>
            </w:pPr>
            <w:r>
              <w:rPr>
                <w:b/>
                <w:bCs/>
                <w:color w:val="auto"/>
                <w:sz w:val="21"/>
                <w:szCs w:val="21"/>
              </w:rPr>
              <w:t>表3-</w:t>
            </w:r>
            <w:r>
              <w:rPr>
                <w:rFonts w:hint="eastAsia"/>
                <w:b/>
                <w:bCs/>
                <w:color w:val="auto"/>
                <w:sz w:val="21"/>
                <w:szCs w:val="21"/>
                <w:lang w:val="en-US" w:eastAsia="zh-CN"/>
              </w:rPr>
              <w:t>7</w:t>
            </w:r>
            <w:r>
              <w:rPr>
                <w:b/>
                <w:bCs/>
                <w:color w:val="auto"/>
                <w:sz w:val="21"/>
                <w:szCs w:val="21"/>
              </w:rPr>
              <w:t xml:space="preserve">  </w:t>
            </w:r>
            <w:r>
              <w:rPr>
                <w:rFonts w:hint="eastAsia"/>
                <w:b/>
                <w:bCs/>
                <w:color w:val="auto"/>
                <w:sz w:val="21"/>
                <w:szCs w:val="21"/>
              </w:rPr>
              <w:t xml:space="preserve"> </w:t>
            </w:r>
            <w:r>
              <w:rPr>
                <w:b/>
                <w:bCs/>
                <w:color w:val="auto"/>
                <w:sz w:val="21"/>
                <w:szCs w:val="21"/>
              </w:rPr>
              <w:t>环境噪声排放标准限值表（单位：dB（A））</w:t>
            </w:r>
          </w:p>
          <w:tbl>
            <w:tblPr>
              <w:tblStyle w:val="24"/>
              <w:tblW w:w="83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3494"/>
              <w:gridCol w:w="1319"/>
              <w:gridCol w:w="1065"/>
              <w:gridCol w:w="10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7" w:type="dxa"/>
                  <w:vMerge w:val="restart"/>
                  <w:vAlign w:val="center"/>
                </w:tcPr>
                <w:p>
                  <w:pPr>
                    <w:adjustRightInd w:val="0"/>
                    <w:snapToGrid w:val="0"/>
                    <w:jc w:val="center"/>
                    <w:rPr>
                      <w:color w:val="auto"/>
                      <w:szCs w:val="21"/>
                    </w:rPr>
                  </w:pPr>
                  <w:r>
                    <w:rPr>
                      <w:b/>
                      <w:color w:val="auto"/>
                      <w:szCs w:val="21"/>
                    </w:rPr>
                    <w:t>阶段</w:t>
                  </w:r>
                </w:p>
              </w:tc>
              <w:tc>
                <w:tcPr>
                  <w:tcW w:w="3765" w:type="dxa"/>
                  <w:vMerge w:val="restart"/>
                  <w:vAlign w:val="center"/>
                </w:tcPr>
                <w:p>
                  <w:pPr>
                    <w:adjustRightInd w:val="0"/>
                    <w:snapToGrid w:val="0"/>
                    <w:jc w:val="center"/>
                    <w:rPr>
                      <w:b/>
                      <w:color w:val="auto"/>
                      <w:szCs w:val="21"/>
                    </w:rPr>
                  </w:pPr>
                  <w:r>
                    <w:rPr>
                      <w:b/>
                      <w:color w:val="auto"/>
                      <w:szCs w:val="21"/>
                    </w:rPr>
                    <w:t>标准</w:t>
                  </w:r>
                </w:p>
              </w:tc>
              <w:tc>
                <w:tcPr>
                  <w:tcW w:w="1410" w:type="dxa"/>
                  <w:vMerge w:val="restart"/>
                  <w:vAlign w:val="center"/>
                </w:tcPr>
                <w:p>
                  <w:pPr>
                    <w:adjustRightInd w:val="0"/>
                    <w:snapToGrid w:val="0"/>
                    <w:jc w:val="center"/>
                    <w:rPr>
                      <w:b/>
                      <w:color w:val="auto"/>
                      <w:szCs w:val="21"/>
                    </w:rPr>
                  </w:pPr>
                  <w:r>
                    <w:rPr>
                      <w:b/>
                      <w:color w:val="auto"/>
                      <w:szCs w:val="21"/>
                    </w:rPr>
                    <w:t>功能区</w:t>
                  </w:r>
                </w:p>
              </w:tc>
              <w:tc>
                <w:tcPr>
                  <w:tcW w:w="2270" w:type="dxa"/>
                  <w:gridSpan w:val="2"/>
                  <w:vAlign w:val="center"/>
                </w:tcPr>
                <w:p>
                  <w:pPr>
                    <w:adjustRightInd w:val="0"/>
                    <w:snapToGrid w:val="0"/>
                    <w:jc w:val="center"/>
                    <w:rPr>
                      <w:b/>
                      <w:color w:val="auto"/>
                      <w:szCs w:val="21"/>
                    </w:rPr>
                  </w:pPr>
                  <w:r>
                    <w:rPr>
                      <w:b/>
                      <w:color w:val="auto"/>
                      <w:szCs w:val="21"/>
                    </w:rPr>
                    <w:t>噪声限值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7" w:type="dxa"/>
                  <w:vMerge w:val="continue"/>
                  <w:tcBorders>
                    <w:bottom w:val="single" w:color="auto" w:sz="4" w:space="0"/>
                  </w:tcBorders>
                  <w:vAlign w:val="center"/>
                </w:tcPr>
                <w:p>
                  <w:pPr>
                    <w:adjustRightInd w:val="0"/>
                    <w:snapToGrid w:val="0"/>
                    <w:jc w:val="center"/>
                    <w:rPr>
                      <w:color w:val="auto"/>
                      <w:szCs w:val="21"/>
                    </w:rPr>
                  </w:pPr>
                </w:p>
              </w:tc>
              <w:tc>
                <w:tcPr>
                  <w:tcW w:w="3765" w:type="dxa"/>
                  <w:vMerge w:val="continue"/>
                  <w:tcBorders>
                    <w:bottom w:val="single" w:color="auto" w:sz="4" w:space="0"/>
                  </w:tcBorders>
                  <w:vAlign w:val="center"/>
                </w:tcPr>
                <w:p>
                  <w:pPr>
                    <w:adjustRightInd w:val="0"/>
                    <w:snapToGrid w:val="0"/>
                    <w:jc w:val="center"/>
                    <w:rPr>
                      <w:color w:val="auto"/>
                      <w:szCs w:val="21"/>
                    </w:rPr>
                  </w:pPr>
                </w:p>
              </w:tc>
              <w:tc>
                <w:tcPr>
                  <w:tcW w:w="1410" w:type="dxa"/>
                  <w:vMerge w:val="continue"/>
                  <w:tcBorders>
                    <w:bottom w:val="single" w:color="auto" w:sz="4" w:space="0"/>
                  </w:tcBorders>
                  <w:vAlign w:val="center"/>
                </w:tcPr>
                <w:p>
                  <w:pPr>
                    <w:adjustRightInd w:val="0"/>
                    <w:snapToGrid w:val="0"/>
                    <w:jc w:val="center"/>
                    <w:rPr>
                      <w:color w:val="auto"/>
                      <w:szCs w:val="21"/>
                    </w:rPr>
                  </w:pPr>
                </w:p>
              </w:tc>
              <w:tc>
                <w:tcPr>
                  <w:tcW w:w="1135" w:type="dxa"/>
                  <w:tcBorders>
                    <w:bottom w:val="single" w:color="auto" w:sz="4" w:space="0"/>
                  </w:tcBorders>
                  <w:vAlign w:val="center"/>
                </w:tcPr>
                <w:p>
                  <w:pPr>
                    <w:adjustRightInd w:val="0"/>
                    <w:snapToGrid w:val="0"/>
                    <w:jc w:val="center"/>
                    <w:rPr>
                      <w:b/>
                      <w:color w:val="auto"/>
                      <w:szCs w:val="21"/>
                    </w:rPr>
                  </w:pPr>
                  <w:r>
                    <w:rPr>
                      <w:b/>
                      <w:color w:val="auto"/>
                      <w:szCs w:val="21"/>
                    </w:rPr>
                    <w:t>昼间</w:t>
                  </w:r>
                </w:p>
              </w:tc>
              <w:tc>
                <w:tcPr>
                  <w:tcW w:w="1135" w:type="dxa"/>
                  <w:vAlign w:val="center"/>
                </w:tcPr>
                <w:p>
                  <w:pPr>
                    <w:adjustRightInd w:val="0"/>
                    <w:snapToGrid w:val="0"/>
                    <w:jc w:val="center"/>
                    <w:rPr>
                      <w:b/>
                      <w:color w:val="auto"/>
                      <w:szCs w:val="21"/>
                    </w:rPr>
                  </w:pPr>
                  <w:r>
                    <w:rPr>
                      <w:b/>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7" w:type="dxa"/>
                  <w:tcBorders>
                    <w:top w:val="single" w:color="auto" w:sz="4" w:space="0"/>
                    <w:bottom w:val="single" w:color="auto" w:sz="4" w:space="0"/>
                  </w:tcBorders>
                  <w:vAlign w:val="center"/>
                </w:tcPr>
                <w:p>
                  <w:pPr>
                    <w:adjustRightInd w:val="0"/>
                    <w:snapToGrid w:val="0"/>
                    <w:jc w:val="center"/>
                    <w:rPr>
                      <w:color w:val="auto"/>
                      <w:szCs w:val="21"/>
                    </w:rPr>
                  </w:pPr>
                  <w:r>
                    <w:rPr>
                      <w:color w:val="auto"/>
                      <w:szCs w:val="21"/>
                    </w:rPr>
                    <w:t>施工期</w:t>
                  </w:r>
                </w:p>
              </w:tc>
              <w:tc>
                <w:tcPr>
                  <w:tcW w:w="3765" w:type="dxa"/>
                  <w:tcBorders>
                    <w:top w:val="single" w:color="auto" w:sz="4" w:space="0"/>
                    <w:bottom w:val="single" w:color="auto" w:sz="4" w:space="0"/>
                  </w:tcBorders>
                  <w:vAlign w:val="center"/>
                </w:tcPr>
                <w:p>
                  <w:pPr>
                    <w:adjustRightInd w:val="0"/>
                    <w:snapToGrid w:val="0"/>
                    <w:jc w:val="center"/>
                    <w:rPr>
                      <w:color w:val="auto"/>
                      <w:szCs w:val="21"/>
                    </w:rPr>
                  </w:pPr>
                  <w:r>
                    <w:rPr>
                      <w:color w:val="auto"/>
                      <w:szCs w:val="21"/>
                    </w:rPr>
                    <w:t>《建筑施工场界环境噪声排放标准》（GB 12523-2011）</w:t>
                  </w:r>
                </w:p>
              </w:tc>
              <w:tc>
                <w:tcPr>
                  <w:tcW w:w="1410" w:type="dxa"/>
                  <w:tcBorders>
                    <w:top w:val="single" w:color="auto" w:sz="4" w:space="0"/>
                    <w:bottom w:val="single" w:color="auto" w:sz="4" w:space="0"/>
                  </w:tcBorders>
                  <w:vAlign w:val="center"/>
                </w:tcPr>
                <w:p>
                  <w:pPr>
                    <w:adjustRightInd w:val="0"/>
                    <w:snapToGrid w:val="0"/>
                    <w:jc w:val="center"/>
                    <w:rPr>
                      <w:color w:val="auto"/>
                      <w:szCs w:val="21"/>
                    </w:rPr>
                  </w:pPr>
                  <w:r>
                    <w:rPr>
                      <w:rFonts w:hint="eastAsia"/>
                      <w:color w:val="auto"/>
                      <w:szCs w:val="21"/>
                      <w:lang w:val="en-US" w:eastAsia="zh-CN"/>
                    </w:rPr>
                    <w:t>2</w:t>
                  </w:r>
                  <w:r>
                    <w:rPr>
                      <w:color w:val="auto"/>
                      <w:szCs w:val="21"/>
                    </w:rPr>
                    <w:t>类区</w:t>
                  </w:r>
                </w:p>
              </w:tc>
              <w:tc>
                <w:tcPr>
                  <w:tcW w:w="1135" w:type="dxa"/>
                  <w:tcBorders>
                    <w:top w:val="single" w:color="auto" w:sz="4" w:space="0"/>
                    <w:bottom w:val="single" w:color="auto" w:sz="4" w:space="0"/>
                  </w:tcBorders>
                  <w:vAlign w:val="center"/>
                </w:tcPr>
                <w:p>
                  <w:pPr>
                    <w:adjustRightInd w:val="0"/>
                    <w:snapToGrid w:val="0"/>
                    <w:jc w:val="center"/>
                    <w:rPr>
                      <w:color w:val="auto"/>
                      <w:szCs w:val="21"/>
                    </w:rPr>
                  </w:pPr>
                  <w:r>
                    <w:rPr>
                      <w:color w:val="auto"/>
                      <w:szCs w:val="21"/>
                    </w:rPr>
                    <w:t>70</w:t>
                  </w:r>
                </w:p>
              </w:tc>
              <w:tc>
                <w:tcPr>
                  <w:tcW w:w="1135" w:type="dxa"/>
                  <w:vAlign w:val="center"/>
                </w:tcPr>
                <w:p>
                  <w:pPr>
                    <w:adjustRightInd w:val="0"/>
                    <w:snapToGrid w:val="0"/>
                    <w:jc w:val="center"/>
                    <w:rPr>
                      <w:color w:val="auto"/>
                      <w:szCs w:val="21"/>
                    </w:rPr>
                  </w:pPr>
                  <w:r>
                    <w:rPr>
                      <w:color w:val="auto"/>
                      <w:szCs w:val="21"/>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7" w:type="dxa"/>
                  <w:tcBorders>
                    <w:top w:val="single" w:color="auto" w:sz="4" w:space="0"/>
                  </w:tcBorders>
                  <w:vAlign w:val="center"/>
                </w:tcPr>
                <w:p>
                  <w:pPr>
                    <w:adjustRightInd w:val="0"/>
                    <w:snapToGrid w:val="0"/>
                    <w:jc w:val="center"/>
                    <w:rPr>
                      <w:color w:val="auto"/>
                      <w:szCs w:val="21"/>
                    </w:rPr>
                  </w:pPr>
                  <w:r>
                    <w:rPr>
                      <w:color w:val="auto"/>
                      <w:szCs w:val="21"/>
                    </w:rPr>
                    <w:t>运营期</w:t>
                  </w:r>
                </w:p>
              </w:tc>
              <w:tc>
                <w:tcPr>
                  <w:tcW w:w="3765" w:type="dxa"/>
                  <w:tcBorders>
                    <w:top w:val="single" w:color="auto" w:sz="4" w:space="0"/>
                  </w:tcBorders>
                  <w:vAlign w:val="center"/>
                </w:tcPr>
                <w:p>
                  <w:pPr>
                    <w:adjustRightInd w:val="0"/>
                    <w:snapToGrid w:val="0"/>
                    <w:jc w:val="center"/>
                    <w:rPr>
                      <w:color w:val="auto"/>
                      <w:szCs w:val="21"/>
                    </w:rPr>
                  </w:pPr>
                  <w:r>
                    <w:rPr>
                      <w:color w:val="auto"/>
                      <w:szCs w:val="21"/>
                    </w:rPr>
                    <w:t>《工业企业厂界环境噪声排放标准》（GB12348-2008）</w:t>
                  </w:r>
                </w:p>
              </w:tc>
              <w:tc>
                <w:tcPr>
                  <w:tcW w:w="1410" w:type="dxa"/>
                  <w:tcBorders>
                    <w:top w:val="single" w:color="auto" w:sz="4" w:space="0"/>
                  </w:tcBorders>
                  <w:vAlign w:val="center"/>
                </w:tcPr>
                <w:p>
                  <w:pPr>
                    <w:adjustRightInd w:val="0"/>
                    <w:snapToGrid w:val="0"/>
                    <w:jc w:val="center"/>
                    <w:rPr>
                      <w:color w:val="auto"/>
                      <w:szCs w:val="21"/>
                    </w:rPr>
                  </w:pPr>
                  <w:r>
                    <w:rPr>
                      <w:rFonts w:hint="eastAsia"/>
                      <w:color w:val="auto"/>
                      <w:szCs w:val="21"/>
                      <w:lang w:val="en-US" w:eastAsia="zh-CN"/>
                    </w:rPr>
                    <w:t>2</w:t>
                  </w:r>
                  <w:r>
                    <w:rPr>
                      <w:color w:val="auto"/>
                      <w:szCs w:val="21"/>
                    </w:rPr>
                    <w:t>类区</w:t>
                  </w:r>
                </w:p>
              </w:tc>
              <w:tc>
                <w:tcPr>
                  <w:tcW w:w="1135" w:type="dxa"/>
                  <w:tcBorders>
                    <w:top w:val="single" w:color="auto" w:sz="4" w:space="0"/>
                  </w:tcBorders>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60</w:t>
                  </w:r>
                </w:p>
              </w:tc>
              <w:tc>
                <w:tcPr>
                  <w:tcW w:w="1135"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50</w:t>
                  </w:r>
                </w:p>
              </w:tc>
            </w:tr>
          </w:tbl>
          <w:p>
            <w:pPr>
              <w:adjustRightInd w:val="0"/>
              <w:snapToGrid w:val="0"/>
              <w:spacing w:before="156" w:beforeLines="50" w:line="360" w:lineRule="auto"/>
              <w:ind w:firstLine="481" w:firstLineChars="200"/>
              <w:rPr>
                <w:b/>
                <w:bCs/>
                <w:color w:val="auto"/>
                <w:sz w:val="24"/>
                <w:szCs w:val="22"/>
              </w:rPr>
            </w:pPr>
            <w:r>
              <w:rPr>
                <w:b/>
                <w:bCs/>
                <w:color w:val="auto"/>
                <w:sz w:val="24"/>
                <w:szCs w:val="22"/>
              </w:rPr>
              <w:t>4、固废</w:t>
            </w:r>
          </w:p>
          <w:p>
            <w:pPr>
              <w:widowControl/>
              <w:adjustRightInd w:val="0"/>
              <w:snapToGrid w:val="0"/>
              <w:spacing w:line="360" w:lineRule="auto"/>
              <w:ind w:firstLine="480" w:firstLineChars="200"/>
              <w:jc w:val="left"/>
              <w:rPr>
                <w:color w:val="auto"/>
                <w:sz w:val="24"/>
              </w:rPr>
            </w:pPr>
            <w:r>
              <w:rPr>
                <w:color w:val="auto"/>
                <w:sz w:val="24"/>
              </w:rPr>
              <w:t>一般固体废物执行《中华人民共和国固体废物污染环境防治法》第二十条</w:t>
            </w:r>
            <w:r>
              <w:rPr>
                <w:rFonts w:hint="eastAsia"/>
                <w:color w:val="auto"/>
                <w:sz w:val="24"/>
                <w:lang w:eastAsia="zh-CN"/>
              </w:rPr>
              <w:t>“</w:t>
            </w:r>
            <w:r>
              <w:rPr>
                <w:color w:val="auto"/>
                <w:sz w:val="24"/>
                <w:shd w:val="clear" w:color="auto" w:fill="FFFFFF"/>
              </w:rPr>
              <w:t>产生、收集、贮存、运输、利用、处置固体废物的单位和其他生产经营者，应当采取防扬散、防流失、防渗漏或者其他防止污染环境的措施，不得擅自倾倒、堆放、丢弃、遗撒固体废物</w:t>
            </w:r>
            <w:r>
              <w:rPr>
                <w:rFonts w:hint="eastAsia"/>
                <w:color w:val="auto"/>
                <w:sz w:val="24"/>
                <w:shd w:val="clear" w:color="auto" w:fill="FFFFFF"/>
                <w:lang w:eastAsia="zh-CN"/>
              </w:rPr>
              <w:t>”</w:t>
            </w:r>
            <w:r>
              <w:rPr>
                <w:color w:val="auto"/>
                <w:sz w:val="24"/>
              </w:rPr>
              <w:t>；</w:t>
            </w:r>
          </w:p>
          <w:p>
            <w:pPr>
              <w:widowControl/>
              <w:ind w:firstLine="480" w:firstLineChars="200"/>
              <w:jc w:val="left"/>
              <w:rPr>
                <w:color w:val="FF0000"/>
                <w:kern w:val="0"/>
                <w:sz w:val="24"/>
              </w:rPr>
            </w:pPr>
            <w:r>
              <w:rPr>
                <w:rFonts w:hint="eastAsia" w:eastAsiaTheme="minorEastAsia"/>
                <w:color w:val="auto"/>
                <w:sz w:val="24"/>
                <w:lang w:val="en-US" w:eastAsia="zh-CN"/>
              </w:rPr>
              <w:t>本项目运行过程产生废机油、废机油桶等危险废物，需按照《危险废物贮存污染控制标准》（GB18597-2023）的相关要求设置贮存点，并按规范收集、贮存、处置。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08" w:type="dxa"/>
            <w:left w:w="108" w:type="dxa"/>
            <w:bottom w:w="0" w:type="dxa"/>
            <w:right w:w="108" w:type="dxa"/>
          </w:tblCellMar>
        </w:tblPrEx>
        <w:trPr>
          <w:trHeight w:val="13864" w:hRule="atLeast"/>
          <w:jc w:val="center"/>
        </w:trPr>
        <w:tc>
          <w:tcPr>
            <w:tcW w:w="597" w:type="dxa"/>
            <w:vAlign w:val="center"/>
          </w:tcPr>
          <w:p>
            <w:pPr>
              <w:adjustRightInd w:val="0"/>
              <w:snapToGrid w:val="0"/>
              <w:jc w:val="center"/>
              <w:rPr>
                <w:b/>
                <w:bCs/>
                <w:color w:val="auto"/>
                <w:kern w:val="0"/>
                <w:sz w:val="24"/>
              </w:rPr>
            </w:pPr>
            <w:r>
              <w:rPr>
                <w:b/>
                <w:bCs/>
                <w:color w:val="auto"/>
                <w:kern w:val="0"/>
                <w:sz w:val="24"/>
              </w:rPr>
              <w:t>总量</w:t>
            </w:r>
          </w:p>
          <w:p>
            <w:pPr>
              <w:adjustRightInd w:val="0"/>
              <w:snapToGrid w:val="0"/>
              <w:jc w:val="center"/>
              <w:rPr>
                <w:b/>
                <w:bCs/>
                <w:color w:val="auto"/>
                <w:kern w:val="0"/>
                <w:sz w:val="24"/>
              </w:rPr>
            </w:pPr>
            <w:r>
              <w:rPr>
                <w:b/>
                <w:bCs/>
                <w:color w:val="auto"/>
                <w:kern w:val="0"/>
                <w:sz w:val="24"/>
              </w:rPr>
              <w:t>控制</w:t>
            </w:r>
          </w:p>
          <w:p>
            <w:pPr>
              <w:adjustRightInd w:val="0"/>
              <w:snapToGrid w:val="0"/>
              <w:jc w:val="center"/>
              <w:rPr>
                <w:b/>
                <w:bCs/>
                <w:color w:val="auto"/>
                <w:kern w:val="0"/>
                <w:sz w:val="24"/>
                <w:highlight w:val="yellow"/>
              </w:rPr>
            </w:pPr>
            <w:r>
              <w:rPr>
                <w:b/>
                <w:bCs/>
                <w:color w:val="auto"/>
                <w:kern w:val="0"/>
                <w:sz w:val="24"/>
              </w:rPr>
              <w:t>指标</w:t>
            </w:r>
          </w:p>
        </w:tc>
        <w:tc>
          <w:tcPr>
            <w:tcW w:w="8577" w:type="dxa"/>
            <w:vAlign w:val="center"/>
          </w:tcPr>
          <w:p>
            <w:pPr>
              <w:pStyle w:val="4"/>
              <w:adjustRightInd w:val="0"/>
              <w:snapToGrid w:val="0"/>
              <w:spacing w:before="0" w:after="0" w:line="360" w:lineRule="auto"/>
              <w:ind w:firstLine="480" w:firstLineChars="200"/>
              <w:rPr>
                <w:rFonts w:ascii="Times New Roman" w:hAnsi="Times New Roman" w:eastAsia="宋体"/>
                <w:color w:val="auto"/>
                <w:kern w:val="24"/>
                <w:sz w:val="24"/>
              </w:rPr>
            </w:pPr>
            <w:r>
              <w:rPr>
                <w:rFonts w:hint="eastAsia" w:ascii="Times New Roman" w:hAnsi="Times New Roman" w:eastAsia="宋体"/>
                <w:b w:val="0"/>
                <w:bCs/>
                <w:color w:val="auto"/>
                <w:kern w:val="24"/>
                <w:sz w:val="24"/>
                <w:szCs w:val="24"/>
              </w:rPr>
              <w:t>本</w:t>
            </w:r>
            <w:r>
              <w:rPr>
                <w:rFonts w:ascii="Times New Roman" w:hAnsi="Times New Roman" w:eastAsia="宋体"/>
                <w:b w:val="0"/>
                <w:bCs/>
                <w:color w:val="auto"/>
                <w:kern w:val="24"/>
                <w:sz w:val="24"/>
                <w:szCs w:val="24"/>
              </w:rPr>
              <w:t>项目无新增废水外排</w:t>
            </w:r>
            <w:r>
              <w:rPr>
                <w:rFonts w:hint="eastAsia" w:ascii="Times New Roman" w:hAnsi="Times New Roman" w:eastAsia="宋体"/>
                <w:b w:val="0"/>
                <w:bCs/>
                <w:color w:val="auto"/>
                <w:kern w:val="24"/>
                <w:sz w:val="24"/>
                <w:szCs w:val="24"/>
              </w:rPr>
              <w:t>；大气污染物为颗粒物</w:t>
            </w:r>
            <w:r>
              <w:rPr>
                <w:rFonts w:hint="eastAsia" w:ascii="Times New Roman" w:hAnsi="Times New Roman" w:eastAsia="宋体"/>
                <w:b w:val="0"/>
                <w:bCs/>
                <w:color w:val="auto"/>
                <w:kern w:val="24"/>
                <w:sz w:val="24"/>
                <w:szCs w:val="24"/>
                <w:lang w:eastAsia="zh-CN"/>
              </w:rPr>
              <w:t>，</w:t>
            </w:r>
            <w:r>
              <w:rPr>
                <w:rFonts w:hint="eastAsia" w:ascii="Times New Roman" w:hAnsi="Times New Roman" w:eastAsia="宋体"/>
                <w:b w:val="0"/>
                <w:bCs/>
                <w:color w:val="auto"/>
                <w:kern w:val="24"/>
                <w:sz w:val="24"/>
                <w:szCs w:val="24"/>
                <w:lang w:val="en-US" w:eastAsia="zh-CN"/>
              </w:rPr>
              <w:t>属</w:t>
            </w:r>
            <w:r>
              <w:rPr>
                <w:rFonts w:hint="eastAsia" w:ascii="Times New Roman" w:hAnsi="Times New Roman" w:eastAsia="宋体"/>
                <w:b w:val="0"/>
                <w:bCs/>
                <w:color w:val="auto"/>
                <w:kern w:val="24"/>
                <w:sz w:val="24"/>
                <w:szCs w:val="24"/>
              </w:rPr>
              <w:t>无组织排放。因此，本项目</w:t>
            </w:r>
            <w:r>
              <w:rPr>
                <w:rFonts w:ascii="Times New Roman" w:hAnsi="Times New Roman" w:eastAsia="宋体"/>
                <w:b w:val="0"/>
                <w:bCs/>
                <w:color w:val="auto"/>
                <w:kern w:val="24"/>
                <w:sz w:val="24"/>
                <w:szCs w:val="24"/>
              </w:rPr>
              <w:t>无需申请总量控制指标。</w:t>
            </w:r>
          </w:p>
        </w:tc>
      </w:tr>
    </w:tbl>
    <w:p>
      <w:pPr>
        <w:adjustRightInd w:val="0"/>
        <w:snapToGrid w:val="0"/>
        <w:ind w:firstLine="600" w:firstLineChars="200"/>
        <w:jc w:val="center"/>
        <w:rPr>
          <w:rFonts w:eastAsia="黑体"/>
          <w:color w:val="FF0000"/>
          <w:sz w:val="30"/>
          <w:szCs w:val="30"/>
        </w:rPr>
        <w:sectPr>
          <w:pgSz w:w="11906" w:h="16838"/>
          <w:pgMar w:top="1417" w:right="1474" w:bottom="1417" w:left="1474" w:header="850" w:footer="1020" w:gutter="0"/>
          <w:pgBorders>
            <w:top w:val="none" w:sz="0" w:space="0"/>
            <w:left w:val="none" w:sz="0" w:space="0"/>
            <w:bottom w:val="none" w:sz="0" w:space="0"/>
            <w:right w:val="none" w:sz="0" w:space="0"/>
          </w:pgBorders>
          <w:cols w:space="720" w:num="1"/>
          <w:docGrid w:type="lines" w:linePitch="312" w:charSpace="0"/>
        </w:sectPr>
      </w:pPr>
    </w:p>
    <w:p>
      <w:pPr>
        <w:adjustRightInd w:val="0"/>
        <w:snapToGrid w:val="0"/>
        <w:jc w:val="center"/>
        <w:outlineLvl w:val="0"/>
        <w:rPr>
          <w:rFonts w:eastAsia="黑体"/>
          <w:color w:val="auto"/>
          <w:sz w:val="30"/>
          <w:szCs w:val="30"/>
        </w:rPr>
      </w:pPr>
      <w:r>
        <w:rPr>
          <w:rFonts w:eastAsia="黑体"/>
          <w:color w:val="auto"/>
          <w:sz w:val="30"/>
          <w:szCs w:val="30"/>
        </w:rPr>
        <w:t>四、主要环境影响和保护措施</w:t>
      </w:r>
    </w:p>
    <w:tbl>
      <w:tblPr>
        <w:tblStyle w:val="24"/>
        <w:tblW w:w="504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08" w:type="dxa"/>
          <w:left w:w="108" w:type="dxa"/>
          <w:bottom w:w="108" w:type="dxa"/>
          <w:right w:w="108" w:type="dxa"/>
        </w:tblCellMar>
      </w:tblPr>
      <w:tblGrid>
        <w:gridCol w:w="398"/>
        <w:gridCol w:w="85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08" w:type="dxa"/>
            <w:left w:w="108" w:type="dxa"/>
            <w:bottom w:w="108" w:type="dxa"/>
            <w:right w:w="108" w:type="dxa"/>
          </w:tblCellMar>
        </w:tblPrEx>
        <w:trPr>
          <w:trHeight w:val="12907" w:hRule="atLeast"/>
          <w:jc w:val="center"/>
        </w:trPr>
        <w:tc>
          <w:tcPr>
            <w:tcW w:w="717" w:type="dxa"/>
            <w:tcMar>
              <w:left w:w="28" w:type="dxa"/>
              <w:right w:w="28" w:type="dxa"/>
            </w:tcMar>
            <w:vAlign w:val="center"/>
          </w:tcPr>
          <w:p>
            <w:pPr>
              <w:pStyle w:val="20"/>
              <w:adjustRightInd w:val="0"/>
              <w:snapToGrid w:val="0"/>
              <w:spacing w:before="0" w:beforeAutospacing="0" w:after="0" w:afterAutospacing="0"/>
              <w:jc w:val="center"/>
              <w:rPr>
                <w:rFonts w:ascii="Times New Roman" w:hAnsi="Times New Roman"/>
                <w:b/>
                <w:bCs/>
                <w:color w:val="FF0000"/>
                <w:kern w:val="2"/>
                <w:szCs w:val="21"/>
              </w:rPr>
            </w:pPr>
            <w:r>
              <w:rPr>
                <w:rFonts w:ascii="Times New Roman" w:hAnsi="Times New Roman"/>
                <w:b/>
                <w:bCs/>
                <w:color w:val="auto"/>
                <w:kern w:val="2"/>
                <w:szCs w:val="21"/>
              </w:rPr>
              <w:t>施工期</w:t>
            </w:r>
            <w:r>
              <w:rPr>
                <w:rFonts w:hint="eastAsia" w:ascii="Times New Roman" w:hAnsi="Times New Roman"/>
                <w:b/>
                <w:bCs/>
                <w:color w:val="auto"/>
                <w:kern w:val="2"/>
                <w:szCs w:val="21"/>
                <w:lang w:eastAsia="zh-CN"/>
              </w:rPr>
              <w:t>及拆除阶段</w:t>
            </w:r>
            <w:r>
              <w:rPr>
                <w:rFonts w:ascii="Times New Roman" w:hAnsi="Times New Roman"/>
                <w:b/>
                <w:bCs/>
                <w:color w:val="auto"/>
                <w:kern w:val="2"/>
                <w:szCs w:val="21"/>
              </w:rPr>
              <w:t>环境保护措施</w:t>
            </w:r>
          </w:p>
        </w:tc>
        <w:tc>
          <w:tcPr>
            <w:tcW w:w="8151" w:type="dxa"/>
            <w:vAlign w:val="center"/>
          </w:tcPr>
          <w:p>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FF0000"/>
                <w:sz w:val="24"/>
                <w:szCs w:val="24"/>
              </w:rPr>
            </w:pPr>
            <w:r>
              <w:rPr>
                <w:rFonts w:hint="default" w:ascii="Times New Roman" w:hAnsi="Times New Roman" w:cs="Times New Roman" w:eastAsiaTheme="minorEastAsia"/>
                <w:color w:val="auto"/>
                <w:sz w:val="24"/>
                <w:szCs w:val="24"/>
              </w:rPr>
              <w:t>本项目为新建项目，建设单位租用</w:t>
            </w:r>
            <w:r>
              <w:rPr>
                <w:rFonts w:hint="eastAsia" w:cs="Times New Roman" w:eastAsiaTheme="minorEastAsia"/>
                <w:color w:val="auto"/>
                <w:sz w:val="24"/>
                <w:szCs w:val="24"/>
                <w:lang w:val="en-US" w:eastAsia="zh-CN"/>
              </w:rPr>
              <w:t>沙坡头区东园镇土地，</w:t>
            </w:r>
            <w:r>
              <w:rPr>
                <w:rFonts w:hint="default" w:ascii="Times New Roman" w:hAnsi="Times New Roman" w:cs="Times New Roman" w:eastAsiaTheme="minorEastAsia"/>
                <w:color w:val="auto"/>
                <w:sz w:val="24"/>
                <w:szCs w:val="24"/>
              </w:rPr>
              <w:t>主要建设</w:t>
            </w:r>
            <w:r>
              <w:rPr>
                <w:rFonts w:hint="default" w:ascii="Times New Roman" w:hAnsi="Times New Roman" w:cs="Times New Roman" w:eastAsiaTheme="minorEastAsia"/>
                <w:bCs/>
                <w:snapToGrid w:val="0"/>
                <w:color w:val="auto"/>
                <w:kern w:val="0"/>
                <w:sz w:val="24"/>
                <w:szCs w:val="24"/>
              </w:rPr>
              <w:t>临时混凝土</w:t>
            </w:r>
            <w:r>
              <w:rPr>
                <w:rFonts w:hint="eastAsia" w:cs="Times New Roman" w:eastAsiaTheme="minorEastAsia"/>
                <w:bCs/>
                <w:snapToGrid w:val="0"/>
                <w:color w:val="auto"/>
                <w:kern w:val="0"/>
                <w:sz w:val="24"/>
                <w:szCs w:val="24"/>
                <w:lang w:val="en-US" w:eastAsia="zh-CN"/>
              </w:rPr>
              <w:t>拌合</w:t>
            </w:r>
            <w:r>
              <w:rPr>
                <w:rFonts w:hint="default" w:ascii="Times New Roman" w:hAnsi="Times New Roman" w:cs="Times New Roman" w:eastAsiaTheme="minorEastAsia"/>
                <w:bCs/>
                <w:snapToGrid w:val="0"/>
                <w:color w:val="auto"/>
                <w:kern w:val="0"/>
                <w:sz w:val="24"/>
                <w:szCs w:val="24"/>
              </w:rPr>
              <w:t>站</w:t>
            </w:r>
            <w:r>
              <w:rPr>
                <w:rFonts w:hint="default" w:ascii="Times New Roman" w:hAnsi="Times New Roman" w:cs="Times New Roman" w:eastAsiaTheme="minorEastAsia"/>
                <w:color w:val="auto"/>
                <w:sz w:val="24"/>
                <w:szCs w:val="24"/>
              </w:rPr>
              <w:t>及配套的公辅、环保工程等。</w:t>
            </w:r>
          </w:p>
          <w:p>
            <w:pPr>
              <w:pageBreakBefore w:val="0"/>
              <w:kinsoku/>
              <w:wordWrap/>
              <w:overflowPunct/>
              <w:topLinePunct w:val="0"/>
              <w:autoSpaceDE/>
              <w:autoSpaceDN/>
              <w:bidi w:val="0"/>
              <w:adjustRightInd w:val="0"/>
              <w:snapToGrid w:val="0"/>
              <w:spacing w:line="360" w:lineRule="auto"/>
              <w:ind w:firstLine="481" w:firstLineChars="200"/>
              <w:textAlignment w:val="auto"/>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eastAsiaTheme="minorEastAsia"/>
                <w:b/>
                <w:bCs/>
                <w:color w:val="auto"/>
                <w:sz w:val="24"/>
                <w:szCs w:val="24"/>
                <w:lang w:eastAsia="zh-CN"/>
              </w:rPr>
              <w:t>一、施工期环境保护措施</w:t>
            </w:r>
          </w:p>
          <w:p>
            <w:pPr>
              <w:pageBreakBefore w:val="0"/>
              <w:kinsoku/>
              <w:wordWrap/>
              <w:overflowPunct/>
              <w:topLinePunct w:val="0"/>
              <w:autoSpaceDE/>
              <w:autoSpaceDN/>
              <w:bidi w:val="0"/>
              <w:adjustRightInd w:val="0"/>
              <w:snapToGrid w:val="0"/>
              <w:spacing w:line="360" w:lineRule="auto"/>
              <w:ind w:firstLine="481" w:firstLineChars="200"/>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1、废气</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项目施工期环境污染物主要为施工扬尘及施工机械、车辆排放的尾气。</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扬尘包括施工扬尘和道路运输扬尘，其中施工扬尘主要来自</w:t>
            </w:r>
            <w:r>
              <w:rPr>
                <w:rFonts w:hint="eastAsia" w:cs="Times New Roman" w:eastAsiaTheme="minorEastAsia"/>
                <w:color w:val="auto"/>
                <w:sz w:val="24"/>
                <w:szCs w:val="24"/>
                <w:lang w:val="en-US" w:eastAsia="zh-CN"/>
              </w:rPr>
              <w:t>拌合</w:t>
            </w:r>
            <w:r>
              <w:rPr>
                <w:rFonts w:hint="default" w:ascii="Times New Roman" w:hAnsi="Times New Roman" w:cs="Times New Roman" w:eastAsiaTheme="minorEastAsia"/>
                <w:color w:val="auto"/>
                <w:sz w:val="24"/>
                <w:szCs w:val="24"/>
              </w:rPr>
              <w:t>站建设过程中的物料装卸、堆放以及渣土临时堆放等过程。车辆进出厂区产生道路运输扬尘。为降低施工期扬尘及施工机械、车辆排放的尾气。对周围环境的影响，施工单位在施工期间采取以下措施：</w:t>
            </w:r>
          </w:p>
          <w:p>
            <w:pPr>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kern w:val="0"/>
                <w:sz w:val="24"/>
                <w:szCs w:val="24"/>
                <w:lang w:bidi="ar"/>
              </w:rPr>
              <w:t>建筑工地全面落实“六个100%”的扬尘防控措施：①100%标准围挡；②裸露黄土100%覆盖；③施工道路100%硬化；④渣土运输车辆100%密闭拉运；⑤施工车辆100%冲洗清洁；⑥建筑物拆除100%湿法作业；</w:t>
            </w:r>
          </w:p>
          <w:p>
            <w:pPr>
              <w:pStyle w:val="11"/>
              <w:pageBreakBefore w:val="0"/>
              <w:kinsoku/>
              <w:wordWrap/>
              <w:overflowPunct/>
              <w:topLinePunct w:val="0"/>
              <w:autoSpaceDE/>
              <w:autoSpaceDN/>
              <w:bidi w:val="0"/>
              <w:adjustRightInd w:val="0"/>
              <w:spacing w:before="0" w:after="0" w:line="360" w:lineRule="auto"/>
              <w:ind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通过适当洒水使施工作业面保持一定的湿度，防止粉尘污染环境；</w:t>
            </w:r>
          </w:p>
          <w:p>
            <w:pPr>
              <w:pStyle w:val="11"/>
              <w:pageBreakBefore w:val="0"/>
              <w:kinsoku/>
              <w:wordWrap/>
              <w:overflowPunct/>
              <w:topLinePunct w:val="0"/>
              <w:autoSpaceDE/>
              <w:autoSpaceDN/>
              <w:bidi w:val="0"/>
              <w:adjustRightInd w:val="0"/>
              <w:spacing w:before="0" w:after="0" w:line="360" w:lineRule="auto"/>
              <w:ind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rPr>
              <w:t>运输建筑材料和设备的车辆不得超载，运输沙土、水泥、土方的车辆采取加盖苫布等防尘措施，防止物料沿途抛撒导致二次扬尘污染；</w:t>
            </w:r>
          </w:p>
          <w:p>
            <w:pPr>
              <w:pStyle w:val="11"/>
              <w:pageBreakBefore w:val="0"/>
              <w:kinsoku/>
              <w:wordWrap/>
              <w:overflowPunct/>
              <w:topLinePunct w:val="0"/>
              <w:autoSpaceDE/>
              <w:autoSpaceDN/>
              <w:bidi w:val="0"/>
              <w:adjustRightInd w:val="0"/>
              <w:spacing w:before="0" w:after="0" w:line="360" w:lineRule="auto"/>
              <w:ind w:right="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rPr>
              <w:t>出入工地的运输车辆及时冲洗</w:t>
            </w:r>
            <w:r>
              <w:rPr>
                <w:rFonts w:hint="eastAsia" w:cs="Times New Roman" w:eastAsiaTheme="minorEastAsia"/>
                <w:color w:val="auto"/>
                <w:sz w:val="24"/>
                <w:szCs w:val="24"/>
                <w:lang w:eastAsia="zh-CN"/>
              </w:rPr>
              <w:t>轮胎</w:t>
            </w:r>
            <w:r>
              <w:rPr>
                <w:rFonts w:hint="default" w:ascii="Times New Roman" w:hAnsi="Times New Roman" w:cs="Times New Roman" w:eastAsiaTheme="minorEastAsia"/>
                <w:color w:val="auto"/>
                <w:sz w:val="24"/>
                <w:szCs w:val="24"/>
              </w:rPr>
              <w:t>，不携带泥土驶出施工工地；</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rPr>
              <w:t>完工后及时清理和平整场地，在主体工程完工后一个月内对裸露地面采取有效</w:t>
            </w:r>
            <w:r>
              <w:rPr>
                <w:rFonts w:hint="eastAsia" w:cs="Times New Roman" w:eastAsiaTheme="minorEastAsia"/>
                <w:color w:val="auto"/>
                <w:sz w:val="24"/>
                <w:szCs w:val="24"/>
                <w:lang w:val="en-US" w:eastAsia="zh-CN"/>
              </w:rPr>
              <w:t>防护</w:t>
            </w:r>
            <w:r>
              <w:rPr>
                <w:rFonts w:hint="default" w:ascii="Times New Roman" w:hAnsi="Times New Roman" w:cs="Times New Roman" w:eastAsiaTheme="minorEastAsia"/>
                <w:color w:val="auto"/>
                <w:sz w:val="24"/>
                <w:szCs w:val="24"/>
              </w:rPr>
              <w:t>措施，防止扬尘污染</w:t>
            </w:r>
            <w:r>
              <w:rPr>
                <w:rFonts w:hint="default" w:ascii="Times New Roman" w:hAnsi="Times New Roman" w:cs="Times New Roman" w:eastAsiaTheme="minorEastAsia"/>
                <w:color w:val="auto"/>
                <w:kern w:val="0"/>
                <w:sz w:val="24"/>
                <w:szCs w:val="24"/>
              </w:rPr>
              <w:t>；</w:t>
            </w:r>
          </w:p>
          <w:p>
            <w:pPr>
              <w:pStyle w:val="4"/>
              <w:pageBreakBefore w:val="0"/>
              <w:kinsoku/>
              <w:wordWrap/>
              <w:overflowPunct/>
              <w:topLinePunct w:val="0"/>
              <w:autoSpaceDE/>
              <w:autoSpaceDN/>
              <w:bidi w:val="0"/>
              <w:adjustRightInd w:val="0"/>
              <w:snapToGrid w:val="0"/>
              <w:spacing w:before="0" w:after="0" w:line="360" w:lineRule="auto"/>
              <w:ind w:firstLine="480" w:firstLineChars="200"/>
              <w:textAlignment w:val="auto"/>
              <w:rPr>
                <w:rFonts w:hint="default" w:ascii="Times New Roman" w:hAnsi="Times New Roman" w:cs="Times New Roman" w:eastAsiaTheme="minorEastAsia"/>
                <w:b w:val="0"/>
                <w:bCs/>
                <w:color w:val="auto"/>
                <w:sz w:val="24"/>
                <w:szCs w:val="24"/>
              </w:rPr>
            </w:pPr>
            <w:r>
              <w:rPr>
                <w:rFonts w:hint="default" w:ascii="Times New Roman" w:hAnsi="Times New Roman" w:cs="Times New Roman" w:eastAsiaTheme="minorEastAsia"/>
                <w:b w:val="0"/>
                <w:bCs/>
                <w:color w:val="auto"/>
                <w:kern w:val="0"/>
                <w:sz w:val="24"/>
                <w:szCs w:val="24"/>
                <w:lang w:val="en-US" w:eastAsia="zh-CN"/>
              </w:rPr>
              <w:t>（6）</w:t>
            </w:r>
            <w:r>
              <w:rPr>
                <w:rFonts w:hint="default" w:ascii="Times New Roman" w:hAnsi="Times New Roman" w:cs="Times New Roman" w:eastAsiaTheme="minorEastAsia"/>
                <w:b w:val="0"/>
                <w:bCs/>
                <w:color w:val="auto"/>
                <w:sz w:val="24"/>
                <w:szCs w:val="24"/>
              </w:rPr>
              <w:t>施工期间，使用液体燃料的施工机械及运输车辆的发动机排放的尾气中含有NO</w:t>
            </w:r>
            <w:r>
              <w:rPr>
                <w:rFonts w:hint="default" w:ascii="Times New Roman" w:hAnsi="Times New Roman" w:cs="Times New Roman" w:eastAsiaTheme="minorEastAsia"/>
                <w:b w:val="0"/>
                <w:bCs/>
                <w:color w:val="auto"/>
                <w:sz w:val="24"/>
                <w:szCs w:val="24"/>
                <w:vertAlign w:val="subscript"/>
              </w:rPr>
              <w:t>x</w:t>
            </w:r>
            <w:r>
              <w:rPr>
                <w:rFonts w:hint="default" w:ascii="Times New Roman" w:hAnsi="Times New Roman" w:cs="Times New Roman" w:eastAsiaTheme="minorEastAsia"/>
                <w:b w:val="0"/>
                <w:bCs/>
                <w:color w:val="auto"/>
                <w:sz w:val="24"/>
                <w:szCs w:val="24"/>
              </w:rPr>
              <w:t>、CO等污染物。一般情况下，此类污染物的排放量较小，且属间断性无组织排放，施工过程中注意施工设备的维护，保证其正常运行，提高原料利用率等。</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综上所述，本项目施工期在落实大气环境保护措施的前提下，对</w:t>
            </w:r>
            <w:r>
              <w:rPr>
                <w:rFonts w:hint="eastAsia" w:cs="Times New Roman" w:eastAsiaTheme="minorEastAsia"/>
                <w:color w:val="auto"/>
                <w:sz w:val="24"/>
                <w:szCs w:val="24"/>
                <w:lang w:val="en-US" w:eastAsia="zh-CN"/>
              </w:rPr>
              <w:t>项目</w:t>
            </w:r>
            <w:r>
              <w:rPr>
                <w:rFonts w:hint="default" w:ascii="Times New Roman" w:hAnsi="Times New Roman" w:cs="Times New Roman" w:eastAsiaTheme="minorEastAsia"/>
                <w:color w:val="auto"/>
                <w:sz w:val="24"/>
                <w:szCs w:val="24"/>
              </w:rPr>
              <w:t>周边大气环境影响较小。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1" w:firstLineChars="200"/>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lang w:val="en-US" w:eastAsia="zh-CN"/>
              </w:rPr>
              <w:t>2</w:t>
            </w:r>
            <w:r>
              <w:rPr>
                <w:rFonts w:hint="default" w:ascii="Times New Roman" w:hAnsi="Times New Roman" w:cs="Times New Roman" w:eastAsiaTheme="minorEastAsia"/>
                <w:b/>
                <w:bCs/>
                <w:color w:val="auto"/>
                <w:sz w:val="24"/>
                <w:szCs w:val="24"/>
                <w:lang w:eastAsia="zh-CN"/>
              </w:rPr>
              <w:t>、</w:t>
            </w:r>
            <w:r>
              <w:rPr>
                <w:rFonts w:hint="default" w:ascii="Times New Roman" w:hAnsi="Times New Roman" w:cs="Times New Roman" w:eastAsiaTheme="minorEastAsia"/>
                <w:b/>
                <w:bCs/>
                <w:color w:val="auto"/>
                <w:sz w:val="24"/>
                <w:szCs w:val="24"/>
              </w:rPr>
              <w:t>废水</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施工期废水主要为施工人员</w:t>
            </w:r>
            <w:r>
              <w:rPr>
                <w:rFonts w:hint="eastAsia" w:cs="Times New Roman" w:eastAsiaTheme="minorEastAsia"/>
                <w:color w:val="auto"/>
                <w:sz w:val="24"/>
                <w:szCs w:val="24"/>
                <w:lang w:val="en-US" w:eastAsia="zh-CN"/>
              </w:rPr>
              <w:t>产生的</w:t>
            </w:r>
            <w:r>
              <w:rPr>
                <w:rFonts w:hint="default" w:ascii="Times New Roman" w:hAnsi="Times New Roman" w:cs="Times New Roman" w:eastAsiaTheme="minorEastAsia"/>
                <w:color w:val="auto"/>
                <w:sz w:val="24"/>
                <w:szCs w:val="24"/>
              </w:rPr>
              <w:t>生活污水和</w:t>
            </w:r>
            <w:r>
              <w:rPr>
                <w:rFonts w:hint="eastAsia" w:cs="Times New Roman" w:eastAsiaTheme="minorEastAsia"/>
                <w:color w:val="auto"/>
                <w:sz w:val="24"/>
                <w:szCs w:val="24"/>
                <w:lang w:eastAsia="zh-CN"/>
              </w:rPr>
              <w:t>运输车辆轮胎</w:t>
            </w:r>
            <w:r>
              <w:rPr>
                <w:rFonts w:hint="default" w:ascii="Times New Roman" w:hAnsi="Times New Roman" w:cs="Times New Roman" w:eastAsiaTheme="minorEastAsia"/>
                <w:color w:val="auto"/>
                <w:sz w:val="24"/>
                <w:szCs w:val="24"/>
              </w:rPr>
              <w:t>清洗废水。</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施工期为施工人员提供环保</w:t>
            </w:r>
            <w:r>
              <w:rPr>
                <w:rFonts w:hint="eastAsia" w:cs="Times New Roman" w:eastAsiaTheme="minorEastAsia"/>
                <w:color w:val="auto"/>
                <w:sz w:val="24"/>
                <w:szCs w:val="24"/>
                <w:lang w:val="en-US" w:eastAsia="zh-CN"/>
              </w:rPr>
              <w:t>厕所</w:t>
            </w:r>
            <w:r>
              <w:rPr>
                <w:rFonts w:hint="default" w:ascii="Times New Roman" w:hAnsi="Times New Roman" w:cs="Times New Roman" w:eastAsiaTheme="minorEastAsia"/>
                <w:color w:val="auto"/>
                <w:sz w:val="24"/>
                <w:szCs w:val="24"/>
              </w:rPr>
              <w:t>供施工人员方便，生活污水经</w:t>
            </w:r>
            <w:r>
              <w:rPr>
                <w:rFonts w:hint="eastAsia" w:cs="Times New Roman" w:eastAsiaTheme="minorEastAsia"/>
                <w:color w:val="auto"/>
                <w:sz w:val="24"/>
                <w:szCs w:val="24"/>
                <w:lang w:val="en-US" w:eastAsia="zh-CN"/>
              </w:rPr>
              <w:t>化粪池</w:t>
            </w:r>
            <w:r>
              <w:rPr>
                <w:rFonts w:hint="default" w:ascii="Times New Roman" w:hAnsi="Times New Roman" w:cs="Times New Roman" w:eastAsiaTheme="minorEastAsia"/>
                <w:color w:val="auto"/>
                <w:kern w:val="0"/>
                <w:sz w:val="24"/>
                <w:szCs w:val="24"/>
              </w:rPr>
              <w:t>处理后定期</w:t>
            </w:r>
            <w:r>
              <w:rPr>
                <w:rFonts w:hint="eastAsia" w:cs="Times New Roman" w:eastAsiaTheme="minorEastAsia"/>
                <w:color w:val="auto"/>
                <w:kern w:val="0"/>
                <w:sz w:val="24"/>
                <w:szCs w:val="24"/>
                <w:lang w:val="en-US" w:eastAsia="zh-CN"/>
              </w:rPr>
              <w:t>清运至中卫市第一污水处理厂</w:t>
            </w:r>
            <w:r>
              <w:rPr>
                <w:rFonts w:hint="default" w:ascii="Times New Roman" w:hAnsi="Times New Roman" w:cs="Times New Roman" w:eastAsiaTheme="minorEastAsia"/>
                <w:color w:val="auto"/>
                <w:sz w:val="24"/>
                <w:szCs w:val="24"/>
              </w:rPr>
              <w:t>；在施工场地内合理布置沉淀池，建筑施工废水经沉淀池</w:t>
            </w:r>
            <w:r>
              <w:rPr>
                <w:rFonts w:hint="eastAsia" w:cs="Times New Roman" w:eastAsiaTheme="minorEastAsia"/>
                <w:color w:val="auto"/>
                <w:sz w:val="24"/>
                <w:szCs w:val="24"/>
                <w:lang w:val="en-US" w:eastAsia="zh-CN"/>
              </w:rPr>
              <w:t>进行</w:t>
            </w:r>
            <w:r>
              <w:rPr>
                <w:rFonts w:hint="default" w:ascii="Times New Roman" w:hAnsi="Times New Roman" w:cs="Times New Roman" w:eastAsiaTheme="minorEastAsia"/>
                <w:color w:val="auto"/>
                <w:sz w:val="24"/>
                <w:szCs w:val="24"/>
              </w:rPr>
              <w:t>沉淀后回用，不外排。</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因此，本项目施工期对周边水环境影响较小。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1" w:firstLineChars="200"/>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lang w:val="en-US" w:eastAsia="zh-CN"/>
              </w:rPr>
              <w:t>3</w:t>
            </w:r>
            <w:r>
              <w:rPr>
                <w:rFonts w:hint="default" w:ascii="Times New Roman" w:hAnsi="Times New Roman" w:cs="Times New Roman" w:eastAsiaTheme="minorEastAsia"/>
                <w:b/>
                <w:bCs/>
                <w:color w:val="auto"/>
                <w:sz w:val="24"/>
                <w:szCs w:val="24"/>
                <w:lang w:eastAsia="zh-CN"/>
              </w:rPr>
              <w:t>、</w:t>
            </w:r>
            <w:r>
              <w:rPr>
                <w:rFonts w:hint="default" w:ascii="Times New Roman" w:hAnsi="Times New Roman" w:cs="Times New Roman" w:eastAsiaTheme="minorEastAsia"/>
                <w:b/>
                <w:bCs/>
                <w:color w:val="auto"/>
                <w:sz w:val="24"/>
                <w:szCs w:val="24"/>
              </w:rPr>
              <w:t>噪声</w:t>
            </w:r>
          </w:p>
          <w:p>
            <w:pPr>
              <w:pStyle w:val="6"/>
              <w:pageBreakBefore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工程量小，施工现场仅有少量的施工机械设备和来往车辆。施工过程中使用的各种施工机械、运输车辆等是噪声的产生源。噪声源强在75～90dB（A）之间。为最大限度地减少噪声对环境的影响，施工期应采取以下噪声防治措施：</w:t>
            </w:r>
          </w:p>
          <w:p>
            <w:pPr>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kern w:val="0"/>
                <w:sz w:val="24"/>
                <w:szCs w:val="24"/>
                <w:lang w:val="en-US" w:eastAsia="zh-CN" w:bidi="ar"/>
              </w:rPr>
              <w:t>（1）</w:t>
            </w:r>
            <w:r>
              <w:rPr>
                <w:rFonts w:hint="default" w:ascii="Times New Roman" w:hAnsi="Times New Roman" w:cs="Times New Roman" w:eastAsiaTheme="minorEastAsia"/>
                <w:color w:val="auto"/>
                <w:kern w:val="0"/>
                <w:sz w:val="24"/>
                <w:szCs w:val="24"/>
                <w:lang w:bidi="ar"/>
              </w:rPr>
              <w:t>合理安排施工作业时间，尽量避免高噪声设备同时施工；</w:t>
            </w:r>
          </w:p>
          <w:p>
            <w:pPr>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kern w:val="0"/>
                <w:sz w:val="24"/>
                <w:szCs w:val="24"/>
                <w:lang w:val="en-US" w:eastAsia="zh-CN" w:bidi="ar"/>
              </w:rPr>
              <w:t>（2）</w:t>
            </w:r>
            <w:r>
              <w:rPr>
                <w:rFonts w:hint="default" w:ascii="Times New Roman" w:hAnsi="Times New Roman" w:cs="Times New Roman" w:eastAsiaTheme="minorEastAsia"/>
                <w:color w:val="auto"/>
                <w:kern w:val="0"/>
                <w:sz w:val="24"/>
                <w:szCs w:val="24"/>
                <w:lang w:bidi="ar"/>
              </w:rPr>
              <w:t>降低设备声级，尽量选用低噪声机械设备或带隔声、消声的设备，同时做好施工机械的维护和保养，有效降低机械设备运转的噪声源强；</w:t>
            </w:r>
          </w:p>
          <w:p>
            <w:pPr>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kern w:val="0"/>
                <w:sz w:val="24"/>
                <w:szCs w:val="24"/>
                <w:lang w:val="en-US" w:eastAsia="zh-CN" w:bidi="ar"/>
              </w:rPr>
              <w:t>（3）</w:t>
            </w:r>
            <w:r>
              <w:rPr>
                <w:rFonts w:hint="default" w:ascii="Times New Roman" w:hAnsi="Times New Roman" w:cs="Times New Roman" w:eastAsiaTheme="minorEastAsia"/>
                <w:color w:val="auto"/>
                <w:kern w:val="0"/>
                <w:sz w:val="24"/>
                <w:szCs w:val="24"/>
                <w:lang w:bidi="ar"/>
              </w:rPr>
              <w:t>降低人为噪声：按规定操作机械设备，物料装卸过程中，尽量减少碰撞声音；尽量少用哨子、鸣笛等指挥作业，控制车辆鸣笛。</w:t>
            </w:r>
          </w:p>
          <w:p>
            <w:pPr>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eastAsiaTheme="minorEastAsia"/>
                <w:color w:val="auto"/>
                <w:kern w:val="0"/>
                <w:sz w:val="24"/>
                <w:szCs w:val="24"/>
              </w:rPr>
            </w:pPr>
            <w:r>
              <w:rPr>
                <w:rFonts w:hint="default" w:ascii="Times New Roman" w:hAnsi="Times New Roman" w:cs="Times New Roman" w:eastAsiaTheme="minorEastAsia"/>
                <w:color w:val="auto"/>
                <w:kern w:val="0"/>
                <w:sz w:val="24"/>
                <w:szCs w:val="24"/>
                <w:lang w:bidi="ar"/>
              </w:rPr>
              <w:t>综上所述，施工单位通过合理安排施工机械设备的位置，并对高噪声设备采取减振、隔音、选择合理施工时间等措施，可保证项目施工场界噪声满足《建筑施工场界环境噪声排放标准》（GB12523-2011）的要求，</w:t>
            </w:r>
            <w:r>
              <w:rPr>
                <w:rFonts w:hint="default" w:ascii="Times New Roman" w:hAnsi="Times New Roman" w:cs="Times New Roman" w:eastAsiaTheme="minorEastAsia"/>
                <w:color w:val="auto"/>
                <w:sz w:val="24"/>
                <w:szCs w:val="24"/>
              </w:rPr>
              <w:t>对</w:t>
            </w:r>
            <w:r>
              <w:rPr>
                <w:rFonts w:hint="eastAsia" w:cs="Times New Roman" w:eastAsiaTheme="minorEastAsia"/>
                <w:color w:val="auto"/>
                <w:sz w:val="24"/>
                <w:szCs w:val="24"/>
                <w:lang w:val="en-US" w:eastAsia="zh-CN"/>
              </w:rPr>
              <w:t>新星村一队居民</w:t>
            </w:r>
            <w:r>
              <w:rPr>
                <w:rFonts w:hint="default" w:ascii="Times New Roman" w:hAnsi="Times New Roman" w:cs="Times New Roman" w:eastAsiaTheme="minorEastAsia"/>
                <w:color w:val="auto"/>
                <w:sz w:val="24"/>
                <w:szCs w:val="24"/>
              </w:rPr>
              <w:t>及周边噪声环境影响降到最低。</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1" w:firstLineChars="200"/>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lang w:val="en-US" w:eastAsia="zh-CN"/>
              </w:rPr>
              <w:t>4</w:t>
            </w:r>
            <w:r>
              <w:rPr>
                <w:rFonts w:hint="default" w:ascii="Times New Roman" w:hAnsi="Times New Roman" w:cs="Times New Roman" w:eastAsiaTheme="minorEastAsia"/>
                <w:b/>
                <w:bCs/>
                <w:color w:val="auto"/>
                <w:sz w:val="24"/>
                <w:szCs w:val="24"/>
                <w:lang w:eastAsia="zh-CN"/>
              </w:rPr>
              <w:t>、</w:t>
            </w:r>
            <w:r>
              <w:rPr>
                <w:rFonts w:hint="default" w:ascii="Times New Roman" w:hAnsi="Times New Roman" w:cs="Times New Roman" w:eastAsiaTheme="minorEastAsia"/>
                <w:b/>
                <w:bCs/>
                <w:color w:val="auto"/>
                <w:sz w:val="24"/>
                <w:szCs w:val="24"/>
              </w:rPr>
              <w:t>固体废物</w:t>
            </w:r>
          </w:p>
          <w:p>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kern w:val="0"/>
                <w:sz w:val="24"/>
                <w:szCs w:val="24"/>
                <w:lang w:bidi="ar"/>
              </w:rPr>
              <w:t>施工期</w:t>
            </w:r>
            <w:r>
              <w:rPr>
                <w:rFonts w:hint="eastAsia" w:cs="Times New Roman" w:eastAsiaTheme="minorEastAsia"/>
                <w:color w:val="auto"/>
                <w:kern w:val="0"/>
                <w:sz w:val="24"/>
                <w:szCs w:val="24"/>
                <w:lang w:val="en-US" w:eastAsia="zh-CN" w:bidi="ar"/>
              </w:rPr>
              <w:t>的</w:t>
            </w:r>
            <w:r>
              <w:rPr>
                <w:rFonts w:hint="default" w:ascii="Times New Roman" w:hAnsi="Times New Roman" w:cs="Times New Roman" w:eastAsiaTheme="minorEastAsia"/>
                <w:color w:val="auto"/>
                <w:kern w:val="0"/>
                <w:sz w:val="24"/>
                <w:szCs w:val="24"/>
                <w:lang w:bidi="ar"/>
              </w:rPr>
              <w:t>固体废物主要来自施工活动产生的建筑垃圾以及施工人员产生的生活垃圾。施工期固体废物如不及时采取有效防治措施，也会对周围环境产生一定影响，因此应采取以下防治措施：</w:t>
            </w:r>
          </w:p>
          <w:p>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rPr>
              <w:t>遗留在</w:t>
            </w:r>
            <w:r>
              <w:rPr>
                <w:rFonts w:hint="eastAsia" w:cs="Times New Roman" w:eastAsiaTheme="minorEastAsia"/>
                <w:color w:val="auto"/>
                <w:sz w:val="24"/>
                <w:szCs w:val="24"/>
                <w:lang w:val="en-US" w:eastAsia="zh-CN"/>
              </w:rPr>
              <w:t>施工</w:t>
            </w:r>
            <w:r>
              <w:rPr>
                <w:rFonts w:hint="default" w:ascii="Times New Roman" w:hAnsi="Times New Roman" w:cs="Times New Roman" w:eastAsiaTheme="minorEastAsia"/>
                <w:color w:val="auto"/>
                <w:sz w:val="24"/>
                <w:szCs w:val="24"/>
              </w:rPr>
              <w:t>现场的建筑</w:t>
            </w:r>
            <w:r>
              <w:rPr>
                <w:rFonts w:hint="eastAsia" w:cs="Times New Roman" w:eastAsiaTheme="minorEastAsia"/>
                <w:color w:val="auto"/>
                <w:sz w:val="24"/>
                <w:szCs w:val="24"/>
                <w:lang w:val="en-US" w:eastAsia="zh-CN"/>
              </w:rPr>
              <w:t>废弃物做到</w:t>
            </w:r>
            <w:r>
              <w:rPr>
                <w:rFonts w:hint="default" w:ascii="Times New Roman" w:hAnsi="Times New Roman" w:cs="Times New Roman" w:eastAsiaTheme="minorEastAsia"/>
                <w:color w:val="auto"/>
                <w:sz w:val="24"/>
                <w:szCs w:val="24"/>
              </w:rPr>
              <w:t>及时清运；</w:t>
            </w:r>
          </w:p>
          <w:p>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建筑</w:t>
            </w:r>
            <w:r>
              <w:rPr>
                <w:rFonts w:hint="eastAsia" w:cs="Times New Roman" w:eastAsiaTheme="minorEastAsia"/>
                <w:color w:val="auto"/>
                <w:sz w:val="24"/>
                <w:szCs w:val="24"/>
                <w:lang w:val="en-US" w:eastAsia="zh-CN"/>
              </w:rPr>
              <w:t>废弃物</w:t>
            </w:r>
            <w:r>
              <w:rPr>
                <w:rFonts w:hint="default" w:ascii="Times New Roman" w:hAnsi="Times New Roman" w:cs="Times New Roman" w:eastAsiaTheme="minorEastAsia"/>
                <w:color w:val="auto"/>
                <w:sz w:val="24"/>
                <w:szCs w:val="24"/>
              </w:rPr>
              <w:t>及时回收</w:t>
            </w:r>
            <w:r>
              <w:rPr>
                <w:rFonts w:hint="eastAsia" w:cs="Times New Roman" w:eastAsiaTheme="minorEastAsia"/>
                <w:color w:val="auto"/>
                <w:sz w:val="24"/>
                <w:szCs w:val="24"/>
                <w:lang w:val="en-US" w:eastAsia="zh-CN"/>
              </w:rPr>
              <w:t>运</w:t>
            </w:r>
            <w:r>
              <w:rPr>
                <w:rFonts w:hint="default" w:ascii="Times New Roman" w:hAnsi="Times New Roman" w:cs="Times New Roman" w:eastAsiaTheme="minorEastAsia"/>
                <w:color w:val="auto"/>
                <w:sz w:val="24"/>
                <w:szCs w:val="24"/>
              </w:rPr>
              <w:t>至政府部门指定地点，运送建筑</w:t>
            </w:r>
            <w:r>
              <w:rPr>
                <w:rFonts w:hint="eastAsia" w:cs="Times New Roman" w:eastAsiaTheme="minorEastAsia"/>
                <w:color w:val="auto"/>
                <w:sz w:val="24"/>
                <w:szCs w:val="24"/>
                <w:lang w:val="en-US" w:eastAsia="zh-CN"/>
              </w:rPr>
              <w:t>废弃物</w:t>
            </w:r>
            <w:r>
              <w:rPr>
                <w:rFonts w:hint="default" w:ascii="Times New Roman" w:hAnsi="Times New Roman" w:cs="Times New Roman" w:eastAsiaTheme="minorEastAsia"/>
                <w:color w:val="auto"/>
                <w:sz w:val="24"/>
                <w:szCs w:val="24"/>
              </w:rPr>
              <w:t>的车辆加盖苫布，不得随意倾倒</w:t>
            </w:r>
            <w:r>
              <w:rPr>
                <w:rFonts w:hint="eastAsia" w:cs="Times New Roman" w:eastAsiaTheme="minorEastAsia"/>
                <w:color w:val="auto"/>
                <w:sz w:val="24"/>
                <w:szCs w:val="24"/>
                <w:lang w:val="en-US" w:eastAsia="zh-CN"/>
              </w:rPr>
              <w:t>撒漏</w:t>
            </w:r>
            <w:r>
              <w:rPr>
                <w:rFonts w:hint="default" w:ascii="Times New Roman" w:hAnsi="Times New Roman" w:cs="Times New Roman" w:eastAsiaTheme="minorEastAsia"/>
                <w:color w:val="auto"/>
                <w:sz w:val="24"/>
                <w:szCs w:val="24"/>
              </w:rPr>
              <w:t>；</w:t>
            </w:r>
          </w:p>
          <w:p>
            <w:pPr>
              <w:pStyle w:val="4"/>
              <w:pageBreakBefore w:val="0"/>
              <w:kinsoku/>
              <w:wordWrap/>
              <w:overflowPunct/>
              <w:topLinePunct w:val="0"/>
              <w:autoSpaceDE/>
              <w:autoSpaceDN/>
              <w:bidi w:val="0"/>
              <w:adjustRightInd w:val="0"/>
              <w:snapToGrid w:val="0"/>
              <w:spacing w:before="0" w:after="0" w:line="360" w:lineRule="auto"/>
              <w:ind w:firstLine="480" w:firstLineChars="200"/>
              <w:jc w:val="both"/>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 w:val="0"/>
                <w:bCs/>
                <w:color w:val="auto"/>
                <w:sz w:val="24"/>
                <w:szCs w:val="24"/>
                <w:lang w:val="en-US" w:eastAsia="zh-CN"/>
              </w:rPr>
              <w:t>（3）</w:t>
            </w:r>
            <w:r>
              <w:rPr>
                <w:rFonts w:hint="default" w:ascii="Times New Roman" w:hAnsi="Times New Roman" w:cs="Times New Roman" w:eastAsiaTheme="minorEastAsia"/>
                <w:b w:val="0"/>
                <w:bCs/>
                <w:color w:val="auto"/>
                <w:sz w:val="24"/>
                <w:szCs w:val="24"/>
              </w:rPr>
              <w:t>土方开挖及回填做到挖填平衡，无弃土产生；</w:t>
            </w:r>
          </w:p>
          <w:p>
            <w:pPr>
              <w:pStyle w:val="6"/>
              <w:pageBreakBefore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cs="Times New Roman" w:eastAsiaTheme="minorEastAsia"/>
                <w:color w:val="auto"/>
                <w:kern w:val="0"/>
                <w:sz w:val="24"/>
                <w:szCs w:val="24"/>
                <w:lang w:val="en-US" w:eastAsia="zh-CN" w:bidi="ar"/>
              </w:rPr>
            </w:pPr>
            <w:r>
              <w:rPr>
                <w:rFonts w:hint="default" w:ascii="Times New Roman" w:hAnsi="Times New Roman" w:cs="Times New Roman" w:eastAsiaTheme="minorEastAsia"/>
                <w:color w:val="auto"/>
                <w:kern w:val="0"/>
                <w:sz w:val="24"/>
                <w:szCs w:val="24"/>
                <w:lang w:val="en-US" w:eastAsia="zh-CN" w:bidi="ar"/>
              </w:rPr>
              <w:t>（4）施工期产生的生活垃圾收集后运至项目附近的</w:t>
            </w:r>
            <w:r>
              <w:rPr>
                <w:rFonts w:hint="eastAsia" w:cs="Times New Roman" w:eastAsiaTheme="minorEastAsia"/>
                <w:color w:val="auto"/>
                <w:kern w:val="0"/>
                <w:sz w:val="24"/>
                <w:szCs w:val="24"/>
                <w:lang w:val="en-US" w:eastAsia="zh-CN" w:bidi="ar"/>
              </w:rPr>
              <w:t>生活</w:t>
            </w:r>
            <w:r>
              <w:rPr>
                <w:rFonts w:hint="default" w:ascii="Times New Roman" w:hAnsi="Times New Roman" w:cs="Times New Roman" w:eastAsiaTheme="minorEastAsia"/>
                <w:color w:val="auto"/>
                <w:kern w:val="0"/>
                <w:sz w:val="24"/>
                <w:szCs w:val="24"/>
                <w:lang w:val="en-US" w:eastAsia="zh-CN" w:bidi="ar"/>
              </w:rPr>
              <w:t>垃圾转运点。</w:t>
            </w:r>
          </w:p>
          <w:p>
            <w:pPr>
              <w:pStyle w:val="6"/>
              <w:pageBreakBefore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cs="Times New Roman" w:eastAsiaTheme="minorEastAsia"/>
                <w:color w:val="auto"/>
                <w:kern w:val="0"/>
                <w:sz w:val="24"/>
                <w:szCs w:val="24"/>
                <w:lang w:val="en-US" w:eastAsia="zh-CN" w:bidi="ar"/>
              </w:rPr>
            </w:pPr>
            <w:r>
              <w:rPr>
                <w:rFonts w:hint="default" w:ascii="Times New Roman" w:hAnsi="Times New Roman" w:cs="Times New Roman" w:eastAsiaTheme="minorEastAsia"/>
                <w:color w:val="auto"/>
                <w:kern w:val="0"/>
                <w:sz w:val="24"/>
                <w:szCs w:val="24"/>
                <w:lang w:val="en-US" w:eastAsia="zh-CN" w:bidi="ar"/>
              </w:rPr>
              <w:t>综上所述，在落实上述固体废物环保措施后，项目施工期对周边的环境影响较小。</w:t>
            </w:r>
          </w:p>
          <w:p>
            <w:pPr>
              <w:pStyle w:val="31"/>
              <w:pageBreakBefore w:val="0"/>
              <w:numPr>
                <w:ilvl w:val="0"/>
                <w:numId w:val="10"/>
              </w:numPr>
              <w:kinsoku/>
              <w:wordWrap/>
              <w:overflowPunct/>
              <w:topLinePunct w:val="0"/>
              <w:autoSpaceDE/>
              <w:autoSpaceDN/>
              <w:bidi w:val="0"/>
              <w:spacing w:line="360" w:lineRule="auto"/>
              <w:ind w:firstLine="481" w:firstLineChars="200"/>
              <w:textAlignment w:val="auto"/>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eastAsiaTheme="minorEastAsia"/>
                <w:b/>
                <w:bCs/>
                <w:color w:val="auto"/>
                <w:sz w:val="24"/>
                <w:szCs w:val="24"/>
                <w:lang w:eastAsia="zh-CN"/>
              </w:rPr>
              <w:t>拆除阶段环境保护措施</w:t>
            </w:r>
          </w:p>
          <w:p>
            <w:pPr>
              <w:pageBreakBefore w:val="0"/>
              <w:numPr>
                <w:ilvl w:val="0"/>
                <w:numId w:val="0"/>
              </w:numPr>
              <w:kinsoku/>
              <w:wordWrap/>
              <w:overflowPunct/>
              <w:topLinePunct w:val="0"/>
              <w:autoSpaceDE/>
              <w:autoSpaceDN/>
              <w:bidi w:val="0"/>
              <w:spacing w:line="360" w:lineRule="auto"/>
              <w:ind w:firstLine="481" w:firstLineChars="200"/>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1、废气</w:t>
            </w:r>
          </w:p>
          <w:p>
            <w:pPr>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0"/>
                <w:kern w:val="0"/>
                <w:sz w:val="24"/>
                <w:szCs w:val="24"/>
                <w:highlight w:val="none"/>
                <w:lang w:val="en-US" w:eastAsia="zh-CN" w:bidi="ar"/>
              </w:rPr>
              <w:t>本项目拆除过程中产生的大气污染物主要为扬尘，</w:t>
            </w:r>
            <w:r>
              <w:rPr>
                <w:rFonts w:hint="eastAsia" w:cs="Times New Roman" w:eastAsiaTheme="minorEastAsia"/>
                <w:color w:val="auto"/>
                <w:spacing w:val="0"/>
                <w:kern w:val="0"/>
                <w:sz w:val="24"/>
                <w:szCs w:val="24"/>
                <w:highlight w:val="none"/>
                <w:lang w:val="en-US" w:eastAsia="zh-CN" w:bidi="ar"/>
              </w:rPr>
              <w:t>主要为</w:t>
            </w:r>
            <w:r>
              <w:rPr>
                <w:rFonts w:hint="eastAsia" w:cs="Times New Roman" w:eastAsiaTheme="minorEastAsia"/>
                <w:color w:val="auto"/>
                <w:sz w:val="24"/>
                <w:szCs w:val="24"/>
                <w:lang w:val="en-US" w:eastAsia="zh-CN"/>
              </w:rPr>
              <w:t>拌合</w:t>
            </w:r>
            <w:r>
              <w:rPr>
                <w:rFonts w:hint="default" w:ascii="Times New Roman" w:hAnsi="Times New Roman" w:cs="Times New Roman" w:eastAsiaTheme="minorEastAsia"/>
                <w:color w:val="auto"/>
                <w:sz w:val="24"/>
                <w:szCs w:val="24"/>
              </w:rPr>
              <w:t>站</w:t>
            </w:r>
            <w:r>
              <w:rPr>
                <w:rFonts w:hint="default" w:ascii="Times New Roman" w:hAnsi="Times New Roman" w:cs="Times New Roman" w:eastAsiaTheme="minorEastAsia"/>
                <w:color w:val="auto"/>
                <w:sz w:val="24"/>
                <w:szCs w:val="24"/>
                <w:lang w:eastAsia="zh-CN"/>
              </w:rPr>
              <w:t>拆除</w:t>
            </w:r>
            <w:r>
              <w:rPr>
                <w:rFonts w:hint="default" w:ascii="Times New Roman" w:hAnsi="Times New Roman" w:cs="Times New Roman" w:eastAsiaTheme="minorEastAsia"/>
                <w:color w:val="auto"/>
                <w:sz w:val="24"/>
                <w:szCs w:val="24"/>
              </w:rPr>
              <w:t>过程中的物料装卸、堆放以及渣土临时</w:t>
            </w:r>
            <w:r>
              <w:rPr>
                <w:rFonts w:hint="eastAsia" w:cs="Times New Roman" w:eastAsiaTheme="minorEastAsia"/>
                <w:color w:val="auto"/>
                <w:sz w:val="24"/>
                <w:szCs w:val="24"/>
                <w:lang w:val="en-US" w:eastAsia="zh-CN"/>
              </w:rPr>
              <w:t>转移</w:t>
            </w:r>
            <w:r>
              <w:rPr>
                <w:rFonts w:hint="default" w:ascii="Times New Roman" w:hAnsi="Times New Roman" w:cs="Times New Roman" w:eastAsiaTheme="minorEastAsia"/>
                <w:color w:val="auto"/>
                <w:sz w:val="24"/>
                <w:szCs w:val="24"/>
              </w:rPr>
              <w:t>堆放</w:t>
            </w:r>
            <w:r>
              <w:rPr>
                <w:rFonts w:hint="eastAsia" w:cs="Times New Roman" w:eastAsiaTheme="minorEastAsia"/>
                <w:color w:val="auto"/>
                <w:sz w:val="24"/>
                <w:szCs w:val="24"/>
                <w:lang w:val="en-US" w:eastAsia="zh-CN"/>
              </w:rPr>
              <w:t>过程和</w:t>
            </w:r>
            <w:r>
              <w:rPr>
                <w:rFonts w:hint="default" w:ascii="Times New Roman" w:hAnsi="Times New Roman" w:cs="Times New Roman" w:eastAsiaTheme="minorEastAsia"/>
                <w:color w:val="auto"/>
                <w:sz w:val="24"/>
                <w:szCs w:val="24"/>
              </w:rPr>
              <w:t>物料运输等</w:t>
            </w:r>
            <w:r>
              <w:rPr>
                <w:rFonts w:hint="eastAsia" w:cs="Times New Roman" w:eastAsiaTheme="minorEastAsia"/>
                <w:color w:val="auto"/>
                <w:sz w:val="24"/>
                <w:szCs w:val="24"/>
                <w:lang w:val="en-US" w:eastAsia="zh-CN"/>
              </w:rPr>
              <w:t>过程</w:t>
            </w:r>
            <w:r>
              <w:rPr>
                <w:rFonts w:hint="default" w:ascii="Times New Roman" w:hAnsi="Times New Roman" w:cs="Times New Roman" w:eastAsiaTheme="minorEastAsia"/>
                <w:color w:val="auto"/>
                <w:sz w:val="24"/>
                <w:szCs w:val="24"/>
              </w:rPr>
              <w:t>引起的扬尘</w:t>
            </w:r>
            <w:r>
              <w:rPr>
                <w:rFonts w:hint="eastAsia" w:cs="Times New Roman" w:eastAsiaTheme="minorEastAsia"/>
                <w:color w:val="auto"/>
                <w:sz w:val="24"/>
                <w:szCs w:val="24"/>
                <w:lang w:val="en-US" w:eastAsia="zh-CN"/>
              </w:rPr>
              <w:t>以及</w:t>
            </w:r>
            <w:r>
              <w:rPr>
                <w:rFonts w:hint="default" w:ascii="Times New Roman" w:hAnsi="Times New Roman" w:cs="Times New Roman" w:eastAsiaTheme="minorEastAsia"/>
                <w:color w:val="auto"/>
                <w:sz w:val="24"/>
                <w:szCs w:val="24"/>
              </w:rPr>
              <w:t>施工设备、汽车产生的废气等。</w:t>
            </w:r>
          </w:p>
          <w:p>
            <w:pPr>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施工扬尘的污染程度与风速、大面积开挖造成地表裸露、粉尘粒径、粉尘含湿量等因素有关，其中风速对粉尘的污染影响最大，风速增大，产生的含尘量呈正比或级数增加，粉尘污染范围也相应扩大。大风情况下，施工引起的扬尘飘移较远。由于</w:t>
            </w:r>
            <w:r>
              <w:rPr>
                <w:rFonts w:hint="default" w:ascii="Times New Roman" w:hAnsi="Times New Roman" w:cs="Times New Roman" w:eastAsiaTheme="minorEastAsia"/>
                <w:color w:val="auto"/>
                <w:sz w:val="24"/>
                <w:szCs w:val="24"/>
                <w:lang w:eastAsia="zh-CN"/>
              </w:rPr>
              <w:t>拆除过程</w:t>
            </w:r>
            <w:r>
              <w:rPr>
                <w:rFonts w:hint="default" w:ascii="Times New Roman" w:hAnsi="Times New Roman" w:cs="Times New Roman" w:eastAsiaTheme="minorEastAsia"/>
                <w:color w:val="auto"/>
                <w:sz w:val="24"/>
                <w:szCs w:val="24"/>
              </w:rPr>
              <w:t>总体施工量</w:t>
            </w:r>
            <w:r>
              <w:rPr>
                <w:rFonts w:hint="default" w:ascii="Times New Roman" w:hAnsi="Times New Roman" w:cs="Times New Roman" w:eastAsiaTheme="minorEastAsia"/>
                <w:color w:val="auto"/>
                <w:sz w:val="24"/>
                <w:szCs w:val="24"/>
                <w:lang w:eastAsia="zh-CN"/>
              </w:rPr>
              <w:t>较小</w:t>
            </w:r>
            <w:r>
              <w:rPr>
                <w:rFonts w:hint="eastAsia" w:cs="Times New Roman" w:eastAsiaTheme="minorEastAsia"/>
                <w:color w:val="auto"/>
                <w:sz w:val="24"/>
                <w:szCs w:val="24"/>
                <w:lang w:val="en-US" w:eastAsia="zh-CN"/>
              </w:rPr>
              <w:t>且工期短</w:t>
            </w:r>
            <w:r>
              <w:rPr>
                <w:rFonts w:hint="default" w:ascii="Times New Roman" w:hAnsi="Times New Roman" w:cs="Times New Roman" w:eastAsiaTheme="minorEastAsia"/>
                <w:color w:val="auto"/>
                <w:sz w:val="24"/>
                <w:szCs w:val="24"/>
              </w:rPr>
              <w:t>，因此</w:t>
            </w:r>
            <w:r>
              <w:rPr>
                <w:rFonts w:hint="default" w:ascii="Times New Roman" w:hAnsi="Times New Roman" w:cs="Times New Roman" w:eastAsiaTheme="minorEastAsia"/>
                <w:color w:val="auto"/>
                <w:sz w:val="24"/>
                <w:szCs w:val="24"/>
                <w:lang w:eastAsia="zh-CN"/>
              </w:rPr>
              <w:t>拆除阶段</w:t>
            </w:r>
            <w:r>
              <w:rPr>
                <w:rFonts w:hint="default" w:ascii="Times New Roman" w:hAnsi="Times New Roman" w:cs="Times New Roman" w:eastAsiaTheme="minorEastAsia"/>
                <w:color w:val="auto"/>
                <w:sz w:val="24"/>
                <w:szCs w:val="24"/>
              </w:rPr>
              <w:t>产生的扬尘量较少。为减少施工过程中扬尘产生和对环境的影响，施工方应加强管理，文明施工，同时还须采取以下的防治措施：</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80" w:firstLineChars="200"/>
              <w:jc w:val="left"/>
              <w:textAlignment w:val="auto"/>
              <w:rPr>
                <w:rFonts w:hint="default" w:ascii="Times New Roman" w:hAnsi="Times New Roman" w:cs="Times New Roman" w:eastAsiaTheme="minorEastAsia"/>
                <w:color w:val="auto"/>
                <w:spacing w:val="0"/>
                <w:sz w:val="24"/>
                <w:szCs w:val="24"/>
                <w:highlight w:val="none"/>
              </w:rPr>
            </w:pPr>
            <w:r>
              <w:rPr>
                <w:rFonts w:hint="default" w:ascii="Times New Roman" w:hAnsi="Times New Roman" w:cs="Times New Roman" w:eastAsiaTheme="minorEastAsia"/>
                <w:color w:val="auto"/>
                <w:spacing w:val="0"/>
                <w:kern w:val="0"/>
                <w:sz w:val="24"/>
                <w:szCs w:val="24"/>
                <w:highlight w:val="none"/>
                <w:lang w:val="en-US" w:eastAsia="zh-CN" w:bidi="ar"/>
              </w:rPr>
              <w:t>①拆除过程中，保持拆除区域的湿度可有效减少粉尘的产生。使用喷雾设备将水喷洒在</w:t>
            </w:r>
            <w:r>
              <w:rPr>
                <w:rFonts w:hint="eastAsia" w:cs="Times New Roman" w:eastAsiaTheme="minorEastAsia"/>
                <w:color w:val="auto"/>
                <w:spacing w:val="0"/>
                <w:kern w:val="0"/>
                <w:sz w:val="24"/>
                <w:szCs w:val="24"/>
                <w:highlight w:val="none"/>
                <w:lang w:val="en-US" w:eastAsia="zh-CN" w:bidi="ar"/>
              </w:rPr>
              <w:t>施工作业</w:t>
            </w:r>
            <w:r>
              <w:rPr>
                <w:rFonts w:hint="default" w:ascii="Times New Roman" w:hAnsi="Times New Roman" w:cs="Times New Roman" w:eastAsiaTheme="minorEastAsia"/>
                <w:color w:val="auto"/>
                <w:spacing w:val="0"/>
                <w:kern w:val="0"/>
                <w:sz w:val="24"/>
                <w:szCs w:val="24"/>
                <w:highlight w:val="none"/>
                <w:lang w:val="en-US" w:eastAsia="zh-CN" w:bidi="ar"/>
              </w:rPr>
              <w:t>区域，</w:t>
            </w:r>
            <w:r>
              <w:rPr>
                <w:rFonts w:hint="eastAsia" w:cs="Times New Roman" w:eastAsiaTheme="minorEastAsia"/>
                <w:color w:val="auto"/>
                <w:spacing w:val="0"/>
                <w:kern w:val="0"/>
                <w:sz w:val="24"/>
                <w:szCs w:val="24"/>
                <w:highlight w:val="none"/>
                <w:lang w:val="en-US" w:eastAsia="zh-CN" w:bidi="ar"/>
              </w:rPr>
              <w:t>防止</w:t>
            </w:r>
            <w:r>
              <w:rPr>
                <w:rFonts w:hint="default" w:ascii="Times New Roman" w:hAnsi="Times New Roman" w:cs="Times New Roman" w:eastAsiaTheme="minorEastAsia"/>
                <w:color w:val="auto"/>
                <w:spacing w:val="0"/>
                <w:kern w:val="0"/>
                <w:sz w:val="24"/>
                <w:szCs w:val="24"/>
                <w:highlight w:val="none"/>
                <w:lang w:val="en-US" w:eastAsia="zh-CN" w:bidi="ar"/>
              </w:rPr>
              <w:t>粉尘扩散到周围环境；</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80" w:firstLineChars="200"/>
              <w:jc w:val="left"/>
              <w:textAlignment w:val="auto"/>
              <w:rPr>
                <w:rFonts w:hint="default" w:ascii="Times New Roman" w:hAnsi="Times New Roman" w:cs="Times New Roman" w:eastAsiaTheme="minorEastAsia"/>
                <w:color w:val="auto"/>
                <w:spacing w:val="0"/>
                <w:kern w:val="0"/>
                <w:sz w:val="24"/>
                <w:szCs w:val="24"/>
                <w:highlight w:val="none"/>
                <w:lang w:val="en-US" w:eastAsia="zh-CN" w:bidi="ar"/>
              </w:rPr>
            </w:pPr>
            <w:r>
              <w:rPr>
                <w:rFonts w:hint="default" w:ascii="Times New Roman" w:hAnsi="Times New Roman" w:cs="Times New Roman" w:eastAsiaTheme="minorEastAsia"/>
                <w:color w:val="auto"/>
                <w:spacing w:val="0"/>
                <w:kern w:val="0"/>
                <w:sz w:val="24"/>
                <w:szCs w:val="24"/>
                <w:highlight w:val="none"/>
                <w:lang w:val="en-US" w:eastAsia="zh-CN" w:bidi="ar"/>
              </w:rPr>
              <w:t>②定期清理和覆盖</w:t>
            </w:r>
            <w:r>
              <w:rPr>
                <w:rFonts w:hint="eastAsia" w:cs="Times New Roman" w:eastAsiaTheme="minorEastAsia"/>
                <w:color w:val="auto"/>
                <w:spacing w:val="0"/>
                <w:kern w:val="0"/>
                <w:sz w:val="24"/>
                <w:szCs w:val="24"/>
                <w:highlight w:val="none"/>
                <w:lang w:val="en-US" w:eastAsia="zh-CN" w:bidi="ar"/>
              </w:rPr>
              <w:t>：</w:t>
            </w:r>
            <w:r>
              <w:rPr>
                <w:rFonts w:hint="default" w:ascii="Times New Roman" w:hAnsi="Times New Roman" w:cs="Times New Roman" w:eastAsiaTheme="minorEastAsia"/>
                <w:color w:val="auto"/>
                <w:spacing w:val="0"/>
                <w:kern w:val="0"/>
                <w:sz w:val="24"/>
                <w:szCs w:val="24"/>
                <w:highlight w:val="none"/>
                <w:lang w:val="en-US" w:eastAsia="zh-CN" w:bidi="ar"/>
              </w:rPr>
              <w:t>定期清理工地并</w:t>
            </w:r>
            <w:r>
              <w:rPr>
                <w:rFonts w:hint="eastAsia" w:cs="Times New Roman" w:eastAsiaTheme="minorEastAsia"/>
                <w:color w:val="auto"/>
                <w:spacing w:val="0"/>
                <w:kern w:val="0"/>
                <w:sz w:val="24"/>
                <w:szCs w:val="24"/>
                <w:highlight w:val="none"/>
                <w:lang w:val="en-US" w:eastAsia="zh-CN" w:bidi="ar"/>
              </w:rPr>
              <w:t>苫盖</w:t>
            </w:r>
            <w:r>
              <w:rPr>
                <w:rFonts w:hint="default" w:ascii="Times New Roman" w:hAnsi="Times New Roman" w:cs="Times New Roman" w:eastAsiaTheme="minorEastAsia"/>
                <w:color w:val="auto"/>
                <w:spacing w:val="0"/>
                <w:kern w:val="0"/>
                <w:sz w:val="24"/>
                <w:szCs w:val="24"/>
                <w:highlight w:val="none"/>
                <w:lang w:val="en-US" w:eastAsia="zh-CN" w:bidi="ar"/>
              </w:rPr>
              <w:t>堆放物质可以防止粉尘进一步扩散到周围环境；</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80" w:firstLineChars="200"/>
              <w:jc w:val="left"/>
              <w:textAlignment w:val="auto"/>
              <w:rPr>
                <w:rFonts w:hint="default" w:ascii="Times New Roman" w:hAnsi="Times New Roman" w:cs="Times New Roman" w:eastAsiaTheme="minorEastAsia"/>
                <w:color w:val="auto"/>
                <w:spacing w:val="0"/>
                <w:kern w:val="0"/>
                <w:sz w:val="24"/>
                <w:szCs w:val="24"/>
                <w:highlight w:val="none"/>
                <w:lang w:val="en-US" w:eastAsia="zh-CN" w:bidi="ar"/>
              </w:rPr>
            </w:pPr>
            <w:r>
              <w:rPr>
                <w:rFonts w:hint="default" w:ascii="Times New Roman" w:hAnsi="Times New Roman" w:cs="Times New Roman" w:eastAsiaTheme="minorEastAsia"/>
                <w:color w:val="auto"/>
                <w:spacing w:val="0"/>
                <w:kern w:val="0"/>
                <w:sz w:val="24"/>
                <w:szCs w:val="24"/>
                <w:highlight w:val="none"/>
                <w:lang w:val="en-US" w:eastAsia="zh-CN" w:bidi="ar"/>
              </w:rPr>
              <w:t>③使用带有过滤器的设备和机械可以减少有害气体和粉尘的排放。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w:t>
            </w:r>
            <w:r>
              <w:rPr>
                <w:rFonts w:hint="default" w:ascii="Times New Roman" w:hAnsi="Times New Roman" w:cs="Times New Roman" w:eastAsiaTheme="minorEastAsia"/>
                <w:color w:val="auto"/>
                <w:sz w:val="24"/>
                <w:szCs w:val="24"/>
                <w:lang w:eastAsia="zh-CN"/>
              </w:rPr>
              <w:t>拆除过程</w:t>
            </w:r>
            <w:r>
              <w:rPr>
                <w:rFonts w:hint="default" w:ascii="Times New Roman" w:hAnsi="Times New Roman" w:cs="Times New Roman" w:eastAsiaTheme="minorEastAsia"/>
                <w:color w:val="auto"/>
                <w:sz w:val="24"/>
                <w:szCs w:val="24"/>
              </w:rPr>
              <w:t>在落实大气环境保护措施的前提下，对</w:t>
            </w:r>
            <w:r>
              <w:rPr>
                <w:rFonts w:hint="eastAsia" w:cs="Times New Roman" w:eastAsiaTheme="minorEastAsia"/>
                <w:color w:val="auto"/>
                <w:sz w:val="24"/>
                <w:szCs w:val="24"/>
                <w:lang w:val="en-US" w:eastAsia="zh-CN"/>
              </w:rPr>
              <w:t>新星村一队</w:t>
            </w:r>
            <w:r>
              <w:rPr>
                <w:rFonts w:hint="default" w:ascii="Times New Roman" w:hAnsi="Times New Roman" w:cs="Times New Roman" w:eastAsiaTheme="minorEastAsia"/>
                <w:color w:val="auto"/>
                <w:sz w:val="24"/>
                <w:szCs w:val="24"/>
              </w:rPr>
              <w:t>居民及周边大气环境影响较小。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1" w:firstLineChars="200"/>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lang w:val="en-US" w:eastAsia="zh-CN"/>
              </w:rPr>
              <w:t>2</w:t>
            </w:r>
            <w:r>
              <w:rPr>
                <w:rFonts w:hint="default" w:ascii="Times New Roman" w:hAnsi="Times New Roman" w:cs="Times New Roman" w:eastAsiaTheme="minorEastAsia"/>
                <w:b/>
                <w:bCs/>
                <w:color w:val="auto"/>
                <w:sz w:val="24"/>
                <w:szCs w:val="24"/>
                <w:lang w:eastAsia="zh-CN"/>
              </w:rPr>
              <w:t>、</w:t>
            </w:r>
            <w:r>
              <w:rPr>
                <w:rFonts w:hint="default" w:ascii="Times New Roman" w:hAnsi="Times New Roman" w:cs="Times New Roman" w:eastAsiaTheme="minorEastAsia"/>
                <w:b/>
                <w:bCs/>
                <w:color w:val="auto"/>
                <w:sz w:val="24"/>
                <w:szCs w:val="24"/>
              </w:rPr>
              <w:t>废水</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拆除阶段</w:t>
            </w:r>
            <w:r>
              <w:rPr>
                <w:rFonts w:hint="eastAsia" w:cs="Times New Roman" w:eastAsiaTheme="minorEastAsia"/>
                <w:color w:val="auto"/>
                <w:sz w:val="24"/>
                <w:szCs w:val="24"/>
                <w:lang w:val="en-US" w:eastAsia="zh-CN"/>
              </w:rPr>
              <w:t>产生的</w:t>
            </w:r>
            <w:r>
              <w:rPr>
                <w:rFonts w:hint="default" w:ascii="Times New Roman" w:hAnsi="Times New Roman" w:cs="Times New Roman" w:eastAsiaTheme="minorEastAsia"/>
                <w:color w:val="auto"/>
                <w:sz w:val="24"/>
                <w:szCs w:val="24"/>
              </w:rPr>
              <w:t>废水主要为施工人员生活污水和机械设备清洗废水。</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拆除阶段</w:t>
            </w:r>
            <w:r>
              <w:rPr>
                <w:rFonts w:hint="default" w:ascii="Times New Roman" w:hAnsi="Times New Roman" w:cs="Times New Roman" w:eastAsiaTheme="minorEastAsia"/>
                <w:color w:val="auto"/>
                <w:sz w:val="24"/>
                <w:szCs w:val="24"/>
              </w:rPr>
              <w:t>为施工人员提供环保</w:t>
            </w:r>
            <w:r>
              <w:rPr>
                <w:rFonts w:hint="eastAsia" w:cs="Times New Roman" w:eastAsiaTheme="minorEastAsia"/>
                <w:color w:val="auto"/>
                <w:sz w:val="24"/>
                <w:szCs w:val="24"/>
                <w:lang w:val="en-US" w:eastAsia="zh-CN"/>
              </w:rPr>
              <w:t>厕所</w:t>
            </w:r>
            <w:r>
              <w:rPr>
                <w:rFonts w:hint="default" w:ascii="Times New Roman" w:hAnsi="Times New Roman" w:cs="Times New Roman" w:eastAsiaTheme="minorEastAsia"/>
                <w:color w:val="auto"/>
                <w:sz w:val="24"/>
                <w:szCs w:val="24"/>
              </w:rPr>
              <w:t>供施工人员方便，生活污水经</w:t>
            </w:r>
            <w:r>
              <w:rPr>
                <w:rFonts w:hint="eastAsia" w:cs="Times New Roman" w:eastAsiaTheme="minorEastAsia"/>
                <w:color w:val="auto"/>
                <w:sz w:val="24"/>
                <w:szCs w:val="24"/>
                <w:lang w:val="en-US" w:eastAsia="zh-CN"/>
              </w:rPr>
              <w:t>化粪池</w:t>
            </w:r>
            <w:r>
              <w:rPr>
                <w:rFonts w:hint="default" w:ascii="Times New Roman" w:hAnsi="Times New Roman" w:cs="Times New Roman" w:eastAsiaTheme="minorEastAsia"/>
                <w:color w:val="auto"/>
                <w:kern w:val="0"/>
                <w:sz w:val="24"/>
                <w:szCs w:val="24"/>
              </w:rPr>
              <w:t>处理后</w:t>
            </w:r>
            <w:r>
              <w:rPr>
                <w:rFonts w:hint="eastAsia" w:cs="Times New Roman" w:eastAsiaTheme="minorEastAsia"/>
                <w:color w:val="auto"/>
                <w:kern w:val="0"/>
                <w:sz w:val="24"/>
                <w:szCs w:val="24"/>
                <w:lang w:val="en-US" w:eastAsia="zh-CN"/>
              </w:rPr>
              <w:t>定期清运至中卫市第一污水处理厂</w:t>
            </w:r>
            <w:r>
              <w:rPr>
                <w:rFonts w:hint="default" w:ascii="Times New Roman" w:hAnsi="Times New Roman" w:cs="Times New Roman" w:eastAsiaTheme="minorEastAsia"/>
                <w:color w:val="auto"/>
                <w:sz w:val="24"/>
                <w:szCs w:val="24"/>
              </w:rPr>
              <w:t>；在施工场地内合理布置沉淀池，施工废水经沉淀池沉淀后回用，不外排。</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因此，本项目</w:t>
            </w:r>
            <w:r>
              <w:rPr>
                <w:rFonts w:hint="default" w:ascii="Times New Roman" w:hAnsi="Times New Roman" w:cs="Times New Roman" w:eastAsiaTheme="minorEastAsia"/>
                <w:color w:val="auto"/>
                <w:sz w:val="24"/>
                <w:szCs w:val="24"/>
                <w:lang w:eastAsia="zh-CN"/>
              </w:rPr>
              <w:t>拆除阶段</w:t>
            </w:r>
            <w:r>
              <w:rPr>
                <w:rFonts w:hint="default" w:ascii="Times New Roman" w:hAnsi="Times New Roman" w:cs="Times New Roman" w:eastAsiaTheme="minorEastAsia"/>
                <w:color w:val="auto"/>
                <w:sz w:val="24"/>
                <w:szCs w:val="24"/>
              </w:rPr>
              <w:t>对周边水环境影响较小。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1" w:firstLineChars="200"/>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lang w:val="en-US" w:eastAsia="zh-CN"/>
              </w:rPr>
              <w:t>3</w:t>
            </w:r>
            <w:r>
              <w:rPr>
                <w:rFonts w:hint="default" w:ascii="Times New Roman" w:hAnsi="Times New Roman" w:cs="Times New Roman" w:eastAsiaTheme="minorEastAsia"/>
                <w:b/>
                <w:bCs/>
                <w:color w:val="auto"/>
                <w:sz w:val="24"/>
                <w:szCs w:val="24"/>
                <w:lang w:eastAsia="zh-CN"/>
              </w:rPr>
              <w:t>、</w:t>
            </w:r>
            <w:r>
              <w:rPr>
                <w:rFonts w:hint="default" w:ascii="Times New Roman" w:hAnsi="Times New Roman" w:cs="Times New Roman" w:eastAsiaTheme="minorEastAsia"/>
                <w:b/>
                <w:bCs/>
                <w:color w:val="auto"/>
                <w:sz w:val="24"/>
                <w:szCs w:val="24"/>
              </w:rPr>
              <w:t>噪声</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80" w:firstLineChars="200"/>
              <w:jc w:val="left"/>
              <w:textAlignment w:val="auto"/>
              <w:rPr>
                <w:rFonts w:hint="default" w:ascii="Times New Roman" w:hAnsi="Times New Roman" w:cs="Times New Roman" w:eastAsiaTheme="minorEastAsia"/>
                <w:color w:val="auto"/>
                <w:spacing w:val="0"/>
                <w:sz w:val="24"/>
                <w:szCs w:val="24"/>
                <w:highlight w:val="none"/>
              </w:rPr>
            </w:pPr>
            <w:r>
              <w:rPr>
                <w:rFonts w:hint="default" w:ascii="Times New Roman" w:hAnsi="Times New Roman" w:cs="Times New Roman" w:eastAsiaTheme="minorEastAsia"/>
                <w:color w:val="auto"/>
                <w:kern w:val="0"/>
                <w:sz w:val="24"/>
                <w:szCs w:val="24"/>
                <w:highlight w:val="none"/>
              </w:rPr>
              <w:t>本项目建设期的噪声污染主要来自施工机械设备的运转和各类车辆的运行，另外还有突发性、冲击性、不连续性的敲打撞击噪声。</w:t>
            </w:r>
            <w:r>
              <w:rPr>
                <w:rFonts w:hint="default" w:ascii="Times New Roman" w:hAnsi="Times New Roman" w:cs="Times New Roman" w:eastAsiaTheme="minorEastAsia"/>
                <w:color w:val="auto"/>
                <w:spacing w:val="0"/>
                <w:kern w:val="0"/>
                <w:sz w:val="24"/>
                <w:szCs w:val="24"/>
                <w:highlight w:val="none"/>
                <w:lang w:val="en-US" w:eastAsia="zh-CN" w:bidi="ar"/>
              </w:rPr>
              <w:t>本项目为有效降低施工噪声对周围环境的影响，施工单位应采取以下防治措施：</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80" w:firstLineChars="200"/>
              <w:jc w:val="left"/>
              <w:textAlignment w:val="auto"/>
              <w:rPr>
                <w:rFonts w:hint="default" w:ascii="Times New Roman" w:hAnsi="Times New Roman" w:cs="Times New Roman" w:eastAsiaTheme="minorEastAsia"/>
                <w:color w:val="auto"/>
                <w:spacing w:val="0"/>
                <w:sz w:val="24"/>
                <w:szCs w:val="24"/>
                <w:highlight w:val="none"/>
              </w:rPr>
            </w:pPr>
            <w:r>
              <w:rPr>
                <w:rFonts w:hint="default" w:ascii="Times New Roman" w:hAnsi="Times New Roman" w:cs="Times New Roman" w:eastAsiaTheme="minorEastAsia"/>
                <w:color w:val="auto"/>
                <w:spacing w:val="0"/>
                <w:kern w:val="0"/>
                <w:sz w:val="24"/>
                <w:szCs w:val="24"/>
                <w:highlight w:val="none"/>
                <w:lang w:val="en-US" w:eastAsia="zh-CN" w:bidi="ar"/>
              </w:rPr>
              <w:t>（1）优先选用低噪声</w:t>
            </w:r>
            <w:r>
              <w:rPr>
                <w:rFonts w:hint="eastAsia" w:cs="Times New Roman" w:eastAsiaTheme="minorEastAsia"/>
                <w:color w:val="auto"/>
                <w:spacing w:val="0"/>
                <w:kern w:val="0"/>
                <w:sz w:val="24"/>
                <w:szCs w:val="24"/>
                <w:highlight w:val="none"/>
                <w:lang w:val="en-US" w:eastAsia="zh-CN" w:bidi="ar"/>
              </w:rPr>
              <w:t>的</w:t>
            </w:r>
            <w:r>
              <w:rPr>
                <w:rFonts w:hint="default" w:ascii="Times New Roman" w:hAnsi="Times New Roman" w:cs="Times New Roman" w:eastAsiaTheme="minorEastAsia"/>
                <w:color w:val="auto"/>
                <w:spacing w:val="0"/>
                <w:kern w:val="0"/>
                <w:sz w:val="24"/>
                <w:szCs w:val="24"/>
                <w:highlight w:val="none"/>
                <w:lang w:val="en-US" w:eastAsia="zh-CN" w:bidi="ar"/>
              </w:rPr>
              <w:t>施工机械，合理安排施工时间；</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80" w:firstLineChars="200"/>
              <w:jc w:val="left"/>
              <w:textAlignment w:val="auto"/>
              <w:rPr>
                <w:rFonts w:hint="default" w:ascii="Times New Roman" w:hAnsi="Times New Roman" w:cs="Times New Roman" w:eastAsiaTheme="minorEastAsia"/>
                <w:color w:val="auto"/>
                <w:spacing w:val="0"/>
                <w:kern w:val="0"/>
                <w:sz w:val="24"/>
                <w:szCs w:val="24"/>
                <w:highlight w:val="none"/>
                <w:lang w:val="en-US" w:eastAsia="zh-CN" w:bidi="ar"/>
              </w:rPr>
            </w:pPr>
            <w:r>
              <w:rPr>
                <w:rFonts w:hint="default" w:ascii="Times New Roman" w:hAnsi="Times New Roman" w:cs="Times New Roman" w:eastAsiaTheme="minorEastAsia"/>
                <w:color w:val="auto"/>
                <w:spacing w:val="0"/>
                <w:kern w:val="0"/>
                <w:sz w:val="24"/>
                <w:szCs w:val="24"/>
                <w:highlight w:val="none"/>
                <w:lang w:val="en-US" w:eastAsia="zh-CN" w:bidi="ar"/>
              </w:rPr>
              <w:t>（2）施工现场设置禁止鸣笛、慢行标志牌及车辆指引牌；</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80" w:firstLineChars="200"/>
              <w:jc w:val="left"/>
              <w:textAlignment w:val="auto"/>
              <w:rPr>
                <w:rFonts w:hint="default" w:ascii="Times New Roman" w:hAnsi="Times New Roman" w:cs="Times New Roman" w:eastAsiaTheme="minorEastAsia"/>
                <w:color w:val="auto"/>
                <w:spacing w:val="0"/>
                <w:kern w:val="0"/>
                <w:sz w:val="24"/>
                <w:szCs w:val="24"/>
                <w:highlight w:val="none"/>
                <w:lang w:val="en-US" w:eastAsia="zh-CN" w:bidi="ar"/>
              </w:rPr>
            </w:pPr>
            <w:r>
              <w:rPr>
                <w:rFonts w:hint="default" w:ascii="Times New Roman" w:hAnsi="Times New Roman" w:cs="Times New Roman" w:eastAsiaTheme="minorEastAsia"/>
                <w:color w:val="auto"/>
                <w:spacing w:val="0"/>
                <w:kern w:val="0"/>
                <w:sz w:val="24"/>
                <w:szCs w:val="24"/>
                <w:highlight w:val="none"/>
                <w:lang w:val="en-US" w:eastAsia="zh-CN" w:bidi="ar"/>
              </w:rPr>
              <w:t>（3）同一施工地点应避免安排大量动力机械设备，以免局部累积声级过高；</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480" w:firstLineChars="200"/>
              <w:jc w:val="left"/>
              <w:textAlignment w:val="auto"/>
              <w:rPr>
                <w:rFonts w:hint="default" w:ascii="Times New Roman" w:hAnsi="Times New Roman" w:cs="Times New Roman" w:eastAsiaTheme="minorEastAsia"/>
                <w:color w:val="auto"/>
                <w:spacing w:val="0"/>
                <w:kern w:val="0"/>
                <w:sz w:val="24"/>
                <w:szCs w:val="24"/>
                <w:highlight w:val="none"/>
                <w:lang w:val="en-US" w:eastAsia="zh-CN" w:bidi="ar"/>
              </w:rPr>
            </w:pPr>
            <w:r>
              <w:rPr>
                <w:rFonts w:hint="default" w:ascii="Times New Roman" w:hAnsi="Times New Roman" w:cs="Times New Roman" w:eastAsiaTheme="minorEastAsia"/>
                <w:color w:val="auto"/>
                <w:spacing w:val="0"/>
                <w:kern w:val="0"/>
                <w:sz w:val="24"/>
                <w:szCs w:val="24"/>
                <w:highlight w:val="none"/>
                <w:lang w:val="en-US" w:eastAsia="zh-CN" w:bidi="ar"/>
              </w:rPr>
              <w:t>（4）对动力机械设备进行定期的维修、养护，设备用完后或不用时应立即关闭；</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spacing w:val="0"/>
                <w:kern w:val="0"/>
                <w:sz w:val="24"/>
                <w:szCs w:val="24"/>
                <w:highlight w:val="none"/>
                <w:lang w:val="en-US" w:eastAsia="zh-CN" w:bidi="ar"/>
              </w:rPr>
            </w:pPr>
            <w:r>
              <w:rPr>
                <w:rFonts w:hint="default" w:ascii="Times New Roman" w:hAnsi="Times New Roman" w:cs="Times New Roman" w:eastAsiaTheme="minorEastAsia"/>
                <w:color w:val="auto"/>
                <w:spacing w:val="0"/>
                <w:kern w:val="0"/>
                <w:sz w:val="24"/>
                <w:szCs w:val="24"/>
                <w:highlight w:val="none"/>
                <w:lang w:val="en-US" w:eastAsia="zh-CN" w:bidi="ar"/>
              </w:rPr>
              <w:t>（5）加强管理，文明施工，建筑器械、材料轻拿轻放，尽量减少人为噪声。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采取上述噪声污染防治措施后，项目施工噪声对周围环境影响较小。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1" w:firstLineChars="200"/>
              <w:jc w:val="both"/>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lang w:val="en-US" w:eastAsia="zh-CN"/>
              </w:rPr>
              <w:t>4</w:t>
            </w:r>
            <w:r>
              <w:rPr>
                <w:rFonts w:hint="default" w:ascii="Times New Roman" w:hAnsi="Times New Roman" w:cs="Times New Roman" w:eastAsiaTheme="minorEastAsia"/>
                <w:b/>
                <w:bCs/>
                <w:color w:val="auto"/>
                <w:sz w:val="24"/>
                <w:szCs w:val="24"/>
                <w:lang w:eastAsia="zh-CN"/>
              </w:rPr>
              <w:t>、</w:t>
            </w:r>
            <w:r>
              <w:rPr>
                <w:rFonts w:hint="default" w:ascii="Times New Roman" w:hAnsi="Times New Roman" w:cs="Times New Roman" w:eastAsiaTheme="minorEastAsia"/>
                <w:b/>
                <w:bCs/>
                <w:color w:val="auto"/>
                <w:sz w:val="24"/>
                <w:szCs w:val="24"/>
              </w:rPr>
              <w:t>固体废物</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w:t>
            </w:r>
            <w:r>
              <w:rPr>
                <w:rFonts w:hint="default" w:ascii="Times New Roman" w:hAnsi="Times New Roman" w:cs="Times New Roman" w:eastAsiaTheme="minorEastAsia"/>
                <w:color w:val="auto"/>
                <w:sz w:val="24"/>
                <w:szCs w:val="24"/>
                <w:lang w:eastAsia="zh-CN"/>
              </w:rPr>
              <w:t>拆除阶段</w:t>
            </w:r>
            <w:r>
              <w:rPr>
                <w:rFonts w:hint="default" w:ascii="Times New Roman" w:hAnsi="Times New Roman" w:cs="Times New Roman" w:eastAsiaTheme="minorEastAsia"/>
                <w:color w:val="auto"/>
                <w:sz w:val="24"/>
                <w:szCs w:val="24"/>
              </w:rPr>
              <w:t>产生的固体废物主要是建筑垃圾和施工人员生活垃圾。建筑垃圾主要来源于</w:t>
            </w:r>
            <w:r>
              <w:rPr>
                <w:rFonts w:hint="eastAsia" w:cs="Times New Roman" w:eastAsiaTheme="minorEastAsia"/>
                <w:color w:val="auto"/>
                <w:sz w:val="24"/>
                <w:szCs w:val="24"/>
                <w:lang w:val="en-US" w:eastAsia="zh-CN"/>
              </w:rPr>
              <w:t>拌合</w:t>
            </w:r>
            <w:r>
              <w:rPr>
                <w:rFonts w:hint="default" w:ascii="Times New Roman" w:hAnsi="Times New Roman" w:cs="Times New Roman" w:eastAsiaTheme="minorEastAsia"/>
                <w:color w:val="auto"/>
                <w:sz w:val="24"/>
                <w:szCs w:val="24"/>
                <w:lang w:eastAsia="zh-CN"/>
              </w:rPr>
              <w:t>站</w:t>
            </w:r>
            <w:r>
              <w:rPr>
                <w:rFonts w:hint="default" w:ascii="Times New Roman" w:hAnsi="Times New Roman" w:cs="Times New Roman" w:eastAsiaTheme="minorEastAsia"/>
                <w:color w:val="auto"/>
                <w:sz w:val="24"/>
                <w:szCs w:val="24"/>
              </w:rPr>
              <w:t>拆除、建筑施工中的废物如建筑垃圾、</w:t>
            </w:r>
            <w:r>
              <w:rPr>
                <w:rFonts w:hint="eastAsia" w:cs="Times New Roman" w:eastAsiaTheme="minorEastAsia"/>
                <w:color w:val="auto"/>
                <w:sz w:val="24"/>
                <w:szCs w:val="24"/>
                <w:lang w:val="en-US" w:eastAsia="zh-CN"/>
              </w:rPr>
              <w:t>砂石</w:t>
            </w:r>
            <w:r>
              <w:rPr>
                <w:rFonts w:hint="default" w:ascii="Times New Roman" w:hAnsi="Times New Roman" w:cs="Times New Roman" w:eastAsiaTheme="minorEastAsia"/>
                <w:color w:val="auto"/>
                <w:sz w:val="24"/>
                <w:szCs w:val="24"/>
              </w:rPr>
              <w:t>、石灰、混凝土、废砖等，可采取以下措施减少其对环境的影响：</w:t>
            </w:r>
          </w:p>
          <w:p>
            <w:pPr>
              <w:pageBreakBefore w:val="0"/>
              <w:numPr>
                <w:ilvl w:val="0"/>
                <w:numId w:val="0"/>
              </w:numPr>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rPr>
              <w:t>运送建筑废物的车辆离开施工场地时，要及时清理干净车辆粘带的泥土；</w:t>
            </w:r>
          </w:p>
          <w:p>
            <w:pPr>
              <w:pageBreakBefore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遗留在现场的建筑</w:t>
            </w:r>
            <w:r>
              <w:rPr>
                <w:rFonts w:hint="eastAsia" w:cs="Times New Roman" w:eastAsiaTheme="minorEastAsia"/>
                <w:color w:val="auto"/>
                <w:sz w:val="24"/>
                <w:szCs w:val="24"/>
                <w:lang w:val="en-US" w:eastAsia="zh-CN"/>
              </w:rPr>
              <w:t>废弃物</w:t>
            </w:r>
            <w:r>
              <w:rPr>
                <w:rFonts w:hint="default" w:ascii="Times New Roman" w:hAnsi="Times New Roman" w:cs="Times New Roman" w:eastAsiaTheme="minorEastAsia"/>
                <w:color w:val="auto"/>
                <w:sz w:val="24"/>
                <w:szCs w:val="24"/>
              </w:rPr>
              <w:t>要及时清运；</w:t>
            </w:r>
          </w:p>
          <w:p>
            <w:pPr>
              <w:pageBreakBefore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rPr>
              <w:t>施工现场的建筑</w:t>
            </w:r>
            <w:r>
              <w:rPr>
                <w:rFonts w:hint="eastAsia" w:cs="Times New Roman" w:eastAsiaTheme="minorEastAsia"/>
                <w:color w:val="auto"/>
                <w:sz w:val="24"/>
                <w:szCs w:val="24"/>
                <w:lang w:val="en-US" w:eastAsia="zh-CN"/>
              </w:rPr>
              <w:t>废弃</w:t>
            </w:r>
            <w:r>
              <w:rPr>
                <w:rFonts w:hint="default" w:ascii="Times New Roman" w:hAnsi="Times New Roman" w:cs="Times New Roman" w:eastAsiaTheme="minorEastAsia"/>
                <w:color w:val="auto"/>
                <w:sz w:val="24"/>
                <w:szCs w:val="24"/>
              </w:rPr>
              <w:t>金属要及时回收；</w:t>
            </w:r>
          </w:p>
          <w:p>
            <w:pPr>
              <w:pageBreakBefore w:val="0"/>
              <w:kinsoku/>
              <w:wordWrap/>
              <w:overflowPunct/>
              <w:topLinePunct w:val="0"/>
              <w:autoSpaceDE/>
              <w:autoSpaceDN/>
              <w:bidi w:val="0"/>
              <w:spacing w:line="360" w:lineRule="auto"/>
              <w:ind w:firstLine="480" w:firstLineChars="200"/>
              <w:jc w:val="both"/>
              <w:textAlignment w:val="auto"/>
              <w:rPr>
                <w:rFonts w:hint="eastAsia"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rPr>
              <w:t>建筑垃圾应运送到政府指定地点，不得随意倾倒</w:t>
            </w:r>
            <w:r>
              <w:rPr>
                <w:rFonts w:hint="eastAsia" w:cs="Times New Roman" w:eastAsiaTheme="minorEastAsia"/>
                <w:color w:val="auto"/>
                <w:sz w:val="24"/>
                <w:szCs w:val="24"/>
                <w:lang w:eastAsia="zh-CN"/>
              </w:rPr>
              <w:t>；</w:t>
            </w:r>
          </w:p>
          <w:p>
            <w:pPr>
              <w:pageBreakBefore w:val="0"/>
              <w:kinsoku/>
              <w:wordWrap/>
              <w:overflowPunct/>
              <w:topLinePunct w:val="0"/>
              <w:autoSpaceDE/>
              <w:autoSpaceDN/>
              <w:bidi w:val="0"/>
              <w:spacing w:line="360" w:lineRule="auto"/>
              <w:ind w:firstLine="480" w:firstLineChars="200"/>
              <w:jc w:val="both"/>
              <w:textAlignment w:val="auto"/>
              <w:rPr>
                <w:rFonts w:hint="eastAsia"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rPr>
              <w:t>施工人员的生活垃圾</w:t>
            </w:r>
            <w:r>
              <w:rPr>
                <w:rFonts w:hint="default" w:ascii="Times New Roman" w:hAnsi="Times New Roman" w:cs="Times New Roman" w:eastAsiaTheme="minorEastAsia"/>
                <w:color w:val="auto"/>
                <w:sz w:val="24"/>
                <w:szCs w:val="24"/>
                <w:lang w:val="en-US" w:eastAsia="zh-CN"/>
              </w:rPr>
              <w:t>应</w:t>
            </w:r>
            <w:r>
              <w:rPr>
                <w:rFonts w:hint="default" w:ascii="Times New Roman" w:hAnsi="Times New Roman" w:cs="Times New Roman" w:eastAsiaTheme="minorEastAsia"/>
                <w:color w:val="auto"/>
                <w:sz w:val="24"/>
                <w:szCs w:val="24"/>
              </w:rPr>
              <w:t>及时收集到指定的垃圾箱（桶）内，集中收集后由园区环卫部门定期清运至就近的垃圾转运点</w:t>
            </w:r>
            <w:r>
              <w:rPr>
                <w:rFonts w:hint="eastAsia" w:cs="Times New Roman" w:eastAsiaTheme="minorEastAsia"/>
                <w:color w:val="auto"/>
                <w:sz w:val="24"/>
                <w:szCs w:val="24"/>
                <w:lang w:eastAsia="zh-CN"/>
              </w:rPr>
              <w:t>。</w:t>
            </w:r>
          </w:p>
          <w:p>
            <w:pPr>
              <w:pStyle w:val="31"/>
              <w:pageBreakBefore w:val="0"/>
              <w:kinsoku/>
              <w:wordWrap/>
              <w:overflowPunct/>
              <w:topLinePunct w:val="0"/>
              <w:autoSpaceDE/>
              <w:autoSpaceDN/>
              <w:bidi w:val="0"/>
              <w:spacing w:line="360" w:lineRule="auto"/>
              <w:ind w:firstLine="480" w:firstLineChars="200"/>
              <w:jc w:val="both"/>
              <w:textAlignment w:val="auto"/>
              <w:rPr>
                <w:rFonts w:hint="default"/>
                <w:color w:val="FF0000"/>
                <w:lang w:val="en-US" w:eastAsia="zh-CN"/>
              </w:rPr>
            </w:pPr>
            <w:r>
              <w:rPr>
                <w:rFonts w:hint="default" w:ascii="Times New Roman" w:hAnsi="Times New Roman" w:cs="Times New Roman" w:eastAsiaTheme="minorEastAsia"/>
                <w:color w:val="auto"/>
                <w:sz w:val="24"/>
                <w:szCs w:val="24"/>
              </w:rPr>
              <w:t>本项目</w:t>
            </w:r>
            <w:r>
              <w:rPr>
                <w:rFonts w:hint="default" w:ascii="Times New Roman" w:hAnsi="Times New Roman" w:cs="Times New Roman" w:eastAsiaTheme="minorEastAsia"/>
                <w:color w:val="auto"/>
                <w:sz w:val="24"/>
                <w:szCs w:val="24"/>
                <w:lang w:eastAsia="zh-CN"/>
              </w:rPr>
              <w:t>拆除阶段</w:t>
            </w:r>
            <w:r>
              <w:rPr>
                <w:rFonts w:hint="default" w:ascii="Times New Roman" w:hAnsi="Times New Roman" w:cs="Times New Roman" w:eastAsiaTheme="minorEastAsia"/>
                <w:color w:val="auto"/>
                <w:sz w:val="24"/>
                <w:szCs w:val="24"/>
              </w:rPr>
              <w:t>产生的废物均采取相应的治理措施后，施工期对周围环境的影响可以接受。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08" w:type="dxa"/>
            <w:left w:w="108" w:type="dxa"/>
            <w:bottom w:w="108" w:type="dxa"/>
            <w:right w:w="108" w:type="dxa"/>
          </w:tblCellMar>
        </w:tblPrEx>
        <w:trPr>
          <w:trHeight w:val="12590" w:hRule="atLeast"/>
          <w:jc w:val="center"/>
        </w:trPr>
        <w:tc>
          <w:tcPr>
            <w:tcW w:w="717" w:type="dxa"/>
            <w:tcMar>
              <w:left w:w="28" w:type="dxa"/>
              <w:right w:w="28" w:type="dxa"/>
            </w:tcMar>
            <w:vAlign w:val="center"/>
          </w:tcPr>
          <w:p>
            <w:pPr>
              <w:pStyle w:val="20"/>
              <w:adjustRightInd w:val="0"/>
              <w:snapToGrid w:val="0"/>
              <w:spacing w:before="0" w:beforeAutospacing="0" w:after="0" w:afterAutospacing="0"/>
              <w:jc w:val="center"/>
              <w:rPr>
                <w:rFonts w:ascii="Times New Roman" w:hAnsi="Times New Roman"/>
                <w:b/>
                <w:bCs/>
                <w:color w:val="FF0000"/>
                <w:kern w:val="2"/>
                <w:szCs w:val="21"/>
              </w:rPr>
            </w:pPr>
            <w:r>
              <w:rPr>
                <w:rFonts w:ascii="Times New Roman" w:hAnsi="Times New Roman"/>
                <w:b/>
                <w:bCs/>
                <w:color w:val="auto"/>
                <w:kern w:val="2"/>
                <w:szCs w:val="21"/>
              </w:rPr>
              <w:t>运营期环境影响和保护措施</w:t>
            </w:r>
          </w:p>
        </w:tc>
        <w:tc>
          <w:tcPr>
            <w:tcW w:w="8151" w:type="dxa"/>
          </w:tcPr>
          <w:p>
            <w:pPr>
              <w:numPr>
                <w:ilvl w:val="0"/>
                <w:numId w:val="11"/>
              </w:numPr>
              <w:adjustRightInd w:val="0"/>
              <w:snapToGrid w:val="0"/>
              <w:spacing w:line="360" w:lineRule="auto"/>
              <w:ind w:firstLine="481" w:firstLineChars="200"/>
              <w:outlineLvl w:val="1"/>
              <w:rPr>
                <w:b/>
                <w:bCs/>
                <w:color w:val="auto"/>
                <w:sz w:val="24"/>
              </w:rPr>
            </w:pPr>
            <w:r>
              <w:rPr>
                <w:b/>
                <w:bCs/>
                <w:color w:val="auto"/>
                <w:sz w:val="24"/>
              </w:rPr>
              <w:t>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1" w:firstLineChars="200"/>
              <w:jc w:val="left"/>
              <w:textAlignment w:val="auto"/>
              <w:rPr>
                <w:b/>
                <w:bCs/>
                <w:color w:val="auto"/>
                <w:sz w:val="24"/>
              </w:rPr>
            </w:pPr>
            <w:r>
              <w:rPr>
                <w:rFonts w:hint="eastAsia"/>
                <w:b/>
                <w:bCs/>
                <w:color w:val="auto"/>
                <w:sz w:val="24"/>
              </w:rPr>
              <w:t>1、</w:t>
            </w:r>
            <w:r>
              <w:rPr>
                <w:b/>
                <w:bCs/>
                <w:color w:val="auto"/>
                <w:sz w:val="24"/>
              </w:rPr>
              <w:t>产排污环节</w:t>
            </w:r>
          </w:p>
          <w:p>
            <w:pPr>
              <w:pStyle w:val="16"/>
              <w:keepNext w:val="0"/>
              <w:keepLines w:val="0"/>
              <w:pageBreakBefore w:val="0"/>
              <w:widowControl w:val="0"/>
              <w:kinsoku/>
              <w:wordWrap/>
              <w:overflowPunct/>
              <w:topLinePunct w:val="0"/>
              <w:autoSpaceDE/>
              <w:autoSpaceDN/>
              <w:bidi w:val="0"/>
              <w:adjustRightInd w:val="0"/>
              <w:spacing w:line="360" w:lineRule="auto"/>
              <w:ind w:firstLine="480" w:firstLineChars="200"/>
              <w:jc w:val="both"/>
              <w:textAlignment w:val="auto"/>
              <w:rPr>
                <w:rFonts w:ascii="宋体" w:hAnsi="宋体" w:cs="宋体"/>
                <w:color w:val="auto"/>
                <w:sz w:val="24"/>
                <w:szCs w:val="24"/>
              </w:rPr>
            </w:pPr>
            <w:r>
              <w:rPr>
                <w:color w:val="auto"/>
                <w:sz w:val="24"/>
                <w:szCs w:val="24"/>
              </w:rPr>
              <w:t>本项目</w:t>
            </w:r>
            <w:r>
              <w:rPr>
                <w:rFonts w:hint="eastAsia"/>
                <w:color w:val="auto"/>
                <w:sz w:val="24"/>
                <w:szCs w:val="24"/>
                <w:lang w:val="en-US" w:eastAsia="zh-CN"/>
              </w:rPr>
              <w:t>大气污染物主要为</w:t>
            </w:r>
            <w:r>
              <w:rPr>
                <w:rFonts w:hint="eastAsia"/>
                <w:color w:val="auto"/>
                <w:sz w:val="24"/>
                <w:szCs w:val="24"/>
              </w:rPr>
              <w:t>颗粒物，主要包括</w:t>
            </w:r>
            <w:r>
              <w:rPr>
                <w:color w:val="auto"/>
                <w:kern w:val="2"/>
                <w:sz w:val="24"/>
                <w:szCs w:val="24"/>
              </w:rPr>
              <w:t>原料仓粉尘G1</w:t>
            </w:r>
            <w:r>
              <w:rPr>
                <w:rFonts w:hint="eastAsia"/>
                <w:color w:val="auto"/>
                <w:kern w:val="2"/>
                <w:sz w:val="24"/>
                <w:szCs w:val="24"/>
              </w:rPr>
              <w:t>、</w:t>
            </w:r>
            <w:r>
              <w:rPr>
                <w:color w:val="auto"/>
                <w:kern w:val="2"/>
                <w:sz w:val="24"/>
                <w:szCs w:val="24"/>
              </w:rPr>
              <w:t>石料</w:t>
            </w:r>
            <w:r>
              <w:rPr>
                <w:rFonts w:hint="eastAsia"/>
                <w:color w:val="auto"/>
                <w:kern w:val="2"/>
                <w:sz w:val="24"/>
                <w:szCs w:val="24"/>
                <w:lang w:val="en-US" w:eastAsia="zh-CN"/>
              </w:rPr>
              <w:t>及</w:t>
            </w:r>
            <w:r>
              <w:rPr>
                <w:color w:val="auto"/>
                <w:kern w:val="2"/>
                <w:sz w:val="24"/>
                <w:szCs w:val="24"/>
              </w:rPr>
              <w:t>水洗砂由铲车送至配料机废气G2</w:t>
            </w:r>
            <w:r>
              <w:rPr>
                <w:rFonts w:hint="eastAsia"/>
                <w:color w:val="auto"/>
                <w:kern w:val="2"/>
                <w:sz w:val="24"/>
                <w:szCs w:val="24"/>
              </w:rPr>
              <w:t>、</w:t>
            </w:r>
            <w:r>
              <w:rPr>
                <w:color w:val="auto"/>
                <w:sz w:val="24"/>
                <w:szCs w:val="24"/>
              </w:rPr>
              <w:t>石料和水洗砂由密闭皮带</w:t>
            </w:r>
            <w:r>
              <w:rPr>
                <w:rFonts w:hint="eastAsia"/>
                <w:color w:val="auto"/>
                <w:sz w:val="24"/>
                <w:szCs w:val="24"/>
              </w:rPr>
              <w:t>机</w:t>
            </w:r>
            <w:r>
              <w:rPr>
                <w:color w:val="auto"/>
                <w:sz w:val="24"/>
                <w:szCs w:val="24"/>
              </w:rPr>
              <w:t>输送至骨料中间仓</w:t>
            </w:r>
            <w:r>
              <w:rPr>
                <w:rFonts w:hint="eastAsia"/>
                <w:color w:val="auto"/>
                <w:sz w:val="24"/>
                <w:szCs w:val="24"/>
              </w:rPr>
              <w:t>废气</w:t>
            </w:r>
            <w:r>
              <w:rPr>
                <w:color w:val="auto"/>
                <w:sz w:val="24"/>
                <w:szCs w:val="24"/>
              </w:rPr>
              <w:t>G3</w:t>
            </w:r>
            <w:r>
              <w:rPr>
                <w:rFonts w:hint="eastAsia"/>
                <w:color w:val="auto"/>
                <w:sz w:val="24"/>
                <w:szCs w:val="24"/>
              </w:rPr>
              <w:t>、</w:t>
            </w:r>
            <w:r>
              <w:rPr>
                <w:color w:val="auto"/>
                <w:kern w:val="2"/>
                <w:sz w:val="24"/>
                <w:szCs w:val="24"/>
              </w:rPr>
              <w:t>水泥筒仓呼吸口废气G4</w:t>
            </w:r>
            <w:r>
              <w:rPr>
                <w:rFonts w:hint="eastAsia"/>
                <w:color w:val="auto"/>
                <w:kern w:val="2"/>
                <w:sz w:val="24"/>
                <w:szCs w:val="24"/>
              </w:rPr>
              <w:t>、</w:t>
            </w:r>
            <w:r>
              <w:rPr>
                <w:color w:val="auto"/>
                <w:kern w:val="2"/>
                <w:sz w:val="24"/>
                <w:szCs w:val="24"/>
              </w:rPr>
              <w:t>搅拌机搅拌废气G5</w:t>
            </w:r>
            <w:r>
              <w:rPr>
                <w:rFonts w:hint="eastAsia"/>
                <w:color w:val="auto"/>
                <w:kern w:val="2"/>
                <w:sz w:val="24"/>
                <w:szCs w:val="24"/>
              </w:rPr>
              <w:t>及</w:t>
            </w:r>
            <w:r>
              <w:rPr>
                <w:color w:val="auto"/>
                <w:kern w:val="2"/>
                <w:sz w:val="24"/>
                <w:szCs w:val="24"/>
              </w:rPr>
              <w:t>车辆运输扬尘G6</w:t>
            </w:r>
            <w:r>
              <w:rPr>
                <w:rFonts w:hint="eastAsia"/>
                <w:color w:val="auto"/>
                <w:kern w:val="2"/>
                <w:sz w:val="24"/>
                <w:szCs w:val="24"/>
              </w:rPr>
              <w:t>。</w:t>
            </w:r>
          </w:p>
          <w:p>
            <w:pPr>
              <w:pStyle w:val="21"/>
              <w:keepNext w:val="0"/>
              <w:keepLines w:val="0"/>
              <w:pageBreakBefore w:val="0"/>
              <w:widowControl w:val="0"/>
              <w:kinsoku/>
              <w:wordWrap/>
              <w:overflowPunct/>
              <w:topLinePunct w:val="0"/>
              <w:autoSpaceDE/>
              <w:autoSpaceDN/>
              <w:bidi w:val="0"/>
              <w:ind w:firstLine="481" w:firstLineChars="200"/>
              <w:jc w:val="both"/>
              <w:textAlignment w:val="auto"/>
              <w:rPr>
                <w:b/>
                <w:bCs/>
                <w:color w:val="auto"/>
                <w:sz w:val="24"/>
              </w:rPr>
            </w:pPr>
            <w:r>
              <w:rPr>
                <w:rFonts w:hint="eastAsia"/>
                <w:b/>
                <w:bCs/>
                <w:color w:val="auto"/>
                <w:sz w:val="24"/>
              </w:rPr>
              <w:t>2、污染物种类、污染物产生量及浓度</w:t>
            </w:r>
          </w:p>
          <w:p>
            <w:pPr>
              <w:pStyle w:val="16"/>
              <w:keepNext w:val="0"/>
              <w:keepLines w:val="0"/>
              <w:pageBreakBefore w:val="0"/>
              <w:widowControl w:val="0"/>
              <w:kinsoku/>
              <w:wordWrap/>
              <w:overflowPunct/>
              <w:topLinePunct w:val="0"/>
              <w:autoSpaceDE/>
              <w:autoSpaceDN/>
              <w:bidi w:val="0"/>
              <w:adjustRightInd w:val="0"/>
              <w:spacing w:line="360" w:lineRule="auto"/>
              <w:ind w:firstLine="480" w:firstLineChars="200"/>
              <w:jc w:val="both"/>
              <w:textAlignment w:val="auto"/>
              <w:rPr>
                <w:color w:val="auto"/>
                <w:sz w:val="24"/>
              </w:rPr>
            </w:pPr>
            <w:r>
              <w:rPr>
                <w:rFonts w:hint="eastAsia" w:ascii="宋体" w:hAnsi="宋体" w:cs="宋体"/>
                <w:color w:val="auto"/>
                <w:sz w:val="24"/>
                <w:szCs w:val="24"/>
              </w:rPr>
              <w:t>（1）</w:t>
            </w:r>
            <w:r>
              <w:rPr>
                <w:color w:val="auto"/>
                <w:sz w:val="24"/>
                <w:szCs w:val="24"/>
              </w:rPr>
              <w:t>废气污染物产排情况</w:t>
            </w:r>
            <w:r>
              <w:rPr>
                <w:rFonts w:hint="eastAsia"/>
                <w:color w:val="auto"/>
                <w:sz w:val="24"/>
                <w:szCs w:val="24"/>
              </w:rPr>
              <w:t>汇总</w:t>
            </w:r>
          </w:p>
          <w:p>
            <w:pPr>
              <w:pStyle w:val="16"/>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 w:val="21"/>
                <w:szCs w:val="21"/>
              </w:rPr>
            </w:pPr>
            <w:r>
              <w:rPr>
                <w:b/>
                <w:bCs/>
                <w:color w:val="auto"/>
                <w:sz w:val="21"/>
                <w:szCs w:val="21"/>
              </w:rPr>
              <w:t xml:space="preserve">表4-1  </w:t>
            </w:r>
            <w:r>
              <w:rPr>
                <w:rFonts w:hint="eastAsia"/>
                <w:b/>
                <w:bCs/>
                <w:color w:val="auto"/>
                <w:sz w:val="21"/>
                <w:szCs w:val="21"/>
              </w:rPr>
              <w:t xml:space="preserve"> </w:t>
            </w:r>
            <w:r>
              <w:rPr>
                <w:b/>
                <w:bCs/>
                <w:color w:val="auto"/>
                <w:sz w:val="21"/>
                <w:szCs w:val="21"/>
              </w:rPr>
              <w:t>大气污染物产排情况汇总一览表</w:t>
            </w:r>
          </w:p>
          <w:tbl>
            <w:tblPr>
              <w:tblStyle w:val="25"/>
              <w:tblW w:w="828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427"/>
              <w:gridCol w:w="805"/>
              <w:gridCol w:w="1035"/>
              <w:gridCol w:w="1941"/>
              <w:gridCol w:w="848"/>
              <w:gridCol w:w="472"/>
              <w:gridCol w:w="708"/>
              <w:gridCol w:w="10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产污</w:t>
                  </w:r>
                </w:p>
                <w:p>
                  <w:pPr>
                    <w:pStyle w:val="57"/>
                    <w:keepNext w:val="0"/>
                    <w:keepLines w:val="0"/>
                    <w:pageBreakBefore w:val="0"/>
                    <w:widowControl w:val="0"/>
                    <w:kinsoku/>
                    <w:wordWrap/>
                    <w:overflowPunct/>
                    <w:topLinePunct w:val="0"/>
                    <w:autoSpaceDE/>
                    <w:autoSpaceDN/>
                    <w:bidi w:val="0"/>
                    <w:adjustRightInd w:val="0"/>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sz w:val="21"/>
                      <w:szCs w:val="21"/>
                    </w:rPr>
                    <w:t>环节</w:t>
                  </w:r>
                </w:p>
              </w:tc>
              <w:tc>
                <w:tcPr>
                  <w:tcW w:w="427"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sz w:val="21"/>
                      <w:szCs w:val="21"/>
                    </w:rPr>
                    <w:t>污染物名称</w:t>
                  </w:r>
                </w:p>
              </w:tc>
              <w:tc>
                <w:tcPr>
                  <w:tcW w:w="80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w:t>
                  </w:r>
                </w:p>
                <w:p>
                  <w:pPr>
                    <w:pStyle w:val="57"/>
                    <w:keepNext w:val="0"/>
                    <w:keepLines w:val="0"/>
                    <w:pageBreakBefore w:val="0"/>
                    <w:widowControl w:val="0"/>
                    <w:kinsoku/>
                    <w:wordWrap/>
                    <w:overflowPunct/>
                    <w:topLinePunct w:val="0"/>
                    <w:autoSpaceDE/>
                    <w:autoSpaceDN/>
                    <w:bidi w:val="0"/>
                    <w:adjustRightInd w:val="0"/>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b/>
                      <w:bCs/>
                      <w:color w:val="auto"/>
                      <w:kern w:val="0"/>
                      <w:sz w:val="21"/>
                      <w:szCs w:val="21"/>
                      <w:lang w:val="en-US" w:eastAsia="zh-CN" w:bidi="ar-SA"/>
                    </w:rPr>
                  </w:pPr>
                  <w:r>
                    <w:rPr>
                      <w:rFonts w:hint="eastAsia" w:cs="Times New Roman"/>
                      <w:b/>
                      <w:bCs/>
                      <w:color w:val="auto"/>
                      <w:sz w:val="21"/>
                      <w:szCs w:val="21"/>
                      <w:lang w:eastAsia="zh-CN"/>
                    </w:rPr>
                    <w:t>（</w:t>
                  </w:r>
                  <w:r>
                    <w:rPr>
                      <w:rFonts w:hint="eastAsia" w:cs="Times New Roman"/>
                      <w:b/>
                      <w:bCs/>
                      <w:color w:val="auto"/>
                      <w:sz w:val="21"/>
                      <w:szCs w:val="21"/>
                      <w:lang w:val="en-US" w:eastAsia="zh-CN"/>
                    </w:rPr>
                    <w:t>t</w:t>
                  </w:r>
                  <w:r>
                    <w:rPr>
                      <w:rFonts w:hint="eastAsia" w:cs="Times New Roman"/>
                      <w:b/>
                      <w:bCs/>
                      <w:color w:val="auto"/>
                      <w:sz w:val="21"/>
                      <w:szCs w:val="21"/>
                      <w:lang w:eastAsia="zh-CN"/>
                    </w:rPr>
                    <w:t>）</w:t>
                  </w:r>
                </w:p>
              </w:tc>
              <w:tc>
                <w:tcPr>
                  <w:tcW w:w="1035"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w:t>
                  </w:r>
                </w:p>
                <w:p>
                  <w:pPr>
                    <w:pStyle w:val="57"/>
                    <w:keepNext w:val="0"/>
                    <w:keepLines w:val="0"/>
                    <w:pageBreakBefore w:val="0"/>
                    <w:widowControl w:val="0"/>
                    <w:kinsoku/>
                    <w:wordWrap/>
                    <w:overflowPunct/>
                    <w:topLinePunct w:val="0"/>
                    <w:autoSpaceDE/>
                    <w:autoSpaceDN/>
                    <w:bidi w:val="0"/>
                    <w:adjustRightInd w:val="0"/>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w:t>
                  </w:r>
                </w:p>
                <w:p>
                  <w:pPr>
                    <w:pStyle w:val="57"/>
                    <w:keepNext w:val="0"/>
                    <w:keepLines w:val="0"/>
                    <w:pageBreakBefore w:val="0"/>
                    <w:widowControl w:val="0"/>
                    <w:kinsoku/>
                    <w:wordWrap/>
                    <w:overflowPunct/>
                    <w:topLinePunct w:val="0"/>
                    <w:autoSpaceDE/>
                    <w:autoSpaceDN/>
                    <w:bidi w:val="0"/>
                    <w:adjustRightInd w:val="0"/>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b/>
                      <w:bCs/>
                      <w:color w:val="auto"/>
                      <w:kern w:val="0"/>
                      <w:sz w:val="21"/>
                      <w:szCs w:val="21"/>
                      <w:lang w:val="en-US" w:eastAsia="zh-CN" w:bidi="ar-SA"/>
                    </w:rPr>
                  </w:pP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kg/h</w:t>
                  </w:r>
                  <w:r>
                    <w:rPr>
                      <w:rFonts w:hint="eastAsia" w:cs="Times New Roman"/>
                      <w:b/>
                      <w:bCs/>
                      <w:color w:val="auto"/>
                      <w:sz w:val="21"/>
                      <w:szCs w:val="21"/>
                      <w:lang w:eastAsia="zh-CN"/>
                    </w:rPr>
                    <w:t>）</w:t>
                  </w:r>
                </w:p>
              </w:tc>
              <w:tc>
                <w:tcPr>
                  <w:tcW w:w="1941"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sz w:val="21"/>
                      <w:szCs w:val="21"/>
                    </w:rPr>
                    <w:t>治理措施</w:t>
                  </w:r>
                </w:p>
              </w:tc>
              <w:tc>
                <w:tcPr>
                  <w:tcW w:w="848"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before="0" w:after="0" w:line="240" w:lineRule="auto"/>
                    <w:ind w:left="0" w:leftChars="0" w:right="0" w:rightChars="0" w:firstLine="0" w:firstLineChars="0"/>
                    <w:jc w:val="center"/>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去除效率（</w:t>
                  </w:r>
                  <w:r>
                    <w:rPr>
                      <w:rFonts w:hint="eastAsia" w:ascii="Times New Roman" w:hAnsi="Times New Roman" w:cs="Times New Roman"/>
                      <w:b/>
                      <w:bCs/>
                      <w:color w:val="auto"/>
                      <w:kern w:val="1"/>
                      <w:sz w:val="21"/>
                      <w:szCs w:val="21"/>
                      <w:highlight w:val="none"/>
                      <w:lang w:val="en-US" w:eastAsia="zh-CN"/>
                    </w:rPr>
                    <w:t>%</w:t>
                  </w:r>
                  <w:r>
                    <w:rPr>
                      <w:rFonts w:hint="eastAsia" w:cs="Times New Roman"/>
                      <w:b/>
                      <w:bCs/>
                      <w:color w:val="auto"/>
                      <w:kern w:val="1"/>
                      <w:sz w:val="21"/>
                      <w:szCs w:val="21"/>
                      <w:highlight w:val="none"/>
                      <w:lang w:val="en-US" w:eastAsia="zh-CN"/>
                    </w:rPr>
                    <w:t>）</w:t>
                  </w:r>
                </w:p>
              </w:tc>
              <w:tc>
                <w:tcPr>
                  <w:tcW w:w="472"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w:t>
                  </w:r>
                </w:p>
                <w:p>
                  <w:pPr>
                    <w:pStyle w:val="57"/>
                    <w:keepNext w:val="0"/>
                    <w:keepLines w:val="0"/>
                    <w:pageBreakBefore w:val="0"/>
                    <w:widowControl w:val="0"/>
                    <w:kinsoku/>
                    <w:wordWrap/>
                    <w:overflowPunct/>
                    <w:topLinePunct w:val="0"/>
                    <w:autoSpaceDE/>
                    <w:autoSpaceDN/>
                    <w:bidi w:val="0"/>
                    <w:adjustRightInd w:val="0"/>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eastAsia" w:cs="Times New Roman"/>
                      <w:b/>
                      <w:bCs/>
                      <w:color w:val="auto"/>
                      <w:sz w:val="21"/>
                      <w:szCs w:val="21"/>
                      <w:lang w:val="en-US" w:eastAsia="zh-CN"/>
                    </w:rPr>
                    <w:t>形</w:t>
                  </w:r>
                  <w:r>
                    <w:rPr>
                      <w:rFonts w:hint="default" w:ascii="Times New Roman" w:hAnsi="Times New Roman" w:eastAsia="宋体" w:cs="Times New Roman"/>
                      <w:b/>
                      <w:bCs/>
                      <w:color w:val="auto"/>
                      <w:sz w:val="21"/>
                      <w:szCs w:val="21"/>
                    </w:rPr>
                    <w:t>式</w:t>
                  </w:r>
                </w:p>
              </w:tc>
              <w:tc>
                <w:tcPr>
                  <w:tcW w:w="708"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w:t>
                  </w:r>
                </w:p>
                <w:p>
                  <w:pPr>
                    <w:pStyle w:val="57"/>
                    <w:keepNext w:val="0"/>
                    <w:keepLines w:val="0"/>
                    <w:pageBreakBefore w:val="0"/>
                    <w:widowControl w:val="0"/>
                    <w:kinsoku/>
                    <w:wordWrap/>
                    <w:overflowPunct/>
                    <w:topLinePunct w:val="0"/>
                    <w:autoSpaceDE/>
                    <w:autoSpaceDN/>
                    <w:bidi w:val="0"/>
                    <w:adjustRightInd w:val="0"/>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b/>
                      <w:bCs/>
                      <w:color w:val="auto"/>
                      <w:kern w:val="0"/>
                      <w:sz w:val="21"/>
                      <w:szCs w:val="21"/>
                      <w:lang w:val="en-US" w:eastAsia="zh-CN" w:bidi="ar-SA"/>
                    </w:rPr>
                  </w:pP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t</w:t>
                  </w:r>
                  <w:r>
                    <w:rPr>
                      <w:rFonts w:hint="eastAsia" w:cs="Times New Roman"/>
                      <w:b/>
                      <w:bCs/>
                      <w:color w:val="auto"/>
                      <w:sz w:val="21"/>
                      <w:szCs w:val="21"/>
                      <w:lang w:eastAsia="zh-CN"/>
                    </w:rPr>
                    <w:t>）</w:t>
                  </w:r>
                </w:p>
              </w:tc>
              <w:tc>
                <w:tcPr>
                  <w:tcW w:w="1036" w:type="dxa"/>
                  <w:tcBorders>
                    <w:tl2br w:val="nil"/>
                    <w:tr2bl w:val="nil"/>
                  </w:tcBorders>
                  <w:vAlign w:val="center"/>
                </w:tcPr>
                <w:p>
                  <w:pPr>
                    <w:pStyle w:val="57"/>
                    <w:keepNext w:val="0"/>
                    <w:keepLines w:val="0"/>
                    <w:pageBreakBefore w:val="0"/>
                    <w:widowControl w:val="0"/>
                    <w:kinsoku/>
                    <w:wordWrap/>
                    <w:overflowPunct/>
                    <w:topLinePunct w:val="0"/>
                    <w:autoSpaceDE/>
                    <w:autoSpaceDN/>
                    <w:bidi w:val="0"/>
                    <w:adjustRightInd w:val="0"/>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w:t>
                  </w:r>
                </w:p>
                <w:p>
                  <w:pPr>
                    <w:pStyle w:val="57"/>
                    <w:keepNext w:val="0"/>
                    <w:keepLines w:val="0"/>
                    <w:pageBreakBefore w:val="0"/>
                    <w:widowControl w:val="0"/>
                    <w:kinsoku/>
                    <w:wordWrap/>
                    <w:overflowPunct/>
                    <w:topLinePunct w:val="0"/>
                    <w:autoSpaceDE/>
                    <w:autoSpaceDN/>
                    <w:bidi w:val="0"/>
                    <w:adjustRightInd w:val="0"/>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w:t>
                  </w:r>
                </w:p>
                <w:p>
                  <w:pPr>
                    <w:pStyle w:val="57"/>
                    <w:keepNext w:val="0"/>
                    <w:keepLines w:val="0"/>
                    <w:pageBreakBefore w:val="0"/>
                    <w:widowControl w:val="0"/>
                    <w:kinsoku/>
                    <w:wordWrap/>
                    <w:overflowPunct/>
                    <w:topLinePunct w:val="0"/>
                    <w:autoSpaceDE/>
                    <w:autoSpaceDN/>
                    <w:bidi w:val="0"/>
                    <w:adjustRightInd w:val="0"/>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b/>
                      <w:bCs/>
                      <w:color w:val="auto"/>
                      <w:kern w:val="0"/>
                      <w:sz w:val="21"/>
                      <w:szCs w:val="21"/>
                      <w:lang w:val="en-US" w:eastAsia="zh-CN" w:bidi="ar-SA"/>
                    </w:rPr>
                  </w:pP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kg/h</w:t>
                  </w:r>
                  <w:r>
                    <w:rPr>
                      <w:rFonts w:hint="eastAsia" w:cs="Times New Roman"/>
                      <w:b/>
                      <w:bCs/>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b w:val="0"/>
                      <w:bCs w:val="0"/>
                      <w:color w:val="auto"/>
                      <w:sz w:val="21"/>
                      <w:szCs w:val="21"/>
                      <w:vertAlign w:val="baseline"/>
                    </w:rPr>
                  </w:pPr>
                  <w:r>
                    <w:rPr>
                      <w:b w:val="0"/>
                      <w:bCs w:val="0"/>
                      <w:color w:val="auto"/>
                      <w:sz w:val="21"/>
                      <w:szCs w:val="21"/>
                    </w:rPr>
                    <w:t>原料仓粉尘G1</w:t>
                  </w:r>
                </w:p>
              </w:tc>
              <w:tc>
                <w:tcPr>
                  <w:tcW w:w="427" w:type="dxa"/>
                  <w:vMerge w:val="restar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b w:val="0"/>
                      <w:bCs w:val="0"/>
                      <w:color w:val="auto"/>
                      <w:sz w:val="21"/>
                      <w:szCs w:val="21"/>
                      <w:vertAlign w:val="baseline"/>
                    </w:rPr>
                  </w:pPr>
                  <w:r>
                    <w:rPr>
                      <w:b w:val="0"/>
                      <w:bCs w:val="0"/>
                      <w:color w:val="auto"/>
                      <w:sz w:val="21"/>
                      <w:szCs w:val="21"/>
                    </w:rPr>
                    <w:t>颗粒物</w:t>
                  </w:r>
                </w:p>
              </w:tc>
              <w:tc>
                <w:tcPr>
                  <w:tcW w:w="805"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lang w:val="en-US" w:eastAsia="zh-CN"/>
                    </w:rPr>
                    <w:t>8.73</w:t>
                  </w:r>
                </w:p>
              </w:tc>
              <w:tc>
                <w:tcPr>
                  <w:tcW w:w="1035"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7.91</w:t>
                  </w:r>
                </w:p>
              </w:tc>
              <w:tc>
                <w:tcPr>
                  <w:tcW w:w="1941"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b w:val="0"/>
                      <w:bCs w:val="0"/>
                      <w:color w:val="auto"/>
                      <w:sz w:val="21"/>
                      <w:szCs w:val="21"/>
                      <w:vertAlign w:val="baseline"/>
                    </w:rPr>
                  </w:pPr>
                  <w:r>
                    <w:rPr>
                      <w:b w:val="0"/>
                      <w:bCs w:val="0"/>
                      <w:color w:val="auto"/>
                      <w:sz w:val="21"/>
                      <w:szCs w:val="21"/>
                    </w:rPr>
                    <w:t>封闭式原料仓，物料全覆盖措施，</w:t>
                  </w:r>
                  <w:r>
                    <w:rPr>
                      <w:rFonts w:hint="eastAsia"/>
                      <w:b w:val="0"/>
                      <w:bCs w:val="0"/>
                      <w:color w:val="auto"/>
                      <w:sz w:val="21"/>
                      <w:szCs w:val="21"/>
                      <w:lang w:eastAsia="zh-CN"/>
                    </w:rPr>
                    <w:t>及时</w:t>
                  </w:r>
                  <w:r>
                    <w:rPr>
                      <w:b w:val="0"/>
                      <w:bCs w:val="0"/>
                      <w:color w:val="auto"/>
                      <w:sz w:val="21"/>
                      <w:szCs w:val="21"/>
                    </w:rPr>
                    <w:t>洒水降尘</w:t>
                  </w:r>
                </w:p>
              </w:tc>
              <w:tc>
                <w:tcPr>
                  <w:tcW w:w="848"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ascii="Times New Roman" w:hAnsi="Times New Roman" w:eastAsia="宋体" w:cs="Times New Roman"/>
                      <w:b w:val="0"/>
                      <w:bCs w:val="0"/>
                      <w:color w:val="auto"/>
                      <w:sz w:val="21"/>
                      <w:szCs w:val="21"/>
                      <w:lang w:val="en-US"/>
                    </w:rPr>
                  </w:pPr>
                  <w:r>
                    <w:rPr>
                      <w:rFonts w:hint="eastAsia" w:cs="Times New Roman"/>
                      <w:bCs/>
                      <w:color w:val="auto"/>
                      <w:kern w:val="1"/>
                      <w:sz w:val="21"/>
                      <w:szCs w:val="21"/>
                      <w:highlight w:val="none"/>
                      <w:lang w:val="en-US" w:eastAsia="zh-CN"/>
                    </w:rPr>
                    <w:t>99%</w:t>
                  </w:r>
                </w:p>
              </w:tc>
              <w:tc>
                <w:tcPr>
                  <w:tcW w:w="472" w:type="dxa"/>
                  <w:vMerge w:val="restar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b w:val="0"/>
                      <w:bCs w:val="0"/>
                      <w:color w:val="auto"/>
                      <w:sz w:val="21"/>
                      <w:szCs w:val="21"/>
                      <w:vertAlign w:val="baseline"/>
                    </w:rPr>
                  </w:pPr>
                  <w:r>
                    <w:rPr>
                      <w:rFonts w:hint="default" w:ascii="Times New Roman" w:hAnsi="Times New Roman" w:eastAsia="宋体" w:cs="Times New Roman"/>
                      <w:b w:val="0"/>
                      <w:bCs w:val="0"/>
                      <w:color w:val="auto"/>
                      <w:sz w:val="21"/>
                      <w:szCs w:val="21"/>
                    </w:rPr>
                    <w:t>无组织</w:t>
                  </w:r>
                </w:p>
              </w:tc>
              <w:tc>
                <w:tcPr>
                  <w:tcW w:w="708"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 xml:space="preserve">0.087 </w:t>
                  </w:r>
                </w:p>
              </w:tc>
              <w:tc>
                <w:tcPr>
                  <w:tcW w:w="1036"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 xml:space="preserve">0.079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b w:val="0"/>
                      <w:bCs w:val="0"/>
                      <w:color w:val="auto"/>
                      <w:sz w:val="21"/>
                      <w:szCs w:val="21"/>
                      <w:vertAlign w:val="baseline"/>
                    </w:rPr>
                  </w:pPr>
                  <w:r>
                    <w:rPr>
                      <w:color w:val="auto"/>
                      <w:sz w:val="21"/>
                      <w:szCs w:val="21"/>
                    </w:rPr>
                    <w:t>石料、水洗砂由铲车送至配料机废气G2</w:t>
                  </w:r>
                </w:p>
              </w:tc>
              <w:tc>
                <w:tcPr>
                  <w:tcW w:w="427" w:type="dxa"/>
                  <w:vMerge w:val="continue"/>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b w:val="0"/>
                      <w:bCs w:val="0"/>
                      <w:color w:val="auto"/>
                      <w:sz w:val="21"/>
                      <w:szCs w:val="21"/>
                      <w:vertAlign w:val="baseline"/>
                    </w:rPr>
                  </w:pPr>
                </w:p>
              </w:tc>
              <w:tc>
                <w:tcPr>
                  <w:tcW w:w="805"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eastAsia="宋体"/>
                      <w:b w:val="0"/>
                      <w:bCs w:val="0"/>
                      <w:color w:val="auto"/>
                      <w:sz w:val="21"/>
                      <w:szCs w:val="21"/>
                      <w:vertAlign w:val="baseline"/>
                      <w:lang w:val="en-US" w:eastAsia="zh-CN"/>
                    </w:rPr>
                  </w:pPr>
                  <w:r>
                    <w:rPr>
                      <w:rFonts w:hint="eastAsia"/>
                      <w:color w:val="auto"/>
                      <w:sz w:val="21"/>
                      <w:szCs w:val="21"/>
                      <w:lang w:val="en-US" w:eastAsia="zh-CN"/>
                    </w:rPr>
                    <w:t>13.10</w:t>
                  </w:r>
                </w:p>
              </w:tc>
              <w:tc>
                <w:tcPr>
                  <w:tcW w:w="1035"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11.86</w:t>
                  </w:r>
                </w:p>
              </w:tc>
              <w:tc>
                <w:tcPr>
                  <w:tcW w:w="1941"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b w:val="0"/>
                      <w:bCs w:val="0"/>
                      <w:color w:val="auto"/>
                      <w:sz w:val="21"/>
                      <w:szCs w:val="21"/>
                      <w:vertAlign w:val="baseline"/>
                    </w:rPr>
                  </w:pPr>
                  <w:r>
                    <w:rPr>
                      <w:color w:val="auto"/>
                      <w:sz w:val="21"/>
                      <w:szCs w:val="21"/>
                    </w:rPr>
                    <w:t>配料机顶部设置防静电挡尘帘</w:t>
                  </w:r>
                  <w:r>
                    <w:rPr>
                      <w:rFonts w:hint="eastAsia"/>
                      <w:color w:val="auto"/>
                      <w:sz w:val="21"/>
                      <w:szCs w:val="21"/>
                    </w:rPr>
                    <w:t>，</w:t>
                  </w:r>
                  <w:r>
                    <w:rPr>
                      <w:color w:val="auto"/>
                      <w:sz w:val="21"/>
                      <w:szCs w:val="21"/>
                    </w:rPr>
                    <w:t>并采取定期洒水措施</w:t>
                  </w:r>
                </w:p>
              </w:tc>
              <w:tc>
                <w:tcPr>
                  <w:tcW w:w="8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4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jc w:val="center"/>
                    <w:textAlignment w:val="auto"/>
                    <w:rPr>
                      <w:b w:val="0"/>
                      <w:bCs w:val="0"/>
                      <w:color w:val="auto"/>
                      <w:sz w:val="21"/>
                      <w:szCs w:val="21"/>
                      <w:vertAlign w:val="baseline"/>
                    </w:rPr>
                  </w:pPr>
                </w:p>
              </w:tc>
              <w:tc>
                <w:tcPr>
                  <w:tcW w:w="708"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 xml:space="preserve">1.362 </w:t>
                  </w:r>
                </w:p>
              </w:tc>
              <w:tc>
                <w:tcPr>
                  <w:tcW w:w="1036"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 xml:space="preserve">1.234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b w:val="0"/>
                      <w:bCs w:val="0"/>
                      <w:color w:val="auto"/>
                      <w:sz w:val="21"/>
                      <w:szCs w:val="21"/>
                      <w:vertAlign w:val="baseline"/>
                    </w:rPr>
                  </w:pPr>
                  <w:r>
                    <w:rPr>
                      <w:color w:val="auto"/>
                      <w:sz w:val="21"/>
                      <w:szCs w:val="21"/>
                    </w:rPr>
                    <w:t>石料和水洗砂由密闭</w:t>
                  </w:r>
                  <w:r>
                    <w:rPr>
                      <w:rFonts w:hint="eastAsia"/>
                      <w:color w:val="auto"/>
                      <w:sz w:val="21"/>
                      <w:szCs w:val="21"/>
                    </w:rPr>
                    <w:t>皮带机</w:t>
                  </w:r>
                  <w:r>
                    <w:rPr>
                      <w:color w:val="auto"/>
                      <w:sz w:val="21"/>
                      <w:szCs w:val="21"/>
                    </w:rPr>
                    <w:t>输送至骨料中间仓</w:t>
                  </w:r>
                  <w:r>
                    <w:rPr>
                      <w:rFonts w:hint="eastAsia"/>
                      <w:color w:val="auto"/>
                      <w:sz w:val="21"/>
                      <w:szCs w:val="21"/>
                    </w:rPr>
                    <w:t>废气</w:t>
                  </w:r>
                  <w:r>
                    <w:rPr>
                      <w:color w:val="auto"/>
                      <w:sz w:val="21"/>
                      <w:szCs w:val="21"/>
                    </w:rPr>
                    <w:t>G3</w:t>
                  </w:r>
                </w:p>
              </w:tc>
              <w:tc>
                <w:tcPr>
                  <w:tcW w:w="427" w:type="dxa"/>
                  <w:vMerge w:val="continue"/>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b w:val="0"/>
                      <w:bCs w:val="0"/>
                      <w:color w:val="auto"/>
                      <w:sz w:val="21"/>
                      <w:szCs w:val="21"/>
                      <w:vertAlign w:val="baseline"/>
                    </w:rPr>
                  </w:pPr>
                </w:p>
              </w:tc>
              <w:tc>
                <w:tcPr>
                  <w:tcW w:w="805"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eastAsia="宋体"/>
                      <w:b w:val="0"/>
                      <w:bCs w:val="0"/>
                      <w:color w:val="auto"/>
                      <w:sz w:val="21"/>
                      <w:szCs w:val="21"/>
                      <w:vertAlign w:val="baseline"/>
                      <w:lang w:val="en-US" w:eastAsia="zh-CN"/>
                    </w:rPr>
                  </w:pPr>
                  <w:r>
                    <w:rPr>
                      <w:rFonts w:hint="eastAsia"/>
                      <w:color w:val="auto"/>
                      <w:sz w:val="21"/>
                      <w:szCs w:val="21"/>
                      <w:lang w:val="en-US" w:eastAsia="zh-CN"/>
                    </w:rPr>
                    <w:t>8.73</w:t>
                  </w:r>
                </w:p>
              </w:tc>
              <w:tc>
                <w:tcPr>
                  <w:tcW w:w="1035"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7.91</w:t>
                  </w:r>
                </w:p>
              </w:tc>
              <w:tc>
                <w:tcPr>
                  <w:tcW w:w="1941"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b w:val="0"/>
                      <w:bCs w:val="0"/>
                      <w:color w:val="auto"/>
                      <w:sz w:val="21"/>
                      <w:szCs w:val="21"/>
                      <w:vertAlign w:val="baseline"/>
                      <w:lang w:val="en-US"/>
                    </w:rPr>
                  </w:pPr>
                  <w:r>
                    <w:rPr>
                      <w:color w:val="auto"/>
                      <w:sz w:val="21"/>
                      <w:szCs w:val="21"/>
                    </w:rPr>
                    <w:t>搅拌机配套的</w:t>
                  </w:r>
                  <w:r>
                    <w:rPr>
                      <w:rFonts w:ascii="Times New Roman" w:hAnsi="Times New Roman" w:eastAsia="宋体" w:cs="Times New Roman"/>
                      <w:bCs/>
                      <w:color w:val="auto"/>
                      <w:kern w:val="1"/>
                      <w:sz w:val="21"/>
                      <w:szCs w:val="21"/>
                      <w:highlight w:val="none"/>
                    </w:rPr>
                    <w:t>布袋除尘</w:t>
                  </w:r>
                  <w:r>
                    <w:rPr>
                      <w:rFonts w:hint="eastAsia" w:cs="Times New Roman"/>
                      <w:bCs/>
                      <w:color w:val="auto"/>
                      <w:kern w:val="1"/>
                      <w:sz w:val="21"/>
                      <w:szCs w:val="21"/>
                      <w:highlight w:val="none"/>
                      <w:lang w:val="en-US" w:eastAsia="zh-CN"/>
                    </w:rPr>
                    <w:t>机处理后无组织排放</w:t>
                  </w:r>
                </w:p>
              </w:tc>
              <w:tc>
                <w:tcPr>
                  <w:tcW w:w="8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jc w:val="center"/>
                    <w:textAlignment w:val="auto"/>
                    <w:rPr>
                      <w:b w:val="0"/>
                      <w:bCs w:val="0"/>
                      <w:color w:val="auto"/>
                      <w:sz w:val="21"/>
                      <w:szCs w:val="21"/>
                      <w:vertAlign w:val="baseline"/>
                    </w:rPr>
                  </w:pPr>
                  <w:r>
                    <w:rPr>
                      <w:rFonts w:hint="eastAsia" w:cs="Times New Roman"/>
                      <w:bCs/>
                      <w:color w:val="auto"/>
                      <w:kern w:val="1"/>
                      <w:sz w:val="21"/>
                      <w:szCs w:val="21"/>
                      <w:highlight w:val="none"/>
                      <w:lang w:val="en-US" w:eastAsia="zh-CN"/>
                    </w:rPr>
                    <w:t>99.7</w:t>
                  </w:r>
                  <w:r>
                    <w:rPr>
                      <w:rFonts w:hint="eastAsia" w:ascii="Times New Roman" w:hAnsi="Times New Roman" w:cs="Times New Roman"/>
                      <w:bCs/>
                      <w:color w:val="auto"/>
                      <w:kern w:val="1"/>
                      <w:sz w:val="21"/>
                      <w:szCs w:val="21"/>
                      <w:highlight w:val="none"/>
                      <w:lang w:val="en-US" w:eastAsia="zh-CN"/>
                    </w:rPr>
                    <w:t>%</w:t>
                  </w:r>
                </w:p>
              </w:tc>
              <w:tc>
                <w:tcPr>
                  <w:tcW w:w="4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jc w:val="center"/>
                    <w:textAlignment w:val="auto"/>
                    <w:rPr>
                      <w:b w:val="0"/>
                      <w:bCs w:val="0"/>
                      <w:color w:val="auto"/>
                      <w:sz w:val="21"/>
                      <w:szCs w:val="21"/>
                      <w:vertAlign w:val="baseline"/>
                    </w:rPr>
                  </w:pPr>
                </w:p>
              </w:tc>
              <w:tc>
                <w:tcPr>
                  <w:tcW w:w="708"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 xml:space="preserve">0.026 </w:t>
                  </w:r>
                </w:p>
              </w:tc>
              <w:tc>
                <w:tcPr>
                  <w:tcW w:w="1036"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 xml:space="preserve">0.024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 w:val="21"/>
                      <w:szCs w:val="21"/>
                    </w:rPr>
                    <w:t>水泥筒仓呼吸口废气</w:t>
                  </w:r>
                  <w:r>
                    <w:rPr>
                      <w:rFonts w:hint="eastAsia"/>
                      <w:color w:val="auto"/>
                      <w:sz w:val="21"/>
                      <w:szCs w:val="21"/>
                      <w:lang w:val="en-US" w:eastAsia="zh-CN"/>
                    </w:rPr>
                    <w:t>G4</w:t>
                  </w:r>
                </w:p>
              </w:tc>
              <w:tc>
                <w:tcPr>
                  <w:tcW w:w="427" w:type="dxa"/>
                  <w:vMerge w:val="continue"/>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b w:val="0"/>
                      <w:bCs w:val="0"/>
                      <w:color w:val="auto"/>
                      <w:sz w:val="21"/>
                      <w:szCs w:val="21"/>
                      <w:vertAlign w:val="baseline"/>
                    </w:rPr>
                  </w:pPr>
                </w:p>
              </w:tc>
              <w:tc>
                <w:tcPr>
                  <w:tcW w:w="80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kern w:val="1"/>
                      <w:sz w:val="21"/>
                      <w:szCs w:val="21"/>
                      <w:highlight w:val="none"/>
                      <w:lang w:val="en-US" w:eastAsia="zh-CN" w:bidi="ar-SA"/>
                    </w:rPr>
                  </w:pPr>
                  <w:r>
                    <w:rPr>
                      <w:rFonts w:hint="eastAsia"/>
                      <w:color w:val="auto"/>
                      <w:sz w:val="21"/>
                      <w:szCs w:val="21"/>
                      <w:lang w:val="en-US" w:eastAsia="zh-CN"/>
                    </w:rPr>
                    <w:t>1.66</w:t>
                  </w:r>
                </w:p>
              </w:tc>
              <w:tc>
                <w:tcPr>
                  <w:tcW w:w="103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1.50</w:t>
                  </w:r>
                </w:p>
              </w:tc>
              <w:tc>
                <w:tcPr>
                  <w:tcW w:w="1941" w:type="dxa"/>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color w:val="auto"/>
                      <w:sz w:val="21"/>
                      <w:szCs w:val="21"/>
                    </w:rPr>
                    <w:t>筒仓仓顶配套</w:t>
                  </w:r>
                  <w:r>
                    <w:rPr>
                      <w:rFonts w:ascii="Times New Roman" w:hAnsi="Times New Roman" w:eastAsia="宋体" w:cs="Times New Roman"/>
                      <w:bCs/>
                      <w:color w:val="auto"/>
                      <w:kern w:val="1"/>
                      <w:sz w:val="21"/>
                      <w:szCs w:val="21"/>
                      <w:highlight w:val="none"/>
                    </w:rPr>
                    <w:t>布袋除尘</w:t>
                  </w:r>
                  <w:r>
                    <w:rPr>
                      <w:rFonts w:hint="eastAsia" w:cs="Times New Roman"/>
                      <w:bCs/>
                      <w:color w:val="auto"/>
                      <w:kern w:val="1"/>
                      <w:sz w:val="21"/>
                      <w:szCs w:val="21"/>
                      <w:highlight w:val="none"/>
                      <w:lang w:val="en-US" w:eastAsia="zh-CN"/>
                    </w:rPr>
                    <w:t>机处理后无组织排放</w:t>
                  </w:r>
                </w:p>
              </w:tc>
              <w:tc>
                <w:tcPr>
                  <w:tcW w:w="8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jc w:val="center"/>
                    <w:textAlignment w:val="auto"/>
                    <w:rPr>
                      <w:b w:val="0"/>
                      <w:bCs w:val="0"/>
                      <w:color w:val="auto"/>
                      <w:sz w:val="21"/>
                      <w:szCs w:val="21"/>
                      <w:vertAlign w:val="baseline"/>
                    </w:rPr>
                  </w:pPr>
                  <w:r>
                    <w:rPr>
                      <w:rFonts w:hint="eastAsia" w:cs="Times New Roman"/>
                      <w:bCs/>
                      <w:color w:val="auto"/>
                      <w:kern w:val="1"/>
                      <w:sz w:val="21"/>
                      <w:szCs w:val="21"/>
                      <w:highlight w:val="none"/>
                      <w:lang w:val="en-US" w:eastAsia="zh-CN"/>
                    </w:rPr>
                    <w:t>99.7</w:t>
                  </w:r>
                  <w:r>
                    <w:rPr>
                      <w:rFonts w:hint="eastAsia" w:ascii="Times New Roman" w:hAnsi="Times New Roman" w:cs="Times New Roman"/>
                      <w:bCs/>
                      <w:color w:val="auto"/>
                      <w:kern w:val="1"/>
                      <w:sz w:val="21"/>
                      <w:szCs w:val="21"/>
                      <w:highlight w:val="none"/>
                      <w:lang w:val="en-US" w:eastAsia="zh-CN"/>
                    </w:rPr>
                    <w:t>%</w:t>
                  </w:r>
                </w:p>
              </w:tc>
              <w:tc>
                <w:tcPr>
                  <w:tcW w:w="4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jc w:val="center"/>
                    <w:textAlignment w:val="auto"/>
                    <w:rPr>
                      <w:b w:val="0"/>
                      <w:bCs w:val="0"/>
                      <w:color w:val="auto"/>
                      <w:sz w:val="21"/>
                      <w:szCs w:val="21"/>
                      <w:vertAlign w:val="baseline"/>
                    </w:rPr>
                  </w:pPr>
                </w:p>
              </w:tc>
              <w:tc>
                <w:tcPr>
                  <w:tcW w:w="708"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 xml:space="preserve">0.005 </w:t>
                  </w:r>
                </w:p>
              </w:tc>
              <w:tc>
                <w:tcPr>
                  <w:tcW w:w="1036"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 xml:space="preserve">0.005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dxa"/>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color w:val="auto"/>
                      <w:sz w:val="21"/>
                      <w:szCs w:val="21"/>
                    </w:rPr>
                    <w:t>搅拌机搅拌废气G5</w:t>
                  </w:r>
                </w:p>
              </w:tc>
              <w:tc>
                <w:tcPr>
                  <w:tcW w:w="427" w:type="dxa"/>
                  <w:vMerge w:val="continue"/>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b w:val="0"/>
                      <w:bCs w:val="0"/>
                      <w:color w:val="auto"/>
                      <w:sz w:val="21"/>
                      <w:szCs w:val="21"/>
                      <w:vertAlign w:val="baseline"/>
                    </w:rPr>
                  </w:pPr>
                </w:p>
              </w:tc>
              <w:tc>
                <w:tcPr>
                  <w:tcW w:w="80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kern w:val="1"/>
                      <w:sz w:val="21"/>
                      <w:szCs w:val="21"/>
                      <w:highlight w:val="none"/>
                      <w:lang w:val="en-US" w:eastAsia="zh-CN" w:bidi="ar-SA"/>
                    </w:rPr>
                  </w:pPr>
                  <w:r>
                    <w:rPr>
                      <w:rFonts w:hint="eastAsia"/>
                      <w:color w:val="auto"/>
                      <w:sz w:val="21"/>
                      <w:szCs w:val="21"/>
                      <w:lang w:val="en-US" w:eastAsia="zh-CN"/>
                    </w:rPr>
                    <w:t>12.03</w:t>
                  </w:r>
                </w:p>
              </w:tc>
              <w:tc>
                <w:tcPr>
                  <w:tcW w:w="103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10.90</w:t>
                  </w:r>
                </w:p>
              </w:tc>
              <w:tc>
                <w:tcPr>
                  <w:tcW w:w="1941" w:type="dxa"/>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bCs/>
                      <w:color w:val="auto"/>
                      <w:kern w:val="1"/>
                      <w:sz w:val="21"/>
                      <w:szCs w:val="21"/>
                      <w:highlight w:val="none"/>
                    </w:rPr>
                    <w:t>布袋除尘</w:t>
                  </w:r>
                  <w:r>
                    <w:rPr>
                      <w:rFonts w:hint="eastAsia" w:cs="Times New Roman"/>
                      <w:bCs/>
                      <w:color w:val="auto"/>
                      <w:kern w:val="1"/>
                      <w:sz w:val="21"/>
                      <w:szCs w:val="21"/>
                      <w:highlight w:val="none"/>
                      <w:lang w:val="en-US" w:eastAsia="zh-CN"/>
                    </w:rPr>
                    <w:t>机处理后无组织排放</w:t>
                  </w:r>
                </w:p>
              </w:tc>
              <w:tc>
                <w:tcPr>
                  <w:tcW w:w="8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jc w:val="center"/>
                    <w:textAlignment w:val="auto"/>
                    <w:rPr>
                      <w:b w:val="0"/>
                      <w:bCs w:val="0"/>
                      <w:color w:val="auto"/>
                      <w:sz w:val="21"/>
                      <w:szCs w:val="21"/>
                      <w:vertAlign w:val="baseline"/>
                    </w:rPr>
                  </w:pPr>
                  <w:r>
                    <w:rPr>
                      <w:rFonts w:hint="eastAsia" w:cs="Times New Roman"/>
                      <w:bCs/>
                      <w:color w:val="auto"/>
                      <w:kern w:val="1"/>
                      <w:sz w:val="21"/>
                      <w:szCs w:val="21"/>
                      <w:highlight w:val="none"/>
                      <w:lang w:val="en-US" w:eastAsia="zh-CN"/>
                    </w:rPr>
                    <w:t>99.7</w:t>
                  </w:r>
                  <w:r>
                    <w:rPr>
                      <w:rFonts w:hint="eastAsia" w:ascii="Times New Roman" w:hAnsi="Times New Roman" w:cs="Times New Roman"/>
                      <w:bCs/>
                      <w:color w:val="auto"/>
                      <w:kern w:val="1"/>
                      <w:sz w:val="21"/>
                      <w:szCs w:val="21"/>
                      <w:highlight w:val="none"/>
                      <w:lang w:val="en-US" w:eastAsia="zh-CN"/>
                    </w:rPr>
                    <w:t>%</w:t>
                  </w:r>
                </w:p>
              </w:tc>
              <w:tc>
                <w:tcPr>
                  <w:tcW w:w="4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jc w:val="center"/>
                    <w:textAlignment w:val="auto"/>
                    <w:rPr>
                      <w:b w:val="0"/>
                      <w:bCs w:val="0"/>
                      <w:color w:val="auto"/>
                      <w:sz w:val="21"/>
                      <w:szCs w:val="21"/>
                      <w:vertAlign w:val="baseline"/>
                    </w:rPr>
                  </w:pPr>
                </w:p>
              </w:tc>
              <w:tc>
                <w:tcPr>
                  <w:tcW w:w="708"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 xml:space="preserve">0.036 </w:t>
                  </w:r>
                </w:p>
              </w:tc>
              <w:tc>
                <w:tcPr>
                  <w:tcW w:w="1036"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 xml:space="preserve">0.033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dxa"/>
                  <w:tcBorders>
                    <w:tl2br w:val="nil"/>
                    <w:tr2bl w:val="nil"/>
                  </w:tcBorders>
                  <w:vAlign w:val="center"/>
                </w:tcPr>
                <w:p>
                  <w:pPr>
                    <w:pStyle w:val="31"/>
                    <w:adjustRightInd w:val="0"/>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color w:val="auto"/>
                      <w:sz w:val="21"/>
                      <w:szCs w:val="21"/>
                    </w:rPr>
                    <w:t>车辆运输扬尘G6</w:t>
                  </w:r>
                </w:p>
              </w:tc>
              <w:tc>
                <w:tcPr>
                  <w:tcW w:w="427" w:type="dxa"/>
                  <w:vMerge w:val="continue"/>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b w:val="0"/>
                      <w:bCs w:val="0"/>
                      <w:color w:val="auto"/>
                      <w:sz w:val="21"/>
                      <w:szCs w:val="21"/>
                      <w:vertAlign w:val="baseline"/>
                    </w:rPr>
                  </w:pPr>
                </w:p>
              </w:tc>
              <w:tc>
                <w:tcPr>
                  <w:tcW w:w="805"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eastAsia="宋体"/>
                      <w:b w:val="0"/>
                      <w:bCs w:val="0"/>
                      <w:color w:val="auto"/>
                      <w:sz w:val="21"/>
                      <w:szCs w:val="21"/>
                      <w:vertAlign w:val="baseline"/>
                      <w:lang w:val="en-US" w:eastAsia="zh-CN"/>
                    </w:rPr>
                  </w:pPr>
                  <w:r>
                    <w:rPr>
                      <w:rFonts w:hint="eastAsia"/>
                      <w:color w:val="auto"/>
                      <w:sz w:val="21"/>
                      <w:szCs w:val="21"/>
                      <w:lang w:val="en-US" w:eastAsia="zh-CN"/>
                    </w:rPr>
                    <w:t>0.71</w:t>
                  </w:r>
                </w:p>
              </w:tc>
              <w:tc>
                <w:tcPr>
                  <w:tcW w:w="1035"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0.64</w:t>
                  </w:r>
                </w:p>
              </w:tc>
              <w:tc>
                <w:tcPr>
                  <w:tcW w:w="1941" w:type="dxa"/>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color w:val="auto"/>
                      <w:sz w:val="21"/>
                      <w:szCs w:val="21"/>
                    </w:rPr>
                    <w:t>厂区门口设置车辆冲洗平台，并采取定期道路洒水降尘措施。运输车辆缓慢行驶且不得超载，物料采用苫布遮挡覆盖</w:t>
                  </w:r>
                </w:p>
              </w:tc>
              <w:tc>
                <w:tcPr>
                  <w:tcW w:w="848"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472" w:type="dxa"/>
                  <w:vMerge w:val="continue"/>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b w:val="0"/>
                      <w:bCs w:val="0"/>
                      <w:color w:val="auto"/>
                      <w:sz w:val="21"/>
                      <w:szCs w:val="21"/>
                      <w:vertAlign w:val="baseline"/>
                    </w:rPr>
                  </w:pPr>
                </w:p>
              </w:tc>
              <w:tc>
                <w:tcPr>
                  <w:tcW w:w="708"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 xml:space="preserve">0.041 </w:t>
                  </w:r>
                </w:p>
              </w:tc>
              <w:tc>
                <w:tcPr>
                  <w:tcW w:w="1036"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 xml:space="preserve">0.037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7" w:type="dxa"/>
                  <w:gridSpan w:val="2"/>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合计</w:t>
                  </w:r>
                </w:p>
              </w:tc>
              <w:tc>
                <w:tcPr>
                  <w:tcW w:w="805"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eastAsia="宋体"/>
                      <w:color w:val="auto"/>
                      <w:sz w:val="21"/>
                      <w:szCs w:val="21"/>
                      <w:lang w:val="en-US" w:eastAsia="zh-CN"/>
                    </w:rPr>
                  </w:pPr>
                  <w:r>
                    <w:rPr>
                      <w:rFonts w:hint="eastAsia"/>
                      <w:color w:val="auto"/>
                      <w:sz w:val="21"/>
                      <w:szCs w:val="21"/>
                      <w:lang w:val="en-US" w:eastAsia="zh-CN"/>
                    </w:rPr>
                    <w:t>44.96</w:t>
                  </w:r>
                </w:p>
              </w:tc>
              <w:tc>
                <w:tcPr>
                  <w:tcW w:w="1035"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40.72</w:t>
                  </w:r>
                </w:p>
              </w:tc>
              <w:tc>
                <w:tcPr>
                  <w:tcW w:w="1941" w:type="dxa"/>
                  <w:tcBorders>
                    <w:tl2br w:val="nil"/>
                    <w:tr2bl w:val="nil"/>
                  </w:tcBorders>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w:t>
                  </w:r>
                </w:p>
              </w:tc>
              <w:tc>
                <w:tcPr>
                  <w:tcW w:w="848"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472"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708"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eastAsia="宋体"/>
                      <w:color w:val="auto"/>
                      <w:sz w:val="21"/>
                      <w:szCs w:val="21"/>
                      <w:lang w:val="en-US" w:eastAsia="zh-CN"/>
                    </w:rPr>
                  </w:pPr>
                  <w:r>
                    <w:rPr>
                      <w:rFonts w:hint="eastAsia"/>
                      <w:color w:val="auto"/>
                      <w:sz w:val="21"/>
                      <w:szCs w:val="21"/>
                      <w:lang w:val="en-US" w:eastAsia="zh-CN"/>
                    </w:rPr>
                    <w:t>1.557</w:t>
                  </w:r>
                </w:p>
              </w:tc>
              <w:tc>
                <w:tcPr>
                  <w:tcW w:w="1036" w:type="dxa"/>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1.411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2" w:type="dxa"/>
                  <w:gridSpan w:val="9"/>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jc w:val="left"/>
                    <w:textAlignment w:val="auto"/>
                    <w:rPr>
                      <w:rFonts w:hint="eastAsia"/>
                      <w:b w:val="0"/>
                      <w:bCs w:val="0"/>
                      <w:color w:val="auto"/>
                      <w:sz w:val="21"/>
                      <w:szCs w:val="21"/>
                      <w:vertAlign w:val="baseline"/>
                      <w:lang w:val="en-US" w:eastAsia="zh-CN"/>
                    </w:rPr>
                  </w:pPr>
                  <w:r>
                    <w:rPr>
                      <w:rFonts w:hint="eastAsia" w:cs="Times New Roman"/>
                      <w:b w:val="0"/>
                      <w:bCs w:val="0"/>
                      <w:i w:val="0"/>
                      <w:iCs w:val="0"/>
                      <w:color w:val="auto"/>
                      <w:kern w:val="0"/>
                      <w:sz w:val="21"/>
                      <w:szCs w:val="21"/>
                      <w:u w:val="none"/>
                      <w:lang w:val="en-US" w:eastAsia="zh-CN" w:bidi="ar"/>
                    </w:rPr>
                    <w:t>注：本项目运行工期为3个月，项目污染物总产排情况均以3个月的周期核算。</w:t>
                  </w:r>
                </w:p>
              </w:tc>
            </w:tr>
          </w:tbl>
          <w:p>
            <w:pPr>
              <w:widowControl/>
              <w:spacing w:line="360" w:lineRule="auto"/>
              <w:ind w:firstLine="480" w:firstLineChars="200"/>
              <w:jc w:val="left"/>
              <w:rPr>
                <w:rFonts w:ascii="宋体" w:hAnsi="宋体" w:cs="宋体"/>
                <w:color w:val="auto"/>
                <w:sz w:val="24"/>
              </w:rPr>
            </w:pPr>
            <w:r>
              <w:rPr>
                <w:rFonts w:hint="eastAsia"/>
                <w:color w:val="auto"/>
                <w:sz w:val="24"/>
              </w:rPr>
              <w:t>（2）</w:t>
            </w:r>
            <w:r>
              <w:rPr>
                <w:rFonts w:hint="eastAsia" w:ascii="宋体" w:hAnsi="宋体" w:cs="宋体"/>
                <w:color w:val="auto"/>
                <w:sz w:val="24"/>
              </w:rPr>
              <w:t>源强核算</w:t>
            </w:r>
          </w:p>
          <w:p>
            <w:pPr>
              <w:adjustRightInd w:val="0"/>
              <w:snapToGrid w:val="0"/>
              <w:spacing w:line="360" w:lineRule="auto"/>
              <w:ind w:firstLine="480" w:firstLineChars="200"/>
              <w:rPr>
                <w:color w:val="auto"/>
                <w:sz w:val="24"/>
              </w:rPr>
            </w:pPr>
            <w:r>
              <w:rPr>
                <w:rFonts w:hint="eastAsia" w:ascii="宋体" w:hAnsi="宋体" w:eastAsia="宋体" w:cs="宋体"/>
                <w:color w:val="auto"/>
                <w:sz w:val="24"/>
              </w:rPr>
              <w:t>①</w:t>
            </w:r>
            <w:r>
              <w:rPr>
                <w:rFonts w:hint="eastAsia"/>
                <w:color w:val="auto"/>
                <w:sz w:val="24"/>
              </w:rPr>
              <w:t>原料仓</w:t>
            </w:r>
            <w:r>
              <w:rPr>
                <w:color w:val="auto"/>
                <w:sz w:val="24"/>
              </w:rPr>
              <w:t>粉尘（G</w:t>
            </w:r>
            <w:r>
              <w:rPr>
                <w:rFonts w:hint="eastAsia"/>
                <w:color w:val="auto"/>
                <w:sz w:val="24"/>
              </w:rPr>
              <w:t>1</w:t>
            </w:r>
            <w:r>
              <w:rPr>
                <w:color w:val="auto"/>
                <w:sz w:val="24"/>
              </w:rPr>
              <w:t>）</w:t>
            </w:r>
          </w:p>
          <w:p>
            <w:pPr>
              <w:pStyle w:val="6"/>
              <w:adjustRightInd w:val="0"/>
              <w:snapToGrid w:val="0"/>
              <w:spacing w:after="0" w:line="360" w:lineRule="auto"/>
              <w:ind w:left="0" w:leftChars="0" w:firstLine="480"/>
              <w:rPr>
                <w:color w:val="auto"/>
                <w:szCs w:val="24"/>
              </w:rPr>
            </w:pPr>
            <w:r>
              <w:rPr>
                <w:color w:val="auto"/>
                <w:szCs w:val="24"/>
              </w:rPr>
              <w:t>设置封闭式原料仓分区堆存不同规格的石料及水洗砂，物料采取防尘网全覆盖措施，防止粉尘污染大气环境。仓门打开进行装卸作业时，采取洒水抑尘措施，并避开大风天气降低起尘量。同时，安排人员定期巡察盖网，加强环境管理和监督。</w:t>
            </w:r>
          </w:p>
          <w:p>
            <w:pPr>
              <w:adjustRightInd w:val="0"/>
              <w:snapToGrid w:val="0"/>
              <w:spacing w:line="360" w:lineRule="auto"/>
              <w:ind w:firstLine="480" w:firstLineChars="200"/>
              <w:rPr>
                <w:color w:val="auto"/>
                <w:sz w:val="24"/>
              </w:rPr>
            </w:pPr>
            <w:r>
              <w:rPr>
                <w:color w:val="auto"/>
                <w:kern w:val="0"/>
                <w:sz w:val="24"/>
                <w:lang w:bidi="ar"/>
              </w:rPr>
              <w:t>原料装卸过程石堆中粒径较小的沙粒、灰渣在风力作用下会产生一定量的扬尘。根据</w:t>
            </w:r>
            <w:r>
              <w:rPr>
                <w:color w:val="auto"/>
                <w:sz w:val="24"/>
              </w:rPr>
              <w:t>《排放源统计调查产排污核算方法和技术手册》中“3021水泥制品制造（含3022砼结构构件、3029其他水泥类似制品制造）—物料输送储存”颗粒物产物系数为0.12kg/t，在运营周期内原料仓堆放的石料及水洗砂总量</w:t>
            </w:r>
            <w:r>
              <w:rPr>
                <w:rFonts w:hint="eastAsia"/>
                <w:color w:val="auto"/>
                <w:sz w:val="24"/>
                <w:lang w:val="en-US" w:eastAsia="zh-CN"/>
              </w:rPr>
              <w:t>约</w:t>
            </w:r>
            <w:r>
              <w:rPr>
                <w:color w:val="auto"/>
                <w:sz w:val="24"/>
              </w:rPr>
              <w:t>为</w:t>
            </w:r>
            <w:r>
              <w:rPr>
                <w:rFonts w:hint="eastAsia"/>
                <w:color w:val="auto"/>
                <w:sz w:val="24"/>
              </w:rPr>
              <w:t>727</w:t>
            </w:r>
            <w:r>
              <w:rPr>
                <w:rFonts w:hint="eastAsia"/>
                <w:color w:val="auto"/>
                <w:sz w:val="24"/>
                <w:lang w:val="en-US" w:eastAsia="zh-CN"/>
              </w:rPr>
              <w:t>60</w:t>
            </w:r>
            <w:r>
              <w:rPr>
                <w:rFonts w:hint="eastAsia"/>
                <w:color w:val="auto"/>
                <w:sz w:val="24"/>
              </w:rPr>
              <w:t>t</w:t>
            </w:r>
            <w:r>
              <w:rPr>
                <w:color w:val="auto"/>
                <w:sz w:val="24"/>
              </w:rPr>
              <w:t>。原料仓石料及水洗砂堆放废气产排情况见表4-2。</w:t>
            </w:r>
          </w:p>
          <w:p>
            <w:pPr>
              <w:pStyle w:val="4"/>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ascii="Times New Roman" w:hAnsi="Times New Roman" w:eastAsia="宋体"/>
                <w:color w:val="auto"/>
                <w:sz w:val="24"/>
                <w:szCs w:val="24"/>
              </w:rPr>
            </w:pPr>
            <w:r>
              <w:rPr>
                <w:rFonts w:hint="eastAsia" w:ascii="Times New Roman" w:hAnsi="Times New Roman" w:eastAsia="宋体"/>
                <w:color w:val="auto"/>
                <w:sz w:val="21"/>
                <w:szCs w:val="21"/>
                <w:lang w:val="en-US" w:eastAsia="zh-CN"/>
              </w:rPr>
              <w:t>表</w:t>
            </w:r>
            <w:r>
              <w:rPr>
                <w:rFonts w:ascii="Times New Roman" w:hAnsi="Times New Roman" w:eastAsia="宋体"/>
                <w:color w:val="auto"/>
                <w:sz w:val="21"/>
                <w:szCs w:val="21"/>
              </w:rPr>
              <w:t>4-2</w:t>
            </w:r>
            <w:r>
              <w:rPr>
                <w:rFonts w:hint="eastAsia" w:ascii="Times New Roman" w:hAnsi="Times New Roman" w:eastAsia="宋体"/>
                <w:color w:val="auto"/>
                <w:sz w:val="21"/>
                <w:szCs w:val="21"/>
              </w:rPr>
              <w:t xml:space="preserve"> </w:t>
            </w:r>
            <w:r>
              <w:rPr>
                <w:rFonts w:ascii="Times New Roman" w:hAnsi="Times New Roman" w:eastAsia="宋体"/>
                <w:color w:val="auto"/>
                <w:sz w:val="21"/>
                <w:szCs w:val="21"/>
              </w:rPr>
              <w:t xml:space="preserve">  原料仓石料及水洗砂堆放废气产排量一览表</w:t>
            </w:r>
          </w:p>
          <w:tbl>
            <w:tblPr>
              <w:tblStyle w:val="25"/>
              <w:tblW w:w="83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1341"/>
              <w:gridCol w:w="1195"/>
              <w:gridCol w:w="2700"/>
              <w:gridCol w:w="760"/>
              <w:gridCol w:w="12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0" w:type="dxa"/>
                  <w:vAlign w:val="center"/>
                </w:tcPr>
                <w:p>
                  <w:pPr>
                    <w:adjustRightInd w:val="0"/>
                    <w:snapToGrid w:val="0"/>
                    <w:jc w:val="center"/>
                    <w:rPr>
                      <w:rFonts w:hint="eastAsia" w:eastAsia="宋体"/>
                      <w:b/>
                      <w:bCs/>
                      <w:color w:val="000000" w:themeColor="text1"/>
                      <w:szCs w:val="21"/>
                      <w:lang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产污环节</w:t>
                  </w:r>
                </w:p>
              </w:tc>
              <w:tc>
                <w:tcPr>
                  <w:tcW w:w="1289"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污染物名称</w:t>
                  </w:r>
                </w:p>
              </w:tc>
              <w:tc>
                <w:tcPr>
                  <w:tcW w:w="1148"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污染物产生量（t）</w:t>
                  </w:r>
                </w:p>
              </w:tc>
              <w:tc>
                <w:tcPr>
                  <w:tcW w:w="2595"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治理措施</w:t>
                  </w:r>
                </w:p>
              </w:tc>
              <w:tc>
                <w:tcPr>
                  <w:tcW w:w="730"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去除效率</w:t>
                  </w:r>
                </w:p>
              </w:tc>
              <w:tc>
                <w:tcPr>
                  <w:tcW w:w="1217"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污染物排放量（t）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原料仓</w:t>
                  </w:r>
                </w:p>
              </w:tc>
              <w:tc>
                <w:tcPr>
                  <w:tcW w:w="128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148"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8.73</w:t>
                  </w:r>
                </w:p>
              </w:tc>
              <w:tc>
                <w:tcPr>
                  <w:tcW w:w="259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封闭式原料仓，物料全覆盖措施，</w:t>
                  </w:r>
                  <w:r>
                    <w:rPr>
                      <w:rFonts w:hint="eastAsia"/>
                      <w:color w:val="000000" w:themeColor="text1"/>
                      <w:szCs w:val="21"/>
                      <w:lang w:eastAsia="zh-CN"/>
                      <w14:textFill>
                        <w14:solidFill>
                          <w14:schemeClr w14:val="tx1"/>
                        </w14:solidFill>
                      </w14:textFill>
                    </w:rPr>
                    <w:t>及时</w:t>
                  </w:r>
                  <w:r>
                    <w:rPr>
                      <w:color w:val="000000" w:themeColor="text1"/>
                      <w:szCs w:val="21"/>
                      <w14:textFill>
                        <w14:solidFill>
                          <w14:schemeClr w14:val="tx1"/>
                        </w14:solidFill>
                      </w14:textFill>
                    </w:rPr>
                    <w:t>洒水降尘。</w:t>
                  </w:r>
                </w:p>
              </w:tc>
              <w:tc>
                <w:tcPr>
                  <w:tcW w:w="73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99</w:t>
                  </w:r>
                  <w:r>
                    <w:rPr>
                      <w:color w:val="000000" w:themeColor="text1"/>
                      <w:szCs w:val="21"/>
                      <w14:textFill>
                        <w14:solidFill>
                          <w14:schemeClr w14:val="tx1"/>
                        </w14:solidFill>
                      </w14:textFill>
                    </w:rPr>
                    <w:t>%</w:t>
                  </w:r>
                </w:p>
              </w:tc>
              <w:tc>
                <w:tcPr>
                  <w:tcW w:w="1217"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0.087</w:t>
                  </w:r>
                </w:p>
              </w:tc>
            </w:tr>
          </w:tbl>
          <w:p>
            <w:pPr>
              <w:pStyle w:val="6"/>
              <w:adjustRightInd w:val="0"/>
              <w:snapToGrid w:val="0"/>
              <w:spacing w:before="156" w:beforeLines="50" w:after="0" w:line="360" w:lineRule="auto"/>
              <w:ind w:left="0" w:leftChars="0" w:firstLine="480"/>
              <w:rPr>
                <w:color w:val="000000" w:themeColor="text1"/>
                <w14:textFill>
                  <w14:solidFill>
                    <w14:schemeClr w14:val="tx1"/>
                  </w14:solidFill>
                </w14:textFill>
              </w:rPr>
            </w:pPr>
            <w:r>
              <w:rPr>
                <w:color w:val="auto"/>
                <w:szCs w:val="24"/>
              </w:rPr>
              <w:t>经</w:t>
            </w:r>
            <w:r>
              <w:rPr>
                <w:color w:val="000000" w:themeColor="text1"/>
                <w:szCs w:val="24"/>
                <w14:textFill>
                  <w14:solidFill>
                    <w14:schemeClr w14:val="tx1"/>
                  </w14:solidFill>
                </w14:textFill>
              </w:rPr>
              <w:t>计算，在项目运营周期内原料仓颗粒物产生量约为</w:t>
            </w:r>
            <w:r>
              <w:rPr>
                <w:rFonts w:hint="eastAsia"/>
                <w:color w:val="000000" w:themeColor="text1"/>
                <w:szCs w:val="24"/>
                <w:lang w:val="en-US" w:eastAsia="zh-CN"/>
                <w14:textFill>
                  <w14:solidFill>
                    <w14:schemeClr w14:val="tx1"/>
                  </w14:solidFill>
                </w14:textFill>
              </w:rPr>
              <w:t>8.73</w:t>
            </w:r>
            <w:r>
              <w:rPr>
                <w:color w:val="000000" w:themeColor="text1"/>
                <w:szCs w:val="24"/>
                <w14:textFill>
                  <w14:solidFill>
                    <w14:schemeClr w14:val="tx1"/>
                  </w14:solidFill>
                </w14:textFill>
              </w:rPr>
              <w:t>t，通过采取全封闭原料仓及对物料进行洒水降尘等措施后粉尘去除效率达</w:t>
            </w:r>
            <w:r>
              <w:rPr>
                <w:rFonts w:hint="eastAsia"/>
                <w:color w:val="000000" w:themeColor="text1"/>
                <w:szCs w:val="24"/>
                <w:lang w:val="en-US" w:eastAsia="zh-CN"/>
                <w14:textFill>
                  <w14:solidFill>
                    <w14:schemeClr w14:val="tx1"/>
                  </w14:solidFill>
                </w14:textFill>
              </w:rPr>
              <w:t>99</w:t>
            </w:r>
            <w:r>
              <w:rPr>
                <w:color w:val="000000" w:themeColor="text1"/>
                <w:szCs w:val="24"/>
                <w14:textFill>
                  <w14:solidFill>
                    <w14:schemeClr w14:val="tx1"/>
                  </w14:solidFill>
                </w14:textFill>
              </w:rPr>
              <w:t>%，其粉尘排放量为</w:t>
            </w:r>
            <w:r>
              <w:rPr>
                <w:rFonts w:hint="eastAsia"/>
                <w:color w:val="000000" w:themeColor="text1"/>
                <w:szCs w:val="24"/>
                <w:lang w:val="en-US" w:eastAsia="zh-CN"/>
                <w14:textFill>
                  <w14:solidFill>
                    <w14:schemeClr w14:val="tx1"/>
                  </w14:solidFill>
                </w14:textFill>
              </w:rPr>
              <w:t>0.087</w:t>
            </w:r>
            <w:r>
              <w:rPr>
                <w:color w:val="000000" w:themeColor="text1"/>
                <w:szCs w:val="24"/>
                <w14:textFill>
                  <w14:solidFill>
                    <w14:schemeClr w14:val="tx1"/>
                  </w14:solidFill>
                </w14:textFill>
              </w:rPr>
              <w:t>t。</w:t>
            </w:r>
          </w:p>
          <w:p>
            <w:pPr>
              <w:pStyle w:val="31"/>
              <w:adjustRightInd w:val="0"/>
              <w:snapToGrid w:val="0"/>
              <w:jc w:val="both"/>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w:t>
            </w:r>
            <w:r>
              <w:rPr>
                <w:color w:val="000000" w:themeColor="text1"/>
                <w14:textFill>
                  <w14:solidFill>
                    <w14:schemeClr w14:val="tx1"/>
                  </w14:solidFill>
                </w14:textFill>
              </w:rPr>
              <w:t>石料、水洗砂由铲车送至配料机废气（G</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p>
          <w:p>
            <w:pPr>
              <w:pStyle w:val="31"/>
              <w:adjustRightInd w:val="0"/>
              <w:snapToGrid w:val="0"/>
              <w:jc w:val="both"/>
              <w:rPr>
                <w:color w:val="000000" w:themeColor="text1"/>
                <w14:textFill>
                  <w14:solidFill>
                    <w14:schemeClr w14:val="tx1"/>
                  </w14:solidFill>
                </w14:textFill>
              </w:rPr>
            </w:pPr>
            <w:r>
              <w:rPr>
                <w:color w:val="000000" w:themeColor="text1"/>
                <w14:textFill>
                  <w14:solidFill>
                    <w14:schemeClr w14:val="tx1"/>
                  </w14:solidFill>
                </w14:textFill>
              </w:rPr>
              <w:t>石料和水洗砂由铲车送至配料机称量配比，该过程主要污染物为颗粒物。配料机顶部设置防静电挡尘帘，减少石料和水洗砂上料过程的粉尘外溢。铲装扬尘量采用《工业源固体物料堆场颗粒物核算系数手册》公式计算：</w:t>
            </w:r>
          </w:p>
          <w:p>
            <w:pPr>
              <w:jc w:val="center"/>
              <w:rPr>
                <w:color w:val="FF0000"/>
                <w:sz w:val="24"/>
              </w:rPr>
            </w:pPr>
            <w:r>
              <w:rPr>
                <w:color w:val="FF0000"/>
                <w:position w:val="-12"/>
                <w:sz w:val="24"/>
              </w:rPr>
              <w:object>
                <v:shape id="_x0000_i1029" o:spt="75" type="#_x0000_t75" style="height:22.45pt;width:136.95pt;" o:ole="t" filled="f" o:preferrelative="t" stroked="f" coordsize="21600,21600">
                  <v:path/>
                  <v:fill on="f" focussize="0,0"/>
                  <v:stroke on="f" joinstyle="miter"/>
                  <v:imagedata r:id="rId25" o:title=""/>
                  <o:lock v:ext="edit" aspectratio="t"/>
                  <w10:wrap type="none"/>
                  <w10:anchorlock/>
                </v:shape>
                <o:OLEObject Type="Embed" ProgID="Equation.KSEE3" ShapeID="_x0000_i1029" DrawAspect="Content" ObjectID="_1468075729" r:id="rId24">
                  <o:LockedField>false</o:LockedField>
                </o:OLEObject>
              </w:object>
            </w:r>
          </w:p>
          <w:p>
            <w:pPr>
              <w:widowControl/>
              <w:adjustRightInd w:val="0"/>
              <w:snapToGrid w:val="0"/>
              <w:spacing w:line="360" w:lineRule="auto"/>
              <w:ind w:firstLine="960" w:firstLineChars="400"/>
              <w:jc w:val="both"/>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式中</w:t>
            </w:r>
            <w:r>
              <w:rPr>
                <w:rFonts w:hint="eastAsia"/>
                <w:color w:val="000000" w:themeColor="text1"/>
                <w:kern w:val="0"/>
                <w:sz w:val="24"/>
                <w:lang w:bidi="ar"/>
                <w14:textFill>
                  <w14:solidFill>
                    <w14:schemeClr w14:val="tx1"/>
                  </w14:solidFill>
                </w14:textFill>
              </w:rPr>
              <w:t>P</w:t>
            </w:r>
            <w:r>
              <w:rPr>
                <w:color w:val="000000" w:themeColor="text1"/>
                <w:kern w:val="0"/>
                <w:sz w:val="24"/>
                <w:lang w:bidi="ar"/>
                <w14:textFill>
                  <w14:solidFill>
                    <w14:schemeClr w14:val="tx1"/>
                  </w14:solidFill>
                </w14:textFill>
              </w:rPr>
              <w:t>：颗粒物产生量，t；</w:t>
            </w:r>
          </w:p>
          <w:p>
            <w:pPr>
              <w:widowControl/>
              <w:adjustRightInd w:val="0"/>
              <w:snapToGrid w:val="0"/>
              <w:spacing w:line="360" w:lineRule="auto"/>
              <w:ind w:firstLine="960" w:firstLineChars="400"/>
              <w:jc w:val="both"/>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Nc：年物料运载车次，车；</w:t>
            </w:r>
            <w:r>
              <w:rPr>
                <w:rFonts w:hint="eastAsia"/>
                <w:color w:val="000000" w:themeColor="text1"/>
                <w:kern w:val="0"/>
                <w:sz w:val="24"/>
                <w:lang w:val="en-US" w:eastAsia="zh-CN" w:bidi="ar"/>
                <w14:textFill>
                  <w14:solidFill>
                    <w14:schemeClr w14:val="tx1"/>
                  </w14:solidFill>
                </w14:textFill>
              </w:rPr>
              <w:t>按3个月周期核算，</w:t>
            </w:r>
            <w:r>
              <w:rPr>
                <w:color w:val="000000" w:themeColor="text1"/>
                <w:kern w:val="0"/>
                <w:sz w:val="24"/>
                <w:lang w:bidi="ar"/>
                <w14:textFill>
                  <w14:solidFill>
                    <w14:schemeClr w14:val="tx1"/>
                  </w14:solidFill>
                </w14:textFill>
              </w:rPr>
              <w:t>取</w:t>
            </w:r>
            <w:r>
              <w:rPr>
                <w:rFonts w:hint="eastAsia"/>
                <w:color w:val="000000" w:themeColor="text1"/>
                <w:kern w:val="0"/>
                <w:sz w:val="24"/>
                <w:lang w:val="en-US" w:eastAsia="zh-CN" w:bidi="ar"/>
                <w14:textFill>
                  <w14:solidFill>
                    <w14:schemeClr w14:val="tx1"/>
                  </w14:solidFill>
                </w14:textFill>
              </w:rPr>
              <w:t>14552</w:t>
            </w:r>
            <w:r>
              <w:rPr>
                <w:color w:val="000000" w:themeColor="text1"/>
                <w:kern w:val="0"/>
                <w:sz w:val="24"/>
                <w:lang w:bidi="ar"/>
                <w14:textFill>
                  <w14:solidFill>
                    <w14:schemeClr w14:val="tx1"/>
                  </w14:solidFill>
                </w14:textFill>
              </w:rPr>
              <w:t>车</w:t>
            </w:r>
            <w:r>
              <w:rPr>
                <w:rFonts w:hint="eastAsia"/>
                <w:color w:val="000000" w:themeColor="text1"/>
                <w:kern w:val="0"/>
                <w:sz w:val="24"/>
                <w:lang w:bidi="ar"/>
                <w14:textFill>
                  <w14:solidFill>
                    <w14:schemeClr w14:val="tx1"/>
                  </w14:solidFill>
                </w14:textFill>
              </w:rPr>
              <w:t>；</w:t>
            </w:r>
          </w:p>
          <w:p>
            <w:pPr>
              <w:widowControl/>
              <w:adjustRightInd w:val="0"/>
              <w:snapToGrid w:val="0"/>
              <w:spacing w:line="360" w:lineRule="auto"/>
              <w:ind w:firstLine="960" w:firstLineChars="400"/>
              <w:jc w:val="both"/>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D：指单车平均运载量，t/车；取</w:t>
            </w:r>
            <w:r>
              <w:rPr>
                <w:rFonts w:hint="eastAsia"/>
                <w:color w:val="000000" w:themeColor="text1"/>
                <w:kern w:val="0"/>
                <w:sz w:val="24"/>
                <w:lang w:bidi="ar"/>
                <w14:textFill>
                  <w14:solidFill>
                    <w14:schemeClr w14:val="tx1"/>
                  </w14:solidFill>
                </w14:textFill>
              </w:rPr>
              <w:t>5</w:t>
            </w:r>
            <w:r>
              <w:rPr>
                <w:color w:val="000000" w:themeColor="text1"/>
                <w:kern w:val="0"/>
                <w:sz w:val="24"/>
                <w:lang w:bidi="ar"/>
                <w14:textFill>
                  <w14:solidFill>
                    <w14:schemeClr w14:val="tx1"/>
                  </w14:solidFill>
                </w14:textFill>
              </w:rPr>
              <w:t>t/车</w:t>
            </w:r>
            <w:r>
              <w:rPr>
                <w:rFonts w:hint="eastAsia"/>
                <w:color w:val="000000" w:themeColor="text1"/>
                <w:kern w:val="0"/>
                <w:sz w:val="24"/>
                <w:lang w:bidi="ar"/>
                <w14:textFill>
                  <w14:solidFill>
                    <w14:schemeClr w14:val="tx1"/>
                  </w14:solidFill>
                </w14:textFill>
              </w:rPr>
              <w:t>；</w:t>
            </w:r>
          </w:p>
          <w:p>
            <w:pPr>
              <w:widowControl/>
              <w:adjustRightInd w:val="0"/>
              <w:snapToGrid w:val="0"/>
              <w:spacing w:line="360" w:lineRule="auto"/>
              <w:ind w:firstLine="960" w:firstLineChars="400"/>
              <w:jc w:val="both"/>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a/b：装卸扬尘概化系数，a指各省风速概化系数，b指物料含水率概化系数，kg/t；a取0.0015，b取0.0084，a/b取0.18kg/t。</w:t>
            </w:r>
          </w:p>
          <w:p>
            <w:pPr>
              <w:pStyle w:val="31"/>
              <w:adjustRightInd w:val="0"/>
              <w:snapToGrid w:val="0"/>
              <w:jc w:val="both"/>
              <w:rPr>
                <w:color w:val="000000" w:themeColor="text1"/>
                <w14:textFill>
                  <w14:solidFill>
                    <w14:schemeClr w14:val="tx1"/>
                  </w14:solidFill>
                </w14:textFill>
              </w:rPr>
            </w:pPr>
            <w:r>
              <w:rPr>
                <w:color w:val="000000" w:themeColor="text1"/>
                <w14:textFill>
                  <w14:solidFill>
                    <w14:schemeClr w14:val="tx1"/>
                  </w14:solidFill>
                </w14:textFill>
              </w:rPr>
              <w:t>项目运营周期内石料及水洗砂卸料至配料机总量约为</w:t>
            </w:r>
            <w:r>
              <w:rPr>
                <w:rFonts w:hint="eastAsia"/>
                <w:color w:val="000000" w:themeColor="text1"/>
                <w:lang w:val="en-US" w:eastAsia="zh-CN"/>
                <w14:textFill>
                  <w14:solidFill>
                    <w14:schemeClr w14:val="tx1"/>
                  </w14:solidFill>
                </w14:textFill>
              </w:rPr>
              <w:t>72760</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铲车每次</w:t>
            </w:r>
            <w:r>
              <w:rPr>
                <w:color w:val="000000" w:themeColor="text1"/>
                <w:kern w:val="0"/>
                <w:lang w:bidi="ar"/>
                <w14:textFill>
                  <w14:solidFill>
                    <w14:schemeClr w14:val="tx1"/>
                  </w14:solidFill>
                </w14:textFill>
              </w:rPr>
              <w:t>运载量</w:t>
            </w:r>
            <w:r>
              <w:rPr>
                <w:rFonts w:hint="eastAsia"/>
                <w:color w:val="000000" w:themeColor="text1"/>
                <w14:textFill>
                  <w14:solidFill>
                    <w14:schemeClr w14:val="tx1"/>
                  </w14:solidFill>
                </w14:textFill>
              </w:rPr>
              <w:t>约为5t，</w:t>
            </w:r>
            <w:r>
              <w:rPr>
                <w:color w:val="000000" w:themeColor="text1"/>
                <w14:textFill>
                  <w14:solidFill>
                    <w14:schemeClr w14:val="tx1"/>
                  </w14:solidFill>
                </w14:textFill>
              </w:rPr>
              <w:t>经计算，骨料卸料粉尘产生量为</w:t>
            </w:r>
            <w:r>
              <w:rPr>
                <w:rFonts w:hint="eastAsia"/>
                <w:color w:val="000000" w:themeColor="text1"/>
                <w:lang w:val="en-US" w:eastAsia="zh-CN"/>
                <w14:textFill>
                  <w14:solidFill>
                    <w14:schemeClr w14:val="tx1"/>
                  </w14:solidFill>
                </w14:textFill>
              </w:rPr>
              <w:t>13.10</w:t>
            </w:r>
            <w:r>
              <w:rPr>
                <w:color w:val="000000" w:themeColor="text1"/>
                <w14:textFill>
                  <w14:solidFill>
                    <w14:schemeClr w14:val="tx1"/>
                  </w14:solidFill>
                </w14:textFill>
              </w:rPr>
              <w:t>t。通过在配料机上料口设置防静电挡尘帘，并采取定期洒水措施，设置围挡处理效率为60%，洒水抑尘处理效率为74%。则该过程在运营周期内颗粒物的总排放量为</w:t>
            </w:r>
            <w:r>
              <w:rPr>
                <w:rFonts w:hint="eastAsia"/>
                <w:color w:val="000000" w:themeColor="text1"/>
                <w:lang w:val="en-US" w:eastAsia="zh-CN"/>
                <w14:textFill>
                  <w14:solidFill>
                    <w14:schemeClr w14:val="tx1"/>
                  </w14:solidFill>
                </w14:textFill>
              </w:rPr>
              <w:t>13.10</w:t>
            </w:r>
            <w:r>
              <w:rPr>
                <w:color w:val="000000" w:themeColor="text1"/>
                <w14:textFill>
                  <w14:solidFill>
                    <w14:schemeClr w14:val="tx1"/>
                  </w14:solidFill>
                </w14:textFill>
              </w:rPr>
              <w:t>×（1-60%）×（1-74%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1.362</w:t>
            </w:r>
            <w:r>
              <w:rPr>
                <w:rFonts w:hint="eastAsia"/>
                <w:color w:val="000000" w:themeColor="text1"/>
                <w14:textFill>
                  <w14:solidFill>
                    <w14:schemeClr w14:val="tx1"/>
                  </w14:solidFill>
                </w14:textFill>
              </w:rPr>
              <w:t>t</w:t>
            </w:r>
            <w:r>
              <w:rPr>
                <w:color w:val="000000" w:themeColor="text1"/>
                <w14:textFill>
                  <w14:solidFill>
                    <w14:schemeClr w14:val="tx1"/>
                  </w14:solidFill>
                </w14:textFill>
              </w:rPr>
              <w:t>。</w:t>
            </w:r>
          </w:p>
          <w:p>
            <w:pPr>
              <w:pStyle w:val="31"/>
              <w:adjustRightInd w:val="0"/>
              <w:snapToGrid w:val="0"/>
              <w:jc w:val="both"/>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③</w:t>
            </w:r>
            <w:r>
              <w:rPr>
                <w:color w:val="000000" w:themeColor="text1"/>
                <w14:textFill>
                  <w14:solidFill>
                    <w14:schemeClr w14:val="tx1"/>
                  </w14:solidFill>
                </w14:textFill>
              </w:rPr>
              <w:t>石料、水洗砂由</w:t>
            </w:r>
            <w:r>
              <w:rPr>
                <w:rFonts w:hint="eastAsia"/>
                <w:color w:val="000000" w:themeColor="text1"/>
                <w14:textFill>
                  <w14:solidFill>
                    <w14:schemeClr w14:val="tx1"/>
                  </w14:solidFill>
                </w14:textFill>
              </w:rPr>
              <w:t>密闭</w:t>
            </w:r>
            <w:r>
              <w:rPr>
                <w:color w:val="000000" w:themeColor="text1"/>
                <w14:textFill>
                  <w14:solidFill>
                    <w14:schemeClr w14:val="tx1"/>
                  </w14:solidFill>
                </w14:textFill>
              </w:rPr>
              <w:t>皮带机送至骨料中间仓废气（G</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w:t>
            </w:r>
          </w:p>
          <w:p>
            <w:pPr>
              <w:adjustRightInd w:val="0"/>
              <w:snapToGrid w:val="0"/>
              <w:spacing w:line="360" w:lineRule="auto"/>
              <w:ind w:firstLine="480" w:firstLineChars="20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配比称量后的石料和水洗砂由密闭皮带输送至骨料中间仓，该工段主要污染物为颗粒物，废气通过骨料中间仓和搅拌机的通气管进入配套的</w:t>
            </w:r>
            <w:r>
              <w:rPr>
                <w:rFonts w:hint="eastAsia"/>
                <w:color w:val="000000" w:themeColor="text1"/>
                <w:sz w:val="24"/>
                <w14:textFill>
                  <w14:solidFill>
                    <w14:schemeClr w14:val="tx1"/>
                  </w14:solidFill>
                </w14:textFill>
              </w:rPr>
              <w:t>布袋除尘器</w:t>
            </w:r>
            <w:r>
              <w:rPr>
                <w:color w:val="000000" w:themeColor="text1"/>
                <w:sz w:val="24"/>
                <w14:textFill>
                  <w14:solidFill>
                    <w14:schemeClr w14:val="tx1"/>
                  </w14:solidFill>
                </w14:textFill>
              </w:rPr>
              <w:t>收集处理后</w:t>
            </w:r>
            <w:r>
              <w:rPr>
                <w:rFonts w:hint="eastAsia"/>
                <w:color w:val="000000" w:themeColor="text1"/>
                <w:sz w:val="24"/>
                <w:lang w:val="en-US" w:eastAsia="zh-CN"/>
                <w14:textFill>
                  <w14:solidFill>
                    <w14:schemeClr w14:val="tx1"/>
                  </w14:solidFill>
                </w14:textFill>
              </w:rPr>
              <w:t>无组织</w:t>
            </w:r>
            <w:r>
              <w:rPr>
                <w:color w:val="000000" w:themeColor="text1"/>
                <w:sz w:val="24"/>
                <w14:textFill>
                  <w14:solidFill>
                    <w14:schemeClr w14:val="tx1"/>
                  </w14:solidFill>
                </w14:textFill>
              </w:rPr>
              <w:t>排放。</w:t>
            </w:r>
          </w:p>
          <w:p>
            <w:pPr>
              <w:adjustRightInd w:val="0"/>
              <w:snapToGrid w:val="0"/>
              <w:spacing w:line="360" w:lineRule="auto"/>
              <w:ind w:firstLine="480" w:firstLineChars="200"/>
              <w:jc w:val="both"/>
              <w:rPr>
                <w:color w:val="auto"/>
                <w:sz w:val="24"/>
              </w:rPr>
            </w:pPr>
            <w:r>
              <w:rPr>
                <w:color w:val="000000" w:themeColor="text1"/>
                <w:sz w:val="24"/>
                <w14:textFill>
                  <w14:solidFill>
                    <w14:schemeClr w14:val="tx1"/>
                  </w14:solidFill>
                </w14:textFill>
              </w:rPr>
              <w:t>根据《排放源统计调查产排污核算方法和技术手册》中“3021水泥制品制造（含3022砼结构构件、3029其他水泥类似制品制造）</w:t>
            </w:r>
            <w:r>
              <w:rPr>
                <w:rFonts w:hint="eastAsia"/>
                <w:color w:val="000000" w:themeColor="text1"/>
                <w:sz w:val="24"/>
                <w:lang w:val="en-US" w:eastAsia="zh-CN"/>
                <w14:textFill>
                  <w14:solidFill>
                    <w14:schemeClr w14:val="tx1"/>
                  </w14:solidFill>
                </w14:textFill>
              </w:rPr>
              <w:t>行业系数手册</w:t>
            </w:r>
            <w:r>
              <w:rPr>
                <w:color w:val="000000" w:themeColor="text1"/>
                <w:sz w:val="24"/>
                <w14:textFill>
                  <w14:solidFill>
                    <w14:schemeClr w14:val="tx1"/>
                  </w14:solidFill>
                </w14:textFill>
              </w:rPr>
              <w:t>—物料输送储存”颗粒物产物系数为0.12kg/t，石料及水洗砂总</w:t>
            </w:r>
            <w:r>
              <w:rPr>
                <w:color w:val="auto"/>
                <w:sz w:val="24"/>
              </w:rPr>
              <w:t>量为</w:t>
            </w:r>
            <w:r>
              <w:rPr>
                <w:rFonts w:hint="eastAsia"/>
                <w:color w:val="auto"/>
                <w:sz w:val="24"/>
                <w:lang w:val="en-US" w:eastAsia="zh-CN"/>
              </w:rPr>
              <w:t>72760</w:t>
            </w:r>
            <w:r>
              <w:rPr>
                <w:color w:val="auto"/>
                <w:sz w:val="24"/>
              </w:rPr>
              <w:t>t计算。石料和水洗砂由密闭皮带</w:t>
            </w:r>
            <w:r>
              <w:rPr>
                <w:rFonts w:hint="eastAsia"/>
                <w:color w:val="auto"/>
                <w:sz w:val="24"/>
              </w:rPr>
              <w:t>机</w:t>
            </w:r>
            <w:r>
              <w:rPr>
                <w:color w:val="auto"/>
                <w:sz w:val="24"/>
              </w:rPr>
              <w:t>输送至骨料中间仓废气产排情况见表4-</w:t>
            </w:r>
            <w:r>
              <w:rPr>
                <w:rFonts w:hint="eastAsia"/>
                <w:color w:val="auto"/>
                <w:sz w:val="24"/>
              </w:rPr>
              <w:t>3</w:t>
            </w:r>
            <w:r>
              <w:rPr>
                <w:color w:val="auto"/>
                <w:sz w:val="24"/>
              </w:rPr>
              <w:t>。</w:t>
            </w:r>
          </w:p>
          <w:p>
            <w:pPr>
              <w:pStyle w:val="4"/>
              <w:adjustRightInd w:val="0"/>
              <w:snapToGrid w:val="0"/>
              <w:spacing w:before="0" w:after="0" w:line="240" w:lineRule="auto"/>
              <w:jc w:val="center"/>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表</w:t>
            </w:r>
            <w:r>
              <w:rPr>
                <w:rFonts w:ascii="Times New Roman" w:hAnsi="Times New Roman" w:eastAsia="宋体"/>
                <w:color w:val="000000" w:themeColor="text1"/>
                <w:sz w:val="21"/>
                <w:szCs w:val="21"/>
                <w14:textFill>
                  <w14:solidFill>
                    <w14:schemeClr w14:val="tx1"/>
                  </w14:solidFill>
                </w14:textFill>
              </w:rPr>
              <w:t>4-</w:t>
            </w:r>
            <w:r>
              <w:rPr>
                <w:rFonts w:hint="eastAsia" w:ascii="Times New Roman" w:hAnsi="Times New Roman" w:eastAsia="宋体"/>
                <w:color w:val="000000" w:themeColor="text1"/>
                <w:sz w:val="21"/>
                <w:szCs w:val="21"/>
                <w14:textFill>
                  <w14:solidFill>
                    <w14:schemeClr w14:val="tx1"/>
                  </w14:solidFill>
                </w14:textFill>
              </w:rPr>
              <w:t>3</w:t>
            </w:r>
            <w:r>
              <w:rPr>
                <w:rFonts w:ascii="Times New Roman" w:hAnsi="Times New Roman" w:eastAsia="宋体"/>
                <w:color w:val="000000" w:themeColor="text1"/>
                <w:sz w:val="21"/>
                <w:szCs w:val="21"/>
                <w14:textFill>
                  <w14:solidFill>
                    <w14:schemeClr w14:val="tx1"/>
                  </w14:solidFill>
                </w14:textFill>
              </w:rPr>
              <w:t xml:space="preserve"> </w:t>
            </w:r>
            <w:r>
              <w:rPr>
                <w:rFonts w:hint="eastAsia" w:ascii="Times New Roman" w:hAnsi="Times New Roman" w:eastAsia="宋体"/>
                <w:color w:val="000000" w:themeColor="text1"/>
                <w:sz w:val="21"/>
                <w:szCs w:val="21"/>
                <w14:textFill>
                  <w14:solidFill>
                    <w14:schemeClr w14:val="tx1"/>
                  </w14:solidFill>
                </w14:textFill>
              </w:rPr>
              <w:t xml:space="preserve"> </w:t>
            </w:r>
            <w:r>
              <w:rPr>
                <w:rFonts w:ascii="Times New Roman" w:hAnsi="Times New Roman" w:eastAsia="宋体"/>
                <w:color w:val="000000" w:themeColor="text1"/>
                <w:sz w:val="21"/>
                <w:szCs w:val="21"/>
                <w14:textFill>
                  <w14:solidFill>
                    <w14:schemeClr w14:val="tx1"/>
                  </w14:solidFill>
                </w14:textFill>
              </w:rPr>
              <w:t xml:space="preserve"> 石料和水洗砂由密闭导料皮带输送至骨料中间仓废气产排量一览表</w:t>
            </w:r>
          </w:p>
          <w:tbl>
            <w:tblPr>
              <w:tblStyle w:val="25"/>
              <w:tblW w:w="83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12"/>
              <w:gridCol w:w="1050"/>
              <w:gridCol w:w="1235"/>
              <w:gridCol w:w="1660"/>
              <w:gridCol w:w="1007"/>
              <w:gridCol w:w="13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17" w:type="dxa"/>
                  <w:vAlign w:val="center"/>
                </w:tcPr>
                <w:p>
                  <w:pPr>
                    <w:adjustRightInd w:val="0"/>
                    <w:snapToGrid w:val="0"/>
                    <w:jc w:val="center"/>
                    <w:rPr>
                      <w:rFonts w:hint="eastAsia" w:eastAsia="宋体"/>
                      <w:b/>
                      <w:bCs/>
                      <w:color w:val="000000" w:themeColor="text1"/>
                      <w:szCs w:val="21"/>
                      <w:lang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产污环节</w:t>
                  </w:r>
                </w:p>
              </w:tc>
              <w:tc>
                <w:tcPr>
                  <w:tcW w:w="1000"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污染物名称</w:t>
                  </w:r>
                </w:p>
              </w:tc>
              <w:tc>
                <w:tcPr>
                  <w:tcW w:w="1176"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污染物产生量（t）</w:t>
                  </w:r>
                </w:p>
              </w:tc>
              <w:tc>
                <w:tcPr>
                  <w:tcW w:w="1581"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治理措施</w:t>
                  </w:r>
                </w:p>
              </w:tc>
              <w:tc>
                <w:tcPr>
                  <w:tcW w:w="959"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去除效率</w:t>
                  </w:r>
                </w:p>
              </w:tc>
              <w:tc>
                <w:tcPr>
                  <w:tcW w:w="1305"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污染物排放量（t）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1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石料和水洗砂由密闭导料皮带输送至骨料中间仓</w:t>
                  </w:r>
                </w:p>
              </w:tc>
              <w:tc>
                <w:tcPr>
                  <w:tcW w:w="100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176"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8.73</w:t>
                  </w:r>
                </w:p>
              </w:tc>
              <w:tc>
                <w:tcPr>
                  <w:tcW w:w="1581"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搅拌机配套的</w:t>
                  </w:r>
                  <w:r>
                    <w:rPr>
                      <w:rFonts w:hint="eastAsia"/>
                      <w:color w:val="000000" w:themeColor="text1"/>
                      <w:szCs w:val="21"/>
                      <w14:textFill>
                        <w14:solidFill>
                          <w14:schemeClr w14:val="tx1"/>
                        </w14:solidFill>
                      </w14:textFill>
                    </w:rPr>
                    <w:t>布袋除尘器</w:t>
                  </w:r>
                </w:p>
              </w:tc>
              <w:tc>
                <w:tcPr>
                  <w:tcW w:w="95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99.7</w:t>
                  </w:r>
                  <w:r>
                    <w:rPr>
                      <w:color w:val="000000" w:themeColor="text1"/>
                      <w:szCs w:val="21"/>
                      <w14:textFill>
                        <w14:solidFill>
                          <w14:schemeClr w14:val="tx1"/>
                        </w14:solidFill>
                      </w14:textFill>
                    </w:rPr>
                    <w:t>%</w:t>
                  </w:r>
                </w:p>
              </w:tc>
              <w:tc>
                <w:tcPr>
                  <w:tcW w:w="1305"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0.026</w:t>
                  </w:r>
                </w:p>
              </w:tc>
            </w:tr>
          </w:tbl>
          <w:p>
            <w:pPr>
              <w:adjustRightInd w:val="0"/>
              <w:snapToGrid w:val="0"/>
              <w:spacing w:before="156" w:beforeLines="50" w:line="360" w:lineRule="auto"/>
              <w:ind w:firstLine="480" w:firstLineChars="200"/>
              <w:rPr>
                <w:color w:val="auto"/>
                <w:sz w:val="24"/>
              </w:rPr>
            </w:pPr>
            <w:r>
              <w:rPr>
                <w:rFonts w:hint="eastAsia" w:ascii="仿宋" w:hAnsi="仿宋" w:eastAsia="仿宋" w:cs="仿宋"/>
                <w:color w:val="auto"/>
                <w:sz w:val="24"/>
              </w:rPr>
              <w:t>④</w:t>
            </w:r>
            <w:r>
              <w:rPr>
                <w:color w:val="auto"/>
                <w:sz w:val="24"/>
              </w:rPr>
              <w:t>水泥筒仓呼吸口废气（G</w:t>
            </w:r>
            <w:r>
              <w:rPr>
                <w:rFonts w:hint="eastAsia"/>
                <w:color w:val="auto"/>
                <w:sz w:val="24"/>
              </w:rPr>
              <w:t>4</w:t>
            </w:r>
            <w:r>
              <w:rPr>
                <w:color w:val="auto"/>
                <w:sz w:val="24"/>
              </w:rPr>
              <w:t>）</w:t>
            </w:r>
          </w:p>
          <w:p>
            <w:pPr>
              <w:widowControl/>
              <w:adjustRightInd w:val="0"/>
              <w:snapToGrid w:val="0"/>
              <w:spacing w:line="360" w:lineRule="auto"/>
              <w:ind w:firstLine="480" w:firstLineChars="200"/>
              <w:jc w:val="left"/>
              <w:rPr>
                <w:color w:val="auto"/>
                <w:kern w:val="0"/>
                <w:sz w:val="24"/>
                <w:lang w:bidi="ar"/>
              </w:rPr>
            </w:pPr>
            <w:r>
              <w:rPr>
                <w:rFonts w:hint="eastAsia"/>
                <w:color w:val="auto"/>
                <w:kern w:val="0"/>
                <w:sz w:val="24"/>
                <w:lang w:val="en-US" w:eastAsia="zh-CN" w:bidi="ar"/>
              </w:rPr>
              <w:t>本项目有2条混凝土生产线，共4个水泥筒仓，</w:t>
            </w:r>
            <w:r>
              <w:rPr>
                <w:color w:val="auto"/>
                <w:kern w:val="0"/>
                <w:sz w:val="24"/>
                <w:lang w:bidi="ar"/>
              </w:rPr>
              <w:t>水泥通过管道灌装</w:t>
            </w:r>
            <w:r>
              <w:rPr>
                <w:rFonts w:hint="eastAsia"/>
                <w:color w:val="auto"/>
                <w:kern w:val="0"/>
                <w:sz w:val="24"/>
                <w:lang w:val="en-US" w:eastAsia="zh-CN" w:bidi="ar"/>
              </w:rPr>
              <w:t>进入水泥</w:t>
            </w:r>
            <w:r>
              <w:rPr>
                <w:color w:val="auto"/>
                <w:kern w:val="0"/>
                <w:sz w:val="24"/>
                <w:lang w:bidi="ar"/>
              </w:rPr>
              <w:t>筒仓，单个筒仓仓顶均配套</w:t>
            </w:r>
            <w:r>
              <w:rPr>
                <w:rFonts w:hint="eastAsia"/>
                <w:color w:val="auto"/>
                <w:kern w:val="0"/>
                <w:sz w:val="24"/>
                <w:lang w:bidi="ar"/>
              </w:rPr>
              <w:t>脉冲袋式除尘器</w:t>
            </w:r>
            <w:r>
              <w:rPr>
                <w:rFonts w:hint="default" w:ascii="Times New Roman" w:hAnsi="Times New Roman" w:eastAsia="宋体" w:cs="Times New Roman"/>
                <w:color w:val="auto"/>
                <w:sz w:val="24"/>
                <w:highlight w:val="none"/>
              </w:rPr>
              <w:t>（综合除尘效率≥9</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eastAsia="zh-CN"/>
              </w:rPr>
              <w:t>，</w:t>
            </w:r>
            <w:r>
              <w:rPr>
                <w:color w:val="auto"/>
                <w:kern w:val="0"/>
                <w:sz w:val="24"/>
                <w:lang w:bidi="ar"/>
              </w:rPr>
              <w:t>粉尘会随筒仓中的空气经顶部呼吸口</w:t>
            </w:r>
            <w:r>
              <w:rPr>
                <w:rFonts w:hint="eastAsia"/>
                <w:color w:val="auto"/>
                <w:kern w:val="0"/>
                <w:sz w:val="24"/>
                <w:lang w:val="en-US" w:eastAsia="zh-CN" w:bidi="ar"/>
              </w:rPr>
              <w:t>无组织排放</w:t>
            </w:r>
            <w:r>
              <w:rPr>
                <w:color w:val="auto"/>
                <w:kern w:val="0"/>
                <w:sz w:val="24"/>
                <w:lang w:bidi="ar"/>
              </w:rPr>
              <w:t>，减少对大气环境的污染。</w:t>
            </w:r>
          </w:p>
          <w:p>
            <w:pPr>
              <w:widowControl/>
              <w:adjustRightInd w:val="0"/>
              <w:snapToGrid w:val="0"/>
              <w:spacing w:line="360" w:lineRule="auto"/>
              <w:ind w:firstLine="480" w:firstLineChars="200"/>
              <w:jc w:val="left"/>
              <w:rPr>
                <w:color w:val="auto"/>
                <w:kern w:val="0"/>
                <w:sz w:val="24"/>
                <w:szCs w:val="24"/>
                <w:lang w:bidi="ar"/>
              </w:rPr>
            </w:pPr>
            <w:r>
              <w:rPr>
                <w:color w:val="auto"/>
                <w:kern w:val="0"/>
                <w:sz w:val="24"/>
                <w:szCs w:val="24"/>
                <w:lang w:bidi="ar"/>
              </w:rPr>
              <w:t>根据《逸散型工业粉尘控制技术》中贮仓排气颗粒物产生系数为0.12kg/t，水泥用量为</w:t>
            </w:r>
            <w:r>
              <w:rPr>
                <w:rFonts w:hint="eastAsia"/>
                <w:color w:val="auto"/>
                <w:kern w:val="0"/>
                <w:sz w:val="24"/>
                <w:szCs w:val="24"/>
                <w:lang w:val="en-US" w:eastAsia="zh-CN"/>
              </w:rPr>
              <w:t>13803</w:t>
            </w:r>
            <w:r>
              <w:rPr>
                <w:color w:val="auto"/>
                <w:kern w:val="0"/>
                <w:sz w:val="24"/>
                <w:szCs w:val="24"/>
                <w:lang w:bidi="ar"/>
              </w:rPr>
              <w:t>t，</w:t>
            </w:r>
            <w:r>
              <w:rPr>
                <w:rFonts w:hint="eastAsia"/>
                <w:color w:val="auto"/>
                <w:kern w:val="0"/>
                <w:sz w:val="24"/>
                <w:szCs w:val="24"/>
                <w:lang w:eastAsia="zh-CN" w:bidi="ar"/>
              </w:rPr>
              <w:t>则</w:t>
            </w:r>
            <w:r>
              <w:rPr>
                <w:color w:val="auto"/>
                <w:sz w:val="24"/>
                <w:szCs w:val="24"/>
              </w:rPr>
              <w:t>水泥筒仓呼吸口</w:t>
            </w:r>
            <w:r>
              <w:rPr>
                <w:rFonts w:hint="eastAsia"/>
                <w:color w:val="auto"/>
                <w:sz w:val="24"/>
                <w:szCs w:val="24"/>
                <w:lang w:eastAsia="zh-CN"/>
              </w:rPr>
              <w:t>粉尘产生量为</w:t>
            </w:r>
            <w:r>
              <w:rPr>
                <w:rFonts w:hint="eastAsia"/>
                <w:color w:val="auto"/>
                <w:sz w:val="24"/>
                <w:szCs w:val="24"/>
                <w:lang w:val="en-US" w:eastAsia="zh-CN"/>
              </w:rPr>
              <w:t>1.66</w:t>
            </w:r>
            <w:r>
              <w:rPr>
                <w:color w:val="auto"/>
                <w:kern w:val="0"/>
                <w:sz w:val="24"/>
                <w:szCs w:val="24"/>
                <w:lang w:bidi="ar"/>
              </w:rPr>
              <w:t>t</w:t>
            </w:r>
            <w:r>
              <w:rPr>
                <w:rFonts w:hint="eastAsia"/>
                <w:color w:val="auto"/>
                <w:kern w:val="0"/>
                <w:sz w:val="24"/>
                <w:szCs w:val="24"/>
                <w:lang w:eastAsia="zh-CN" w:bidi="ar"/>
              </w:rPr>
              <w:t>。</w:t>
            </w:r>
            <w:r>
              <w:rPr>
                <w:color w:val="auto"/>
                <w:sz w:val="24"/>
                <w:szCs w:val="24"/>
              </w:rPr>
              <w:t>水泥筒仓呼吸口废气</w:t>
            </w:r>
            <w:r>
              <w:rPr>
                <w:color w:val="auto"/>
                <w:kern w:val="0"/>
                <w:sz w:val="24"/>
                <w:szCs w:val="24"/>
                <w:lang w:bidi="ar"/>
              </w:rPr>
              <w:t>产排情况见表4-</w:t>
            </w:r>
            <w:r>
              <w:rPr>
                <w:rFonts w:hint="eastAsia"/>
                <w:color w:val="auto"/>
                <w:kern w:val="0"/>
                <w:sz w:val="24"/>
                <w:szCs w:val="24"/>
                <w:lang w:bidi="ar"/>
              </w:rPr>
              <w:t>4</w:t>
            </w:r>
            <w:r>
              <w:rPr>
                <w:color w:val="auto"/>
                <w:kern w:val="0"/>
                <w:sz w:val="24"/>
                <w:szCs w:val="24"/>
                <w:lang w:bidi="ar"/>
              </w:rPr>
              <w:t>。</w:t>
            </w:r>
          </w:p>
          <w:p>
            <w:pPr>
              <w:keepNext w:val="0"/>
              <w:keepLines w:val="0"/>
              <w:pageBreakBefore w:val="0"/>
              <w:widowControl w:val="0"/>
              <w:kinsoku/>
              <w:wordWrap/>
              <w:overflowPunct/>
              <w:topLinePunct w:val="0"/>
              <w:autoSpaceDE/>
              <w:autoSpaceDN/>
              <w:bidi w:val="0"/>
              <w:adjustRightInd/>
              <w:snapToGrid/>
              <w:spacing w:line="240" w:lineRule="auto"/>
              <w:ind w:firstLine="421" w:firstLineChars="20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b/>
                <w:bCs/>
                <w:color w:val="auto"/>
                <w:sz w:val="21"/>
                <w:szCs w:val="21"/>
                <w:highlight w:val="none"/>
                <w:lang w:bidi="ar"/>
              </w:rPr>
              <w:t>表</w:t>
            </w:r>
            <w:r>
              <w:rPr>
                <w:rFonts w:hint="eastAsia" w:cs="Times New Roman"/>
                <w:b/>
                <w:bCs/>
                <w:color w:val="auto"/>
                <w:sz w:val="21"/>
                <w:szCs w:val="21"/>
                <w:highlight w:val="none"/>
                <w:lang w:val="en-US" w:eastAsia="zh-CN" w:bidi="ar"/>
              </w:rPr>
              <w:t>4-4</w:t>
            </w:r>
            <w:r>
              <w:rPr>
                <w:rFonts w:hint="eastAsia" w:ascii="Times New Roman" w:hAnsi="Times New Roman" w:cs="Times New Roman"/>
                <w:b/>
                <w:bCs/>
                <w:color w:val="auto"/>
                <w:sz w:val="21"/>
                <w:szCs w:val="21"/>
                <w:highlight w:val="none"/>
                <w:lang w:val="en-US" w:eastAsia="zh-CN" w:bidi="ar"/>
              </w:rPr>
              <w:t xml:space="preserve"> </w:t>
            </w:r>
            <w:r>
              <w:rPr>
                <w:rFonts w:hint="default" w:ascii="Times New Roman" w:hAnsi="Times New Roman" w:eastAsia="宋体" w:cs="Times New Roman"/>
                <w:b/>
                <w:bCs/>
                <w:color w:val="auto"/>
                <w:sz w:val="21"/>
                <w:szCs w:val="21"/>
                <w:highlight w:val="none"/>
                <w:lang w:bidi="ar"/>
              </w:rPr>
              <w:t xml:space="preserve">  水</w:t>
            </w:r>
            <w:r>
              <w:rPr>
                <w:rFonts w:hint="default" w:ascii="Times New Roman" w:hAnsi="Times New Roman" w:eastAsia="宋体" w:cs="Times New Roman"/>
                <w:b/>
                <w:bCs/>
                <w:color w:val="000000" w:themeColor="text1"/>
                <w:sz w:val="21"/>
                <w:szCs w:val="21"/>
                <w:highlight w:val="none"/>
                <w:lang w:bidi="ar"/>
                <w14:textFill>
                  <w14:solidFill>
                    <w14:schemeClr w14:val="tx1"/>
                  </w14:solidFill>
                </w14:textFill>
              </w:rPr>
              <w:t>泥筒仓</w:t>
            </w:r>
            <w:r>
              <w:rPr>
                <w:rFonts w:hint="default" w:ascii="Times New Roman" w:hAnsi="Times New Roman" w:eastAsia="宋体" w:cs="Times New Roman"/>
                <w:b/>
                <w:bCs/>
                <w:color w:val="auto"/>
                <w:sz w:val="21"/>
                <w:szCs w:val="21"/>
                <w:highlight w:val="none"/>
                <w:lang w:bidi="ar"/>
              </w:rPr>
              <w:t>呼吸口粉尘产排情况一览表</w:t>
            </w:r>
          </w:p>
          <w:tbl>
            <w:tblPr>
              <w:tblStyle w:val="2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706"/>
              <w:gridCol w:w="945"/>
              <w:gridCol w:w="1545"/>
              <w:gridCol w:w="1837"/>
              <w:gridCol w:w="1149"/>
              <w:gridCol w:w="114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23" w:type="pct"/>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b/>
                      <w:color w:val="auto"/>
                      <w:kern w:val="1"/>
                      <w:sz w:val="21"/>
                      <w:szCs w:val="21"/>
                      <w:highlight w:val="none"/>
                      <w:lang w:eastAsia="zh-CN"/>
                    </w:rPr>
                  </w:pPr>
                  <w:r>
                    <w:rPr>
                      <w:rFonts w:hint="eastAsia" w:cs="Times New Roman"/>
                      <w:b/>
                      <w:color w:val="auto"/>
                      <w:kern w:val="1"/>
                      <w:sz w:val="21"/>
                      <w:szCs w:val="21"/>
                      <w:highlight w:val="none"/>
                      <w:lang w:val="en-US" w:eastAsia="zh-CN"/>
                    </w:rPr>
                    <w:t>产污</w:t>
                  </w:r>
                  <w:r>
                    <w:rPr>
                      <w:rFonts w:hint="eastAsia" w:eastAsia="宋体" w:cs="Times New Roman"/>
                      <w:b/>
                      <w:color w:val="auto"/>
                      <w:kern w:val="1"/>
                      <w:sz w:val="21"/>
                      <w:szCs w:val="21"/>
                      <w:highlight w:val="none"/>
                      <w:lang w:eastAsia="zh-CN"/>
                    </w:rPr>
                    <w:t>环节</w:t>
                  </w:r>
                </w:p>
              </w:tc>
              <w:tc>
                <w:tcPr>
                  <w:tcW w:w="567" w:type="pct"/>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b/>
                      <w:color w:val="auto"/>
                      <w:kern w:val="1"/>
                      <w:sz w:val="21"/>
                      <w:szCs w:val="21"/>
                      <w:highlight w:val="none"/>
                      <w:lang w:val="en-US" w:eastAsia="zh-CN"/>
                    </w:rPr>
                  </w:pPr>
                  <w:r>
                    <w:rPr>
                      <w:rFonts w:ascii="Times New Roman" w:hAnsi="Times New Roman" w:eastAsia="宋体" w:cs="Times New Roman"/>
                      <w:b/>
                      <w:color w:val="auto"/>
                      <w:kern w:val="1"/>
                      <w:sz w:val="21"/>
                      <w:szCs w:val="21"/>
                      <w:highlight w:val="none"/>
                    </w:rPr>
                    <w:t>污染物</w:t>
                  </w:r>
                  <w:r>
                    <w:rPr>
                      <w:rFonts w:hint="eastAsia" w:cs="Times New Roman"/>
                      <w:b/>
                      <w:color w:val="auto"/>
                      <w:kern w:val="1"/>
                      <w:sz w:val="21"/>
                      <w:szCs w:val="21"/>
                      <w:highlight w:val="none"/>
                      <w:lang w:val="en-US" w:eastAsia="zh-CN"/>
                    </w:rPr>
                    <w:t>名称</w:t>
                  </w:r>
                </w:p>
              </w:tc>
              <w:tc>
                <w:tcPr>
                  <w:tcW w:w="927"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kern w:val="1"/>
                      <w:sz w:val="21"/>
                      <w:szCs w:val="21"/>
                      <w:highlight w:val="none"/>
                    </w:rPr>
                  </w:pPr>
                  <w:r>
                    <w:rPr>
                      <w:rFonts w:hint="eastAsia" w:cs="Times New Roman"/>
                      <w:b/>
                      <w:color w:val="auto"/>
                      <w:kern w:val="1"/>
                      <w:sz w:val="21"/>
                      <w:szCs w:val="21"/>
                      <w:highlight w:val="none"/>
                      <w:lang w:val="en-US" w:eastAsia="zh-CN"/>
                    </w:rPr>
                    <w:t>污染物</w:t>
                  </w:r>
                  <w:r>
                    <w:rPr>
                      <w:rFonts w:ascii="Times New Roman" w:hAnsi="Times New Roman" w:eastAsia="宋体" w:cs="Times New Roman"/>
                      <w:b/>
                      <w:color w:val="auto"/>
                      <w:kern w:val="1"/>
                      <w:sz w:val="21"/>
                      <w:szCs w:val="21"/>
                      <w:highlight w:val="none"/>
                    </w:rPr>
                    <w:t>产生量</w:t>
                  </w:r>
                </w:p>
                <w:p>
                  <w:pPr>
                    <w:adjustRightInd w:val="0"/>
                    <w:snapToGrid w:val="0"/>
                    <w:spacing w:line="240" w:lineRule="auto"/>
                    <w:ind w:firstLine="0" w:firstLineChars="0"/>
                    <w:jc w:val="center"/>
                    <w:rPr>
                      <w:rFonts w:ascii="Times New Roman" w:hAnsi="Times New Roman" w:eastAsia="宋体" w:cs="Times New Roman"/>
                      <w:b/>
                      <w:color w:val="auto"/>
                      <w:kern w:val="1"/>
                      <w:sz w:val="21"/>
                      <w:szCs w:val="21"/>
                      <w:highlight w:val="none"/>
                    </w:rPr>
                  </w:pPr>
                  <w:r>
                    <w:rPr>
                      <w:rFonts w:hint="eastAsia" w:cs="Times New Roman"/>
                      <w:b/>
                      <w:color w:val="auto"/>
                      <w:kern w:val="1"/>
                      <w:sz w:val="21"/>
                      <w:szCs w:val="21"/>
                      <w:highlight w:val="none"/>
                      <w:lang w:eastAsia="zh-CN"/>
                    </w:rPr>
                    <w:t>（</w:t>
                  </w:r>
                  <w:r>
                    <w:rPr>
                      <w:rFonts w:hint="eastAsia" w:cs="Times New Roman"/>
                      <w:b/>
                      <w:color w:val="auto"/>
                      <w:kern w:val="1"/>
                      <w:sz w:val="21"/>
                      <w:szCs w:val="21"/>
                      <w:highlight w:val="none"/>
                      <w:lang w:val="en-US" w:eastAsia="zh-CN"/>
                    </w:rPr>
                    <w:t>t</w:t>
                  </w:r>
                  <w:r>
                    <w:rPr>
                      <w:rFonts w:hint="eastAsia" w:cs="Times New Roman"/>
                      <w:b/>
                      <w:color w:val="auto"/>
                      <w:kern w:val="1"/>
                      <w:sz w:val="21"/>
                      <w:szCs w:val="21"/>
                      <w:highlight w:val="none"/>
                      <w:lang w:eastAsia="zh-CN"/>
                    </w:rPr>
                    <w:t>）</w:t>
                  </w:r>
                </w:p>
              </w:tc>
              <w:tc>
                <w:tcPr>
                  <w:tcW w:w="1102"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kern w:val="1"/>
                      <w:sz w:val="21"/>
                      <w:szCs w:val="21"/>
                      <w:highlight w:val="none"/>
                    </w:rPr>
                  </w:pPr>
                  <w:r>
                    <w:rPr>
                      <w:rFonts w:ascii="Times New Roman" w:hAnsi="Times New Roman" w:eastAsia="宋体" w:cs="Times New Roman"/>
                      <w:b/>
                      <w:color w:val="auto"/>
                      <w:kern w:val="1"/>
                      <w:sz w:val="21"/>
                      <w:szCs w:val="21"/>
                      <w:highlight w:val="none"/>
                    </w:rPr>
                    <w:t>处理措施</w:t>
                  </w:r>
                </w:p>
              </w:tc>
              <w:tc>
                <w:tcPr>
                  <w:tcW w:w="689" w:type="pct"/>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b/>
                      <w:color w:val="auto"/>
                      <w:kern w:val="1"/>
                      <w:sz w:val="21"/>
                      <w:szCs w:val="21"/>
                      <w:highlight w:val="none"/>
                      <w:lang w:val="en-US" w:eastAsia="zh-CN"/>
                    </w:rPr>
                  </w:pPr>
                  <w:r>
                    <w:rPr>
                      <w:rFonts w:hint="eastAsia" w:cs="Times New Roman"/>
                      <w:b/>
                      <w:color w:val="auto"/>
                      <w:kern w:val="1"/>
                      <w:sz w:val="21"/>
                      <w:szCs w:val="21"/>
                      <w:highlight w:val="none"/>
                      <w:lang w:val="en-US" w:eastAsia="zh-CN"/>
                    </w:rPr>
                    <w:t>去除效率</w:t>
                  </w:r>
                </w:p>
              </w:tc>
              <w:tc>
                <w:tcPr>
                  <w:tcW w:w="689" w:type="pct"/>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b/>
                      <w:color w:val="auto"/>
                      <w:kern w:val="1"/>
                      <w:sz w:val="21"/>
                      <w:szCs w:val="21"/>
                      <w:highlight w:val="none"/>
                      <w:lang w:eastAsia="zh-CN"/>
                    </w:rPr>
                  </w:pPr>
                  <w:r>
                    <w:rPr>
                      <w:rFonts w:hint="eastAsia" w:cs="Times New Roman"/>
                      <w:b/>
                      <w:color w:val="auto"/>
                      <w:kern w:val="1"/>
                      <w:sz w:val="21"/>
                      <w:szCs w:val="21"/>
                      <w:highlight w:val="none"/>
                      <w:lang w:val="en-US" w:eastAsia="zh-CN"/>
                    </w:rPr>
                    <w:t>污染物排</w:t>
                  </w:r>
                  <w:r>
                    <w:rPr>
                      <w:rFonts w:ascii="Times New Roman" w:hAnsi="Times New Roman" w:eastAsia="宋体" w:cs="Times New Roman"/>
                      <w:b/>
                      <w:color w:val="auto"/>
                      <w:kern w:val="1"/>
                      <w:sz w:val="21"/>
                      <w:szCs w:val="21"/>
                      <w:highlight w:val="none"/>
                    </w:rPr>
                    <w:t>放量</w:t>
                  </w:r>
                  <w:r>
                    <w:rPr>
                      <w:rFonts w:hint="eastAsia" w:cs="Times New Roman"/>
                      <w:b/>
                      <w:color w:val="auto"/>
                      <w:kern w:val="1"/>
                      <w:sz w:val="21"/>
                      <w:szCs w:val="21"/>
                      <w:highlight w:val="none"/>
                      <w:lang w:eastAsia="zh-CN"/>
                    </w:rPr>
                    <w:t>（</w:t>
                  </w:r>
                  <w:r>
                    <w:rPr>
                      <w:rFonts w:ascii="Times New Roman" w:hAnsi="Times New Roman" w:eastAsia="宋体" w:cs="Times New Roman"/>
                      <w:b/>
                      <w:color w:val="auto"/>
                      <w:kern w:val="1"/>
                      <w:sz w:val="21"/>
                      <w:szCs w:val="21"/>
                      <w:highlight w:val="none"/>
                    </w:rPr>
                    <w:t>t</w:t>
                  </w:r>
                  <w:r>
                    <w:rPr>
                      <w:rFonts w:hint="eastAsia" w:cs="Times New Roman"/>
                      <w:b/>
                      <w:color w:val="auto"/>
                      <w:kern w:val="1"/>
                      <w:sz w:val="21"/>
                      <w:szCs w:val="21"/>
                      <w:highlight w:val="none"/>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23"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val="0"/>
                      <w:bCs/>
                      <w:color w:val="auto"/>
                      <w:sz w:val="21"/>
                      <w:szCs w:val="21"/>
                      <w:highlight w:val="none"/>
                    </w:rPr>
                  </w:pPr>
                  <w:r>
                    <w:rPr>
                      <w:color w:val="auto"/>
                      <w:sz w:val="21"/>
                      <w:szCs w:val="21"/>
                    </w:rPr>
                    <w:t>水泥筒仓呼吸口</w:t>
                  </w:r>
                </w:p>
              </w:tc>
              <w:tc>
                <w:tcPr>
                  <w:tcW w:w="567"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kern w:val="1"/>
                      <w:sz w:val="21"/>
                      <w:szCs w:val="21"/>
                      <w:highlight w:val="none"/>
                    </w:rPr>
                  </w:pPr>
                  <w:r>
                    <w:rPr>
                      <w:rFonts w:ascii="Times New Roman" w:hAnsi="Times New Roman" w:eastAsia="宋体" w:cs="Times New Roman"/>
                      <w:b w:val="0"/>
                      <w:bCs/>
                      <w:color w:val="auto"/>
                      <w:sz w:val="21"/>
                      <w:szCs w:val="21"/>
                      <w:highlight w:val="none"/>
                    </w:rPr>
                    <w:t>粉尘</w:t>
                  </w:r>
                </w:p>
              </w:tc>
              <w:tc>
                <w:tcPr>
                  <w:tcW w:w="927"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kern w:val="1"/>
                      <w:sz w:val="21"/>
                      <w:szCs w:val="21"/>
                      <w:highlight w:val="none"/>
                      <w:lang w:val="en-US" w:eastAsia="zh-CN"/>
                    </w:rPr>
                  </w:pPr>
                  <w:r>
                    <w:rPr>
                      <w:rFonts w:hint="eastAsia"/>
                      <w:color w:val="auto"/>
                      <w:sz w:val="21"/>
                      <w:szCs w:val="21"/>
                      <w:lang w:val="en-US" w:eastAsia="zh-CN"/>
                    </w:rPr>
                    <w:t>1.66</w:t>
                  </w:r>
                </w:p>
              </w:tc>
              <w:tc>
                <w:tcPr>
                  <w:tcW w:w="1102"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kern w:val="1"/>
                      <w:sz w:val="21"/>
                      <w:szCs w:val="21"/>
                      <w:highlight w:val="none"/>
                      <w:lang w:val="en-US" w:eastAsia="zh-CN"/>
                    </w:rPr>
                  </w:pPr>
                  <w:r>
                    <w:rPr>
                      <w:rFonts w:ascii="Times New Roman" w:hAnsi="Times New Roman" w:eastAsia="宋体" w:cs="Times New Roman"/>
                      <w:bCs/>
                      <w:color w:val="auto"/>
                      <w:kern w:val="1"/>
                      <w:sz w:val="21"/>
                      <w:szCs w:val="21"/>
                      <w:highlight w:val="none"/>
                    </w:rPr>
                    <w:t>布袋除尘</w:t>
                  </w:r>
                  <w:r>
                    <w:rPr>
                      <w:rFonts w:hint="eastAsia" w:ascii="Times New Roman" w:hAnsi="Times New Roman" w:eastAsia="宋体" w:cs="Times New Roman"/>
                      <w:bCs/>
                      <w:color w:val="auto"/>
                      <w:kern w:val="1"/>
                      <w:sz w:val="21"/>
                      <w:szCs w:val="21"/>
                      <w:highlight w:val="none"/>
                      <w:lang w:val="en-US" w:eastAsia="zh-CN"/>
                    </w:rPr>
                    <w:t>器</w:t>
                  </w:r>
                </w:p>
              </w:tc>
              <w:tc>
                <w:tcPr>
                  <w:tcW w:w="689" w:type="pct"/>
                  <w:tcBorders>
                    <w:tl2br w:val="nil"/>
                    <w:tr2bl w:val="nil"/>
                  </w:tcBorders>
                  <w:noWrap w:val="0"/>
                  <w:vAlign w:val="center"/>
                </w:tcPr>
                <w:p>
                  <w:pPr>
                    <w:adjustRightInd w:val="0"/>
                    <w:snapToGrid w:val="0"/>
                    <w:spacing w:line="240" w:lineRule="auto"/>
                    <w:ind w:firstLine="0" w:firstLineChars="0"/>
                    <w:jc w:val="center"/>
                    <w:rPr>
                      <w:rFonts w:hint="default" w:eastAsia="宋体" w:cs="Times New Roman"/>
                      <w:bCs/>
                      <w:color w:val="auto"/>
                      <w:kern w:val="1"/>
                      <w:sz w:val="21"/>
                      <w:szCs w:val="21"/>
                      <w:highlight w:val="none"/>
                      <w:lang w:val="en-US" w:eastAsia="zh-CN"/>
                    </w:rPr>
                  </w:pPr>
                  <w:r>
                    <w:rPr>
                      <w:rFonts w:hint="eastAsia" w:cs="Times New Roman"/>
                      <w:bCs/>
                      <w:color w:val="auto"/>
                      <w:kern w:val="1"/>
                      <w:sz w:val="21"/>
                      <w:szCs w:val="21"/>
                      <w:highlight w:val="none"/>
                      <w:lang w:val="en-US" w:eastAsia="zh-CN"/>
                    </w:rPr>
                    <w:t>99.7%</w:t>
                  </w:r>
                </w:p>
              </w:tc>
              <w:tc>
                <w:tcPr>
                  <w:tcW w:w="689"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kern w:val="1"/>
                      <w:sz w:val="21"/>
                      <w:szCs w:val="21"/>
                      <w:highlight w:val="none"/>
                      <w:lang w:val="en-US" w:eastAsia="zh-CN"/>
                    </w:rPr>
                  </w:pPr>
                  <w:r>
                    <w:rPr>
                      <w:rFonts w:hint="eastAsia" w:cs="Times New Roman"/>
                      <w:bCs/>
                      <w:color w:val="auto"/>
                      <w:kern w:val="1"/>
                      <w:sz w:val="21"/>
                      <w:szCs w:val="21"/>
                      <w:highlight w:val="none"/>
                      <w:lang w:val="en-US" w:eastAsia="zh-CN"/>
                    </w:rPr>
                    <w:t>0.005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⑤</w:t>
            </w:r>
            <w:r>
              <w:rPr>
                <w:color w:val="000000" w:themeColor="text1"/>
                <w:sz w:val="24"/>
                <w14:textFill>
                  <w14:solidFill>
                    <w14:schemeClr w14:val="tx1"/>
                  </w14:solidFill>
                </w14:textFill>
              </w:rPr>
              <w:t>搅拌机搅拌废气（G</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进入搅拌机的石料、水洗砂、水泥、水和外加剂进行充分混合搅拌，</w:t>
            </w:r>
            <w:r>
              <w:rPr>
                <w:color w:val="000000" w:themeColor="text1"/>
                <w:sz w:val="24"/>
                <w14:textFill>
                  <w14:solidFill>
                    <w14:schemeClr w14:val="tx1"/>
                  </w14:solidFill>
                </w14:textFill>
              </w:rPr>
              <w:t>该工段主要污染物为颗粒物。废气通过搅拌机配套的</w:t>
            </w:r>
            <w:r>
              <w:rPr>
                <w:rFonts w:hint="eastAsia"/>
                <w:color w:val="000000" w:themeColor="text1"/>
                <w:sz w:val="24"/>
                <w14:textFill>
                  <w14:solidFill>
                    <w14:schemeClr w14:val="tx1"/>
                  </w14:solidFill>
                </w14:textFill>
              </w:rPr>
              <w:t>布袋除尘器</w:t>
            </w:r>
            <w:r>
              <w:rPr>
                <w:rFonts w:hint="default" w:ascii="Times New Roman" w:hAnsi="Times New Roman" w:eastAsia="宋体" w:cs="Times New Roman"/>
                <w:color w:val="000000" w:themeColor="text1"/>
                <w:sz w:val="24"/>
                <w:highlight w:val="none"/>
                <w14:textFill>
                  <w14:solidFill>
                    <w14:schemeClr w14:val="tx1"/>
                  </w14:solidFill>
                </w14:textFill>
              </w:rPr>
              <w:t>（综合除尘效率≥9</w:t>
            </w:r>
            <w:r>
              <w:rPr>
                <w:rFonts w:hint="eastAsia" w:cs="Times New Roman"/>
                <w:color w:val="000000" w:themeColor="text1"/>
                <w:sz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highlight w:val="none"/>
                <w14:textFill>
                  <w14:solidFill>
                    <w14:schemeClr w14:val="tx1"/>
                  </w14:solidFill>
                </w14:textFill>
              </w:rPr>
              <w:t>%）</w:t>
            </w:r>
            <w:r>
              <w:rPr>
                <w:color w:val="000000" w:themeColor="text1"/>
                <w:sz w:val="24"/>
                <w14:textFill>
                  <w14:solidFill>
                    <w14:schemeClr w14:val="tx1"/>
                  </w14:solidFill>
                </w14:textFill>
              </w:rPr>
              <w:t>收集处理后排放。</w:t>
            </w:r>
          </w:p>
          <w:p>
            <w:pPr>
              <w:adjustRightInd w:val="0"/>
              <w:snapToGrid w:val="0"/>
              <w:spacing w:line="360" w:lineRule="auto"/>
              <w:ind w:firstLine="480" w:firstLineChars="200"/>
              <w:rPr>
                <w:rFonts w:ascii="Times New Roman" w:hAnsi="Times New Roman" w:eastAsia="宋体"/>
                <w:color w:val="auto"/>
                <w:sz w:val="24"/>
                <w:szCs w:val="24"/>
              </w:rPr>
            </w:pPr>
            <w:r>
              <w:rPr>
                <w:color w:val="000000" w:themeColor="text1"/>
                <w:sz w:val="24"/>
                <w14:textFill>
                  <w14:solidFill>
                    <w14:schemeClr w14:val="tx1"/>
                  </w14:solidFill>
                </w14:textFill>
              </w:rPr>
              <w:t>根据《排放源统计调查产排污核算方法和技术手册》中“3021水泥制品制造（含3022砼结</w:t>
            </w:r>
            <w:r>
              <w:rPr>
                <w:color w:val="auto"/>
                <w:sz w:val="24"/>
              </w:rPr>
              <w:t>构构件、3029其他水泥类似制品制造）—物料混合搅拌”颗粒物产物系数为0.13kg/t，项目混凝土生产总量</w:t>
            </w:r>
            <w:r>
              <w:rPr>
                <w:rFonts w:hint="eastAsia"/>
                <w:color w:val="auto"/>
                <w:sz w:val="24"/>
                <w:lang w:val="en-US" w:eastAsia="zh-CN"/>
              </w:rPr>
              <w:t>约</w:t>
            </w:r>
            <w:r>
              <w:rPr>
                <w:color w:val="auto"/>
                <w:sz w:val="24"/>
              </w:rPr>
              <w:t>为</w:t>
            </w:r>
            <w:r>
              <w:rPr>
                <w:rFonts w:hint="eastAsia"/>
                <w:color w:val="auto"/>
                <w:kern w:val="0"/>
                <w:sz w:val="24"/>
                <w:lang w:val="en-US" w:eastAsia="zh-CN" w:bidi="ar"/>
              </w:rPr>
              <w:t>92532.6</w:t>
            </w:r>
            <w:r>
              <w:rPr>
                <w:color w:val="auto"/>
                <w:sz w:val="24"/>
              </w:rPr>
              <w:t>t（</w:t>
            </w:r>
            <w:r>
              <w:rPr>
                <w:rFonts w:hint="eastAsia"/>
                <w:color w:val="auto"/>
                <w:sz w:val="24"/>
                <w:lang w:val="en-US" w:eastAsia="zh-CN"/>
              </w:rPr>
              <w:t>以</w:t>
            </w:r>
            <w:r>
              <w:rPr>
                <w:rFonts w:hint="eastAsia"/>
                <w:color w:val="auto"/>
                <w:sz w:val="24"/>
              </w:rPr>
              <w:t>39436</w:t>
            </w:r>
            <w:r>
              <w:rPr>
                <w:color w:val="auto"/>
                <w:sz w:val="24"/>
              </w:rPr>
              <w:t>m</w:t>
            </w:r>
            <w:r>
              <w:rPr>
                <w:color w:val="auto"/>
                <w:sz w:val="24"/>
                <w:vertAlign w:val="superscript"/>
              </w:rPr>
              <w:t>3</w:t>
            </w:r>
            <w:r>
              <w:rPr>
                <w:color w:val="auto"/>
                <w:sz w:val="24"/>
              </w:rPr>
              <w:t>）计算。搅拌机搅拌废气产排情况见表4-</w:t>
            </w:r>
            <w:r>
              <w:rPr>
                <w:rFonts w:hint="eastAsia"/>
                <w:color w:val="auto"/>
                <w:sz w:val="24"/>
              </w:rPr>
              <w:t>5</w:t>
            </w:r>
            <w:r>
              <w:rPr>
                <w:color w:val="auto"/>
                <w:sz w:val="24"/>
              </w:rPr>
              <w:t>。</w:t>
            </w:r>
          </w:p>
          <w:p>
            <w:pPr>
              <w:keepNext w:val="0"/>
              <w:keepLines w:val="0"/>
              <w:pageBreakBefore w:val="0"/>
              <w:widowControl w:val="0"/>
              <w:kinsoku/>
              <w:wordWrap/>
              <w:overflowPunct/>
              <w:topLinePunct w:val="0"/>
              <w:autoSpaceDE/>
              <w:autoSpaceDN/>
              <w:bidi w:val="0"/>
              <w:adjustRightInd/>
              <w:snapToGrid/>
              <w:spacing w:line="240" w:lineRule="auto"/>
              <w:ind w:firstLine="421"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lang w:val="en-US" w:eastAsia="zh-CN"/>
              </w:rPr>
              <w:t>表</w:t>
            </w:r>
            <w:r>
              <w:rPr>
                <w:rFonts w:hint="default" w:ascii="Times New Roman" w:hAnsi="Times New Roman" w:eastAsia="宋体" w:cs="Times New Roman"/>
                <w:b/>
                <w:bCs/>
                <w:color w:val="auto"/>
                <w:sz w:val="21"/>
                <w:szCs w:val="21"/>
              </w:rPr>
              <w:t>4-5</w:t>
            </w:r>
            <w:r>
              <w:rPr>
                <w:rFonts w:hint="default" w:ascii="Times New Roman" w:hAnsi="Times New Roman" w:eastAsia="宋体" w:cs="Times New Roman"/>
                <w:b/>
                <w:bCs/>
                <w:color w:val="000000" w:themeColor="text1"/>
                <w:sz w:val="21"/>
                <w:szCs w:val="21"/>
                <w14:textFill>
                  <w14:solidFill>
                    <w14:schemeClr w14:val="tx1"/>
                  </w14:solidFill>
                </w14:textFill>
              </w:rPr>
              <w:t xml:space="preserve">   </w:t>
            </w:r>
            <w:r>
              <w:rPr>
                <w:rFonts w:hint="default" w:ascii="Times New Roman" w:hAnsi="Times New Roman" w:eastAsia="宋体" w:cs="Times New Roman"/>
                <w:b/>
                <w:bCs/>
                <w:color w:val="auto"/>
                <w:sz w:val="21"/>
                <w:szCs w:val="21"/>
              </w:rPr>
              <w:t>搅拌机</w:t>
            </w:r>
            <w:r>
              <w:rPr>
                <w:rFonts w:hint="default" w:ascii="Times New Roman" w:hAnsi="Times New Roman" w:eastAsia="宋体" w:cs="Times New Roman"/>
                <w:b/>
                <w:bCs/>
                <w:color w:val="auto"/>
                <w:sz w:val="21"/>
                <w:szCs w:val="21"/>
                <w:highlight w:val="none"/>
                <w:lang w:bidi="ar"/>
              </w:rPr>
              <w:t>粉尘产排情况一览表</w:t>
            </w:r>
          </w:p>
          <w:tbl>
            <w:tblPr>
              <w:tblStyle w:val="2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435"/>
              <w:gridCol w:w="1380"/>
              <w:gridCol w:w="1651"/>
              <w:gridCol w:w="1500"/>
              <w:gridCol w:w="1109"/>
              <w:gridCol w:w="125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1"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kern w:val="1"/>
                      <w:sz w:val="21"/>
                      <w:szCs w:val="21"/>
                      <w:highlight w:val="none"/>
                    </w:rPr>
                  </w:pPr>
                  <w:r>
                    <w:rPr>
                      <w:rFonts w:hint="eastAsia" w:cs="Times New Roman"/>
                      <w:b/>
                      <w:color w:val="auto"/>
                      <w:kern w:val="1"/>
                      <w:sz w:val="21"/>
                      <w:szCs w:val="21"/>
                      <w:highlight w:val="none"/>
                      <w:lang w:val="en-US" w:eastAsia="zh-CN"/>
                    </w:rPr>
                    <w:t>产污</w:t>
                  </w:r>
                  <w:r>
                    <w:rPr>
                      <w:rFonts w:hint="eastAsia" w:eastAsia="宋体" w:cs="Times New Roman"/>
                      <w:b/>
                      <w:color w:val="auto"/>
                      <w:kern w:val="1"/>
                      <w:sz w:val="21"/>
                      <w:szCs w:val="21"/>
                      <w:highlight w:val="none"/>
                      <w:lang w:eastAsia="zh-CN"/>
                    </w:rPr>
                    <w:t>环节</w:t>
                  </w:r>
                </w:p>
              </w:tc>
              <w:tc>
                <w:tcPr>
                  <w:tcW w:w="828"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kern w:val="1"/>
                      <w:sz w:val="21"/>
                      <w:szCs w:val="21"/>
                      <w:highlight w:val="none"/>
                    </w:rPr>
                  </w:pPr>
                  <w:r>
                    <w:rPr>
                      <w:rFonts w:ascii="Times New Roman" w:hAnsi="Times New Roman" w:eastAsia="宋体" w:cs="Times New Roman"/>
                      <w:b/>
                      <w:color w:val="auto"/>
                      <w:kern w:val="1"/>
                      <w:sz w:val="21"/>
                      <w:szCs w:val="21"/>
                      <w:highlight w:val="none"/>
                    </w:rPr>
                    <w:t>污染物</w:t>
                  </w:r>
                  <w:r>
                    <w:rPr>
                      <w:rFonts w:hint="eastAsia" w:cs="Times New Roman"/>
                      <w:b/>
                      <w:color w:val="auto"/>
                      <w:kern w:val="1"/>
                      <w:sz w:val="21"/>
                      <w:szCs w:val="21"/>
                      <w:highlight w:val="none"/>
                      <w:lang w:val="en-US" w:eastAsia="zh-CN"/>
                    </w:rPr>
                    <w:t>名称</w:t>
                  </w:r>
                </w:p>
              </w:tc>
              <w:tc>
                <w:tcPr>
                  <w:tcW w:w="990"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kern w:val="1"/>
                      <w:sz w:val="21"/>
                      <w:szCs w:val="21"/>
                      <w:highlight w:val="none"/>
                    </w:rPr>
                  </w:pPr>
                  <w:r>
                    <w:rPr>
                      <w:rFonts w:hint="eastAsia" w:cs="Times New Roman"/>
                      <w:b/>
                      <w:color w:val="auto"/>
                      <w:kern w:val="1"/>
                      <w:sz w:val="21"/>
                      <w:szCs w:val="21"/>
                      <w:highlight w:val="none"/>
                      <w:lang w:val="en-US" w:eastAsia="zh-CN"/>
                    </w:rPr>
                    <w:t>污染物</w:t>
                  </w:r>
                  <w:r>
                    <w:rPr>
                      <w:rFonts w:ascii="Times New Roman" w:hAnsi="Times New Roman" w:eastAsia="宋体" w:cs="Times New Roman"/>
                      <w:b/>
                      <w:color w:val="auto"/>
                      <w:kern w:val="1"/>
                      <w:sz w:val="21"/>
                      <w:szCs w:val="21"/>
                      <w:highlight w:val="none"/>
                    </w:rPr>
                    <w:t>产生量</w:t>
                  </w:r>
                  <w:r>
                    <w:rPr>
                      <w:rFonts w:hint="eastAsia" w:cs="Times New Roman"/>
                      <w:b/>
                      <w:color w:val="auto"/>
                      <w:kern w:val="1"/>
                      <w:sz w:val="21"/>
                      <w:szCs w:val="21"/>
                      <w:highlight w:val="none"/>
                      <w:lang w:eastAsia="zh-CN"/>
                    </w:rPr>
                    <w:t>（</w:t>
                  </w:r>
                  <w:r>
                    <w:rPr>
                      <w:rFonts w:hint="eastAsia" w:cs="Times New Roman"/>
                      <w:b/>
                      <w:color w:val="auto"/>
                      <w:kern w:val="1"/>
                      <w:sz w:val="21"/>
                      <w:szCs w:val="21"/>
                      <w:highlight w:val="none"/>
                      <w:lang w:val="en-US" w:eastAsia="zh-CN"/>
                    </w:rPr>
                    <w:t>t</w:t>
                  </w:r>
                  <w:r>
                    <w:rPr>
                      <w:rFonts w:hint="eastAsia" w:cs="Times New Roman"/>
                      <w:b/>
                      <w:color w:val="auto"/>
                      <w:kern w:val="1"/>
                      <w:sz w:val="21"/>
                      <w:szCs w:val="21"/>
                      <w:highlight w:val="none"/>
                      <w:lang w:eastAsia="zh-CN"/>
                    </w:rPr>
                    <w:t>）</w:t>
                  </w:r>
                </w:p>
              </w:tc>
              <w:tc>
                <w:tcPr>
                  <w:tcW w:w="900"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kern w:val="1"/>
                      <w:sz w:val="21"/>
                      <w:szCs w:val="21"/>
                      <w:highlight w:val="none"/>
                    </w:rPr>
                  </w:pPr>
                  <w:r>
                    <w:rPr>
                      <w:rFonts w:ascii="Times New Roman" w:hAnsi="Times New Roman" w:eastAsia="宋体" w:cs="Times New Roman"/>
                      <w:b/>
                      <w:color w:val="auto"/>
                      <w:kern w:val="1"/>
                      <w:sz w:val="21"/>
                      <w:szCs w:val="21"/>
                      <w:highlight w:val="none"/>
                    </w:rPr>
                    <w:t>处理措施</w:t>
                  </w:r>
                </w:p>
              </w:tc>
              <w:tc>
                <w:tcPr>
                  <w:tcW w:w="665"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kern w:val="1"/>
                      <w:sz w:val="21"/>
                      <w:szCs w:val="21"/>
                      <w:highlight w:val="none"/>
                    </w:rPr>
                  </w:pPr>
                  <w:r>
                    <w:rPr>
                      <w:rFonts w:hint="eastAsia" w:cs="Times New Roman"/>
                      <w:b/>
                      <w:color w:val="auto"/>
                      <w:kern w:val="1"/>
                      <w:sz w:val="21"/>
                      <w:szCs w:val="21"/>
                      <w:highlight w:val="none"/>
                      <w:lang w:val="en-US" w:eastAsia="zh-CN"/>
                    </w:rPr>
                    <w:t>去除效率</w:t>
                  </w:r>
                </w:p>
              </w:tc>
              <w:tc>
                <w:tcPr>
                  <w:tcW w:w="753"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kern w:val="1"/>
                      <w:sz w:val="21"/>
                      <w:szCs w:val="21"/>
                      <w:highlight w:val="none"/>
                    </w:rPr>
                  </w:pPr>
                  <w:r>
                    <w:rPr>
                      <w:rFonts w:hint="eastAsia" w:cs="Times New Roman"/>
                      <w:b/>
                      <w:color w:val="auto"/>
                      <w:kern w:val="1"/>
                      <w:sz w:val="21"/>
                      <w:szCs w:val="21"/>
                      <w:highlight w:val="none"/>
                      <w:lang w:val="en-US" w:eastAsia="zh-CN"/>
                    </w:rPr>
                    <w:t>污染物排</w:t>
                  </w:r>
                  <w:r>
                    <w:rPr>
                      <w:rFonts w:ascii="Times New Roman" w:hAnsi="Times New Roman" w:eastAsia="宋体" w:cs="Times New Roman"/>
                      <w:b/>
                      <w:color w:val="auto"/>
                      <w:kern w:val="1"/>
                      <w:sz w:val="21"/>
                      <w:szCs w:val="21"/>
                      <w:highlight w:val="none"/>
                    </w:rPr>
                    <w:t>放量</w:t>
                  </w:r>
                  <w:r>
                    <w:rPr>
                      <w:rFonts w:hint="eastAsia" w:cs="Times New Roman"/>
                      <w:b/>
                      <w:color w:val="auto"/>
                      <w:kern w:val="1"/>
                      <w:sz w:val="21"/>
                      <w:szCs w:val="21"/>
                      <w:highlight w:val="none"/>
                      <w:lang w:eastAsia="zh-CN"/>
                    </w:rPr>
                    <w:t>（</w:t>
                  </w:r>
                  <w:r>
                    <w:rPr>
                      <w:rFonts w:ascii="Times New Roman" w:hAnsi="Times New Roman" w:eastAsia="宋体" w:cs="Times New Roman"/>
                      <w:b/>
                      <w:color w:val="auto"/>
                      <w:kern w:val="1"/>
                      <w:sz w:val="21"/>
                      <w:szCs w:val="21"/>
                      <w:highlight w:val="none"/>
                    </w:rPr>
                    <w:t>t</w:t>
                  </w:r>
                  <w:r>
                    <w:rPr>
                      <w:rFonts w:hint="eastAsia" w:cs="Times New Roman"/>
                      <w:b/>
                      <w:color w:val="auto"/>
                      <w:kern w:val="1"/>
                      <w:sz w:val="21"/>
                      <w:szCs w:val="21"/>
                      <w:highlight w:val="none"/>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1"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val="0"/>
                      <w:bCs/>
                      <w:color w:val="auto"/>
                      <w:sz w:val="21"/>
                      <w:szCs w:val="21"/>
                      <w:highlight w:val="none"/>
                    </w:rPr>
                  </w:pPr>
                  <w:r>
                    <w:rPr>
                      <w:color w:val="000000" w:themeColor="text1"/>
                      <w:sz w:val="24"/>
                      <w14:textFill>
                        <w14:solidFill>
                          <w14:schemeClr w14:val="tx1"/>
                        </w14:solidFill>
                      </w14:textFill>
                    </w:rPr>
                    <w:t>搅拌机搅拌废气</w:t>
                  </w:r>
                </w:p>
              </w:tc>
              <w:tc>
                <w:tcPr>
                  <w:tcW w:w="828" w:type="pct"/>
                  <w:tcBorders>
                    <w:tl2br w:val="nil"/>
                    <w:tr2bl w:val="nil"/>
                  </w:tcBorders>
                  <w:noWrap w:val="0"/>
                  <w:vAlign w:val="center"/>
                </w:tcPr>
                <w:p>
                  <w:pPr>
                    <w:adjustRightInd w:val="0"/>
                    <w:snapToGrid w:val="0"/>
                    <w:spacing w:line="240" w:lineRule="auto"/>
                    <w:ind w:firstLine="0" w:firstLineChars="0"/>
                    <w:jc w:val="center"/>
                    <w:rPr>
                      <w:rFonts w:ascii="Times New Roman" w:hAnsi="Times New Roman" w:eastAsia="宋体" w:cs="Times New Roman"/>
                      <w:b/>
                      <w:color w:val="auto"/>
                      <w:kern w:val="1"/>
                      <w:sz w:val="21"/>
                      <w:szCs w:val="21"/>
                      <w:highlight w:val="none"/>
                    </w:rPr>
                  </w:pPr>
                  <w:r>
                    <w:rPr>
                      <w:rFonts w:ascii="Times New Roman" w:hAnsi="Times New Roman" w:eastAsia="宋体" w:cs="Times New Roman"/>
                      <w:b w:val="0"/>
                      <w:bCs/>
                      <w:color w:val="auto"/>
                      <w:sz w:val="21"/>
                      <w:szCs w:val="21"/>
                      <w:highlight w:val="none"/>
                    </w:rPr>
                    <w:t>粉尘</w:t>
                  </w:r>
                </w:p>
              </w:tc>
              <w:tc>
                <w:tcPr>
                  <w:tcW w:w="990"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kern w:val="1"/>
                      <w:sz w:val="21"/>
                      <w:szCs w:val="21"/>
                      <w:highlight w:val="none"/>
                      <w:lang w:val="en-US" w:eastAsia="zh-CN"/>
                    </w:rPr>
                  </w:pPr>
                  <w:r>
                    <w:rPr>
                      <w:rFonts w:hint="eastAsia"/>
                      <w:color w:val="auto"/>
                      <w:szCs w:val="21"/>
                      <w:lang w:val="en-US" w:eastAsia="zh-CN"/>
                    </w:rPr>
                    <w:t>12.03</w:t>
                  </w:r>
                </w:p>
              </w:tc>
              <w:tc>
                <w:tcPr>
                  <w:tcW w:w="900"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kern w:val="1"/>
                      <w:sz w:val="21"/>
                      <w:szCs w:val="21"/>
                      <w:highlight w:val="none"/>
                      <w:lang w:val="en-US" w:eastAsia="zh-CN"/>
                    </w:rPr>
                  </w:pPr>
                  <w:r>
                    <w:rPr>
                      <w:rFonts w:ascii="Times New Roman" w:hAnsi="Times New Roman" w:eastAsia="宋体" w:cs="Times New Roman"/>
                      <w:bCs/>
                      <w:color w:val="auto"/>
                      <w:kern w:val="1"/>
                      <w:sz w:val="21"/>
                      <w:szCs w:val="21"/>
                      <w:highlight w:val="none"/>
                    </w:rPr>
                    <w:t>布袋除尘</w:t>
                  </w:r>
                  <w:r>
                    <w:rPr>
                      <w:rFonts w:hint="eastAsia" w:ascii="Times New Roman" w:hAnsi="Times New Roman" w:eastAsia="宋体" w:cs="Times New Roman"/>
                      <w:bCs/>
                      <w:color w:val="auto"/>
                      <w:kern w:val="1"/>
                      <w:sz w:val="21"/>
                      <w:szCs w:val="21"/>
                      <w:highlight w:val="none"/>
                      <w:lang w:val="en-US" w:eastAsia="zh-CN"/>
                    </w:rPr>
                    <w:t>器</w:t>
                  </w:r>
                </w:p>
              </w:tc>
              <w:tc>
                <w:tcPr>
                  <w:tcW w:w="665" w:type="pct"/>
                  <w:tcBorders>
                    <w:tl2br w:val="nil"/>
                    <w:tr2bl w:val="nil"/>
                  </w:tcBorders>
                  <w:noWrap w:val="0"/>
                  <w:vAlign w:val="center"/>
                </w:tcPr>
                <w:p>
                  <w:pPr>
                    <w:adjustRightInd w:val="0"/>
                    <w:snapToGrid w:val="0"/>
                    <w:spacing w:line="240" w:lineRule="auto"/>
                    <w:ind w:firstLine="0" w:firstLineChars="0"/>
                    <w:jc w:val="center"/>
                    <w:rPr>
                      <w:rFonts w:hint="eastAsia" w:cs="Times New Roman"/>
                      <w:bCs/>
                      <w:color w:val="auto"/>
                      <w:kern w:val="1"/>
                      <w:sz w:val="21"/>
                      <w:szCs w:val="21"/>
                      <w:highlight w:val="none"/>
                      <w:lang w:val="en-US" w:eastAsia="zh-CN"/>
                    </w:rPr>
                  </w:pPr>
                  <w:r>
                    <w:rPr>
                      <w:rFonts w:hint="eastAsia" w:cs="Times New Roman"/>
                      <w:bCs/>
                      <w:color w:val="auto"/>
                      <w:kern w:val="1"/>
                      <w:sz w:val="21"/>
                      <w:szCs w:val="21"/>
                      <w:highlight w:val="none"/>
                      <w:lang w:val="en-US" w:eastAsia="zh-CN"/>
                    </w:rPr>
                    <w:t>99.7%</w:t>
                  </w:r>
                </w:p>
              </w:tc>
              <w:tc>
                <w:tcPr>
                  <w:tcW w:w="75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kern w:val="1"/>
                      <w:sz w:val="21"/>
                      <w:szCs w:val="21"/>
                      <w:highlight w:val="none"/>
                      <w:lang w:val="en-US" w:eastAsia="zh-CN"/>
                    </w:rPr>
                  </w:pPr>
                  <w:r>
                    <w:rPr>
                      <w:rFonts w:hint="eastAsia" w:cs="Times New Roman"/>
                      <w:bCs/>
                      <w:color w:val="auto"/>
                      <w:kern w:val="1"/>
                      <w:sz w:val="21"/>
                      <w:szCs w:val="21"/>
                      <w:highlight w:val="none"/>
                      <w:lang w:val="en-US" w:eastAsia="zh-CN"/>
                    </w:rPr>
                    <w:t>0.036</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rFonts w:hint="eastAsia" w:ascii="仿宋" w:hAnsi="仿宋" w:eastAsia="仿宋" w:cs="仿宋"/>
                <w:color w:val="auto"/>
                <w:sz w:val="24"/>
              </w:rPr>
              <w:t>⑥</w:t>
            </w:r>
            <w:r>
              <w:rPr>
                <w:color w:val="auto"/>
                <w:sz w:val="24"/>
              </w:rPr>
              <w:t>车辆运输扬尘（G6）</w:t>
            </w:r>
          </w:p>
          <w:p>
            <w:pPr>
              <w:widowControl/>
              <w:adjustRightInd w:val="0"/>
              <w:snapToGrid w:val="0"/>
              <w:spacing w:line="360" w:lineRule="auto"/>
              <w:ind w:firstLine="480" w:firstLineChars="200"/>
              <w:jc w:val="left"/>
              <w:rPr>
                <w:color w:val="auto"/>
                <w:sz w:val="24"/>
              </w:rPr>
            </w:pPr>
            <w:r>
              <w:rPr>
                <w:color w:val="auto"/>
                <w:sz w:val="24"/>
              </w:rPr>
              <w:t>车辆行驶中产生的扬尘，在道路完全干燥的情况下，按照经验公式计算：</w:t>
            </w:r>
          </w:p>
          <w:p>
            <w:pPr>
              <w:widowControl/>
              <w:adjustRightInd w:val="0"/>
              <w:snapToGrid w:val="0"/>
              <w:spacing w:line="360" w:lineRule="auto"/>
              <w:jc w:val="center"/>
              <w:rPr>
                <w:color w:val="FF0000"/>
                <w:sz w:val="24"/>
              </w:rPr>
            </w:pPr>
            <w:r>
              <w:rPr>
                <w:color w:val="FF0000"/>
                <w:position w:val="-30"/>
                <w:sz w:val="24"/>
              </w:rPr>
              <w:object>
                <v:shape id="_x0000_i1030" o:spt="75" type="#_x0000_t75" style="height:36.75pt;width:194.05pt;" o:ole="t" filled="f" o:preferrelative="t" stroked="f" coordsize="21600,21600">
                  <v:path/>
                  <v:fill on="f" focussize="0,0"/>
                  <v:stroke on="f"/>
                  <v:imagedata r:id="rId27" o:title=""/>
                  <o:lock v:ext="edit" aspectratio="t"/>
                  <w10:wrap type="none"/>
                  <w10:anchorlock/>
                </v:shape>
                <o:OLEObject Type="Embed" ProgID="Equation.KSEE3" ShapeID="_x0000_i1030" DrawAspect="Content" ObjectID="_1468075730" r:id="rId26">
                  <o:LockedField>false</o:LockedField>
                </o:OLEObject>
              </w:object>
            </w:r>
          </w:p>
          <w:p>
            <w:pPr>
              <w:keepNext w:val="0"/>
              <w:keepLines w:val="0"/>
              <w:pageBreakBefore w:val="0"/>
              <w:widowControl/>
              <w:kinsoku/>
              <w:wordWrap/>
              <w:overflowPunct/>
              <w:topLinePunct w:val="0"/>
              <w:autoSpaceDE/>
              <w:autoSpaceDN/>
              <w:bidi w:val="0"/>
              <w:adjustRightInd w:val="0"/>
              <w:snapToGrid w:val="0"/>
              <w:spacing w:line="360" w:lineRule="auto"/>
              <w:ind w:firstLine="720" w:firstLineChars="300"/>
              <w:jc w:val="left"/>
              <w:textAlignment w:val="auto"/>
              <w:rPr>
                <w:color w:val="auto"/>
                <w:sz w:val="24"/>
              </w:rPr>
            </w:pPr>
            <w:r>
              <w:rPr>
                <w:color w:val="auto"/>
                <w:kern w:val="0"/>
                <w:sz w:val="24"/>
                <w:lang w:bidi="ar"/>
              </w:rPr>
              <w:t>式中：Qy——交通运输起尘量，kg/km·辆；</w:t>
            </w:r>
          </w:p>
          <w:p>
            <w:pPr>
              <w:keepNext w:val="0"/>
              <w:keepLines w:val="0"/>
              <w:pageBreakBefore w:val="0"/>
              <w:widowControl/>
              <w:kinsoku/>
              <w:wordWrap/>
              <w:overflowPunct/>
              <w:topLinePunct w:val="0"/>
              <w:autoSpaceDE/>
              <w:autoSpaceDN/>
              <w:bidi w:val="0"/>
              <w:adjustRightInd w:val="0"/>
              <w:snapToGrid w:val="0"/>
              <w:spacing w:line="360" w:lineRule="auto"/>
              <w:ind w:firstLine="1440" w:firstLineChars="600"/>
              <w:jc w:val="left"/>
              <w:textAlignment w:val="auto"/>
              <w:rPr>
                <w:color w:val="auto"/>
                <w:sz w:val="24"/>
              </w:rPr>
            </w:pPr>
            <w:r>
              <w:rPr>
                <w:color w:val="auto"/>
                <w:kern w:val="0"/>
                <w:sz w:val="24"/>
                <w:lang w:bidi="ar"/>
              </w:rPr>
              <w:t>Qt——运输途中起尘量，kg/</w:t>
            </w:r>
            <w:r>
              <w:rPr>
                <w:rFonts w:hint="eastAsia"/>
                <w:color w:val="auto"/>
                <w:kern w:val="0"/>
                <w:sz w:val="24"/>
                <w:lang w:val="en-US" w:eastAsia="zh-CN" w:bidi="ar"/>
              </w:rPr>
              <w:t>周期</w:t>
            </w:r>
            <w:r>
              <w:rPr>
                <w:color w:val="auto"/>
                <w:kern w:val="0"/>
                <w:sz w:val="24"/>
                <w:lang w:bidi="ar"/>
              </w:rPr>
              <w:t>；</w:t>
            </w:r>
          </w:p>
          <w:p>
            <w:pPr>
              <w:keepNext w:val="0"/>
              <w:keepLines w:val="0"/>
              <w:pageBreakBefore w:val="0"/>
              <w:widowControl/>
              <w:kinsoku/>
              <w:wordWrap/>
              <w:overflowPunct/>
              <w:topLinePunct w:val="0"/>
              <w:autoSpaceDE/>
              <w:autoSpaceDN/>
              <w:bidi w:val="0"/>
              <w:adjustRightInd w:val="0"/>
              <w:snapToGrid w:val="0"/>
              <w:spacing w:line="360" w:lineRule="auto"/>
              <w:ind w:firstLine="1440" w:firstLineChars="600"/>
              <w:jc w:val="left"/>
              <w:textAlignment w:val="auto"/>
              <w:rPr>
                <w:color w:val="auto"/>
                <w:sz w:val="24"/>
              </w:rPr>
            </w:pPr>
            <w:r>
              <w:rPr>
                <w:color w:val="auto"/>
                <w:kern w:val="0"/>
                <w:sz w:val="24"/>
                <w:lang w:bidi="ar"/>
              </w:rPr>
              <w:t>V——汽车速率，km/h，取</w:t>
            </w:r>
            <w:r>
              <w:rPr>
                <w:color w:val="auto"/>
                <w:sz w:val="24"/>
              </w:rPr>
              <w:t>5km/h</w:t>
            </w:r>
            <w:r>
              <w:rPr>
                <w:color w:val="auto"/>
                <w:kern w:val="0"/>
                <w:sz w:val="24"/>
                <w:lang w:bidi="ar"/>
              </w:rPr>
              <w:t>；</w:t>
            </w:r>
          </w:p>
          <w:p>
            <w:pPr>
              <w:keepNext w:val="0"/>
              <w:keepLines w:val="0"/>
              <w:pageBreakBefore w:val="0"/>
              <w:widowControl/>
              <w:kinsoku/>
              <w:wordWrap/>
              <w:overflowPunct/>
              <w:topLinePunct w:val="0"/>
              <w:autoSpaceDE/>
              <w:autoSpaceDN/>
              <w:bidi w:val="0"/>
              <w:adjustRightInd w:val="0"/>
              <w:snapToGrid w:val="0"/>
              <w:spacing w:line="360" w:lineRule="auto"/>
              <w:ind w:firstLine="1440" w:firstLineChars="600"/>
              <w:jc w:val="left"/>
              <w:textAlignment w:val="auto"/>
              <w:rPr>
                <w:color w:val="auto"/>
                <w:sz w:val="24"/>
              </w:rPr>
            </w:pPr>
            <w:r>
              <w:rPr>
                <w:color w:val="auto"/>
                <w:kern w:val="0"/>
                <w:sz w:val="24"/>
                <w:lang w:bidi="ar"/>
              </w:rPr>
              <w:t>W——汽车载重，t；</w:t>
            </w:r>
          </w:p>
          <w:p>
            <w:pPr>
              <w:keepNext w:val="0"/>
              <w:keepLines w:val="0"/>
              <w:pageBreakBefore w:val="0"/>
              <w:widowControl/>
              <w:kinsoku/>
              <w:wordWrap/>
              <w:overflowPunct/>
              <w:topLinePunct w:val="0"/>
              <w:autoSpaceDE/>
              <w:autoSpaceDN/>
              <w:bidi w:val="0"/>
              <w:adjustRightInd w:val="0"/>
              <w:snapToGrid w:val="0"/>
              <w:spacing w:line="360" w:lineRule="auto"/>
              <w:ind w:firstLine="1440" w:firstLineChars="600"/>
              <w:jc w:val="left"/>
              <w:textAlignment w:val="auto"/>
              <w:rPr>
                <w:color w:val="auto"/>
                <w:sz w:val="24"/>
              </w:rPr>
            </w:pPr>
            <w:r>
              <w:rPr>
                <w:color w:val="auto"/>
                <w:kern w:val="0"/>
                <w:sz w:val="24"/>
                <w:lang w:bidi="ar"/>
              </w:rPr>
              <w:t>P——道路表面粉尘量，kg/</w:t>
            </w:r>
            <w:r>
              <w:rPr>
                <w:color w:val="auto"/>
                <w:sz w:val="24"/>
              </w:rPr>
              <w:t>m</w:t>
            </w:r>
            <w:r>
              <w:rPr>
                <w:color w:val="auto"/>
                <w:sz w:val="24"/>
                <w:vertAlign w:val="superscript"/>
              </w:rPr>
              <w:t>2</w:t>
            </w:r>
            <w:r>
              <w:rPr>
                <w:color w:val="auto"/>
                <w:sz w:val="24"/>
              </w:rPr>
              <w:t>，</w:t>
            </w:r>
            <w:r>
              <w:rPr>
                <w:color w:val="auto"/>
                <w:kern w:val="0"/>
                <w:sz w:val="24"/>
                <w:lang w:bidi="ar"/>
              </w:rPr>
              <w:t>取</w:t>
            </w:r>
            <w:r>
              <w:rPr>
                <w:color w:val="auto"/>
                <w:sz w:val="24"/>
              </w:rPr>
              <w:t>0.</w:t>
            </w:r>
            <w:r>
              <w:rPr>
                <w:rFonts w:hint="eastAsia"/>
                <w:color w:val="auto"/>
                <w:sz w:val="24"/>
              </w:rPr>
              <w:t>1</w:t>
            </w:r>
            <w:r>
              <w:rPr>
                <w:color w:val="auto"/>
                <w:kern w:val="0"/>
                <w:sz w:val="24"/>
                <w:lang w:bidi="ar"/>
              </w:rPr>
              <w:t>kg/</w:t>
            </w:r>
            <w:r>
              <w:rPr>
                <w:color w:val="auto"/>
                <w:sz w:val="24"/>
              </w:rPr>
              <w:t>m</w:t>
            </w:r>
            <w:r>
              <w:rPr>
                <w:color w:val="auto"/>
                <w:sz w:val="24"/>
                <w:vertAlign w:val="superscript"/>
              </w:rPr>
              <w:t>2</w:t>
            </w:r>
            <w:r>
              <w:rPr>
                <w:color w:val="auto"/>
                <w:sz w:val="24"/>
              </w:rPr>
              <w:t>；</w:t>
            </w:r>
          </w:p>
          <w:p>
            <w:pPr>
              <w:keepNext w:val="0"/>
              <w:keepLines w:val="0"/>
              <w:pageBreakBefore w:val="0"/>
              <w:widowControl/>
              <w:kinsoku/>
              <w:wordWrap/>
              <w:overflowPunct/>
              <w:topLinePunct w:val="0"/>
              <w:autoSpaceDE/>
              <w:autoSpaceDN/>
              <w:bidi w:val="0"/>
              <w:adjustRightInd w:val="0"/>
              <w:snapToGrid w:val="0"/>
              <w:spacing w:line="360" w:lineRule="auto"/>
              <w:ind w:firstLine="1440" w:firstLineChars="600"/>
              <w:jc w:val="left"/>
              <w:textAlignment w:val="auto"/>
              <w:rPr>
                <w:color w:val="auto"/>
                <w:sz w:val="24"/>
              </w:rPr>
            </w:pPr>
            <w:r>
              <w:rPr>
                <w:color w:val="auto"/>
                <w:kern w:val="0"/>
                <w:sz w:val="24"/>
                <w:lang w:bidi="ar"/>
              </w:rPr>
              <w:t>L——运输距离，km，取0.</w:t>
            </w:r>
            <w:r>
              <w:rPr>
                <w:rFonts w:hint="eastAsia"/>
                <w:color w:val="auto"/>
                <w:kern w:val="0"/>
                <w:sz w:val="24"/>
                <w:lang w:val="en-US" w:eastAsia="zh-CN" w:bidi="ar"/>
              </w:rPr>
              <w:t>5</w:t>
            </w:r>
            <w:r>
              <w:rPr>
                <w:color w:val="auto"/>
                <w:kern w:val="0"/>
                <w:sz w:val="24"/>
                <w:lang w:bidi="ar"/>
              </w:rPr>
              <w:t>km；</w:t>
            </w:r>
          </w:p>
          <w:p>
            <w:pPr>
              <w:keepNext w:val="0"/>
              <w:keepLines w:val="0"/>
              <w:pageBreakBefore w:val="0"/>
              <w:widowControl/>
              <w:kinsoku/>
              <w:wordWrap/>
              <w:overflowPunct/>
              <w:topLinePunct w:val="0"/>
              <w:autoSpaceDE/>
              <w:autoSpaceDN/>
              <w:bidi w:val="0"/>
              <w:adjustRightInd w:val="0"/>
              <w:snapToGrid w:val="0"/>
              <w:spacing w:line="360" w:lineRule="auto"/>
              <w:ind w:firstLine="1440" w:firstLineChars="600"/>
              <w:jc w:val="left"/>
              <w:textAlignment w:val="auto"/>
              <w:rPr>
                <w:rFonts w:hint="eastAsia" w:eastAsia="宋体"/>
                <w:color w:val="auto"/>
                <w:sz w:val="24"/>
                <w:lang w:eastAsia="zh-CN"/>
              </w:rPr>
            </w:pPr>
            <w:r>
              <w:rPr>
                <w:color w:val="auto"/>
                <w:kern w:val="0"/>
                <w:sz w:val="24"/>
                <w:lang w:bidi="ar"/>
              </w:rPr>
              <w:t>Q——运输量，t。</w:t>
            </w:r>
            <w:r>
              <w:rPr>
                <w:rFonts w:hint="eastAsia"/>
                <w:color w:val="auto"/>
                <w:kern w:val="0"/>
                <w:sz w:val="24"/>
                <w:lang w:bidi="ar"/>
              </w:rPr>
              <w:t>取</w:t>
            </w:r>
            <w:r>
              <w:rPr>
                <w:rFonts w:hint="eastAsia"/>
                <w:color w:val="auto"/>
                <w:kern w:val="0"/>
                <w:sz w:val="24"/>
                <w:lang w:val="en-US" w:eastAsia="zh-CN" w:bidi="ar"/>
              </w:rPr>
              <w:t>92533</w:t>
            </w:r>
            <w:r>
              <w:rPr>
                <w:color w:val="auto"/>
                <w:kern w:val="0"/>
                <w:sz w:val="24"/>
                <w:lang w:bidi="ar"/>
              </w:rPr>
              <w:t>t</w:t>
            </w:r>
            <w:r>
              <w:rPr>
                <w:rFonts w:hint="eastAsia"/>
                <w:color w:val="auto"/>
                <w:kern w:val="0"/>
                <w:sz w:val="24"/>
                <w:lang w:eastAsia="zh-CN" w:bidi="ar"/>
              </w:rPr>
              <w:t>。</w:t>
            </w: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color w:val="auto"/>
                <w:sz w:val="24"/>
              </w:rPr>
            </w:pPr>
            <w:r>
              <w:rPr>
                <w:color w:val="auto"/>
                <w:sz w:val="24"/>
              </w:rPr>
              <w:t>本项目车辆在厂区内行驶距离</w:t>
            </w:r>
            <w:r>
              <w:rPr>
                <w:rFonts w:hint="eastAsia"/>
                <w:color w:val="auto"/>
                <w:sz w:val="24"/>
                <w:lang w:val="en-US" w:eastAsia="zh-CN"/>
              </w:rPr>
              <w:t>500</w:t>
            </w:r>
            <w:r>
              <w:rPr>
                <w:color w:val="auto"/>
                <w:sz w:val="24"/>
              </w:rPr>
              <w:t>m，平均每天发空、重载各</w:t>
            </w:r>
            <w:r>
              <w:rPr>
                <w:rFonts w:hint="eastAsia"/>
                <w:color w:val="auto"/>
                <w:sz w:val="24"/>
                <w:lang w:val="en-US" w:eastAsia="zh-CN"/>
              </w:rPr>
              <w:t>34</w:t>
            </w:r>
            <w:r>
              <w:rPr>
                <w:color w:val="auto"/>
                <w:sz w:val="24"/>
              </w:rPr>
              <w:t>辆/次，空车重约10.0t，重车重约</w:t>
            </w:r>
            <w:r>
              <w:rPr>
                <w:rFonts w:hint="eastAsia"/>
                <w:color w:val="auto"/>
                <w:sz w:val="24"/>
                <w:lang w:val="en-US" w:eastAsia="zh-CN"/>
              </w:rPr>
              <w:t>40</w:t>
            </w:r>
            <w:r>
              <w:rPr>
                <w:color w:val="auto"/>
                <w:sz w:val="24"/>
              </w:rPr>
              <w:t>.0t，车辆行驶速度按5km/h计，厂区门口设置车辆冲洗平台，并</w:t>
            </w:r>
            <w:r>
              <w:rPr>
                <w:rFonts w:hint="eastAsia"/>
                <w:color w:val="auto"/>
                <w:sz w:val="24"/>
                <w:lang w:val="en-US" w:eastAsia="zh-CN"/>
              </w:rPr>
              <w:t>对厂区道路</w:t>
            </w:r>
            <w:r>
              <w:rPr>
                <w:color w:val="auto"/>
                <w:sz w:val="24"/>
              </w:rPr>
              <w:t>采取洒水降尘措施。</w:t>
            </w:r>
            <w:r>
              <w:rPr>
                <w:rFonts w:hint="eastAsia"/>
                <w:color w:val="auto"/>
                <w:sz w:val="24"/>
                <w:lang w:val="en-US" w:eastAsia="zh-CN"/>
              </w:rPr>
              <w:t>车辆运输作业过程中</w:t>
            </w:r>
            <w:r>
              <w:rPr>
                <w:color w:val="auto"/>
                <w:sz w:val="24"/>
              </w:rPr>
              <w:t>缓慢行驶且不得超载，物料采用苫布遮挡覆盖。经计算</w:t>
            </w:r>
            <w:r>
              <w:rPr>
                <w:rFonts w:hint="eastAsia"/>
                <w:color w:val="auto"/>
                <w:sz w:val="24"/>
              </w:rPr>
              <w:t>车辆运输途中起尘量约</w:t>
            </w:r>
            <w:r>
              <w:rPr>
                <w:rFonts w:hint="eastAsia"/>
                <w:color w:val="auto"/>
                <w:sz w:val="24"/>
                <w:lang w:val="en-US" w:eastAsia="zh-CN"/>
              </w:rPr>
              <w:t>0.71</w:t>
            </w:r>
            <w:r>
              <w:rPr>
                <w:color w:val="auto"/>
                <w:sz w:val="24"/>
              </w:rPr>
              <w:t>t，</w:t>
            </w:r>
            <w:r>
              <w:rPr>
                <w:rFonts w:hint="eastAsia" w:ascii="宋体" w:hAnsi="宋体" w:cs="宋体"/>
                <w:color w:val="auto"/>
                <w:kern w:val="0"/>
                <w:sz w:val="24"/>
                <w:lang w:bidi="ar"/>
              </w:rPr>
              <w:t>洒水控制效率为</w:t>
            </w:r>
            <w:r>
              <w:rPr>
                <w:color w:val="auto"/>
                <w:kern w:val="0"/>
                <w:sz w:val="24"/>
                <w:lang w:bidi="ar"/>
              </w:rPr>
              <w:t>74%</w:t>
            </w:r>
            <w:r>
              <w:rPr>
                <w:rFonts w:hint="eastAsia" w:ascii="宋体" w:hAnsi="宋体" w:cs="宋体"/>
                <w:color w:val="auto"/>
                <w:kern w:val="0"/>
                <w:sz w:val="24"/>
                <w:lang w:bidi="ar"/>
              </w:rPr>
              <w:t>，出入车辆冲洗效率为</w:t>
            </w:r>
            <w:r>
              <w:rPr>
                <w:color w:val="auto"/>
                <w:kern w:val="0"/>
                <w:sz w:val="24"/>
                <w:lang w:bidi="ar"/>
              </w:rPr>
              <w:t>78%</w:t>
            </w:r>
            <w:r>
              <w:rPr>
                <w:rFonts w:hint="eastAsia" w:ascii="宋体" w:hAnsi="宋体" w:cs="宋体"/>
                <w:color w:val="auto"/>
                <w:kern w:val="0"/>
                <w:sz w:val="24"/>
                <w:lang w:bidi="ar"/>
              </w:rPr>
              <w:t>，</w:t>
            </w:r>
            <w:r>
              <w:rPr>
                <w:color w:val="auto"/>
                <w:sz w:val="24"/>
              </w:rPr>
              <w:t>则道路扬尘排放量为</w:t>
            </w:r>
            <w:r>
              <w:rPr>
                <w:rFonts w:hint="eastAsia"/>
                <w:color w:val="auto"/>
                <w:sz w:val="24"/>
                <w:lang w:val="en-US" w:eastAsia="zh-CN"/>
              </w:rPr>
              <w:t>0.71</w:t>
            </w:r>
            <w:r>
              <w:rPr>
                <w:color w:val="auto"/>
                <w:sz w:val="24"/>
              </w:rPr>
              <w:t>×（1-74%）×（1-78%）=0.</w:t>
            </w:r>
            <w:r>
              <w:rPr>
                <w:rFonts w:hint="eastAsia"/>
                <w:color w:val="auto"/>
                <w:sz w:val="24"/>
                <w:lang w:val="en-US" w:eastAsia="zh-CN"/>
              </w:rPr>
              <w:t>041</w:t>
            </w:r>
            <w:r>
              <w:rPr>
                <w:color w:val="auto"/>
                <w:sz w:val="24"/>
              </w:rPr>
              <w:t>t。</w:t>
            </w:r>
          </w:p>
          <w:p>
            <w:pPr>
              <w:keepNext w:val="0"/>
              <w:keepLines w:val="0"/>
              <w:pageBreakBefore w:val="0"/>
              <w:kinsoku/>
              <w:wordWrap/>
              <w:overflowPunct/>
              <w:topLinePunct w:val="0"/>
              <w:autoSpaceDE/>
              <w:autoSpaceDN/>
              <w:bidi w:val="0"/>
              <w:adjustRightInd w:val="0"/>
              <w:snapToGrid w:val="0"/>
              <w:spacing w:line="360" w:lineRule="auto"/>
              <w:ind w:firstLine="481" w:firstLineChars="200"/>
              <w:jc w:val="left"/>
              <w:textAlignment w:val="auto"/>
              <w:rPr>
                <w:b/>
                <w:bCs/>
                <w:color w:val="auto"/>
                <w:sz w:val="24"/>
                <w:szCs w:val="22"/>
              </w:rPr>
            </w:pPr>
            <w:r>
              <w:rPr>
                <w:rFonts w:hint="eastAsia"/>
                <w:b/>
                <w:bCs/>
                <w:color w:val="auto"/>
                <w:sz w:val="24"/>
                <w:szCs w:val="22"/>
              </w:rPr>
              <w:t>3</w:t>
            </w:r>
            <w:r>
              <w:rPr>
                <w:b/>
                <w:bCs/>
                <w:color w:val="auto"/>
                <w:sz w:val="24"/>
                <w:szCs w:val="22"/>
              </w:rPr>
              <w:t>、废气防治技术可行性分析</w:t>
            </w:r>
          </w:p>
          <w:p>
            <w:pPr>
              <w:pStyle w:val="6"/>
              <w:adjustRightInd w:val="0"/>
              <w:snapToGrid w:val="0"/>
              <w:spacing w:after="0" w:line="360" w:lineRule="auto"/>
              <w:ind w:left="0" w:leftChars="0" w:firstLine="480"/>
              <w:rPr>
                <w:color w:val="auto"/>
                <w:szCs w:val="24"/>
              </w:rPr>
            </w:pPr>
            <w:r>
              <w:rPr>
                <w:color w:val="auto"/>
              </w:rPr>
              <w:t>本项目</w:t>
            </w:r>
            <w:r>
              <w:rPr>
                <w:color w:val="auto"/>
                <w:szCs w:val="24"/>
              </w:rPr>
              <w:t>废气治理措施技术可行性分析见下表4-</w:t>
            </w:r>
            <w:r>
              <w:rPr>
                <w:rFonts w:hint="eastAsia"/>
                <w:color w:val="auto"/>
                <w:szCs w:val="24"/>
              </w:rPr>
              <w:t>6</w:t>
            </w:r>
            <w:r>
              <w:rPr>
                <w:color w:val="auto"/>
                <w:szCs w:val="24"/>
              </w:rPr>
              <w:t>。</w:t>
            </w:r>
          </w:p>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1"/>
                <w:szCs w:val="21"/>
              </w:rPr>
            </w:pPr>
            <w:r>
              <w:rPr>
                <w:rFonts w:hint="eastAsia"/>
                <w:b/>
                <w:bCs/>
                <w:color w:val="auto"/>
                <w:sz w:val="21"/>
                <w:szCs w:val="21"/>
                <w:lang w:val="en-US" w:eastAsia="zh-CN"/>
              </w:rPr>
              <w:t>表</w:t>
            </w:r>
            <w:r>
              <w:rPr>
                <w:b/>
                <w:bCs/>
                <w:color w:val="auto"/>
                <w:sz w:val="21"/>
                <w:szCs w:val="21"/>
              </w:rPr>
              <w:t xml:space="preserve">4-6 </w:t>
            </w:r>
            <w:r>
              <w:rPr>
                <w:rFonts w:hint="eastAsia"/>
                <w:b/>
                <w:bCs/>
                <w:color w:val="auto"/>
                <w:sz w:val="21"/>
                <w:szCs w:val="21"/>
              </w:rPr>
              <w:t xml:space="preserve">  </w:t>
            </w:r>
            <w:r>
              <w:rPr>
                <w:b/>
                <w:bCs/>
                <w:color w:val="auto"/>
                <w:sz w:val="21"/>
                <w:szCs w:val="21"/>
              </w:rPr>
              <w:t>本项目废气治理措施技术可行性分析表</w:t>
            </w:r>
          </w:p>
          <w:tbl>
            <w:tblPr>
              <w:tblStyle w:val="25"/>
              <w:tblW w:w="80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694"/>
              <w:gridCol w:w="1675"/>
              <w:gridCol w:w="1788"/>
              <w:gridCol w:w="1944"/>
              <w:gridCol w:w="6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7" w:type="dxa"/>
                  <w:vAlign w:val="center"/>
                </w:tcPr>
                <w:p>
                  <w:pPr>
                    <w:adjustRightInd w:val="0"/>
                    <w:snapToGrid w:val="0"/>
                    <w:jc w:val="center"/>
                    <w:rPr>
                      <w:rFonts w:hint="eastAsia" w:eastAsia="宋体"/>
                      <w:b/>
                      <w:bCs/>
                      <w:color w:val="auto"/>
                      <w:szCs w:val="21"/>
                      <w:lang w:eastAsia="zh-CN"/>
                    </w:rPr>
                  </w:pPr>
                  <w:r>
                    <w:rPr>
                      <w:rFonts w:hint="eastAsia"/>
                      <w:b/>
                      <w:bCs/>
                      <w:color w:val="auto"/>
                      <w:szCs w:val="21"/>
                      <w:lang w:val="en-US" w:eastAsia="zh-CN"/>
                    </w:rPr>
                    <w:t>产污环节</w:t>
                  </w:r>
                </w:p>
              </w:tc>
              <w:tc>
                <w:tcPr>
                  <w:tcW w:w="705" w:type="dxa"/>
                  <w:vAlign w:val="center"/>
                </w:tcPr>
                <w:p>
                  <w:pPr>
                    <w:adjustRightInd w:val="0"/>
                    <w:snapToGrid w:val="0"/>
                    <w:jc w:val="center"/>
                    <w:rPr>
                      <w:b/>
                      <w:bCs/>
                      <w:color w:val="auto"/>
                      <w:szCs w:val="21"/>
                    </w:rPr>
                  </w:pPr>
                  <w:r>
                    <w:rPr>
                      <w:b/>
                      <w:bCs/>
                      <w:color w:val="auto"/>
                      <w:szCs w:val="21"/>
                    </w:rPr>
                    <w:t>污染物</w:t>
                  </w:r>
                </w:p>
              </w:tc>
              <w:tc>
                <w:tcPr>
                  <w:tcW w:w="1530" w:type="dxa"/>
                  <w:vAlign w:val="center"/>
                </w:tcPr>
                <w:p>
                  <w:pPr>
                    <w:adjustRightInd w:val="0"/>
                    <w:snapToGrid w:val="0"/>
                    <w:jc w:val="center"/>
                    <w:rPr>
                      <w:b/>
                      <w:bCs/>
                      <w:color w:val="auto"/>
                      <w:szCs w:val="21"/>
                    </w:rPr>
                  </w:pPr>
                  <w:r>
                    <w:rPr>
                      <w:b/>
                      <w:bCs/>
                      <w:color w:val="auto"/>
                      <w:szCs w:val="21"/>
                    </w:rPr>
                    <w:t>技术规范</w:t>
                  </w:r>
                </w:p>
              </w:tc>
              <w:tc>
                <w:tcPr>
                  <w:tcW w:w="1830" w:type="dxa"/>
                  <w:vAlign w:val="center"/>
                </w:tcPr>
                <w:p>
                  <w:pPr>
                    <w:adjustRightInd w:val="0"/>
                    <w:snapToGrid w:val="0"/>
                    <w:jc w:val="center"/>
                    <w:rPr>
                      <w:b/>
                      <w:bCs/>
                      <w:color w:val="auto"/>
                      <w:szCs w:val="21"/>
                    </w:rPr>
                  </w:pPr>
                  <w:r>
                    <w:rPr>
                      <w:b/>
                      <w:bCs/>
                      <w:color w:val="auto"/>
                      <w:szCs w:val="21"/>
                    </w:rPr>
                    <w:t>污染物防治可行技术</w:t>
                  </w:r>
                </w:p>
              </w:tc>
              <w:tc>
                <w:tcPr>
                  <w:tcW w:w="1995" w:type="dxa"/>
                  <w:vAlign w:val="center"/>
                </w:tcPr>
                <w:p>
                  <w:pPr>
                    <w:adjustRightInd w:val="0"/>
                    <w:snapToGrid w:val="0"/>
                    <w:jc w:val="center"/>
                    <w:rPr>
                      <w:b/>
                      <w:bCs/>
                      <w:color w:val="auto"/>
                      <w:szCs w:val="21"/>
                    </w:rPr>
                  </w:pPr>
                  <w:r>
                    <w:rPr>
                      <w:b/>
                      <w:bCs/>
                      <w:color w:val="auto"/>
                      <w:szCs w:val="21"/>
                    </w:rPr>
                    <w:t>本项目治理措施</w:t>
                  </w:r>
                </w:p>
              </w:tc>
              <w:tc>
                <w:tcPr>
                  <w:tcW w:w="640" w:type="dxa"/>
                  <w:vAlign w:val="center"/>
                </w:tcPr>
                <w:p>
                  <w:pPr>
                    <w:adjustRightInd w:val="0"/>
                    <w:snapToGrid w:val="0"/>
                    <w:jc w:val="center"/>
                    <w:rPr>
                      <w:b/>
                      <w:bCs/>
                      <w:color w:val="auto"/>
                      <w:szCs w:val="21"/>
                    </w:rPr>
                  </w:pPr>
                  <w:r>
                    <w:rPr>
                      <w:b/>
                      <w:bCs/>
                      <w:color w:val="auto"/>
                      <w:szCs w:val="21"/>
                    </w:rPr>
                    <w:t>是否可行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1357" w:type="dxa"/>
                  <w:vAlign w:val="center"/>
                </w:tcPr>
                <w:p>
                  <w:pPr>
                    <w:pStyle w:val="31"/>
                    <w:adjustRightInd w:val="0"/>
                    <w:snapToGrid w:val="0"/>
                    <w:spacing w:line="240" w:lineRule="auto"/>
                    <w:ind w:firstLine="0" w:firstLineChars="0"/>
                    <w:jc w:val="center"/>
                    <w:rPr>
                      <w:color w:val="auto"/>
                      <w:sz w:val="21"/>
                      <w:szCs w:val="21"/>
                    </w:rPr>
                  </w:pPr>
                  <w:r>
                    <w:rPr>
                      <w:color w:val="auto"/>
                      <w:sz w:val="21"/>
                      <w:szCs w:val="21"/>
                    </w:rPr>
                    <w:t>石料和水洗砂由密闭导料皮带输送至骨料中间仓G2</w:t>
                  </w:r>
                </w:p>
              </w:tc>
              <w:tc>
                <w:tcPr>
                  <w:tcW w:w="705" w:type="dxa"/>
                  <w:vMerge w:val="restart"/>
                  <w:vAlign w:val="center"/>
                </w:tcPr>
                <w:p>
                  <w:pPr>
                    <w:adjustRightInd w:val="0"/>
                    <w:snapToGrid w:val="0"/>
                    <w:jc w:val="center"/>
                    <w:rPr>
                      <w:color w:val="auto"/>
                      <w:szCs w:val="21"/>
                    </w:rPr>
                  </w:pPr>
                  <w:r>
                    <w:rPr>
                      <w:color w:val="auto"/>
                      <w:szCs w:val="21"/>
                    </w:rPr>
                    <w:t>颗粒物</w:t>
                  </w:r>
                </w:p>
              </w:tc>
              <w:tc>
                <w:tcPr>
                  <w:tcW w:w="1530" w:type="dxa"/>
                  <w:vAlign w:val="center"/>
                </w:tcPr>
                <w:p>
                  <w:pPr>
                    <w:pStyle w:val="31"/>
                    <w:adjustRightInd w:val="0"/>
                    <w:snapToGrid w:val="0"/>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w:t>
                  </w:r>
                  <w:r>
                    <w:rPr>
                      <w:color w:val="auto"/>
                      <w:sz w:val="21"/>
                      <w:szCs w:val="21"/>
                    </w:rPr>
                    <w:t>水泥工业污染防治可行技术指南（试行）</w:t>
                  </w:r>
                  <w:r>
                    <w:rPr>
                      <w:rFonts w:hint="eastAsia"/>
                      <w:color w:val="auto"/>
                      <w:sz w:val="21"/>
                      <w:szCs w:val="21"/>
                      <w:lang w:eastAsia="zh-CN"/>
                    </w:rPr>
                    <w:t>》</w:t>
                  </w:r>
                </w:p>
              </w:tc>
              <w:tc>
                <w:tcPr>
                  <w:tcW w:w="183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textAlignment w:val="auto"/>
                    <w:rPr>
                      <w:color w:val="auto"/>
                      <w:szCs w:val="21"/>
                    </w:rPr>
                  </w:pPr>
                  <w:r>
                    <w:rPr>
                      <w:color w:val="auto"/>
                      <w:kern w:val="0"/>
                      <w:szCs w:val="21"/>
                      <w:lang w:bidi="ar"/>
                    </w:rPr>
                    <w:t>袋式除尘技术适用于水泥企业各工序废气的颗粒物治理。</w:t>
                  </w:r>
                </w:p>
              </w:tc>
              <w:tc>
                <w:tcPr>
                  <w:tcW w:w="1995" w:type="dxa"/>
                  <w:vMerge w:val="restart"/>
                  <w:vAlign w:val="center"/>
                </w:tcPr>
                <w:p>
                  <w:pPr>
                    <w:pStyle w:val="31"/>
                    <w:adjustRightInd w:val="0"/>
                    <w:snapToGrid w:val="0"/>
                    <w:spacing w:line="240" w:lineRule="auto"/>
                    <w:ind w:left="0" w:leftChars="0" w:firstLine="0" w:firstLineChars="0"/>
                    <w:jc w:val="both"/>
                    <w:rPr>
                      <w:rFonts w:hint="eastAsia" w:eastAsia="宋体"/>
                      <w:color w:val="auto"/>
                      <w:sz w:val="21"/>
                      <w:szCs w:val="21"/>
                      <w:lang w:eastAsia="zh-CN"/>
                    </w:rPr>
                  </w:pPr>
                  <w:r>
                    <w:rPr>
                      <w:rFonts w:hint="eastAsia"/>
                      <w:color w:val="auto"/>
                      <w:sz w:val="21"/>
                      <w:szCs w:val="21"/>
                      <w:lang w:val="en-US" w:eastAsia="zh-CN"/>
                    </w:rPr>
                    <w:t>颗粒物经</w:t>
                  </w:r>
                  <w:r>
                    <w:rPr>
                      <w:color w:val="auto"/>
                      <w:sz w:val="21"/>
                      <w:szCs w:val="21"/>
                    </w:rPr>
                    <w:t>搅拌机配套</w:t>
                  </w:r>
                  <w:r>
                    <w:rPr>
                      <w:rFonts w:hint="eastAsia"/>
                      <w:color w:val="auto"/>
                      <w:sz w:val="21"/>
                      <w:szCs w:val="21"/>
                      <w:lang w:val="en-US" w:eastAsia="zh-CN"/>
                    </w:rPr>
                    <w:t>的</w:t>
                  </w:r>
                  <w:r>
                    <w:rPr>
                      <w:color w:val="auto"/>
                      <w:sz w:val="21"/>
                      <w:szCs w:val="21"/>
                    </w:rPr>
                    <w:t>布袋除尘机</w:t>
                  </w:r>
                  <w:r>
                    <w:rPr>
                      <w:rFonts w:hint="eastAsia"/>
                      <w:color w:val="auto"/>
                      <w:sz w:val="21"/>
                      <w:szCs w:val="21"/>
                      <w:lang w:val="en-US" w:eastAsia="zh-CN"/>
                    </w:rPr>
                    <w:t>收集处理后无组织排放</w:t>
                  </w:r>
                  <w:r>
                    <w:rPr>
                      <w:rFonts w:hint="eastAsia"/>
                      <w:color w:val="auto"/>
                      <w:sz w:val="21"/>
                      <w:szCs w:val="21"/>
                      <w:lang w:eastAsia="zh-CN"/>
                    </w:rPr>
                    <w:t>。</w:t>
                  </w:r>
                </w:p>
              </w:tc>
              <w:tc>
                <w:tcPr>
                  <w:tcW w:w="640" w:type="dxa"/>
                  <w:vMerge w:val="restart"/>
                  <w:vAlign w:val="center"/>
                </w:tcPr>
                <w:p>
                  <w:pPr>
                    <w:adjustRightInd w:val="0"/>
                    <w:snapToGrid w:val="0"/>
                    <w:jc w:val="center"/>
                    <w:rPr>
                      <w:color w:val="auto"/>
                      <w:szCs w:val="21"/>
                    </w:rPr>
                  </w:pPr>
                  <w:r>
                    <w:rPr>
                      <w:color w:val="auto"/>
                      <w:szCs w:val="21"/>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1357" w:type="dxa"/>
                  <w:vAlign w:val="center"/>
                </w:tcPr>
                <w:p>
                  <w:pPr>
                    <w:widowControl/>
                    <w:adjustRightInd w:val="0"/>
                    <w:snapToGrid w:val="0"/>
                    <w:jc w:val="center"/>
                    <w:rPr>
                      <w:color w:val="auto"/>
                      <w:szCs w:val="21"/>
                    </w:rPr>
                  </w:pPr>
                  <w:r>
                    <w:rPr>
                      <w:color w:val="auto"/>
                      <w:szCs w:val="21"/>
                    </w:rPr>
                    <w:t>搅拌机搅拌废气G4</w:t>
                  </w:r>
                </w:p>
              </w:tc>
              <w:tc>
                <w:tcPr>
                  <w:tcW w:w="705" w:type="dxa"/>
                  <w:vMerge w:val="continue"/>
                  <w:vAlign w:val="center"/>
                </w:tcPr>
                <w:p>
                  <w:pPr>
                    <w:adjustRightInd w:val="0"/>
                    <w:snapToGrid w:val="0"/>
                    <w:jc w:val="center"/>
                    <w:rPr>
                      <w:color w:val="auto"/>
                      <w:szCs w:val="21"/>
                    </w:rPr>
                  </w:pPr>
                </w:p>
              </w:tc>
              <w:tc>
                <w:tcPr>
                  <w:tcW w:w="1530" w:type="dxa"/>
                  <w:vAlign w:val="center"/>
                </w:tcPr>
                <w:p>
                  <w:pPr>
                    <w:pStyle w:val="31"/>
                    <w:adjustRightInd w:val="0"/>
                    <w:snapToGrid w:val="0"/>
                    <w:spacing w:line="240" w:lineRule="auto"/>
                    <w:ind w:firstLine="0" w:firstLineChars="0"/>
                    <w:jc w:val="center"/>
                    <w:rPr>
                      <w:color w:val="auto"/>
                      <w:sz w:val="21"/>
                      <w:szCs w:val="21"/>
                    </w:rPr>
                  </w:pPr>
                  <w:r>
                    <w:rPr>
                      <w:color w:val="auto"/>
                      <w:sz w:val="21"/>
                      <w:szCs w:val="21"/>
                    </w:rPr>
                    <w:t>《排污许可证申请与核发技术规范 水泥工业》（HJ847-2017）</w:t>
                  </w:r>
                </w:p>
              </w:tc>
              <w:tc>
                <w:tcPr>
                  <w:tcW w:w="1830" w:type="dxa"/>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color w:val="auto"/>
                      <w:sz w:val="21"/>
                      <w:szCs w:val="21"/>
                      <w:lang w:eastAsia="zh-CN"/>
                    </w:rPr>
                  </w:pPr>
                  <w:r>
                    <w:rPr>
                      <w:color w:val="auto"/>
                      <w:sz w:val="21"/>
                      <w:szCs w:val="21"/>
                    </w:rPr>
                    <w:t>“一般地区排污单位-袋式除尘器、电除尘器、电袋复合除尘器”</w:t>
                  </w:r>
                  <w:r>
                    <w:rPr>
                      <w:rFonts w:hint="eastAsia"/>
                      <w:color w:val="auto"/>
                      <w:sz w:val="21"/>
                      <w:szCs w:val="21"/>
                      <w:lang w:eastAsia="zh-CN"/>
                    </w:rPr>
                    <w:t>。</w:t>
                  </w:r>
                </w:p>
              </w:tc>
              <w:tc>
                <w:tcPr>
                  <w:tcW w:w="1995" w:type="dxa"/>
                  <w:vMerge w:val="continue"/>
                  <w:vAlign w:val="center"/>
                </w:tcPr>
                <w:p>
                  <w:pPr>
                    <w:widowControl/>
                    <w:adjustRightInd w:val="0"/>
                    <w:snapToGrid w:val="0"/>
                    <w:ind w:firstLine="420" w:firstLineChars="200"/>
                    <w:rPr>
                      <w:color w:val="auto"/>
                      <w:szCs w:val="21"/>
                    </w:rPr>
                  </w:pPr>
                </w:p>
              </w:tc>
              <w:tc>
                <w:tcPr>
                  <w:tcW w:w="640" w:type="dxa"/>
                  <w:vMerge w:val="continue"/>
                  <w:vAlign w:val="center"/>
                </w:tcPr>
                <w:p>
                  <w:pPr>
                    <w:widowControl/>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357" w:type="dxa"/>
                  <w:vAlign w:val="center"/>
                </w:tcPr>
                <w:p>
                  <w:pPr>
                    <w:pStyle w:val="31"/>
                    <w:adjustRightInd w:val="0"/>
                    <w:snapToGrid w:val="0"/>
                    <w:spacing w:line="240" w:lineRule="auto"/>
                    <w:ind w:firstLine="0" w:firstLineChars="0"/>
                    <w:jc w:val="center"/>
                    <w:rPr>
                      <w:color w:val="auto"/>
                      <w:sz w:val="21"/>
                      <w:szCs w:val="21"/>
                    </w:rPr>
                  </w:pPr>
                  <w:r>
                    <w:rPr>
                      <w:color w:val="auto"/>
                      <w:kern w:val="0"/>
                      <w:sz w:val="21"/>
                      <w:szCs w:val="21"/>
                    </w:rPr>
                    <w:t>其他无组织排放废气</w:t>
                  </w:r>
                </w:p>
              </w:tc>
              <w:tc>
                <w:tcPr>
                  <w:tcW w:w="705" w:type="dxa"/>
                  <w:vAlign w:val="center"/>
                </w:tcPr>
                <w:p>
                  <w:pPr>
                    <w:pStyle w:val="31"/>
                    <w:adjustRightInd w:val="0"/>
                    <w:snapToGrid w:val="0"/>
                    <w:spacing w:line="240" w:lineRule="auto"/>
                    <w:ind w:firstLine="0" w:firstLineChars="0"/>
                    <w:jc w:val="center"/>
                    <w:rPr>
                      <w:color w:val="auto"/>
                      <w:sz w:val="21"/>
                      <w:szCs w:val="21"/>
                    </w:rPr>
                  </w:pPr>
                  <w:r>
                    <w:rPr>
                      <w:color w:val="auto"/>
                      <w:sz w:val="21"/>
                      <w:szCs w:val="21"/>
                    </w:rPr>
                    <w:t>颗粒物</w:t>
                  </w:r>
                </w:p>
              </w:tc>
              <w:tc>
                <w:tcPr>
                  <w:tcW w:w="1530" w:type="dxa"/>
                  <w:vAlign w:val="center"/>
                </w:tcPr>
                <w:p>
                  <w:pPr>
                    <w:pStyle w:val="31"/>
                    <w:adjustRightInd w:val="0"/>
                    <w:snapToGrid w:val="0"/>
                    <w:spacing w:line="240" w:lineRule="auto"/>
                    <w:ind w:firstLine="0" w:firstLineChars="0"/>
                    <w:jc w:val="center"/>
                    <w:rPr>
                      <w:color w:val="auto"/>
                      <w:sz w:val="21"/>
                      <w:szCs w:val="21"/>
                    </w:rPr>
                  </w:pPr>
                  <w:r>
                    <w:rPr>
                      <w:color w:val="auto"/>
                      <w:sz w:val="21"/>
                      <w:szCs w:val="21"/>
                    </w:rPr>
                    <w:t>《污染源源强核算技术指南 水泥工业》（HJ886-2018）</w:t>
                  </w:r>
                </w:p>
              </w:tc>
              <w:tc>
                <w:tcPr>
                  <w:tcW w:w="1830" w:type="dxa"/>
                  <w:vAlign w:val="center"/>
                </w:tcPr>
                <w:p>
                  <w:pPr>
                    <w:pStyle w:val="31"/>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color w:val="auto"/>
                      <w:sz w:val="21"/>
                      <w:szCs w:val="21"/>
                      <w:lang w:eastAsia="zh-CN"/>
                    </w:rPr>
                  </w:pPr>
                  <w:r>
                    <w:rPr>
                      <w:color w:val="auto"/>
                      <w:sz w:val="21"/>
                      <w:szCs w:val="21"/>
                    </w:rPr>
                    <w:t>物料处理、输送、装卸、储存过程应当封闭，对块石、粘湿物料、浆料以及车船装卸料过程也可采取其他有效抑尘措施，控制颗粒物无组织排放</w:t>
                  </w:r>
                  <w:r>
                    <w:rPr>
                      <w:rFonts w:hint="eastAsia"/>
                      <w:color w:val="auto"/>
                      <w:sz w:val="21"/>
                      <w:szCs w:val="21"/>
                      <w:lang w:eastAsia="zh-CN"/>
                    </w:rPr>
                    <w:t>。</w:t>
                  </w:r>
                </w:p>
              </w:tc>
              <w:tc>
                <w:tcPr>
                  <w:tcW w:w="1995" w:type="dxa"/>
                  <w:vAlign w:val="center"/>
                </w:tcPr>
                <w:p>
                  <w:pPr>
                    <w:adjustRightInd w:val="0"/>
                    <w:snapToGrid w:val="0"/>
                    <w:rPr>
                      <w:color w:val="auto"/>
                      <w:kern w:val="0"/>
                      <w:szCs w:val="21"/>
                      <w:lang w:bidi="ar"/>
                    </w:rPr>
                  </w:pPr>
                  <w:r>
                    <w:rPr>
                      <w:color w:val="auto"/>
                      <w:kern w:val="0"/>
                      <w:szCs w:val="21"/>
                      <w:lang w:bidi="ar"/>
                    </w:rPr>
                    <w:t>①设置封闭式原料仓；</w:t>
                  </w:r>
                </w:p>
                <w:p>
                  <w:pPr>
                    <w:adjustRightInd w:val="0"/>
                    <w:snapToGrid w:val="0"/>
                    <w:rPr>
                      <w:color w:val="auto"/>
                      <w:kern w:val="0"/>
                      <w:szCs w:val="21"/>
                      <w:lang w:bidi="ar"/>
                    </w:rPr>
                  </w:pPr>
                  <w:r>
                    <w:rPr>
                      <w:color w:val="auto"/>
                      <w:kern w:val="0"/>
                      <w:szCs w:val="21"/>
                      <w:lang w:bidi="ar"/>
                    </w:rPr>
                    <w:t>②配料机上料口设置防静电挡尘帘；</w:t>
                  </w:r>
                </w:p>
                <w:p>
                  <w:pPr>
                    <w:adjustRightInd w:val="0"/>
                    <w:snapToGrid w:val="0"/>
                    <w:rPr>
                      <w:color w:val="auto"/>
                      <w:kern w:val="0"/>
                      <w:szCs w:val="21"/>
                      <w:lang w:bidi="ar"/>
                    </w:rPr>
                  </w:pPr>
                  <w:r>
                    <w:rPr>
                      <w:color w:val="auto"/>
                      <w:kern w:val="0"/>
                      <w:szCs w:val="21"/>
                      <w:lang w:bidi="ar"/>
                    </w:rPr>
                    <w:t>③厂区门口设置车辆冲洗平台，运输车辆缓慢行驶且不得超载，物料采用苫布遮挡覆盖；</w:t>
                  </w:r>
                </w:p>
                <w:p>
                  <w:pPr>
                    <w:adjustRightInd w:val="0"/>
                    <w:snapToGrid w:val="0"/>
                    <w:rPr>
                      <w:rFonts w:hint="eastAsia" w:eastAsia="宋体"/>
                      <w:color w:val="auto"/>
                      <w:szCs w:val="21"/>
                      <w:lang w:eastAsia="zh-CN"/>
                    </w:rPr>
                  </w:pPr>
                  <w:r>
                    <w:rPr>
                      <w:color w:val="auto"/>
                      <w:kern w:val="0"/>
                      <w:szCs w:val="21"/>
                      <w:lang w:bidi="ar"/>
                    </w:rPr>
                    <w:t>④厂区道路、原料仓</w:t>
                  </w:r>
                  <w:r>
                    <w:rPr>
                      <w:rFonts w:hint="eastAsia"/>
                      <w:color w:val="auto"/>
                      <w:kern w:val="0"/>
                      <w:szCs w:val="21"/>
                      <w:lang w:eastAsia="zh-CN" w:bidi="ar"/>
                    </w:rPr>
                    <w:t>及时</w:t>
                  </w:r>
                  <w:r>
                    <w:rPr>
                      <w:color w:val="auto"/>
                      <w:kern w:val="0"/>
                      <w:szCs w:val="21"/>
                      <w:lang w:bidi="ar"/>
                    </w:rPr>
                    <w:t>洒水降尘</w:t>
                  </w:r>
                  <w:r>
                    <w:rPr>
                      <w:rFonts w:hint="eastAsia"/>
                      <w:color w:val="auto"/>
                      <w:kern w:val="0"/>
                      <w:szCs w:val="21"/>
                      <w:lang w:eastAsia="zh-CN" w:bidi="ar"/>
                    </w:rPr>
                    <w:t>。</w:t>
                  </w:r>
                </w:p>
              </w:tc>
              <w:tc>
                <w:tcPr>
                  <w:tcW w:w="640" w:type="dxa"/>
                  <w:vAlign w:val="center"/>
                </w:tcPr>
                <w:p>
                  <w:pPr>
                    <w:adjustRightInd w:val="0"/>
                    <w:snapToGrid w:val="0"/>
                    <w:jc w:val="center"/>
                    <w:rPr>
                      <w:color w:val="auto"/>
                      <w:szCs w:val="21"/>
                    </w:rPr>
                  </w:pPr>
                  <w:r>
                    <w:rPr>
                      <w:color w:val="auto"/>
                      <w:szCs w:val="21"/>
                    </w:rPr>
                    <w:t>可行</w:t>
                  </w:r>
                </w:p>
              </w:tc>
            </w:tr>
          </w:tbl>
          <w:p>
            <w:pPr>
              <w:widowControl/>
              <w:adjustRightInd w:val="0"/>
              <w:snapToGrid w:val="0"/>
              <w:spacing w:before="0" w:beforeLines="0"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本项目产生的废气颗粒物均通过一定措施处理后在厂区无组织排放，</w:t>
            </w:r>
            <w:r>
              <w:rPr>
                <w:rFonts w:hint="default" w:ascii="Times New Roman" w:hAnsi="Times New Roman" w:eastAsia="宋体" w:cs="Times New Roman"/>
                <w:color w:val="auto"/>
                <w:sz w:val="24"/>
                <w:szCs w:val="24"/>
                <w:lang w:eastAsia="zh-CN"/>
              </w:rPr>
              <w:t>参照《排污许可证申请与核发技术规范</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eastAsia="zh-CN"/>
              </w:rPr>
              <w:t>水泥工业》中无组织排放控制要求</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原料堆放过程中粉状物料密闭储存，采取覆盖措施防止防尘污染；</w:t>
            </w:r>
            <w:r>
              <w:rPr>
                <w:rFonts w:hint="eastAsia"/>
                <w:color w:val="auto"/>
                <w:sz w:val="24"/>
                <w:szCs w:val="22"/>
                <w:lang w:val="en-US" w:eastAsia="zh-CN"/>
              </w:rPr>
              <w:t>运输皮带等应封闭；</w:t>
            </w:r>
            <w:r>
              <w:rPr>
                <w:rFonts w:hint="default" w:ascii="Times New Roman" w:hAnsi="Times New Roman" w:eastAsia="宋体" w:cs="Times New Roman"/>
                <w:color w:val="auto"/>
                <w:sz w:val="24"/>
                <w:szCs w:val="24"/>
                <w:lang w:eastAsia="zh-CN"/>
              </w:rPr>
              <w:t>厂区运输道路应全硬化，定期洒水，及时清扫</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厂区设置车轮清洗、清扫装置</w:t>
            </w:r>
            <w:r>
              <w:rPr>
                <w:rFonts w:hint="eastAsia" w:ascii="Times New Roman" w:hAnsi="Times New Roman" w:eastAsia="宋体" w:cs="Times New Roman"/>
                <w:color w:val="auto"/>
                <w:sz w:val="24"/>
                <w:szCs w:val="24"/>
                <w:lang w:val="en-US" w:eastAsia="zh-CN"/>
              </w:rPr>
              <w:t>等。</w:t>
            </w:r>
          </w:p>
          <w:p>
            <w:pPr>
              <w:widowControl/>
              <w:adjustRightInd w:val="0"/>
              <w:snapToGrid w:val="0"/>
              <w:spacing w:before="0" w:beforeLines="0"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eastAsia="zh-CN"/>
              </w:rPr>
              <w:t>项目在封闭</w:t>
            </w:r>
            <w:r>
              <w:rPr>
                <w:rFonts w:hint="eastAsia" w:ascii="Times New Roman" w:hAnsi="Times New Roman" w:eastAsia="宋体" w:cs="Times New Roman"/>
                <w:color w:val="auto"/>
                <w:sz w:val="24"/>
                <w:szCs w:val="24"/>
                <w:lang w:val="en-US" w:eastAsia="zh-CN"/>
              </w:rPr>
              <w:t>原料仓进行</w:t>
            </w:r>
            <w:r>
              <w:rPr>
                <w:rFonts w:hint="default" w:ascii="Times New Roman" w:hAnsi="Times New Roman" w:eastAsia="宋体" w:cs="Times New Roman"/>
                <w:color w:val="auto"/>
                <w:sz w:val="24"/>
                <w:szCs w:val="24"/>
                <w:lang w:eastAsia="zh-CN"/>
              </w:rPr>
              <w:t>物料装卸</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堆存</w:t>
            </w:r>
            <w:r>
              <w:rPr>
                <w:rFonts w:hint="default" w:ascii="Times New Roman" w:hAnsi="Times New Roman" w:eastAsia="宋体" w:cs="Times New Roman"/>
                <w:color w:val="auto"/>
                <w:sz w:val="24"/>
                <w:szCs w:val="24"/>
                <w:lang w:eastAsia="zh-CN"/>
              </w:rPr>
              <w:t>，定期洒水降尘</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碎石等骨料</w:t>
            </w:r>
            <w:r>
              <w:rPr>
                <w:rFonts w:hint="default" w:ascii="Times New Roman" w:hAnsi="Times New Roman" w:eastAsia="宋体" w:cs="Times New Roman"/>
                <w:color w:val="auto"/>
                <w:sz w:val="24"/>
                <w:szCs w:val="24"/>
                <w:lang w:eastAsia="zh-CN"/>
              </w:rPr>
              <w:t>上料采用密闭廊道输送；</w:t>
            </w:r>
            <w:r>
              <w:rPr>
                <w:rFonts w:hint="default" w:ascii="Times New Roman" w:hAnsi="Times New Roman" w:eastAsia="宋体" w:cs="Times New Roman"/>
                <w:color w:val="auto"/>
                <w:sz w:val="24"/>
                <w:szCs w:val="24"/>
              </w:rPr>
              <w:t>搅拌工序采用全封闭式</w:t>
            </w:r>
            <w:r>
              <w:rPr>
                <w:rFonts w:hint="default" w:ascii="Times New Roman" w:hAnsi="Times New Roman" w:eastAsia="宋体" w:cs="Times New Roman"/>
                <w:color w:val="auto"/>
                <w:sz w:val="24"/>
                <w:szCs w:val="24"/>
                <w:lang w:eastAsia="zh-CN"/>
              </w:rPr>
              <w:t>搅拌机；</w:t>
            </w:r>
            <w:r>
              <w:rPr>
                <w:rFonts w:hint="default" w:ascii="Times New Roman" w:hAnsi="Times New Roman" w:eastAsia="宋体" w:cs="Times New Roman"/>
                <w:color w:val="auto"/>
                <w:sz w:val="24"/>
                <w:szCs w:val="24"/>
                <w:lang w:val="en-US" w:eastAsia="zh-CN"/>
              </w:rPr>
              <w:t>厂区</w:t>
            </w:r>
            <w:r>
              <w:rPr>
                <w:rFonts w:hint="default" w:ascii="Times New Roman" w:hAnsi="Times New Roman" w:eastAsia="宋体" w:cs="Times New Roman"/>
                <w:color w:val="auto"/>
                <w:sz w:val="24"/>
                <w:szCs w:val="24"/>
              </w:rPr>
              <w:t>内运输便道全部硬化，定期洒水抑尘，</w:t>
            </w:r>
            <w:r>
              <w:rPr>
                <w:rFonts w:hint="default" w:ascii="Times New Roman" w:hAnsi="Times New Roman" w:eastAsia="宋体" w:cs="Times New Roman"/>
                <w:color w:val="auto"/>
                <w:sz w:val="24"/>
                <w:szCs w:val="24"/>
                <w:lang w:val="en-US" w:eastAsia="zh-CN"/>
              </w:rPr>
              <w:t>原料</w:t>
            </w:r>
            <w:r>
              <w:rPr>
                <w:rFonts w:hint="default" w:ascii="Times New Roman" w:hAnsi="Times New Roman" w:eastAsia="宋体" w:cs="Times New Roman"/>
                <w:color w:val="auto"/>
                <w:sz w:val="24"/>
                <w:szCs w:val="24"/>
              </w:rPr>
              <w:t>运输车辆控制装载量并遮盖篷布</w:t>
            </w:r>
            <w:r>
              <w:rPr>
                <w:rFonts w:hint="default" w:ascii="Times New Roman" w:hAnsi="Times New Roman" w:eastAsia="宋体" w:cs="Times New Roman"/>
                <w:color w:val="auto"/>
                <w:sz w:val="24"/>
                <w:szCs w:val="24"/>
                <w:lang w:eastAsia="zh-CN"/>
              </w:rPr>
              <w:t>，设置洗车区及相应设施，车辆出厂前清洗。无组织粉尘污染防治措施满足《排污许可证申请与核发技术规范</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eastAsia="zh-CN"/>
              </w:rPr>
              <w:t>水泥工业》中无组织排放控制要求。</w:t>
            </w:r>
          </w:p>
          <w:p>
            <w:pPr>
              <w:widowControl/>
              <w:adjustRightInd w:val="0"/>
              <w:snapToGrid w:val="0"/>
              <w:spacing w:before="156" w:beforeLines="50" w:line="360" w:lineRule="auto"/>
              <w:ind w:firstLine="480" w:firstLineChars="200"/>
              <w:jc w:val="left"/>
              <w:rPr>
                <w:color w:val="auto"/>
                <w:sz w:val="24"/>
                <w:szCs w:val="22"/>
              </w:rPr>
            </w:pPr>
            <w:r>
              <w:rPr>
                <w:color w:val="auto"/>
                <w:sz w:val="24"/>
                <w:szCs w:val="22"/>
              </w:rPr>
              <w:t>根据</w:t>
            </w:r>
            <w:r>
              <w:rPr>
                <w:rFonts w:hint="eastAsia"/>
                <w:color w:val="auto"/>
                <w:sz w:val="24"/>
                <w:szCs w:val="22"/>
                <w:lang w:val="en-US" w:eastAsia="zh-CN"/>
              </w:rPr>
              <w:t>上述</w:t>
            </w:r>
            <w:r>
              <w:rPr>
                <w:color w:val="auto"/>
                <w:sz w:val="24"/>
                <w:szCs w:val="22"/>
              </w:rPr>
              <w:t>分析，</w:t>
            </w:r>
            <w:r>
              <w:rPr>
                <w:rFonts w:hint="eastAsia" w:ascii="Times New Roman" w:hAnsi="Times New Roman" w:eastAsia="宋体" w:cs="Times New Roman"/>
                <w:color w:val="auto"/>
                <w:sz w:val="24"/>
                <w:szCs w:val="24"/>
                <w:lang w:val="en-US" w:eastAsia="zh-CN"/>
              </w:rPr>
              <w:t>本项目通过采取相关措施后，</w:t>
            </w:r>
            <w:r>
              <w:rPr>
                <w:rFonts w:hint="default" w:ascii="Times New Roman" w:hAnsi="Times New Roman" w:eastAsia="宋体" w:cs="Times New Roman"/>
                <w:color w:val="auto"/>
                <w:sz w:val="24"/>
                <w:szCs w:val="24"/>
                <w:lang w:eastAsia="zh-CN"/>
              </w:rPr>
              <w:t>无组织粉尘排放量能够做到达标排放，</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区域大气</w:t>
            </w:r>
            <w:r>
              <w:rPr>
                <w:rFonts w:hint="default" w:ascii="Times New Roman" w:hAnsi="Times New Roman" w:eastAsia="宋体" w:cs="Times New Roman"/>
                <w:color w:val="auto"/>
                <w:sz w:val="24"/>
                <w:szCs w:val="24"/>
              </w:rPr>
              <w:t>环境影响</w:t>
            </w:r>
            <w:r>
              <w:rPr>
                <w:rFonts w:hint="default" w:ascii="Times New Roman" w:hAnsi="Times New Roman" w:eastAsia="宋体" w:cs="Times New Roman"/>
                <w:color w:val="auto"/>
                <w:sz w:val="24"/>
                <w:szCs w:val="24"/>
                <w:lang w:eastAsia="zh-CN"/>
              </w:rPr>
              <w:t>较小</w:t>
            </w:r>
            <w:r>
              <w:rPr>
                <w:rFonts w:hint="default" w:ascii="Times New Roman" w:hAnsi="Times New Roman" w:eastAsia="宋体" w:cs="Times New Roman"/>
                <w:color w:val="auto"/>
                <w:sz w:val="24"/>
                <w:szCs w:val="24"/>
                <w:lang w:val="en-US" w:eastAsia="zh-CN"/>
              </w:rPr>
              <w:t>，措施可行。</w:t>
            </w:r>
          </w:p>
          <w:p>
            <w:pPr>
              <w:pStyle w:val="31"/>
              <w:adjustRightInd w:val="0"/>
              <w:snapToGrid w:val="0"/>
              <w:ind w:firstLine="482"/>
              <w:rPr>
                <w:b/>
                <w:bCs/>
                <w:color w:val="auto"/>
                <w:szCs w:val="22"/>
              </w:rPr>
            </w:pPr>
            <w:r>
              <w:rPr>
                <w:rFonts w:hint="eastAsia"/>
                <w:b/>
                <w:bCs/>
                <w:color w:val="auto"/>
                <w:szCs w:val="22"/>
                <w:lang w:val="en-US" w:eastAsia="zh-CN"/>
              </w:rPr>
              <w:t>4</w:t>
            </w:r>
            <w:r>
              <w:rPr>
                <w:b/>
                <w:bCs/>
                <w:color w:val="auto"/>
                <w:szCs w:val="22"/>
              </w:rPr>
              <w:t>、非正常工况</w:t>
            </w:r>
          </w:p>
          <w:p>
            <w:pPr>
              <w:widowControl/>
              <w:adjustRightInd w:val="0"/>
              <w:snapToGrid w:val="0"/>
              <w:spacing w:line="360" w:lineRule="auto"/>
              <w:ind w:firstLine="480" w:firstLineChars="200"/>
              <w:jc w:val="left"/>
              <w:rPr>
                <w:color w:val="auto"/>
                <w:sz w:val="24"/>
              </w:rPr>
            </w:pPr>
            <w:r>
              <w:rPr>
                <w:color w:val="auto"/>
                <w:kern w:val="0"/>
                <w:sz w:val="24"/>
                <w:lang w:bidi="ar"/>
              </w:rPr>
              <w:t>本项目非正常工况排放主要分为两类：一类是在正常生产设备开停、工艺设备故障或部分设备检修时会有较大量的污染物排出，另一类是环保设施达不到设计规定的指标运行，而使正常排放的污染物经过不完全处理或不经过处理直接排放而导致的超标排放。</w:t>
            </w:r>
          </w:p>
          <w:p>
            <w:pPr>
              <w:widowControl/>
              <w:adjustRightInd w:val="0"/>
              <w:snapToGrid w:val="0"/>
              <w:spacing w:line="360" w:lineRule="auto"/>
              <w:ind w:firstLine="480" w:firstLineChars="200"/>
              <w:jc w:val="left"/>
              <w:rPr>
                <w:color w:val="auto"/>
                <w:sz w:val="24"/>
              </w:rPr>
            </w:pPr>
            <w:r>
              <w:rPr>
                <w:color w:val="auto"/>
                <w:kern w:val="0"/>
                <w:sz w:val="24"/>
                <w:lang w:bidi="ar"/>
              </w:rPr>
              <w:t>（1）设备检修及开停车</w:t>
            </w:r>
          </w:p>
          <w:p>
            <w:pPr>
              <w:widowControl/>
              <w:adjustRightInd w:val="0"/>
              <w:snapToGrid w:val="0"/>
              <w:spacing w:line="360" w:lineRule="auto"/>
              <w:ind w:firstLine="480" w:firstLineChars="200"/>
              <w:jc w:val="left"/>
              <w:rPr>
                <w:color w:val="auto"/>
                <w:sz w:val="24"/>
              </w:rPr>
            </w:pPr>
            <w:r>
              <w:rPr>
                <w:color w:val="auto"/>
                <w:kern w:val="0"/>
                <w:sz w:val="24"/>
                <w:lang w:bidi="ar"/>
              </w:rPr>
              <w:t>开车时，首先启动环保装置，然后再按照规程依次启动生产线上各个设备，一般不会出现超标排污的现象；停车时，则需先按照规程依次关闭生产线上的设备，然后关闭环保设备，保证污染物达标排放。</w:t>
            </w:r>
          </w:p>
          <w:p>
            <w:pPr>
              <w:widowControl/>
              <w:adjustRightInd w:val="0"/>
              <w:snapToGrid w:val="0"/>
              <w:spacing w:line="360" w:lineRule="auto"/>
              <w:ind w:firstLine="480" w:firstLineChars="200"/>
              <w:jc w:val="left"/>
              <w:rPr>
                <w:color w:val="auto"/>
                <w:kern w:val="0"/>
                <w:sz w:val="24"/>
                <w:lang w:bidi="ar"/>
              </w:rPr>
            </w:pPr>
            <w:r>
              <w:rPr>
                <w:color w:val="auto"/>
                <w:kern w:val="0"/>
                <w:sz w:val="24"/>
                <w:lang w:bidi="ar"/>
              </w:rPr>
              <w:t>（2）环保措施出现异常时非正常排放</w:t>
            </w:r>
          </w:p>
          <w:p>
            <w:pPr>
              <w:widowControl/>
              <w:adjustRightInd w:val="0"/>
              <w:snapToGrid w:val="0"/>
              <w:spacing w:line="360" w:lineRule="auto"/>
              <w:ind w:firstLine="480" w:firstLineChars="200"/>
              <w:jc w:val="both"/>
              <w:rPr>
                <w:color w:val="auto"/>
                <w:sz w:val="24"/>
              </w:rPr>
            </w:pPr>
            <w:r>
              <w:rPr>
                <w:color w:val="auto"/>
                <w:sz w:val="24"/>
              </w:rPr>
              <w:t>大气污染物事故排放主要是指废气处理设施损坏造成废气处理效率降低，最严重的情况是废气处理效率为零，本次评价</w:t>
            </w:r>
            <w:r>
              <w:rPr>
                <w:color w:val="auto"/>
                <w:kern w:val="0"/>
                <w:sz w:val="24"/>
                <w:lang w:bidi="ar"/>
              </w:rPr>
              <w:t>以</w:t>
            </w:r>
            <w:r>
              <w:rPr>
                <w:rFonts w:hint="eastAsia"/>
                <w:color w:val="auto"/>
                <w:kern w:val="0"/>
                <w:sz w:val="24"/>
                <w:lang w:bidi="ar"/>
              </w:rPr>
              <w:t>装置</w:t>
            </w:r>
            <w:r>
              <w:rPr>
                <w:color w:val="auto"/>
                <w:kern w:val="0"/>
                <w:sz w:val="24"/>
                <w:lang w:bidi="ar"/>
              </w:rPr>
              <w:t>处理系统</w:t>
            </w:r>
            <w:r>
              <w:rPr>
                <w:rFonts w:hint="eastAsia"/>
                <w:color w:val="auto"/>
                <w:kern w:val="0"/>
                <w:sz w:val="24"/>
                <w:lang w:eastAsia="zh-CN" w:bidi="ar"/>
              </w:rPr>
              <w:t>效率下降</w:t>
            </w:r>
            <w:r>
              <w:rPr>
                <w:rFonts w:hint="eastAsia"/>
                <w:color w:val="auto"/>
                <w:kern w:val="0"/>
                <w:sz w:val="24"/>
                <w:lang w:val="en-US" w:eastAsia="zh-CN" w:bidi="ar"/>
              </w:rPr>
              <w:t>至80%</w:t>
            </w:r>
            <w:r>
              <w:rPr>
                <w:color w:val="auto"/>
                <w:kern w:val="0"/>
                <w:sz w:val="24"/>
                <w:lang w:bidi="ar"/>
              </w:rPr>
              <w:t>考虑计算，则</w:t>
            </w:r>
            <w:r>
              <w:rPr>
                <w:color w:val="auto"/>
                <w:sz w:val="24"/>
              </w:rPr>
              <w:t>非正常工况下废气排放情况见表4-7。</w:t>
            </w:r>
          </w:p>
          <w:p>
            <w:pPr>
              <w:pStyle w:val="16"/>
              <w:adjustRightInd w:val="0"/>
              <w:jc w:val="center"/>
              <w:rPr>
                <w:b/>
                <w:bCs/>
                <w:color w:val="auto"/>
                <w:sz w:val="21"/>
                <w:szCs w:val="21"/>
              </w:rPr>
            </w:pPr>
            <w:r>
              <w:rPr>
                <w:rFonts w:hint="eastAsia"/>
                <w:b/>
                <w:bCs/>
                <w:color w:val="auto"/>
                <w:sz w:val="21"/>
                <w:szCs w:val="21"/>
                <w:lang w:val="en-US" w:eastAsia="zh-CN"/>
              </w:rPr>
              <w:t>表</w:t>
            </w:r>
            <w:r>
              <w:rPr>
                <w:b/>
                <w:bCs/>
                <w:color w:val="auto"/>
                <w:sz w:val="21"/>
                <w:szCs w:val="21"/>
              </w:rPr>
              <w:t xml:space="preserve">4-7 </w:t>
            </w:r>
            <w:r>
              <w:rPr>
                <w:rFonts w:hint="eastAsia"/>
                <w:b/>
                <w:bCs/>
                <w:color w:val="auto"/>
                <w:sz w:val="21"/>
                <w:szCs w:val="21"/>
              </w:rPr>
              <w:t xml:space="preserve">  </w:t>
            </w:r>
            <w:r>
              <w:rPr>
                <w:b/>
                <w:bCs/>
                <w:color w:val="auto"/>
                <w:sz w:val="21"/>
                <w:szCs w:val="21"/>
              </w:rPr>
              <w:t>非正常工况下污染源废气排放情况</w:t>
            </w:r>
          </w:p>
          <w:tbl>
            <w:tblPr>
              <w:tblStyle w:val="24"/>
              <w:tblW w:w="80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01"/>
              <w:gridCol w:w="1246"/>
              <w:gridCol w:w="785"/>
              <w:gridCol w:w="975"/>
              <w:gridCol w:w="1008"/>
              <w:gridCol w:w="734"/>
              <w:gridCol w:w="732"/>
              <w:gridCol w:w="746"/>
              <w:gridCol w:w="9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12" w:hRule="atLeast"/>
                <w:jc w:val="center"/>
              </w:trPr>
              <w:tc>
                <w:tcPr>
                  <w:tcW w:w="911" w:type="dxa"/>
                  <w:vMerge w:val="restart"/>
                  <w:tcBorders>
                    <w:tl2br w:val="nil"/>
                    <w:tr2bl w:val="nil"/>
                  </w:tcBorders>
                  <w:vAlign w:val="center"/>
                </w:tcPr>
                <w:p>
                  <w:pPr>
                    <w:pStyle w:val="57"/>
                    <w:widowControl w:val="0"/>
                    <w:adjustRightInd w:val="0"/>
                    <w:snapToGrid/>
                    <w:spacing w:before="0" w:after="0" w:line="240" w:lineRule="auto"/>
                    <w:ind w:right="0" w:firstLine="0" w:firstLineChars="0"/>
                    <w:jc w:val="center"/>
                    <w:rPr>
                      <w:b/>
                      <w:bCs/>
                      <w:color w:val="auto"/>
                      <w:sz w:val="21"/>
                      <w:szCs w:val="21"/>
                    </w:rPr>
                  </w:pPr>
                  <w:r>
                    <w:rPr>
                      <w:b/>
                      <w:bCs/>
                      <w:color w:val="auto"/>
                      <w:sz w:val="21"/>
                      <w:szCs w:val="21"/>
                    </w:rPr>
                    <w:t>产污</w:t>
                  </w:r>
                </w:p>
                <w:p>
                  <w:pPr>
                    <w:adjustRightInd w:val="0"/>
                    <w:snapToGrid w:val="0"/>
                    <w:jc w:val="center"/>
                    <w:rPr>
                      <w:b/>
                      <w:bCs/>
                      <w:color w:val="auto"/>
                      <w:szCs w:val="21"/>
                    </w:rPr>
                  </w:pPr>
                  <w:r>
                    <w:rPr>
                      <w:b/>
                      <w:bCs/>
                      <w:color w:val="auto"/>
                      <w:szCs w:val="21"/>
                    </w:rPr>
                    <w:t>环节</w:t>
                  </w:r>
                </w:p>
              </w:tc>
              <w:tc>
                <w:tcPr>
                  <w:tcW w:w="1261" w:type="dxa"/>
                  <w:vMerge w:val="restart"/>
                  <w:tcBorders>
                    <w:tl2br w:val="nil"/>
                    <w:tr2bl w:val="nil"/>
                  </w:tcBorders>
                  <w:vAlign w:val="center"/>
                </w:tcPr>
                <w:p>
                  <w:pPr>
                    <w:adjustRightInd w:val="0"/>
                    <w:snapToGrid w:val="0"/>
                    <w:jc w:val="center"/>
                    <w:rPr>
                      <w:b/>
                      <w:bCs/>
                      <w:color w:val="auto"/>
                      <w:szCs w:val="21"/>
                    </w:rPr>
                  </w:pPr>
                  <w:r>
                    <w:rPr>
                      <w:b/>
                      <w:bCs/>
                      <w:color w:val="auto"/>
                      <w:szCs w:val="21"/>
                    </w:rPr>
                    <w:t>装置名称</w:t>
                  </w:r>
                </w:p>
              </w:tc>
              <w:tc>
                <w:tcPr>
                  <w:tcW w:w="793" w:type="dxa"/>
                  <w:vMerge w:val="restart"/>
                  <w:tcBorders>
                    <w:tl2br w:val="nil"/>
                    <w:tr2bl w:val="nil"/>
                  </w:tcBorders>
                  <w:vAlign w:val="center"/>
                </w:tcPr>
                <w:p>
                  <w:pPr>
                    <w:adjustRightInd w:val="0"/>
                    <w:snapToGrid w:val="0"/>
                    <w:jc w:val="center"/>
                    <w:rPr>
                      <w:b/>
                      <w:bCs/>
                      <w:color w:val="auto"/>
                      <w:szCs w:val="21"/>
                    </w:rPr>
                  </w:pPr>
                  <w:r>
                    <w:rPr>
                      <w:b/>
                      <w:bCs/>
                      <w:color w:val="auto"/>
                      <w:szCs w:val="21"/>
                    </w:rPr>
                    <w:t>污染物</w:t>
                  </w:r>
                </w:p>
              </w:tc>
              <w:tc>
                <w:tcPr>
                  <w:tcW w:w="986" w:type="dxa"/>
                  <w:vMerge w:val="restart"/>
                  <w:tcBorders>
                    <w:tl2br w:val="nil"/>
                    <w:tr2bl w:val="nil"/>
                  </w:tcBorders>
                  <w:vAlign w:val="center"/>
                </w:tcPr>
                <w:p>
                  <w:pPr>
                    <w:adjustRightInd w:val="0"/>
                    <w:snapToGrid w:val="0"/>
                    <w:jc w:val="center"/>
                    <w:rPr>
                      <w:b/>
                      <w:bCs/>
                      <w:color w:val="auto"/>
                      <w:szCs w:val="21"/>
                    </w:rPr>
                  </w:pPr>
                  <w:r>
                    <w:rPr>
                      <w:b/>
                      <w:bCs/>
                      <w:color w:val="auto"/>
                      <w:szCs w:val="21"/>
                    </w:rPr>
                    <w:t>非正常工况原因</w:t>
                  </w:r>
                </w:p>
              </w:tc>
              <w:tc>
                <w:tcPr>
                  <w:tcW w:w="942" w:type="dxa"/>
                  <w:vMerge w:val="restart"/>
                  <w:tcBorders>
                    <w:tl2br w:val="nil"/>
                    <w:tr2bl w:val="nil"/>
                  </w:tcBorders>
                  <w:vAlign w:val="center"/>
                </w:tcPr>
                <w:p>
                  <w:pPr>
                    <w:adjustRightInd w:val="0"/>
                    <w:snapToGrid w:val="0"/>
                    <w:jc w:val="center"/>
                    <w:rPr>
                      <w:b/>
                      <w:bCs/>
                      <w:color w:val="auto"/>
                      <w:szCs w:val="21"/>
                    </w:rPr>
                  </w:pPr>
                  <w:r>
                    <w:rPr>
                      <w:b/>
                      <w:bCs/>
                      <w:color w:val="auto"/>
                      <w:szCs w:val="21"/>
                    </w:rPr>
                    <w:t>排放浓度</w:t>
                  </w:r>
                </w:p>
                <w:p>
                  <w:pPr>
                    <w:adjustRightInd w:val="0"/>
                    <w:snapToGrid w:val="0"/>
                    <w:jc w:val="center"/>
                    <w:rPr>
                      <w:b/>
                      <w:bCs/>
                      <w:color w:val="auto"/>
                      <w:szCs w:val="21"/>
                    </w:rPr>
                  </w:pPr>
                  <w:r>
                    <w:rPr>
                      <w:b/>
                      <w:bCs/>
                      <w:color w:val="auto"/>
                      <w:szCs w:val="21"/>
                    </w:rPr>
                    <w:t>（mg/m</w:t>
                  </w:r>
                  <w:r>
                    <w:rPr>
                      <w:b/>
                      <w:bCs/>
                      <w:color w:val="auto"/>
                      <w:szCs w:val="21"/>
                      <w:vertAlign w:val="superscript"/>
                    </w:rPr>
                    <w:t>3</w:t>
                  </w:r>
                  <w:r>
                    <w:rPr>
                      <w:b/>
                      <w:bCs/>
                      <w:color w:val="auto"/>
                      <w:szCs w:val="21"/>
                    </w:rPr>
                    <w:t>）</w:t>
                  </w:r>
                </w:p>
              </w:tc>
              <w:tc>
                <w:tcPr>
                  <w:tcW w:w="736" w:type="dxa"/>
                  <w:tcBorders>
                    <w:tl2br w:val="nil"/>
                    <w:tr2bl w:val="nil"/>
                  </w:tcBorders>
                  <w:vAlign w:val="center"/>
                </w:tcPr>
                <w:p>
                  <w:pPr>
                    <w:adjustRightInd w:val="0"/>
                    <w:snapToGrid w:val="0"/>
                    <w:jc w:val="center"/>
                    <w:rPr>
                      <w:b/>
                      <w:bCs/>
                      <w:color w:val="auto"/>
                      <w:szCs w:val="21"/>
                    </w:rPr>
                  </w:pPr>
                  <w:r>
                    <w:rPr>
                      <w:b/>
                      <w:bCs/>
                      <w:color w:val="auto"/>
                      <w:szCs w:val="21"/>
                    </w:rPr>
                    <w:t>标准值</w:t>
                  </w:r>
                </w:p>
              </w:tc>
              <w:tc>
                <w:tcPr>
                  <w:tcW w:w="739" w:type="dxa"/>
                  <w:vMerge w:val="restart"/>
                  <w:tcBorders>
                    <w:tl2br w:val="nil"/>
                    <w:tr2bl w:val="nil"/>
                  </w:tcBorders>
                  <w:vAlign w:val="center"/>
                </w:tcPr>
                <w:p>
                  <w:pPr>
                    <w:adjustRightInd w:val="0"/>
                    <w:snapToGrid w:val="0"/>
                    <w:jc w:val="center"/>
                    <w:rPr>
                      <w:b/>
                      <w:bCs/>
                      <w:color w:val="auto"/>
                      <w:szCs w:val="21"/>
                    </w:rPr>
                  </w:pPr>
                  <w:r>
                    <w:rPr>
                      <w:b/>
                      <w:bCs/>
                      <w:color w:val="auto"/>
                      <w:szCs w:val="21"/>
                    </w:rPr>
                    <w:t>发生频次</w:t>
                  </w:r>
                </w:p>
              </w:tc>
              <w:tc>
                <w:tcPr>
                  <w:tcW w:w="753" w:type="dxa"/>
                  <w:vMerge w:val="restart"/>
                  <w:tcBorders>
                    <w:tl2br w:val="nil"/>
                    <w:tr2bl w:val="nil"/>
                  </w:tcBorders>
                  <w:vAlign w:val="center"/>
                </w:tcPr>
                <w:p>
                  <w:pPr>
                    <w:adjustRightInd w:val="0"/>
                    <w:snapToGrid w:val="0"/>
                    <w:jc w:val="center"/>
                    <w:rPr>
                      <w:b/>
                      <w:bCs/>
                      <w:color w:val="auto"/>
                      <w:szCs w:val="21"/>
                    </w:rPr>
                  </w:pPr>
                  <w:r>
                    <w:rPr>
                      <w:b/>
                      <w:bCs/>
                      <w:color w:val="auto"/>
                      <w:szCs w:val="21"/>
                    </w:rPr>
                    <w:t>持续时间</w:t>
                  </w:r>
                </w:p>
              </w:tc>
              <w:tc>
                <w:tcPr>
                  <w:tcW w:w="933" w:type="dxa"/>
                  <w:vMerge w:val="restart"/>
                  <w:tcBorders>
                    <w:tl2br w:val="nil"/>
                    <w:tr2bl w:val="nil"/>
                  </w:tcBorders>
                  <w:vAlign w:val="center"/>
                </w:tcPr>
                <w:p>
                  <w:pPr>
                    <w:pStyle w:val="38"/>
                    <w:spacing w:before="31" w:after="31" w:line="240" w:lineRule="auto"/>
                    <w:ind w:firstLine="0"/>
                    <w:rPr>
                      <w:rFonts w:ascii="Times New Roman"/>
                      <w:b/>
                      <w:bCs/>
                      <w:color w:val="auto"/>
                      <w:szCs w:val="21"/>
                    </w:rPr>
                  </w:pPr>
                  <w:r>
                    <w:rPr>
                      <w:rFonts w:ascii="Times New Roman"/>
                      <w:b/>
                      <w:bCs/>
                      <w:color w:val="auto"/>
                      <w:szCs w:val="21"/>
                    </w:rPr>
                    <w:t>一次排放量（kg/次</w:t>
                  </w:r>
                  <w:r>
                    <w:rPr>
                      <w:rStyle w:val="30"/>
                      <w:rFonts w:ascii="Times New Roman"/>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54" w:hRule="atLeast"/>
                <w:jc w:val="center"/>
              </w:trPr>
              <w:tc>
                <w:tcPr>
                  <w:tcW w:w="911" w:type="dxa"/>
                  <w:vMerge w:val="continue"/>
                  <w:tcBorders>
                    <w:tl2br w:val="nil"/>
                    <w:tr2bl w:val="nil"/>
                  </w:tcBorders>
                  <w:vAlign w:val="center"/>
                </w:tcPr>
                <w:p>
                  <w:pPr>
                    <w:adjustRightInd w:val="0"/>
                    <w:snapToGrid w:val="0"/>
                    <w:jc w:val="center"/>
                    <w:rPr>
                      <w:color w:val="auto"/>
                      <w:szCs w:val="21"/>
                    </w:rPr>
                  </w:pPr>
                </w:p>
              </w:tc>
              <w:tc>
                <w:tcPr>
                  <w:tcW w:w="1261" w:type="dxa"/>
                  <w:vMerge w:val="continue"/>
                  <w:tcBorders>
                    <w:tl2br w:val="nil"/>
                    <w:tr2bl w:val="nil"/>
                  </w:tcBorders>
                  <w:vAlign w:val="center"/>
                </w:tcPr>
                <w:p>
                  <w:pPr>
                    <w:adjustRightInd w:val="0"/>
                    <w:snapToGrid w:val="0"/>
                    <w:jc w:val="center"/>
                    <w:rPr>
                      <w:color w:val="auto"/>
                      <w:szCs w:val="21"/>
                    </w:rPr>
                  </w:pPr>
                </w:p>
              </w:tc>
              <w:tc>
                <w:tcPr>
                  <w:tcW w:w="793" w:type="dxa"/>
                  <w:vMerge w:val="continue"/>
                  <w:tcBorders>
                    <w:tl2br w:val="nil"/>
                    <w:tr2bl w:val="nil"/>
                  </w:tcBorders>
                  <w:vAlign w:val="center"/>
                </w:tcPr>
                <w:p>
                  <w:pPr>
                    <w:adjustRightInd w:val="0"/>
                    <w:snapToGrid w:val="0"/>
                    <w:jc w:val="center"/>
                    <w:rPr>
                      <w:color w:val="auto"/>
                      <w:szCs w:val="21"/>
                    </w:rPr>
                  </w:pPr>
                </w:p>
              </w:tc>
              <w:tc>
                <w:tcPr>
                  <w:tcW w:w="986" w:type="dxa"/>
                  <w:vMerge w:val="continue"/>
                  <w:tcBorders>
                    <w:tl2br w:val="nil"/>
                    <w:tr2bl w:val="nil"/>
                  </w:tcBorders>
                  <w:vAlign w:val="center"/>
                </w:tcPr>
                <w:p>
                  <w:pPr>
                    <w:adjustRightInd w:val="0"/>
                    <w:snapToGrid w:val="0"/>
                    <w:jc w:val="center"/>
                    <w:rPr>
                      <w:color w:val="auto"/>
                      <w:szCs w:val="21"/>
                    </w:rPr>
                  </w:pPr>
                </w:p>
              </w:tc>
              <w:tc>
                <w:tcPr>
                  <w:tcW w:w="942" w:type="dxa"/>
                  <w:vMerge w:val="continue"/>
                  <w:tcBorders>
                    <w:tl2br w:val="nil"/>
                    <w:tr2bl w:val="nil"/>
                  </w:tcBorders>
                  <w:vAlign w:val="center"/>
                </w:tcPr>
                <w:p>
                  <w:pPr>
                    <w:adjustRightInd w:val="0"/>
                    <w:snapToGrid w:val="0"/>
                    <w:jc w:val="center"/>
                    <w:rPr>
                      <w:color w:val="auto"/>
                      <w:szCs w:val="21"/>
                    </w:rPr>
                  </w:pPr>
                </w:p>
              </w:tc>
              <w:tc>
                <w:tcPr>
                  <w:tcW w:w="736" w:type="dxa"/>
                  <w:tcBorders>
                    <w:tl2br w:val="nil"/>
                    <w:tr2bl w:val="nil"/>
                  </w:tcBorders>
                  <w:vAlign w:val="center"/>
                </w:tcPr>
                <w:p>
                  <w:pPr>
                    <w:adjustRightInd w:val="0"/>
                    <w:snapToGrid w:val="0"/>
                    <w:jc w:val="center"/>
                    <w:rPr>
                      <w:b/>
                      <w:bCs/>
                      <w:color w:val="auto"/>
                      <w:szCs w:val="21"/>
                    </w:rPr>
                  </w:pPr>
                  <w:r>
                    <w:rPr>
                      <w:b/>
                      <w:bCs/>
                      <w:color w:val="auto"/>
                      <w:szCs w:val="21"/>
                    </w:rPr>
                    <w:t>mg/m</w:t>
                  </w:r>
                  <w:r>
                    <w:rPr>
                      <w:b/>
                      <w:bCs/>
                      <w:color w:val="auto"/>
                      <w:szCs w:val="21"/>
                      <w:vertAlign w:val="superscript"/>
                    </w:rPr>
                    <w:t>3</w:t>
                  </w:r>
                </w:p>
              </w:tc>
              <w:tc>
                <w:tcPr>
                  <w:tcW w:w="739" w:type="dxa"/>
                  <w:vMerge w:val="continue"/>
                  <w:tcBorders>
                    <w:tl2br w:val="nil"/>
                    <w:tr2bl w:val="nil"/>
                  </w:tcBorders>
                  <w:vAlign w:val="center"/>
                </w:tcPr>
                <w:p>
                  <w:pPr>
                    <w:adjustRightInd w:val="0"/>
                    <w:snapToGrid w:val="0"/>
                    <w:jc w:val="center"/>
                    <w:rPr>
                      <w:b/>
                      <w:bCs/>
                      <w:color w:val="auto"/>
                      <w:szCs w:val="21"/>
                    </w:rPr>
                  </w:pPr>
                </w:p>
              </w:tc>
              <w:tc>
                <w:tcPr>
                  <w:tcW w:w="753" w:type="dxa"/>
                  <w:vMerge w:val="continue"/>
                  <w:tcBorders>
                    <w:tl2br w:val="nil"/>
                    <w:tr2bl w:val="nil"/>
                  </w:tcBorders>
                  <w:vAlign w:val="center"/>
                </w:tcPr>
                <w:p>
                  <w:pPr>
                    <w:adjustRightInd w:val="0"/>
                    <w:snapToGrid w:val="0"/>
                    <w:jc w:val="center"/>
                    <w:rPr>
                      <w:color w:val="auto"/>
                      <w:szCs w:val="21"/>
                    </w:rPr>
                  </w:pPr>
                </w:p>
              </w:tc>
              <w:tc>
                <w:tcPr>
                  <w:tcW w:w="933" w:type="dxa"/>
                  <w:vMerge w:val="continue"/>
                  <w:tcBorders>
                    <w:tl2br w:val="nil"/>
                    <w:tr2bl w:val="nil"/>
                  </w:tcBorders>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52" w:hRule="atLeast"/>
                <w:jc w:val="center"/>
              </w:trPr>
              <w:tc>
                <w:tcPr>
                  <w:tcW w:w="911"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搅拌机搅拌废气</w:t>
                  </w:r>
                </w:p>
              </w:tc>
              <w:tc>
                <w:tcPr>
                  <w:tcW w:w="1261" w:type="dxa"/>
                  <w:tcBorders>
                    <w:tl2br w:val="nil"/>
                    <w:tr2bl w:val="nil"/>
                  </w:tcBorders>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布袋除尘</w:t>
                  </w:r>
                  <w:r>
                    <w:rPr>
                      <w:rFonts w:hint="eastAsia"/>
                      <w:color w:val="000000" w:themeColor="text1"/>
                      <w:szCs w:val="21"/>
                      <w:lang w:val="en-US" w:eastAsia="zh-CN"/>
                      <w14:textFill>
                        <w14:solidFill>
                          <w14:schemeClr w14:val="tx1"/>
                        </w14:solidFill>
                      </w14:textFill>
                    </w:rPr>
                    <w:t>器</w:t>
                  </w:r>
                </w:p>
              </w:tc>
              <w:tc>
                <w:tcPr>
                  <w:tcW w:w="793" w:type="dxa"/>
                  <w:tcBorders>
                    <w:tl2br w:val="nil"/>
                    <w:tr2bl w:val="nil"/>
                  </w:tcBorders>
                  <w:vAlign w:val="center"/>
                </w:tcPr>
                <w:p>
                  <w:pPr>
                    <w:pStyle w:val="38"/>
                    <w:spacing w:before="31" w:after="31" w:line="240" w:lineRule="auto"/>
                    <w:ind w:firstLine="0"/>
                    <w:rPr>
                      <w:rFonts w:ascii="Times New Roman"/>
                      <w:color w:val="000000" w:themeColor="text1"/>
                      <w:kern w:val="2"/>
                      <w:szCs w:val="21"/>
                      <w14:textFill>
                        <w14:solidFill>
                          <w14:schemeClr w14:val="tx1"/>
                        </w14:solidFill>
                      </w14:textFill>
                    </w:rPr>
                  </w:pPr>
                  <w:r>
                    <w:rPr>
                      <w:rFonts w:ascii="Times New Roman"/>
                      <w:color w:val="000000" w:themeColor="text1"/>
                      <w:szCs w:val="21"/>
                      <w14:textFill>
                        <w14:solidFill>
                          <w14:schemeClr w14:val="tx1"/>
                        </w14:solidFill>
                      </w14:textFill>
                    </w:rPr>
                    <w:t>颗粒物</w:t>
                  </w:r>
                </w:p>
              </w:tc>
              <w:tc>
                <w:tcPr>
                  <w:tcW w:w="986"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运行</w:t>
                  </w:r>
                  <w:r>
                    <w:rPr>
                      <w:color w:val="000000" w:themeColor="text1"/>
                      <w:szCs w:val="21"/>
                      <w14:textFill>
                        <w14:solidFill>
                          <w14:schemeClr w14:val="tx1"/>
                        </w14:solidFill>
                      </w14:textFill>
                    </w:rPr>
                    <w:t>发生故障</w:t>
                  </w:r>
                </w:p>
              </w:tc>
              <w:tc>
                <w:tcPr>
                  <w:tcW w:w="942" w:type="dxa"/>
                  <w:tcBorders>
                    <w:tl2br w:val="nil"/>
                    <w:tr2bl w:val="nil"/>
                  </w:tcBorders>
                  <w:vAlign w:val="center"/>
                </w:tcPr>
                <w:p>
                  <w:pPr>
                    <w:pStyle w:val="38"/>
                    <w:spacing w:before="31" w:after="31" w:line="240" w:lineRule="auto"/>
                    <w:ind w:firstLine="0"/>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w:t>
                  </w:r>
                </w:p>
              </w:tc>
              <w:tc>
                <w:tcPr>
                  <w:tcW w:w="736" w:type="dxa"/>
                  <w:tcBorders>
                    <w:tl2br w:val="nil"/>
                    <w:tr2bl w:val="nil"/>
                  </w:tcBorders>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ascii="Times New Roman"/>
                      <w:color w:val="000000" w:themeColor="text1"/>
                      <w:szCs w:val="21"/>
                      <w14:textFill>
                        <w14:solidFill>
                          <w14:schemeClr w14:val="tx1"/>
                        </w14:solidFill>
                      </w14:textFill>
                    </w:rPr>
                    <w:t>0.5</w:t>
                  </w:r>
                </w:p>
              </w:tc>
              <w:tc>
                <w:tcPr>
                  <w:tcW w:w="739"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w:t>
                  </w:r>
                </w:p>
              </w:tc>
              <w:tc>
                <w:tcPr>
                  <w:tcW w:w="753" w:type="dxa"/>
                  <w:tcBorders>
                    <w:tl2br w:val="nil"/>
                    <w:tr2bl w:val="nil"/>
                  </w:tcBorders>
                  <w:vAlign w:val="center"/>
                </w:tcPr>
                <w:p>
                  <w:pPr>
                    <w:adjustRightInd w:val="0"/>
                    <w:snapToGrid w:val="0"/>
                    <w:jc w:val="center"/>
                    <w:rPr>
                      <w:color w:val="auto"/>
                      <w:szCs w:val="21"/>
                    </w:rPr>
                  </w:pPr>
                  <w:r>
                    <w:rPr>
                      <w:color w:val="auto"/>
                      <w:szCs w:val="21"/>
                    </w:rPr>
                    <w:t>1h</w:t>
                  </w:r>
                </w:p>
              </w:tc>
              <w:tc>
                <w:tcPr>
                  <w:tcW w:w="933" w:type="dxa"/>
                  <w:tcBorders>
                    <w:tl2br w:val="nil"/>
                    <w:tr2bl w:val="nil"/>
                  </w:tcBorders>
                  <w:vAlign w:val="center"/>
                </w:tcPr>
                <w:p>
                  <w:pPr>
                    <w:adjustRightInd w:val="0"/>
                    <w:snapToGrid w:val="0"/>
                    <w:spacing w:line="240" w:lineRule="auto"/>
                    <w:ind w:firstLine="0" w:firstLineChars="0"/>
                    <w:jc w:val="center"/>
                    <w:rPr>
                      <w:rFonts w:hint="default"/>
                      <w:color w:val="auto"/>
                      <w:szCs w:val="21"/>
                      <w:lang w:val="en-US"/>
                    </w:rPr>
                  </w:pPr>
                  <w:r>
                    <w:rPr>
                      <w:rFonts w:hint="eastAsia" w:cs="Times New Roman"/>
                      <w:bCs/>
                      <w:color w:val="auto"/>
                      <w:kern w:val="1"/>
                      <w:sz w:val="21"/>
                      <w:szCs w:val="21"/>
                      <w:highlight w:val="none"/>
                      <w:lang w:val="en-US" w:eastAsia="zh-CN"/>
                    </w:rPr>
                    <w:t>2.18</w:t>
                  </w:r>
                </w:p>
              </w:tc>
            </w:tr>
          </w:tbl>
          <w:p>
            <w:pPr>
              <w:pStyle w:val="31"/>
              <w:jc w:val="both"/>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根据估算分析可知，在环保设施发生故障处理效率降至80%时，无组织污染物排放量远超标准限值。</w:t>
            </w:r>
            <w:r>
              <w:rPr>
                <w:color w:val="000000" w:themeColor="text1"/>
                <w14:textFill>
                  <w14:solidFill>
                    <w14:schemeClr w14:val="tx1"/>
                  </w14:solidFill>
                </w14:textFill>
              </w:rPr>
              <w:t>本项目环保设施均属常规设施，建设单位</w:t>
            </w:r>
            <w:r>
              <w:rPr>
                <w:rFonts w:hint="eastAsia"/>
                <w:color w:val="000000" w:themeColor="text1"/>
                <w:lang w:val="en-US" w:eastAsia="zh-CN"/>
                <w14:textFill>
                  <w14:solidFill>
                    <w14:schemeClr w14:val="tx1"/>
                  </w14:solidFill>
                </w14:textFill>
              </w:rPr>
              <w:t>应</w:t>
            </w:r>
            <w:r>
              <w:rPr>
                <w:color w:val="000000" w:themeColor="text1"/>
                <w14:textFill>
                  <w14:solidFill>
                    <w14:schemeClr w14:val="tx1"/>
                  </w14:solidFill>
                </w14:textFill>
              </w:rPr>
              <w:t>重视环保设施的</w:t>
            </w:r>
            <w:r>
              <w:rPr>
                <w:rFonts w:hint="eastAsia"/>
                <w:color w:val="000000" w:themeColor="text1"/>
                <w:lang w:val="en-US" w:eastAsia="zh-CN"/>
                <w14:textFill>
                  <w14:solidFill>
                    <w14:schemeClr w14:val="tx1"/>
                  </w14:solidFill>
                </w14:textFill>
              </w:rPr>
              <w:t>日常</w:t>
            </w:r>
            <w:r>
              <w:rPr>
                <w:color w:val="000000" w:themeColor="text1"/>
                <w14:textFill>
                  <w14:solidFill>
                    <w14:schemeClr w14:val="tx1"/>
                  </w14:solidFill>
                </w14:textFill>
              </w:rPr>
              <w:t>检修，加强设备的</w:t>
            </w:r>
            <w:r>
              <w:rPr>
                <w:rFonts w:hint="eastAsia"/>
                <w:color w:val="000000" w:themeColor="text1"/>
                <w:lang w:val="en-US" w:eastAsia="zh-CN"/>
                <w14:textFill>
                  <w14:solidFill>
                    <w14:schemeClr w14:val="tx1"/>
                  </w14:solidFill>
                </w14:textFill>
              </w:rPr>
              <w:t>日常</w:t>
            </w:r>
            <w:r>
              <w:rPr>
                <w:color w:val="000000" w:themeColor="text1"/>
                <w14:textFill>
                  <w14:solidFill>
                    <w14:schemeClr w14:val="tx1"/>
                  </w14:solidFill>
                </w14:textFill>
              </w:rPr>
              <w:t>运行管理，出现事故的概率较小</w:t>
            </w:r>
            <w:r>
              <w:rPr>
                <w:rFonts w:hint="eastAsia"/>
                <w:color w:val="000000" w:themeColor="text1"/>
                <w:lang w:eastAsia="zh-CN"/>
                <w14:textFill>
                  <w14:solidFill>
                    <w14:schemeClr w14:val="tx1"/>
                  </w14:solidFill>
                </w14:textFill>
              </w:rPr>
              <w:t>。</w:t>
            </w:r>
          </w:p>
          <w:p>
            <w:pPr>
              <w:pStyle w:val="31"/>
              <w:jc w:val="both"/>
              <w:rPr>
                <w:color w:val="000000" w:themeColor="text1"/>
                <w14:textFill>
                  <w14:solidFill>
                    <w14:schemeClr w14:val="tx1"/>
                  </w14:solidFill>
                </w14:textFill>
              </w:rPr>
            </w:pPr>
            <w:r>
              <w:rPr>
                <w:color w:val="000000" w:themeColor="text1"/>
                <w14:textFill>
                  <w14:solidFill>
                    <w14:schemeClr w14:val="tx1"/>
                  </w14:solidFill>
                </w14:textFill>
              </w:rPr>
              <w:t>为尽量避免非正常排放发生，建设单位应采取如下防范措施：</w:t>
            </w:r>
          </w:p>
          <w:p>
            <w:pPr>
              <w:pStyle w:val="31"/>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①建立完善的环保设施检修</w:t>
            </w:r>
            <w:r>
              <w:rPr>
                <w:rFonts w:hint="eastAsia"/>
                <w:color w:val="000000" w:themeColor="text1"/>
                <w:lang w:val="en-US" w:eastAsia="zh-CN"/>
                <w14:textFill>
                  <w14:solidFill>
                    <w14:schemeClr w14:val="tx1"/>
                  </w14:solidFill>
                </w14:textFill>
              </w:rPr>
              <w:t>机制</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做好生产设备和环保设施的管理、维修工作；对易发生非正常排放的设备进行管理，出现异常</w:t>
            </w:r>
            <w:r>
              <w:rPr>
                <w:rFonts w:hint="eastAsia"/>
                <w:color w:val="000000" w:themeColor="text1"/>
                <w:lang w:val="en-US" w:eastAsia="zh-CN"/>
                <w14:textFill>
                  <w14:solidFill>
                    <w14:schemeClr w14:val="tx1"/>
                  </w14:solidFill>
                </w14:textFill>
              </w:rPr>
              <w:t>时</w:t>
            </w:r>
            <w:r>
              <w:rPr>
                <w:color w:val="000000" w:themeColor="text1"/>
                <w14:textFill>
                  <w14:solidFill>
                    <w14:schemeClr w14:val="tx1"/>
                  </w14:solidFill>
                </w14:textFill>
              </w:rPr>
              <w:t>及时维修处理</w:t>
            </w:r>
            <w:r>
              <w:rPr>
                <w:rFonts w:hint="eastAsia"/>
                <w:color w:val="000000" w:themeColor="text1"/>
                <w:lang w:eastAsia="zh-CN"/>
                <w14:textFill>
                  <w14:solidFill>
                    <w14:schemeClr w14:val="tx1"/>
                  </w14:solidFill>
                </w14:textFill>
              </w:rPr>
              <w:t>；</w:t>
            </w:r>
          </w:p>
          <w:p>
            <w:pPr>
              <w:pStyle w:val="31"/>
              <w:jc w:val="both"/>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②</w:t>
            </w:r>
            <w:r>
              <w:rPr>
                <w:rFonts w:eastAsia="宋体"/>
                <w:color w:val="000000" w:themeColor="text1"/>
                <w:sz w:val="24"/>
                <w:szCs w:val="24"/>
                <w14:textFill>
                  <w14:solidFill>
                    <w14:schemeClr w14:val="tx1"/>
                  </w14:solidFill>
                </w14:textFill>
              </w:rPr>
              <w:t>出现事故情况，必要时应立即停产检修，待检修完毕后再进行生产。</w:t>
            </w:r>
          </w:p>
          <w:p>
            <w:pPr>
              <w:adjustRightInd w:val="0"/>
              <w:snapToGrid w:val="0"/>
              <w:spacing w:line="360" w:lineRule="auto"/>
              <w:ind w:firstLine="481" w:firstLineChars="200"/>
              <w:jc w:val="left"/>
              <w:rPr>
                <w:b/>
                <w:bCs/>
                <w:color w:val="000000" w:themeColor="text1"/>
                <w:sz w:val="24"/>
                <w:szCs w:val="22"/>
                <w14:textFill>
                  <w14:solidFill>
                    <w14:schemeClr w14:val="tx1"/>
                  </w14:solidFill>
                </w14:textFill>
              </w:rPr>
            </w:pPr>
            <w:r>
              <w:rPr>
                <w:rFonts w:hint="eastAsia"/>
                <w:b/>
                <w:bCs/>
                <w:color w:val="000000" w:themeColor="text1"/>
                <w:sz w:val="24"/>
                <w:szCs w:val="22"/>
                <w:lang w:val="en-US" w:eastAsia="zh-CN"/>
                <w14:textFill>
                  <w14:solidFill>
                    <w14:schemeClr w14:val="tx1"/>
                  </w14:solidFill>
                </w14:textFill>
              </w:rPr>
              <w:t>5</w:t>
            </w:r>
            <w:r>
              <w:rPr>
                <w:b/>
                <w:bCs/>
                <w:color w:val="000000" w:themeColor="text1"/>
                <w:sz w:val="24"/>
                <w:szCs w:val="22"/>
                <w14:textFill>
                  <w14:solidFill>
                    <w14:schemeClr w14:val="tx1"/>
                  </w14:solidFill>
                </w14:textFill>
              </w:rPr>
              <w:t>、</w:t>
            </w:r>
            <w:r>
              <w:rPr>
                <w:rFonts w:hint="eastAsia" w:eastAsiaTheme="minorEastAsia"/>
                <w:b/>
                <w:bCs/>
                <w:color w:val="000000" w:themeColor="text1"/>
                <w:sz w:val="24"/>
                <w14:textFill>
                  <w14:solidFill>
                    <w14:schemeClr w14:val="tx1"/>
                  </w14:solidFill>
                </w14:textFill>
              </w:rPr>
              <w:t>监测要求及排放标准</w:t>
            </w:r>
          </w:p>
          <w:p>
            <w:pPr>
              <w:widowControl/>
              <w:adjustRightInd w:val="0"/>
              <w:snapToGrid w:val="0"/>
              <w:spacing w:line="360" w:lineRule="auto"/>
              <w:ind w:firstLine="480" w:firstLineChars="200"/>
              <w:rPr>
                <w:color w:val="auto"/>
              </w:rPr>
            </w:pPr>
            <w:r>
              <w:rPr>
                <w:color w:val="000000" w:themeColor="text1"/>
                <w:kern w:val="0"/>
                <w:sz w:val="24"/>
                <w:lang w:bidi="ar"/>
                <w14:textFill>
                  <w14:solidFill>
                    <w14:schemeClr w14:val="tx1"/>
                  </w14:solidFill>
                </w14:textFill>
              </w:rPr>
              <w:t>根据《排污许可证申请与核发技术规范 水泥工业》（HJ847-2017）及《排污单位自行监测技术指南总则》（H819-2017）等相关标准、规范要求，并结合项目运营期间污</w:t>
            </w:r>
            <w:r>
              <w:rPr>
                <w:color w:val="auto"/>
                <w:kern w:val="0"/>
                <w:sz w:val="24"/>
                <w:lang w:bidi="ar"/>
              </w:rPr>
              <w:t>染物排放特点，制定本项目的污染源监测计划，建设单位需保证按监测计划实施。监测分析方法按照现行国家、部颁标准和有关规定执行。本项目大气自行监测计划见表4-8。</w:t>
            </w:r>
          </w:p>
          <w:p>
            <w:pPr>
              <w:keepNext w:val="0"/>
              <w:keepLines w:val="0"/>
              <w:pageBreakBefore w:val="0"/>
              <w:widowControl w:val="0"/>
              <w:kinsoku/>
              <w:wordWrap/>
              <w:overflowPunct/>
              <w:topLinePunct w:val="0"/>
              <w:autoSpaceDE/>
              <w:autoSpaceDN/>
              <w:bidi w:val="0"/>
              <w:adjustRightInd w:val="0"/>
              <w:snapToGrid w:val="0"/>
              <w:ind w:right="105" w:rightChars="50"/>
              <w:jc w:val="center"/>
              <w:textAlignment w:val="auto"/>
              <w:rPr>
                <w:b/>
                <w:bCs/>
                <w:color w:val="auto"/>
                <w:sz w:val="24"/>
                <w:szCs w:val="24"/>
              </w:rPr>
            </w:pPr>
            <w:r>
              <w:rPr>
                <w:b/>
                <w:bCs/>
                <w:color w:val="auto"/>
                <w:sz w:val="21"/>
                <w:szCs w:val="21"/>
              </w:rPr>
              <w:t xml:space="preserve">表4-8  </w:t>
            </w:r>
            <w:r>
              <w:rPr>
                <w:rFonts w:hint="eastAsia"/>
                <w:b/>
                <w:bCs/>
                <w:color w:val="auto"/>
                <w:sz w:val="21"/>
                <w:szCs w:val="21"/>
              </w:rPr>
              <w:t xml:space="preserve"> </w:t>
            </w:r>
            <w:r>
              <w:rPr>
                <w:b/>
                <w:bCs/>
                <w:color w:val="auto"/>
                <w:sz w:val="21"/>
                <w:szCs w:val="21"/>
              </w:rPr>
              <w:t>本项目运营期大气环境监测计划一览表</w:t>
            </w:r>
          </w:p>
          <w:tbl>
            <w:tblPr>
              <w:tblStyle w:val="24"/>
              <w:tblW w:w="83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1139"/>
              <w:gridCol w:w="1224"/>
              <w:gridCol w:w="48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2" w:type="dxa"/>
                  <w:vAlign w:val="center"/>
                </w:tcPr>
                <w:p>
                  <w:pPr>
                    <w:adjustRightInd w:val="0"/>
                    <w:snapToGrid w:val="0"/>
                    <w:jc w:val="center"/>
                    <w:rPr>
                      <w:b/>
                      <w:bCs/>
                      <w:color w:val="auto"/>
                      <w:szCs w:val="21"/>
                    </w:rPr>
                  </w:pPr>
                  <w:r>
                    <w:rPr>
                      <w:b/>
                      <w:bCs/>
                      <w:color w:val="auto"/>
                      <w:szCs w:val="21"/>
                    </w:rPr>
                    <w:t>监测位置</w:t>
                  </w:r>
                </w:p>
              </w:tc>
              <w:tc>
                <w:tcPr>
                  <w:tcW w:w="1139" w:type="dxa"/>
                  <w:vAlign w:val="center"/>
                </w:tcPr>
                <w:p>
                  <w:pPr>
                    <w:adjustRightInd w:val="0"/>
                    <w:snapToGrid w:val="0"/>
                    <w:jc w:val="center"/>
                    <w:rPr>
                      <w:b/>
                      <w:bCs/>
                      <w:color w:val="auto"/>
                      <w:szCs w:val="21"/>
                    </w:rPr>
                  </w:pPr>
                  <w:r>
                    <w:rPr>
                      <w:b/>
                      <w:bCs/>
                      <w:color w:val="auto"/>
                      <w:szCs w:val="21"/>
                    </w:rPr>
                    <w:t>监测指标</w:t>
                  </w:r>
                </w:p>
              </w:tc>
              <w:tc>
                <w:tcPr>
                  <w:tcW w:w="1224" w:type="dxa"/>
                  <w:vAlign w:val="center"/>
                </w:tcPr>
                <w:p>
                  <w:pPr>
                    <w:adjustRightInd w:val="0"/>
                    <w:snapToGrid w:val="0"/>
                    <w:jc w:val="center"/>
                    <w:rPr>
                      <w:b/>
                      <w:bCs/>
                      <w:color w:val="auto"/>
                      <w:szCs w:val="21"/>
                    </w:rPr>
                  </w:pPr>
                  <w:r>
                    <w:rPr>
                      <w:b/>
                      <w:bCs/>
                      <w:color w:val="auto"/>
                      <w:szCs w:val="21"/>
                    </w:rPr>
                    <w:t>监测频次</w:t>
                  </w:r>
                </w:p>
              </w:tc>
              <w:tc>
                <w:tcPr>
                  <w:tcW w:w="4859" w:type="dxa"/>
                  <w:vAlign w:val="center"/>
                </w:tcPr>
                <w:p>
                  <w:pPr>
                    <w:adjustRightInd w:val="0"/>
                    <w:snapToGrid w:val="0"/>
                    <w:jc w:val="center"/>
                    <w:rPr>
                      <w:b/>
                      <w:bCs/>
                      <w:color w:val="auto"/>
                      <w:szCs w:val="21"/>
                    </w:rPr>
                  </w:pPr>
                  <w:r>
                    <w:rPr>
                      <w:b/>
                      <w:bCs/>
                      <w:color w:val="auto"/>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2" w:type="dxa"/>
                  <w:vAlign w:val="center"/>
                </w:tcPr>
                <w:p>
                  <w:pPr>
                    <w:adjustRightInd w:val="0"/>
                    <w:snapToGrid w:val="0"/>
                    <w:jc w:val="center"/>
                    <w:rPr>
                      <w:color w:val="auto"/>
                      <w:szCs w:val="21"/>
                    </w:rPr>
                  </w:pPr>
                  <w:r>
                    <w:rPr>
                      <w:color w:val="auto"/>
                      <w:szCs w:val="21"/>
                    </w:rPr>
                    <w:t>厂界</w:t>
                  </w:r>
                </w:p>
              </w:tc>
              <w:tc>
                <w:tcPr>
                  <w:tcW w:w="1139" w:type="dxa"/>
                  <w:vAlign w:val="center"/>
                </w:tcPr>
                <w:p>
                  <w:pPr>
                    <w:pStyle w:val="31"/>
                    <w:adjustRightInd w:val="0"/>
                    <w:snapToGrid w:val="0"/>
                    <w:spacing w:line="240" w:lineRule="auto"/>
                    <w:ind w:firstLine="0" w:firstLineChars="0"/>
                    <w:jc w:val="center"/>
                    <w:rPr>
                      <w:color w:val="auto"/>
                      <w:sz w:val="21"/>
                      <w:szCs w:val="21"/>
                    </w:rPr>
                  </w:pPr>
                  <w:r>
                    <w:rPr>
                      <w:color w:val="auto"/>
                      <w:sz w:val="21"/>
                      <w:szCs w:val="21"/>
                    </w:rPr>
                    <w:t>颗粒物</w:t>
                  </w:r>
                </w:p>
              </w:tc>
              <w:tc>
                <w:tcPr>
                  <w:tcW w:w="1224" w:type="dxa"/>
                  <w:vAlign w:val="center"/>
                </w:tcPr>
                <w:p>
                  <w:pPr>
                    <w:pStyle w:val="31"/>
                    <w:adjustRightInd w:val="0"/>
                    <w:snapToGrid w:val="0"/>
                    <w:spacing w:line="240" w:lineRule="auto"/>
                    <w:ind w:firstLine="0" w:firstLineChars="0"/>
                    <w:jc w:val="center"/>
                    <w:rPr>
                      <w:color w:val="auto"/>
                      <w:sz w:val="21"/>
                      <w:szCs w:val="21"/>
                    </w:rPr>
                  </w:pPr>
                  <w:r>
                    <w:rPr>
                      <w:rFonts w:hint="eastAsia"/>
                      <w:color w:val="auto"/>
                      <w:sz w:val="21"/>
                      <w:szCs w:val="21"/>
                      <w:lang w:val="en-US" w:eastAsia="zh-CN"/>
                    </w:rPr>
                    <w:t>1</w:t>
                  </w:r>
                  <w:r>
                    <w:rPr>
                      <w:color w:val="auto"/>
                      <w:sz w:val="21"/>
                      <w:szCs w:val="21"/>
                    </w:rPr>
                    <w:t>次/季度</w:t>
                  </w:r>
                </w:p>
              </w:tc>
              <w:tc>
                <w:tcPr>
                  <w:tcW w:w="4859" w:type="dxa"/>
                  <w:vAlign w:val="center"/>
                </w:tcPr>
                <w:p>
                  <w:pPr>
                    <w:widowControl/>
                    <w:adjustRightInd w:val="0"/>
                    <w:snapToGrid w:val="0"/>
                    <w:jc w:val="center"/>
                    <w:rPr>
                      <w:color w:val="auto"/>
                      <w:szCs w:val="21"/>
                    </w:rPr>
                  </w:pPr>
                  <w:r>
                    <w:rPr>
                      <w:color w:val="auto"/>
                      <w:sz w:val="24"/>
                    </w:rPr>
                    <w:t>《</w:t>
                  </w:r>
                  <w:r>
                    <w:rPr>
                      <w:color w:val="auto"/>
                      <w:sz w:val="21"/>
                      <w:szCs w:val="21"/>
                    </w:rPr>
                    <w:t>水泥工业大气污染物排放标准》</w:t>
                  </w:r>
                  <w:r>
                    <w:rPr>
                      <w:rFonts w:hint="eastAsia"/>
                      <w:color w:val="auto"/>
                      <w:sz w:val="21"/>
                      <w:szCs w:val="21"/>
                      <w:lang w:eastAsia="zh-CN"/>
                    </w:rPr>
                    <w:t>（</w:t>
                  </w:r>
                  <w:r>
                    <w:rPr>
                      <w:rFonts w:hint="eastAsia"/>
                      <w:color w:val="auto"/>
                      <w:sz w:val="21"/>
                      <w:szCs w:val="21"/>
                      <w:lang w:val="en-US" w:eastAsia="zh-CN"/>
                    </w:rPr>
                    <w:t>DB64/1995-2024</w:t>
                  </w:r>
                  <w:r>
                    <w:rPr>
                      <w:rFonts w:hint="eastAsia"/>
                      <w:color w:val="auto"/>
                      <w:sz w:val="21"/>
                      <w:szCs w:val="21"/>
                      <w:lang w:eastAsia="zh-CN"/>
                    </w:rPr>
                    <w:t>）</w:t>
                  </w:r>
                  <w:r>
                    <w:rPr>
                      <w:rFonts w:hint="eastAsia"/>
                      <w:color w:val="auto"/>
                      <w:sz w:val="21"/>
                      <w:szCs w:val="21"/>
                      <w:lang w:val="en-US" w:eastAsia="zh-CN"/>
                    </w:rPr>
                    <w:t>中</w:t>
                  </w:r>
                  <w:r>
                    <w:rPr>
                      <w:color w:val="auto"/>
                      <w:sz w:val="21"/>
                      <w:szCs w:val="21"/>
                    </w:rPr>
                    <w:t>表</w:t>
                  </w:r>
                  <w:r>
                    <w:rPr>
                      <w:rFonts w:hint="eastAsia"/>
                      <w:color w:val="auto"/>
                      <w:sz w:val="21"/>
                      <w:szCs w:val="21"/>
                      <w:lang w:val="en-US" w:eastAsia="zh-CN"/>
                    </w:rPr>
                    <w:t>2企业边界</w:t>
                  </w:r>
                  <w:r>
                    <w:rPr>
                      <w:rFonts w:hint="eastAsia"/>
                      <w:color w:val="auto"/>
                      <w:sz w:val="21"/>
                      <w:szCs w:val="21"/>
                    </w:rPr>
                    <w:t>大气污染物</w:t>
                  </w:r>
                  <w:r>
                    <w:rPr>
                      <w:rFonts w:hint="eastAsia"/>
                      <w:color w:val="auto"/>
                      <w:sz w:val="21"/>
                      <w:szCs w:val="21"/>
                      <w:lang w:val="en-US" w:eastAsia="zh-CN"/>
                    </w:rPr>
                    <w:t>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34" w:type="dxa"/>
                  <w:gridSpan w:val="4"/>
                  <w:vAlign w:val="center"/>
                </w:tcPr>
                <w:p>
                  <w:pPr>
                    <w:widowControl/>
                    <w:adjustRightInd w:val="0"/>
                    <w:snapToGrid w:val="0"/>
                    <w:jc w:val="both"/>
                    <w:rPr>
                      <w:color w:val="auto"/>
                      <w:sz w:val="24"/>
                    </w:rPr>
                  </w:pPr>
                  <w:r>
                    <w:rPr>
                      <w:rFonts w:hint="default" w:ascii="Times New Roman" w:hAnsi="Times New Roman" w:eastAsia="宋体" w:cs="Times New Roman"/>
                      <w:color w:val="auto"/>
                      <w:sz w:val="21"/>
                      <w:szCs w:val="21"/>
                      <w:lang w:val="en-US" w:eastAsia="zh-CN"/>
                    </w:rPr>
                    <w:t>注：</w:t>
                  </w:r>
                  <w:r>
                    <w:rPr>
                      <w:rFonts w:hint="eastAsia"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项目属于临时工程，间断运行3个月，在每次开工时对厂界的颗粒物进行1次监测，即为1次/开工运行。</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1" w:firstLineChars="200"/>
              <w:jc w:val="left"/>
              <w:textAlignment w:val="auto"/>
              <w:rPr>
                <w:rFonts w:eastAsiaTheme="minorEastAsia"/>
                <w:b/>
                <w:bCs/>
                <w:color w:val="auto"/>
                <w:sz w:val="24"/>
              </w:rPr>
            </w:pPr>
            <w:r>
              <w:rPr>
                <w:rFonts w:hint="eastAsia" w:eastAsiaTheme="minorEastAsia"/>
                <w:b/>
                <w:bCs/>
                <w:color w:val="auto"/>
                <w:sz w:val="24"/>
                <w:lang w:val="en-US" w:eastAsia="zh-CN"/>
              </w:rPr>
              <w:t>6</w:t>
            </w:r>
            <w:r>
              <w:rPr>
                <w:rFonts w:hint="eastAsia" w:eastAsiaTheme="minorEastAsia"/>
                <w:b/>
                <w:bCs/>
                <w:color w:val="auto"/>
                <w:sz w:val="24"/>
              </w:rPr>
              <w:t>、废气排放环境影响</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napToGrid w:val="0"/>
                <w:color w:val="auto"/>
                <w:sz w:val="24"/>
                <w:szCs w:val="24"/>
                <w:lang w:val="en-US" w:eastAsia="zh-CN"/>
              </w:rPr>
            </w:pPr>
            <w:r>
              <w:rPr>
                <w:rFonts w:hint="default" w:ascii="Times New Roman" w:hAnsi="Times New Roman" w:cs="Times New Roman" w:eastAsiaTheme="minorEastAsia"/>
                <w:color w:val="auto"/>
                <w:sz w:val="24"/>
                <w:szCs w:val="24"/>
              </w:rPr>
              <w:t>本项目位于中卫市</w:t>
            </w:r>
            <w:r>
              <w:rPr>
                <w:rFonts w:hint="eastAsia" w:cs="Times New Roman" w:eastAsiaTheme="minorEastAsia"/>
                <w:color w:val="auto"/>
                <w:sz w:val="24"/>
                <w:szCs w:val="24"/>
                <w:lang w:val="en-US" w:eastAsia="zh-CN"/>
              </w:rPr>
              <w:t>沙坡头区东园镇</w:t>
            </w:r>
            <w:r>
              <w:rPr>
                <w:rFonts w:hint="default" w:ascii="Times New Roman" w:hAnsi="Times New Roman" w:cs="Times New Roman" w:eastAsiaTheme="minorEastAsia"/>
                <w:snapToGrid w:val="0"/>
                <w:color w:val="auto"/>
                <w:sz w:val="24"/>
                <w:szCs w:val="24"/>
              </w:rPr>
              <w:t>，根据</w:t>
            </w:r>
            <w:r>
              <w:rPr>
                <w:rFonts w:hint="default" w:ascii="Times New Roman" w:hAnsi="Times New Roman" w:cs="Times New Roman" w:eastAsiaTheme="minorEastAsia"/>
                <w:color w:val="auto"/>
                <w:sz w:val="24"/>
                <w:szCs w:val="24"/>
              </w:rPr>
              <w:t>《20</w:t>
            </w:r>
            <w:r>
              <w:rPr>
                <w:rFonts w:hint="eastAsia" w:cs="Times New Roman" w:eastAsiaTheme="minorEastAsia"/>
                <w:color w:val="auto"/>
                <w:sz w:val="24"/>
                <w:szCs w:val="24"/>
                <w:lang w:val="en-US" w:eastAsia="zh-CN"/>
              </w:rPr>
              <w:t>23</w:t>
            </w:r>
            <w:r>
              <w:rPr>
                <w:rFonts w:hint="default" w:ascii="Times New Roman" w:hAnsi="Times New Roman" w:cs="Times New Roman" w:eastAsiaTheme="minorEastAsia"/>
                <w:color w:val="auto"/>
                <w:sz w:val="24"/>
                <w:szCs w:val="24"/>
              </w:rPr>
              <w:t>年宁夏生态环境质量状况》中剔除沙尘天气影响后</w:t>
            </w:r>
            <w:r>
              <w:rPr>
                <w:rFonts w:hint="default" w:ascii="Times New Roman" w:hAnsi="Times New Roman" w:cs="Times New Roman" w:eastAsiaTheme="minorEastAsia"/>
                <w:snapToGrid w:val="0"/>
                <w:color w:val="auto"/>
                <w:sz w:val="24"/>
                <w:szCs w:val="24"/>
              </w:rPr>
              <w:t>数据和结论进行区域达标的判定，项目所在区域为达标区。</w:t>
            </w:r>
            <w:r>
              <w:rPr>
                <w:rFonts w:hint="eastAsia" w:cs="Times New Roman" w:eastAsiaTheme="minorEastAsia"/>
                <w:snapToGrid w:val="0"/>
                <w:color w:val="auto"/>
                <w:sz w:val="24"/>
                <w:szCs w:val="24"/>
                <w:lang w:val="en-US" w:eastAsia="zh-CN"/>
              </w:rPr>
              <w:t>项目产生的大气污染物主要为颗粒物，针对各环节产生的污染物分别采取如下措施：</w:t>
            </w:r>
          </w:p>
          <w:p>
            <w:pPr>
              <w:pStyle w:val="9"/>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snapToGrid w:val="0"/>
                <w:color w:val="000000" w:themeColor="text1"/>
                <w:sz w:val="24"/>
                <w:szCs w:val="24"/>
                <w14:textFill>
                  <w14:solidFill>
                    <w14:schemeClr w14:val="tx1"/>
                  </w14:solidFill>
                </w14:textFill>
              </w:rPr>
              <w:t>项目</w:t>
            </w:r>
            <w:r>
              <w:rPr>
                <w:rFonts w:hint="default" w:ascii="Times New Roman" w:hAnsi="Times New Roman" w:cs="Times New Roman" w:eastAsiaTheme="minorEastAsia"/>
                <w:color w:val="000000" w:themeColor="text1"/>
                <w:sz w:val="24"/>
                <w:szCs w:val="24"/>
                <w14:textFill>
                  <w14:solidFill>
                    <w14:schemeClr w14:val="tx1"/>
                  </w14:solidFill>
                </w14:textFill>
              </w:rPr>
              <w:t>原料仓粉尘G1</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采用</w:t>
            </w:r>
            <w:r>
              <w:rPr>
                <w:b w:val="0"/>
                <w:bCs w:val="0"/>
                <w:color w:val="000000" w:themeColor="text1"/>
                <w:sz w:val="24"/>
                <w:szCs w:val="24"/>
                <w14:textFill>
                  <w14:solidFill>
                    <w14:schemeClr w14:val="tx1"/>
                  </w14:solidFill>
                </w14:textFill>
              </w:rPr>
              <w:t>封闭式原料仓，物料全覆盖措施，</w:t>
            </w:r>
            <w:r>
              <w:rPr>
                <w:rFonts w:hint="eastAsia"/>
                <w:b w:val="0"/>
                <w:bCs w:val="0"/>
                <w:color w:val="000000" w:themeColor="text1"/>
                <w:sz w:val="24"/>
                <w:szCs w:val="24"/>
                <w:lang w:eastAsia="zh-CN"/>
                <w14:textFill>
                  <w14:solidFill>
                    <w14:schemeClr w14:val="tx1"/>
                  </w14:solidFill>
                </w14:textFill>
              </w:rPr>
              <w:t>及时</w:t>
            </w:r>
            <w:r>
              <w:rPr>
                <w:rFonts w:hint="eastAsia"/>
                <w:b w:val="0"/>
                <w:bCs w:val="0"/>
                <w:color w:val="000000" w:themeColor="text1"/>
                <w:sz w:val="24"/>
                <w:szCs w:val="24"/>
                <w:lang w:val="en-US" w:eastAsia="zh-CN"/>
                <w14:textFill>
                  <w14:solidFill>
                    <w14:schemeClr w14:val="tx1"/>
                  </w14:solidFill>
                </w14:textFill>
              </w:rPr>
              <w:t>进行</w:t>
            </w:r>
            <w:r>
              <w:rPr>
                <w:b w:val="0"/>
                <w:bCs w:val="0"/>
                <w:color w:val="000000" w:themeColor="text1"/>
                <w:sz w:val="24"/>
                <w:szCs w:val="24"/>
                <w14:textFill>
                  <w14:solidFill>
                    <w14:schemeClr w14:val="tx1"/>
                  </w14:solidFill>
                </w14:textFill>
              </w:rPr>
              <w:t>洒水降尘</w:t>
            </w:r>
            <w:r>
              <w:rPr>
                <w:rFonts w:hint="default" w:ascii="Times New Roman" w:hAnsi="Times New Roman" w:cs="Times New Roman" w:eastAsiaTheme="minorEastAsia"/>
                <w:color w:val="000000" w:themeColor="text1"/>
                <w:sz w:val="24"/>
                <w:szCs w:val="24"/>
                <w14:textFill>
                  <w14:solidFill>
                    <w14:schemeClr w14:val="tx1"/>
                  </w14:solidFill>
                </w14:textFill>
              </w:rPr>
              <w:t>；</w:t>
            </w:r>
          </w:p>
          <w:p>
            <w:pPr>
              <w:pStyle w:val="9"/>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textAlignment w:val="auto"/>
              <w:rPr>
                <w:rFonts w:hint="eastAsia"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石料、水洗砂由铲车送至配料机的废气G2</w:t>
            </w:r>
            <w:r>
              <w:rPr>
                <w:rFonts w:hint="eastAsia" w:cs="Times New Roman" w:eastAsiaTheme="minorEastAsia"/>
                <w:color w:val="000000" w:themeColor="text1"/>
                <w:sz w:val="24"/>
                <w:szCs w:val="24"/>
                <w:lang w:eastAsia="zh-CN"/>
                <w14:textFill>
                  <w14:solidFill>
                    <w14:schemeClr w14:val="tx1"/>
                  </w14:solidFill>
                </w14:textFill>
              </w:rPr>
              <w:t>：配料机顶部设置防静电挡尘帘，并采取定期洒水措施</w:t>
            </w:r>
            <w:r>
              <w:rPr>
                <w:rFonts w:hint="default" w:ascii="Times New Roman" w:hAnsi="Times New Roman" w:cs="Times New Roman" w:eastAsiaTheme="minorEastAsia"/>
                <w:color w:val="000000" w:themeColor="text1"/>
                <w:sz w:val="24"/>
                <w:szCs w:val="24"/>
                <w14:textFill>
                  <w14:solidFill>
                    <w14:schemeClr w14:val="tx1"/>
                  </w14:solidFill>
                </w14:textFill>
              </w:rPr>
              <w:t>；</w:t>
            </w:r>
          </w:p>
          <w:p>
            <w:pPr>
              <w:pStyle w:val="9"/>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textAlignment w:val="auto"/>
              <w:rPr>
                <w:rFonts w:hint="eastAsia"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石料和水洗砂由皮带输送机至骨料中间仓的废气G3</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使用</w:t>
            </w:r>
            <w:r>
              <w:rPr>
                <w:rFonts w:hint="default" w:ascii="Times New Roman" w:hAnsi="Times New Roman" w:cs="Times New Roman" w:eastAsiaTheme="minorEastAsia"/>
                <w:color w:val="000000" w:themeColor="text1"/>
                <w:kern w:val="0"/>
                <w:sz w:val="24"/>
                <w:szCs w:val="24"/>
                <w:lang w:bidi="ar"/>
                <w14:textFill>
                  <w14:solidFill>
                    <w14:schemeClr w14:val="tx1"/>
                  </w14:solidFill>
                </w14:textFill>
              </w:rPr>
              <w:t>密闭输送皮带</w:t>
            </w:r>
            <w:r>
              <w:rPr>
                <w:rFonts w:hint="default" w:ascii="Times New Roman" w:hAnsi="Times New Roman" w:cs="Times New Roman" w:eastAsiaTheme="minorEastAsia"/>
                <w:color w:val="000000" w:themeColor="text1"/>
                <w:kern w:val="0"/>
                <w:sz w:val="24"/>
                <w:szCs w:val="24"/>
                <w:lang w:eastAsia="zh-CN" w:bidi="ar"/>
                <w14:textFill>
                  <w14:solidFill>
                    <w14:schemeClr w14:val="tx1"/>
                  </w14:solidFill>
                </w14:textFill>
              </w:rPr>
              <w:t>，</w:t>
            </w:r>
            <w:r>
              <w:rPr>
                <w:rFonts w:hint="default" w:ascii="Times New Roman" w:hAnsi="Times New Roman" w:cs="Times New Roman" w:eastAsiaTheme="minorEastAsia"/>
                <w:color w:val="000000" w:themeColor="text1"/>
                <w:kern w:val="0"/>
                <w:sz w:val="24"/>
                <w:szCs w:val="24"/>
                <w:lang w:bidi="ar"/>
                <w14:textFill>
                  <w14:solidFill>
                    <w14:schemeClr w14:val="tx1"/>
                  </w14:solidFill>
                </w14:textFill>
              </w:rPr>
              <w:t>搅拌机配套布袋除尘</w:t>
            </w: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器</w:t>
            </w:r>
            <w:r>
              <w:rPr>
                <w:rFonts w:hint="eastAsia" w:cs="Times New Roman" w:eastAsiaTheme="minorEastAsia"/>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处理后排放</w:t>
            </w:r>
            <w:r>
              <w:rPr>
                <w:rFonts w:hint="default" w:ascii="Times New Roman" w:hAnsi="Times New Roman" w:cs="Times New Roman" w:eastAsiaTheme="minorEastAsia"/>
                <w:color w:val="000000" w:themeColor="text1"/>
                <w:kern w:val="0"/>
                <w:sz w:val="24"/>
                <w:szCs w:val="24"/>
                <w:lang w:bidi="ar"/>
                <w14:textFill>
                  <w14:solidFill>
                    <w14:schemeClr w14:val="tx1"/>
                  </w14:solidFill>
                </w14:textFill>
              </w:rPr>
              <w:t>；</w:t>
            </w:r>
          </w:p>
          <w:p>
            <w:pPr>
              <w:pStyle w:val="9"/>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textAlignment w:val="auto"/>
              <w:rPr>
                <w:rFonts w:hint="eastAsia"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水泥筒仓呼吸口废气G4</w:t>
            </w:r>
            <w:r>
              <w:rPr>
                <w:rFonts w:hint="eastAsia" w:cs="Times New Roman" w:eastAsiaTheme="minorEastAsia"/>
                <w:color w:val="000000" w:themeColor="text1"/>
                <w:sz w:val="24"/>
                <w:szCs w:val="24"/>
                <w:lang w:eastAsia="zh-CN"/>
                <w14:textFill>
                  <w14:solidFill>
                    <w14:schemeClr w14:val="tx1"/>
                  </w14:solidFill>
                </w14:textFill>
              </w:rPr>
              <w:t>：筒仓仓顶配套布袋除尘</w:t>
            </w:r>
            <w:r>
              <w:rPr>
                <w:rFonts w:hint="eastAsia" w:cs="Times New Roman" w:eastAsiaTheme="minorEastAsia"/>
                <w:color w:val="000000" w:themeColor="text1"/>
                <w:sz w:val="24"/>
                <w:szCs w:val="24"/>
                <w:lang w:val="en-US" w:eastAsia="zh-CN"/>
                <w14:textFill>
                  <w14:solidFill>
                    <w14:schemeClr w14:val="tx1"/>
                  </w14:solidFill>
                </w14:textFill>
              </w:rPr>
              <w:t>器</w:t>
            </w:r>
            <w:r>
              <w:rPr>
                <w:rFonts w:hint="eastAsia" w:cs="Times New Roman" w:eastAsiaTheme="minorEastAsia"/>
                <w:color w:val="000000" w:themeColor="text1"/>
                <w:sz w:val="24"/>
                <w:szCs w:val="24"/>
                <w:lang w:eastAsia="zh-CN"/>
                <w14:textFill>
                  <w14:solidFill>
                    <w14:schemeClr w14:val="tx1"/>
                  </w14:solidFill>
                </w14:textFill>
              </w:rPr>
              <w:t>，</w:t>
            </w:r>
            <w:r>
              <w:rPr>
                <w:rFonts w:hint="eastAsia" w:cs="Times New Roman" w:eastAsiaTheme="minorEastAsia"/>
                <w:color w:val="000000" w:themeColor="text1"/>
                <w:sz w:val="24"/>
                <w:szCs w:val="24"/>
                <w:lang w:val="en-US" w:eastAsia="zh-CN"/>
                <w14:textFill>
                  <w14:solidFill>
                    <w14:schemeClr w14:val="tx1"/>
                  </w14:solidFill>
                </w14:textFill>
              </w:rPr>
              <w:t>处理后排放</w:t>
            </w:r>
            <w:r>
              <w:rPr>
                <w:rFonts w:hint="eastAsia" w:cs="Times New Roman" w:eastAsiaTheme="minorEastAsia"/>
                <w:color w:val="000000" w:themeColor="text1"/>
                <w:sz w:val="24"/>
                <w:szCs w:val="24"/>
                <w:lang w:eastAsia="zh-CN"/>
                <w14:textFill>
                  <w14:solidFill>
                    <w14:schemeClr w14:val="tx1"/>
                  </w14:solidFill>
                </w14:textFill>
              </w:rPr>
              <w:t>；</w:t>
            </w:r>
          </w:p>
          <w:p>
            <w:pPr>
              <w:pStyle w:val="9"/>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textAlignment w:val="auto"/>
              <w:rPr>
                <w:rFonts w:hint="eastAsia"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搅拌机搅拌废气G5</w:t>
            </w:r>
            <w:r>
              <w:rPr>
                <w:rFonts w:hint="eastAsia" w:cs="Times New Roman" w:eastAsiaTheme="minorEastAsia"/>
                <w:color w:val="000000" w:themeColor="text1"/>
                <w:sz w:val="24"/>
                <w:szCs w:val="24"/>
                <w:lang w:eastAsia="zh-CN"/>
                <w14:textFill>
                  <w14:solidFill>
                    <w14:schemeClr w14:val="tx1"/>
                  </w14:solidFill>
                </w14:textFill>
              </w:rPr>
              <w:t>：搅拌机配套布袋除尘</w:t>
            </w:r>
            <w:r>
              <w:rPr>
                <w:rFonts w:hint="eastAsia" w:cs="Times New Roman" w:eastAsiaTheme="minorEastAsia"/>
                <w:color w:val="000000" w:themeColor="text1"/>
                <w:sz w:val="24"/>
                <w:szCs w:val="24"/>
                <w:lang w:val="en-US" w:eastAsia="zh-CN"/>
                <w14:textFill>
                  <w14:solidFill>
                    <w14:schemeClr w14:val="tx1"/>
                  </w14:solidFill>
                </w14:textFill>
              </w:rPr>
              <w:t>器，处理后排放</w:t>
            </w:r>
            <w:r>
              <w:rPr>
                <w:rFonts w:hint="eastAsia" w:cs="Times New Roman" w:eastAsiaTheme="minorEastAsia"/>
                <w:color w:val="000000" w:themeColor="text1"/>
                <w:sz w:val="24"/>
                <w:szCs w:val="24"/>
                <w:lang w:eastAsia="zh-CN"/>
                <w14:textFill>
                  <w14:solidFill>
                    <w14:schemeClr w14:val="tx1"/>
                  </w14:solidFill>
                </w14:textFill>
              </w:rPr>
              <w:t>；</w:t>
            </w:r>
          </w:p>
          <w:p>
            <w:pPr>
              <w:pStyle w:val="9"/>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textAlignment w:val="auto"/>
              <w:rPr>
                <w:rFonts w:hint="eastAsia"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车辆运输扬尘G6</w:t>
            </w:r>
            <w:r>
              <w:rPr>
                <w:rFonts w:hint="eastAsia" w:cs="Times New Roman" w:eastAsiaTheme="minorEastAsia"/>
                <w:color w:val="000000" w:themeColor="text1"/>
                <w:sz w:val="24"/>
                <w:szCs w:val="24"/>
                <w:lang w:eastAsia="zh-CN"/>
                <w14:textFill>
                  <w14:solidFill>
                    <w14:schemeClr w14:val="tx1"/>
                  </w14:solidFill>
                </w14:textFill>
              </w:rPr>
              <w:t>：运输车辆缓慢行驶且不得超载；厂区门口设置车辆冲洗平台，并采取定期道路洒水降尘、</w:t>
            </w:r>
            <w:r>
              <w:rPr>
                <w:rFonts w:hint="eastAsia" w:cs="Times New Roman" w:eastAsiaTheme="minorEastAsia"/>
                <w:color w:val="000000" w:themeColor="text1"/>
                <w:sz w:val="24"/>
                <w:szCs w:val="24"/>
                <w:lang w:val="en-US" w:eastAsia="zh-CN"/>
                <w14:textFill>
                  <w14:solidFill>
                    <w14:schemeClr w14:val="tx1"/>
                  </w14:solidFill>
                </w14:textFill>
              </w:rPr>
              <w:t>物料苫盖遮挡</w:t>
            </w:r>
            <w:r>
              <w:rPr>
                <w:rFonts w:hint="eastAsia" w:cs="Times New Roman" w:eastAsiaTheme="minorEastAsia"/>
                <w:color w:val="000000" w:themeColor="text1"/>
                <w:sz w:val="24"/>
                <w:szCs w:val="24"/>
                <w:lang w:eastAsia="zh-CN"/>
                <w14:textFill>
                  <w14:solidFill>
                    <w14:schemeClr w14:val="tx1"/>
                  </w14:solidFill>
                </w14:textFill>
              </w:rPr>
              <w:t>措施</w:t>
            </w:r>
            <w:r>
              <w:rPr>
                <w:rFonts w:hint="default" w:ascii="Times New Roman" w:hAnsi="Times New Roman" w:cs="Times New Roman" w:eastAsiaTheme="minorEastAsia"/>
                <w:color w:val="000000" w:themeColor="text1"/>
                <w:sz w:val="24"/>
                <w:szCs w:val="24"/>
                <w14:textFill>
                  <w14:solidFill>
                    <w14:schemeClr w14:val="tx1"/>
                  </w14:solidFill>
                </w14:textFill>
              </w:rPr>
              <w:t>。</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本项目为黄河宁夏段河道治理工程(中卫段)2024年第一批一标段预制</w:t>
            </w:r>
            <w:r>
              <w:rPr>
                <w:rFonts w:hint="default" w:ascii="Times New Roman" w:hAnsi="Times New Roman" w:cs="Times New Roman" w:eastAsiaTheme="minorEastAsia"/>
                <w:bCs/>
                <w:snapToGrid w:val="0"/>
                <w:color w:val="000000" w:themeColor="text1"/>
                <w:kern w:val="0"/>
                <w:sz w:val="24"/>
                <w:szCs w:val="24"/>
                <w14:textFill>
                  <w14:solidFill>
                    <w14:schemeClr w14:val="tx1"/>
                  </w14:solidFill>
                </w14:textFill>
              </w:rPr>
              <w:t>施工期</w:t>
            </w:r>
            <w:r>
              <w:rPr>
                <w:rFonts w:hint="eastAsia" w:cs="Times New Roman" w:eastAsiaTheme="minorEastAsia"/>
                <w:bCs/>
                <w:snapToGrid w:val="0"/>
                <w:color w:val="000000" w:themeColor="text1"/>
                <w:kern w:val="0"/>
                <w:sz w:val="24"/>
                <w:szCs w:val="24"/>
                <w:lang w:val="en-US" w:eastAsia="zh-CN"/>
                <w14:textFill>
                  <w14:solidFill>
                    <w14:schemeClr w14:val="tx1"/>
                  </w14:solidFill>
                </w14:textFill>
              </w:rPr>
              <w:t>的</w:t>
            </w:r>
            <w:r>
              <w:rPr>
                <w:rFonts w:hint="default" w:ascii="Times New Roman" w:hAnsi="Times New Roman" w:cs="Times New Roman" w:eastAsiaTheme="minorEastAsia"/>
                <w:bCs/>
                <w:snapToGrid w:val="0"/>
                <w:color w:val="000000" w:themeColor="text1"/>
                <w:kern w:val="0"/>
                <w:sz w:val="24"/>
                <w:szCs w:val="24"/>
                <w14:textFill>
                  <w14:solidFill>
                    <w14:schemeClr w14:val="tx1"/>
                  </w14:solidFill>
                </w14:textFill>
              </w:rPr>
              <w:t>临时工程，</w:t>
            </w:r>
            <w:r>
              <w:rPr>
                <w:rFonts w:hint="default" w:ascii="Times New Roman" w:hAnsi="Times New Roman" w:cs="Times New Roman" w:eastAsiaTheme="minorEastAsia"/>
                <w:color w:val="000000" w:themeColor="text1"/>
                <w:sz w:val="24"/>
                <w:szCs w:val="24"/>
                <w14:textFill>
                  <w14:solidFill>
                    <w14:schemeClr w14:val="tx1"/>
                  </w14:solidFill>
                </w14:textFill>
              </w:rPr>
              <w:t>项目运行期为</w:t>
            </w: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个月，对项目周边环境影响短暂存在，</w:t>
            </w:r>
            <w:r>
              <w:rPr>
                <w:rFonts w:hint="eastAsia" w:cs="Times New Roman" w:eastAsiaTheme="minorEastAsia"/>
                <w:color w:val="000000" w:themeColor="text1"/>
                <w:sz w:val="24"/>
                <w:szCs w:val="24"/>
                <w:lang w:eastAsia="zh-CN"/>
                <w14:textFill>
                  <w14:solidFill>
                    <w14:schemeClr w14:val="tx1"/>
                  </w14:solidFill>
                </w14:textFill>
              </w:rPr>
              <w:t>工程</w:t>
            </w:r>
            <w:r>
              <w:rPr>
                <w:rFonts w:hint="default" w:ascii="Times New Roman" w:hAnsi="Times New Roman" w:cs="Times New Roman" w:eastAsiaTheme="minorEastAsia"/>
                <w:color w:val="000000" w:themeColor="text1"/>
                <w:sz w:val="24"/>
                <w:szCs w:val="24"/>
                <w14:textFill>
                  <w14:solidFill>
                    <w14:schemeClr w14:val="tx1"/>
                  </w14:solidFill>
                </w14:textFill>
              </w:rPr>
              <w:t>结束后此影响</w:t>
            </w:r>
            <w:r>
              <w:rPr>
                <w:rFonts w:hint="eastAsia" w:cs="Times New Roman" w:eastAsiaTheme="minorEastAsia"/>
                <w:color w:val="000000" w:themeColor="text1"/>
                <w:sz w:val="24"/>
                <w:szCs w:val="24"/>
                <w:lang w:val="en-US" w:eastAsia="zh-CN"/>
                <w14:textFill>
                  <w14:solidFill>
                    <w14:schemeClr w14:val="tx1"/>
                  </w14:solidFill>
                </w14:textFill>
              </w:rPr>
              <w:t>会直接</w:t>
            </w:r>
            <w:r>
              <w:rPr>
                <w:rFonts w:hint="default" w:ascii="Times New Roman" w:hAnsi="Times New Roman" w:cs="Times New Roman" w:eastAsiaTheme="minorEastAsia"/>
                <w:color w:val="000000" w:themeColor="text1"/>
                <w:sz w:val="24"/>
                <w:szCs w:val="24"/>
                <w14:textFill>
                  <w14:solidFill>
                    <w14:schemeClr w14:val="tx1"/>
                  </w14:solidFill>
                </w14:textFill>
              </w:rPr>
              <w:t>消失</w:t>
            </w:r>
            <w:r>
              <w:rPr>
                <w:rFonts w:hint="eastAsia" w:cs="Times New Roman" w:eastAsiaTheme="minorEastAsia"/>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1"/>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二、</w:t>
            </w:r>
            <w:r>
              <w:rPr>
                <w:rFonts w:hint="default" w:ascii="Times New Roman" w:hAnsi="Times New Roman" w:eastAsia="宋体" w:cs="Times New Roman"/>
                <w:b/>
                <w:bCs/>
                <w:color w:val="auto"/>
                <w:sz w:val="24"/>
                <w:szCs w:val="24"/>
              </w:rPr>
              <w:t>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1" w:firstLineChars="200"/>
              <w:jc w:val="lef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1、产排污环节</w:t>
            </w:r>
          </w:p>
          <w:p>
            <w:pPr>
              <w:pStyle w:val="23"/>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rPr>
              <w:t>项目产生废水主要</w:t>
            </w:r>
            <w:r>
              <w:rPr>
                <w:rFonts w:hint="eastAsia" w:cs="Times New Roman"/>
                <w:color w:val="auto"/>
                <w:sz w:val="24"/>
                <w:szCs w:val="24"/>
                <w:lang w:val="en-US" w:eastAsia="zh-CN"/>
              </w:rPr>
              <w:t>为</w:t>
            </w:r>
            <w:r>
              <w:rPr>
                <w:rFonts w:hint="default" w:ascii="Times New Roman" w:hAnsi="Times New Roman" w:eastAsia="宋体" w:cs="Times New Roman"/>
                <w:color w:val="auto"/>
                <w:sz w:val="24"/>
                <w:szCs w:val="24"/>
              </w:rPr>
              <w:t>生活污水，生产废水不外排。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1"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污染物种类、污染物产生量</w:t>
            </w:r>
            <w:r>
              <w:rPr>
                <w:rFonts w:hint="default" w:ascii="Times New Roman" w:hAnsi="Times New Roman" w:eastAsia="宋体" w:cs="Times New Roman"/>
                <w:b/>
                <w:bCs/>
                <w:color w:val="auto"/>
                <w:sz w:val="24"/>
                <w:szCs w:val="24"/>
                <w:lang w:val="en-US" w:eastAsia="zh-CN"/>
              </w:rPr>
              <w:t>核算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（1）废水污染物产排情况汇总</w:t>
            </w:r>
          </w:p>
          <w:p>
            <w:pPr>
              <w:pStyle w:val="31"/>
              <w:rPr>
                <w:color w:val="auto"/>
              </w:rPr>
            </w:pPr>
            <w:r>
              <w:rPr>
                <w:rFonts w:hint="eastAsia" w:eastAsiaTheme="minorEastAsia"/>
                <w:color w:val="auto"/>
              </w:rPr>
              <w:t>本项目废水污染物产排情况详见表4-9。</w:t>
            </w:r>
          </w:p>
          <w:p>
            <w:pPr>
              <w:keepNext w:val="0"/>
              <w:keepLines w:val="0"/>
              <w:pageBreakBefore w:val="0"/>
              <w:widowControl w:val="0"/>
              <w:kinsoku/>
              <w:wordWrap/>
              <w:overflowPunct/>
              <w:topLinePunct w:val="0"/>
              <w:autoSpaceDE/>
              <w:autoSpaceDN/>
              <w:bidi w:val="0"/>
              <w:adjustRightInd/>
              <w:snapToGrid/>
              <w:jc w:val="center"/>
              <w:textAlignment w:val="auto"/>
              <w:rPr>
                <w:b/>
                <w:bCs/>
                <w:color w:val="auto"/>
                <w:sz w:val="21"/>
                <w:szCs w:val="21"/>
              </w:rPr>
            </w:pPr>
            <w:r>
              <w:rPr>
                <w:rFonts w:hint="eastAsia"/>
                <w:b/>
                <w:bCs/>
                <w:color w:val="auto"/>
                <w:sz w:val="21"/>
                <w:szCs w:val="21"/>
              </w:rPr>
              <w:t>表4-9   废水污染物产排情况一览表</w:t>
            </w:r>
          </w:p>
          <w:tbl>
            <w:tblPr>
              <w:tblStyle w:val="25"/>
              <w:tblW w:w="83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1583"/>
              <w:gridCol w:w="49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48" w:type="dxa"/>
                  <w:tcBorders>
                    <w:tl2br w:val="nil"/>
                    <w:tr2bl w:val="nil"/>
                  </w:tcBorders>
                  <w:vAlign w:val="center"/>
                </w:tcPr>
                <w:p>
                  <w:pPr>
                    <w:pStyle w:val="31"/>
                    <w:spacing w:line="240" w:lineRule="auto"/>
                    <w:ind w:firstLine="0" w:firstLineChars="0"/>
                    <w:jc w:val="center"/>
                    <w:rPr>
                      <w:rFonts w:eastAsiaTheme="minorEastAsia"/>
                      <w:color w:val="auto"/>
                      <w:sz w:val="21"/>
                      <w:szCs w:val="21"/>
                    </w:rPr>
                  </w:pPr>
                  <w:r>
                    <w:rPr>
                      <w:rFonts w:eastAsiaTheme="minorEastAsia"/>
                      <w:b/>
                      <w:bCs/>
                      <w:color w:val="auto"/>
                      <w:sz w:val="21"/>
                      <w:szCs w:val="21"/>
                    </w:rPr>
                    <w:t>废水源</w:t>
                  </w:r>
                </w:p>
              </w:tc>
              <w:tc>
                <w:tcPr>
                  <w:tcW w:w="1583" w:type="dxa"/>
                  <w:tcBorders>
                    <w:tl2br w:val="nil"/>
                    <w:tr2bl w:val="nil"/>
                  </w:tcBorders>
                  <w:vAlign w:val="center"/>
                </w:tcPr>
                <w:p>
                  <w:pPr>
                    <w:pStyle w:val="31"/>
                    <w:spacing w:line="240" w:lineRule="auto"/>
                    <w:ind w:firstLine="0" w:firstLineChars="0"/>
                    <w:jc w:val="center"/>
                    <w:rPr>
                      <w:rFonts w:eastAsiaTheme="minorEastAsia"/>
                      <w:color w:val="auto"/>
                      <w:sz w:val="21"/>
                      <w:szCs w:val="21"/>
                    </w:rPr>
                  </w:pPr>
                  <w:r>
                    <w:rPr>
                      <w:rFonts w:eastAsiaTheme="minorEastAsia"/>
                      <w:b/>
                      <w:bCs/>
                      <w:color w:val="auto"/>
                      <w:sz w:val="21"/>
                      <w:szCs w:val="21"/>
                    </w:rPr>
                    <w:t>产生量</w:t>
                  </w:r>
                  <w:r>
                    <w:rPr>
                      <w:rFonts w:hint="eastAsia" w:eastAsiaTheme="minorEastAsia"/>
                      <w:b/>
                      <w:bCs/>
                      <w:color w:val="auto"/>
                      <w:sz w:val="21"/>
                      <w:szCs w:val="21"/>
                      <w:lang w:eastAsia="zh-CN"/>
                    </w:rPr>
                    <w:t>（</w:t>
                  </w:r>
                  <w:r>
                    <w:rPr>
                      <w:rFonts w:eastAsiaTheme="minorEastAsia"/>
                      <w:b/>
                      <w:bCs/>
                      <w:color w:val="auto"/>
                      <w:sz w:val="21"/>
                      <w:szCs w:val="21"/>
                    </w:rPr>
                    <w:t>m</w:t>
                  </w:r>
                  <w:r>
                    <w:rPr>
                      <w:rFonts w:eastAsiaTheme="minorEastAsia"/>
                      <w:b/>
                      <w:bCs/>
                      <w:color w:val="auto"/>
                      <w:sz w:val="21"/>
                      <w:szCs w:val="21"/>
                      <w:vertAlign w:val="superscript"/>
                    </w:rPr>
                    <w:t>3</w:t>
                  </w:r>
                  <w:r>
                    <w:rPr>
                      <w:rFonts w:hint="eastAsia" w:eastAsiaTheme="minorEastAsia"/>
                      <w:b/>
                      <w:bCs/>
                      <w:color w:val="auto"/>
                      <w:sz w:val="21"/>
                      <w:szCs w:val="21"/>
                      <w:lang w:eastAsia="zh-CN"/>
                    </w:rPr>
                    <w:t>）</w:t>
                  </w:r>
                </w:p>
              </w:tc>
              <w:tc>
                <w:tcPr>
                  <w:tcW w:w="4903" w:type="dxa"/>
                  <w:tcBorders>
                    <w:tl2br w:val="nil"/>
                    <w:tr2bl w:val="nil"/>
                  </w:tcBorders>
                  <w:vAlign w:val="center"/>
                </w:tcPr>
                <w:p>
                  <w:pPr>
                    <w:pStyle w:val="31"/>
                    <w:spacing w:line="240" w:lineRule="auto"/>
                    <w:ind w:firstLine="0" w:firstLineChars="0"/>
                    <w:jc w:val="center"/>
                    <w:rPr>
                      <w:rFonts w:eastAsiaTheme="minorEastAsia"/>
                      <w:color w:val="auto"/>
                      <w:sz w:val="21"/>
                      <w:szCs w:val="21"/>
                    </w:rPr>
                  </w:pPr>
                  <w:r>
                    <w:rPr>
                      <w:rFonts w:eastAsiaTheme="minorEastAsia"/>
                      <w:b/>
                      <w:bCs/>
                      <w:color w:val="auto"/>
                      <w:sz w:val="21"/>
                      <w:szCs w:val="21"/>
                    </w:rPr>
                    <w:t>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48" w:type="dxa"/>
                  <w:tcBorders>
                    <w:tl2br w:val="nil"/>
                    <w:tr2bl w:val="nil"/>
                  </w:tcBorders>
                  <w:vAlign w:val="center"/>
                </w:tcPr>
                <w:p>
                  <w:pPr>
                    <w:pStyle w:val="31"/>
                    <w:spacing w:line="240" w:lineRule="auto"/>
                    <w:ind w:firstLine="0" w:firstLineChars="0"/>
                    <w:jc w:val="center"/>
                    <w:rPr>
                      <w:rFonts w:eastAsiaTheme="minorEastAsia"/>
                      <w:color w:val="auto"/>
                      <w:sz w:val="21"/>
                      <w:szCs w:val="21"/>
                    </w:rPr>
                  </w:pPr>
                  <w:r>
                    <w:rPr>
                      <w:rFonts w:eastAsiaTheme="minorEastAsia"/>
                      <w:color w:val="auto"/>
                      <w:sz w:val="21"/>
                      <w:szCs w:val="21"/>
                    </w:rPr>
                    <w:t>生活污水</w:t>
                  </w:r>
                </w:p>
              </w:tc>
              <w:tc>
                <w:tcPr>
                  <w:tcW w:w="1583" w:type="dxa"/>
                  <w:tcBorders>
                    <w:tl2br w:val="nil"/>
                    <w:tr2bl w:val="nil"/>
                  </w:tcBorders>
                  <w:vAlign w:val="center"/>
                </w:tcPr>
                <w:p>
                  <w:pPr>
                    <w:pStyle w:val="31"/>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kern w:val="0"/>
                      <w:sz w:val="21"/>
                      <w:szCs w:val="21"/>
                      <w:lang w:val="en-US" w:eastAsia="zh-CN" w:bidi="ar"/>
                    </w:rPr>
                    <w:t>77.3</w:t>
                  </w:r>
                </w:p>
              </w:tc>
              <w:tc>
                <w:tcPr>
                  <w:tcW w:w="4903" w:type="dxa"/>
                  <w:tcBorders>
                    <w:tl2br w:val="nil"/>
                    <w:tr2bl w:val="nil"/>
                  </w:tcBorders>
                  <w:vAlign w:val="center"/>
                </w:tcPr>
                <w:p>
                  <w:pPr>
                    <w:pStyle w:val="31"/>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kern w:val="0"/>
                      <w:sz w:val="21"/>
                      <w:szCs w:val="21"/>
                      <w:lang w:val="en-US" w:eastAsia="zh-CN" w:bidi="ar"/>
                    </w:rPr>
                    <w:t>化粪池</w:t>
                  </w:r>
                  <w:r>
                    <w:rPr>
                      <w:rFonts w:eastAsiaTheme="minorEastAsia"/>
                      <w:color w:val="auto"/>
                      <w:kern w:val="0"/>
                      <w:sz w:val="21"/>
                      <w:szCs w:val="21"/>
                    </w:rPr>
                    <w:t>处理后定期</w:t>
                  </w:r>
                  <w:r>
                    <w:rPr>
                      <w:rFonts w:hint="eastAsia" w:eastAsiaTheme="minorEastAsia"/>
                      <w:color w:val="auto"/>
                      <w:kern w:val="0"/>
                      <w:sz w:val="21"/>
                      <w:szCs w:val="21"/>
                      <w:lang w:val="en-US" w:eastAsia="zh-CN"/>
                    </w:rPr>
                    <w:t>清运至中卫市第一污水处理厂处理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48" w:type="dxa"/>
                  <w:tcBorders>
                    <w:tl2br w:val="nil"/>
                    <w:tr2bl w:val="nil"/>
                  </w:tcBorders>
                  <w:vAlign w:val="center"/>
                </w:tcPr>
                <w:p>
                  <w:pPr>
                    <w:pStyle w:val="31"/>
                    <w:spacing w:line="240" w:lineRule="auto"/>
                    <w:ind w:firstLine="0" w:firstLineChars="0"/>
                    <w:jc w:val="center"/>
                    <w:rPr>
                      <w:rFonts w:eastAsiaTheme="minorEastAsia"/>
                      <w:color w:val="auto"/>
                      <w:sz w:val="21"/>
                      <w:szCs w:val="21"/>
                    </w:rPr>
                  </w:pPr>
                  <w:r>
                    <w:rPr>
                      <w:rFonts w:eastAsiaTheme="minorEastAsia"/>
                      <w:color w:val="auto"/>
                      <w:sz w:val="21"/>
                      <w:szCs w:val="21"/>
                    </w:rPr>
                    <w:t>搅拌机清洗废水</w:t>
                  </w:r>
                </w:p>
              </w:tc>
              <w:tc>
                <w:tcPr>
                  <w:tcW w:w="1583" w:type="dxa"/>
                  <w:tcBorders>
                    <w:tl2br w:val="nil"/>
                    <w:tr2bl w:val="nil"/>
                  </w:tcBorders>
                  <w:vAlign w:val="center"/>
                </w:tcPr>
                <w:p>
                  <w:pPr>
                    <w:pStyle w:val="31"/>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147.2</w:t>
                  </w:r>
                </w:p>
              </w:tc>
              <w:tc>
                <w:tcPr>
                  <w:tcW w:w="4903" w:type="dxa"/>
                  <w:tcBorders>
                    <w:tl2br w:val="nil"/>
                    <w:tr2bl w:val="nil"/>
                  </w:tcBorders>
                  <w:vAlign w:val="center"/>
                </w:tcPr>
                <w:p>
                  <w:pPr>
                    <w:pStyle w:val="31"/>
                    <w:spacing w:line="240" w:lineRule="auto"/>
                    <w:ind w:firstLine="0" w:firstLineChars="0"/>
                    <w:jc w:val="center"/>
                    <w:rPr>
                      <w:rFonts w:eastAsiaTheme="minorEastAsia"/>
                      <w:color w:val="auto"/>
                      <w:sz w:val="21"/>
                      <w:szCs w:val="21"/>
                    </w:rPr>
                  </w:pPr>
                  <w:r>
                    <w:rPr>
                      <w:rFonts w:eastAsiaTheme="minorEastAsia"/>
                      <w:color w:val="auto"/>
                      <w:sz w:val="21"/>
                      <w:szCs w:val="21"/>
                    </w:rPr>
                    <w:t>沉淀池沉淀后取上清液回用于厂区道路洒水抑尘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848" w:type="dxa"/>
                  <w:tcBorders>
                    <w:tl2br w:val="nil"/>
                    <w:tr2bl w:val="nil"/>
                  </w:tcBorders>
                  <w:vAlign w:val="center"/>
                </w:tcPr>
                <w:p>
                  <w:pPr>
                    <w:pStyle w:val="31"/>
                    <w:spacing w:line="240" w:lineRule="auto"/>
                    <w:ind w:firstLine="0" w:firstLineChars="0"/>
                    <w:jc w:val="center"/>
                    <w:rPr>
                      <w:rFonts w:eastAsiaTheme="minorEastAsia"/>
                      <w:color w:val="auto"/>
                      <w:sz w:val="21"/>
                      <w:szCs w:val="21"/>
                    </w:rPr>
                  </w:pPr>
                  <w:r>
                    <w:rPr>
                      <w:rFonts w:eastAsiaTheme="minorEastAsia"/>
                      <w:color w:val="auto"/>
                      <w:sz w:val="21"/>
                      <w:szCs w:val="21"/>
                    </w:rPr>
                    <w:t>车辆冲洗废水</w:t>
                  </w:r>
                </w:p>
              </w:tc>
              <w:tc>
                <w:tcPr>
                  <w:tcW w:w="1583" w:type="dxa"/>
                  <w:tcBorders>
                    <w:tl2br w:val="nil"/>
                    <w:tr2bl w:val="nil"/>
                  </w:tcBorders>
                  <w:vAlign w:val="center"/>
                </w:tcPr>
                <w:p>
                  <w:pPr>
                    <w:pStyle w:val="31"/>
                    <w:spacing w:line="240" w:lineRule="auto"/>
                    <w:ind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593</w:t>
                  </w:r>
                </w:p>
              </w:tc>
              <w:tc>
                <w:tcPr>
                  <w:tcW w:w="4903" w:type="dxa"/>
                  <w:tcBorders>
                    <w:tl2br w:val="nil"/>
                    <w:tr2bl w:val="nil"/>
                  </w:tcBorders>
                  <w:vAlign w:val="center"/>
                </w:tcPr>
                <w:p>
                  <w:pPr>
                    <w:pStyle w:val="31"/>
                    <w:spacing w:line="240" w:lineRule="auto"/>
                    <w:ind w:firstLine="0" w:firstLineChars="0"/>
                    <w:jc w:val="center"/>
                    <w:rPr>
                      <w:rFonts w:eastAsiaTheme="minorEastAsia"/>
                      <w:color w:val="auto"/>
                      <w:sz w:val="21"/>
                      <w:szCs w:val="21"/>
                    </w:rPr>
                  </w:pPr>
                  <w:r>
                    <w:rPr>
                      <w:rFonts w:eastAsiaTheme="minorEastAsia"/>
                      <w:color w:val="auto"/>
                      <w:sz w:val="21"/>
                      <w:szCs w:val="21"/>
                    </w:rPr>
                    <w:t>沉淀池沉淀后取上清液回用于厂区道路洒水抑尘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34" w:type="dxa"/>
                  <w:gridSpan w:val="3"/>
                  <w:tcBorders>
                    <w:tl2br w:val="nil"/>
                    <w:tr2bl w:val="nil"/>
                  </w:tcBorders>
                  <w:vAlign w:val="center"/>
                </w:tcPr>
                <w:p>
                  <w:pPr>
                    <w:pStyle w:val="31"/>
                    <w:spacing w:line="240" w:lineRule="auto"/>
                    <w:ind w:firstLine="0" w:firstLineChars="0"/>
                    <w:jc w:val="both"/>
                    <w:rPr>
                      <w:rFonts w:eastAsiaTheme="minorEastAsia"/>
                      <w:color w:val="auto"/>
                      <w:sz w:val="21"/>
                      <w:szCs w:val="21"/>
                    </w:rPr>
                  </w:pPr>
                  <w:r>
                    <w:rPr>
                      <w:rFonts w:hint="eastAsia" w:eastAsiaTheme="minorEastAsia"/>
                      <w:color w:val="auto"/>
                      <w:sz w:val="21"/>
                      <w:szCs w:val="21"/>
                      <w:lang w:val="en-US" w:eastAsia="zh-CN"/>
                    </w:rPr>
                    <w:t>注：本项目运行工期为3个月，项目废水污染物产排情况均以3个月的周期核算。</w:t>
                  </w:r>
                </w:p>
              </w:tc>
            </w:tr>
          </w:tbl>
          <w:p>
            <w:pPr>
              <w:keepNext w:val="0"/>
              <w:keepLines w:val="0"/>
              <w:pageBreakBefore w:val="0"/>
              <w:widowControl w:val="0"/>
              <w:numPr>
                <w:ilvl w:val="0"/>
                <w:numId w:val="9"/>
              </w:numPr>
              <w:kinsoku/>
              <w:wordWrap/>
              <w:overflowPunct/>
              <w:topLinePunct w:val="0"/>
              <w:autoSpaceDE/>
              <w:autoSpaceDN/>
              <w:bidi w:val="0"/>
              <w:adjustRightInd w:val="0"/>
              <w:snapToGrid w:val="0"/>
              <w:spacing w:before="157" w:beforeLines="50" w:line="360" w:lineRule="auto"/>
              <w:ind w:left="0" w:leftChars="0" w:firstLine="480" w:firstLineChars="200"/>
              <w:textAlignment w:val="auto"/>
              <w:rPr>
                <w:rFonts w:hint="default"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eastAsiaTheme="minorEastAsia"/>
                <w:color w:val="auto"/>
                <w:kern w:val="2"/>
                <w:sz w:val="24"/>
                <w:szCs w:val="24"/>
                <w:lang w:val="en-US" w:eastAsia="zh-CN" w:bidi="ar-SA"/>
              </w:rPr>
              <w:t>生活污水</w:t>
            </w:r>
          </w:p>
          <w:p>
            <w:pPr>
              <w:numPr>
                <w:ilvl w:val="0"/>
                <w:numId w:val="0"/>
              </w:numPr>
              <w:adjustRightInd w:val="0"/>
              <w:snapToGrid w:val="0"/>
              <w:spacing w:line="360" w:lineRule="auto"/>
              <w:ind w:firstLine="480" w:firstLineChars="200"/>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本项目位于中卫市沙坡头区</w:t>
            </w:r>
            <w:r>
              <w:rPr>
                <w:rFonts w:hint="eastAsia" w:ascii="Times New Roman" w:hAnsi="Times New Roman" w:cs="Times New Roman" w:eastAsiaTheme="minorEastAsia"/>
                <w:color w:val="auto"/>
                <w:kern w:val="2"/>
                <w:sz w:val="24"/>
                <w:szCs w:val="24"/>
                <w:lang w:val="en-US" w:eastAsia="zh-CN" w:bidi="ar-SA"/>
              </w:rPr>
              <w:t>东园镇</w:t>
            </w:r>
            <w:r>
              <w:rPr>
                <w:rFonts w:hint="default" w:ascii="Times New Roman" w:hAnsi="Times New Roman" w:cs="Times New Roman" w:eastAsiaTheme="minorEastAsia"/>
                <w:color w:val="auto"/>
                <w:kern w:val="2"/>
                <w:sz w:val="24"/>
                <w:szCs w:val="24"/>
                <w:lang w:val="en-US" w:eastAsia="zh-CN" w:bidi="ar-SA"/>
              </w:rPr>
              <w:t>，劳动定员</w:t>
            </w:r>
            <w:r>
              <w:rPr>
                <w:rFonts w:hint="eastAsia" w:cs="Times New Roman" w:eastAsiaTheme="minorEastAsia"/>
                <w:color w:val="auto"/>
                <w:kern w:val="2"/>
                <w:sz w:val="24"/>
                <w:szCs w:val="24"/>
                <w:lang w:val="en-US" w:eastAsia="zh-CN" w:bidi="ar-SA"/>
              </w:rPr>
              <w:t>15</w:t>
            </w:r>
            <w:r>
              <w:rPr>
                <w:rFonts w:hint="default" w:ascii="Times New Roman" w:hAnsi="Times New Roman" w:cs="Times New Roman" w:eastAsiaTheme="minorEastAsia"/>
                <w:color w:val="auto"/>
                <w:kern w:val="2"/>
                <w:sz w:val="24"/>
                <w:szCs w:val="24"/>
                <w:lang w:val="en-US" w:eastAsia="zh-CN" w:bidi="ar-SA"/>
              </w:rPr>
              <w:t>人，</w:t>
            </w:r>
            <w:r>
              <w:rPr>
                <w:rFonts w:hint="eastAsia" w:ascii="Times New Roman" w:hAnsi="Times New Roman" w:cs="Times New Roman" w:eastAsiaTheme="minorEastAsia"/>
                <w:color w:val="auto"/>
                <w:kern w:val="2"/>
                <w:sz w:val="24"/>
                <w:szCs w:val="24"/>
                <w:lang w:val="en-US" w:eastAsia="zh-CN" w:bidi="ar-SA"/>
              </w:rPr>
              <w:t>项目周期</w:t>
            </w:r>
            <w:r>
              <w:rPr>
                <w:rFonts w:hint="default" w:ascii="Times New Roman" w:hAnsi="Times New Roman" w:cs="Times New Roman" w:eastAsiaTheme="minorEastAsia"/>
                <w:color w:val="auto"/>
                <w:kern w:val="2"/>
                <w:sz w:val="24"/>
                <w:szCs w:val="24"/>
                <w:lang w:val="en-US" w:eastAsia="zh-CN" w:bidi="ar-SA"/>
              </w:rPr>
              <w:t>工作天数为</w:t>
            </w:r>
            <w:r>
              <w:rPr>
                <w:rFonts w:hint="eastAsia" w:cs="Times New Roman" w:eastAsiaTheme="minorEastAsia"/>
                <w:color w:val="auto"/>
                <w:kern w:val="2"/>
                <w:sz w:val="24"/>
                <w:szCs w:val="24"/>
                <w:lang w:val="en-US" w:eastAsia="zh-CN" w:bidi="ar-SA"/>
              </w:rPr>
              <w:t>92</w:t>
            </w:r>
            <w:r>
              <w:rPr>
                <w:rFonts w:hint="default" w:ascii="Times New Roman" w:hAnsi="Times New Roman" w:cs="Times New Roman" w:eastAsiaTheme="minorEastAsia"/>
                <w:color w:val="auto"/>
                <w:kern w:val="2"/>
                <w:sz w:val="24"/>
                <w:szCs w:val="24"/>
                <w:lang w:val="en-US" w:eastAsia="zh-CN" w:bidi="ar-SA"/>
              </w:rPr>
              <w:t>天，生活用水定额按70L/人·d计，则生活用水量约为0.7m</w:t>
            </w:r>
            <w:r>
              <w:rPr>
                <w:rFonts w:hint="default" w:ascii="Times New Roman" w:hAnsi="Times New Roman" w:cs="Times New Roman" w:eastAsiaTheme="minorEastAsia"/>
                <w:color w:val="auto"/>
                <w:kern w:val="2"/>
                <w:sz w:val="24"/>
                <w:szCs w:val="24"/>
                <w:vertAlign w:val="superscript"/>
                <w:lang w:val="en-US" w:eastAsia="zh-CN" w:bidi="ar-SA"/>
              </w:rPr>
              <w:t>3</w:t>
            </w:r>
            <w:r>
              <w:rPr>
                <w:rFonts w:hint="default" w:ascii="Times New Roman" w:hAnsi="Times New Roman" w:cs="Times New Roman" w:eastAsiaTheme="minorEastAsia"/>
                <w:color w:val="auto"/>
                <w:kern w:val="2"/>
                <w:sz w:val="24"/>
                <w:szCs w:val="24"/>
                <w:lang w:val="en-US" w:eastAsia="zh-CN" w:bidi="ar-SA"/>
              </w:rPr>
              <w:t>/d（</w:t>
            </w:r>
            <w:r>
              <w:rPr>
                <w:rFonts w:hint="eastAsia" w:cs="Times New Roman" w:eastAsiaTheme="minorEastAsia"/>
                <w:color w:val="auto"/>
                <w:kern w:val="2"/>
                <w:sz w:val="24"/>
                <w:szCs w:val="24"/>
                <w:lang w:val="en-US" w:eastAsia="zh-CN" w:bidi="ar-SA"/>
              </w:rPr>
              <w:t>96.6</w:t>
            </w:r>
            <w:r>
              <w:rPr>
                <w:rFonts w:hint="default" w:ascii="Times New Roman" w:hAnsi="Times New Roman" w:cs="Times New Roman" w:eastAsiaTheme="minorEastAsia"/>
                <w:color w:val="auto"/>
                <w:kern w:val="2"/>
                <w:sz w:val="24"/>
                <w:szCs w:val="24"/>
                <w:lang w:val="en-US" w:eastAsia="zh-CN" w:bidi="ar-SA"/>
              </w:rPr>
              <w:t>m</w:t>
            </w:r>
            <w:r>
              <w:rPr>
                <w:rFonts w:hint="default" w:ascii="Times New Roman" w:hAnsi="Times New Roman" w:cs="Times New Roman" w:eastAsiaTheme="minorEastAsia"/>
                <w:color w:val="auto"/>
                <w:kern w:val="2"/>
                <w:sz w:val="24"/>
                <w:szCs w:val="24"/>
                <w:vertAlign w:val="superscript"/>
                <w:lang w:val="en-US" w:eastAsia="zh-CN" w:bidi="ar-SA"/>
              </w:rPr>
              <w:t>3</w:t>
            </w:r>
            <w:r>
              <w:rPr>
                <w:rFonts w:hint="default" w:ascii="Times New Roman" w:hAnsi="Times New Roman" w:cs="Times New Roman" w:eastAsiaTheme="minorEastAsia"/>
                <w:color w:val="auto"/>
                <w:kern w:val="2"/>
                <w:sz w:val="24"/>
                <w:szCs w:val="24"/>
                <w:lang w:val="en-US" w:eastAsia="zh-CN" w:bidi="ar-SA"/>
              </w:rPr>
              <w:t>/</w:t>
            </w:r>
            <w:r>
              <w:rPr>
                <w:rFonts w:hint="eastAsia" w:cs="Times New Roman" w:eastAsiaTheme="minorEastAsia"/>
                <w:color w:val="auto"/>
                <w:kern w:val="2"/>
                <w:sz w:val="24"/>
                <w:szCs w:val="24"/>
                <w:lang w:val="en-US" w:eastAsia="zh-CN" w:bidi="ar-SA"/>
              </w:rPr>
              <w:t>周期</w:t>
            </w:r>
            <w:r>
              <w:rPr>
                <w:rFonts w:hint="default" w:ascii="Times New Roman" w:hAnsi="Times New Roman" w:cs="Times New Roman" w:eastAsiaTheme="minorEastAsia"/>
                <w:color w:val="auto"/>
                <w:kern w:val="2"/>
                <w:sz w:val="24"/>
                <w:szCs w:val="24"/>
                <w:lang w:val="en-US" w:eastAsia="zh-CN" w:bidi="ar-SA"/>
              </w:rPr>
              <w:t>）。生活污水量以生活给水量的80%计，污水量为0.56m</w:t>
            </w:r>
            <w:r>
              <w:rPr>
                <w:rFonts w:hint="default" w:ascii="Times New Roman" w:hAnsi="Times New Roman" w:cs="Times New Roman" w:eastAsiaTheme="minorEastAsia"/>
                <w:color w:val="auto"/>
                <w:kern w:val="2"/>
                <w:sz w:val="24"/>
                <w:szCs w:val="24"/>
                <w:vertAlign w:val="superscript"/>
                <w:lang w:val="en-US" w:eastAsia="zh-CN" w:bidi="ar-SA"/>
              </w:rPr>
              <w:t>3</w:t>
            </w:r>
            <w:r>
              <w:rPr>
                <w:rFonts w:hint="default" w:ascii="Times New Roman" w:hAnsi="Times New Roman" w:cs="Times New Roman" w:eastAsiaTheme="minorEastAsia"/>
                <w:color w:val="auto"/>
                <w:kern w:val="2"/>
                <w:sz w:val="24"/>
                <w:szCs w:val="24"/>
                <w:lang w:val="en-US" w:eastAsia="zh-CN" w:bidi="ar-SA"/>
              </w:rPr>
              <w:t>/d（</w:t>
            </w:r>
            <w:r>
              <w:rPr>
                <w:rFonts w:hint="eastAsia" w:cs="Times New Roman" w:eastAsiaTheme="minorEastAsia"/>
                <w:color w:val="auto"/>
                <w:kern w:val="2"/>
                <w:sz w:val="24"/>
                <w:szCs w:val="24"/>
                <w:lang w:val="en-US" w:eastAsia="zh-CN" w:bidi="ar-SA"/>
              </w:rPr>
              <w:t>77.3</w:t>
            </w:r>
            <w:r>
              <w:rPr>
                <w:rFonts w:hint="default" w:ascii="Times New Roman" w:hAnsi="Times New Roman" w:cs="Times New Roman" w:eastAsiaTheme="minorEastAsia"/>
                <w:color w:val="auto"/>
                <w:kern w:val="2"/>
                <w:sz w:val="24"/>
                <w:szCs w:val="24"/>
                <w:lang w:val="en-US" w:eastAsia="zh-CN" w:bidi="ar-SA"/>
              </w:rPr>
              <w:t>m</w:t>
            </w:r>
            <w:r>
              <w:rPr>
                <w:rFonts w:hint="default" w:ascii="Times New Roman" w:hAnsi="Times New Roman" w:cs="Times New Roman" w:eastAsiaTheme="minorEastAsia"/>
                <w:color w:val="auto"/>
                <w:kern w:val="2"/>
                <w:sz w:val="24"/>
                <w:szCs w:val="24"/>
                <w:vertAlign w:val="superscript"/>
                <w:lang w:val="en-US" w:eastAsia="zh-CN" w:bidi="ar-SA"/>
              </w:rPr>
              <w:t>3</w:t>
            </w:r>
            <w:r>
              <w:rPr>
                <w:rFonts w:hint="default" w:ascii="Times New Roman" w:hAnsi="Times New Roman" w:cs="Times New Roman" w:eastAsiaTheme="minorEastAsia"/>
                <w:color w:val="auto"/>
                <w:kern w:val="2"/>
                <w:sz w:val="24"/>
                <w:szCs w:val="24"/>
                <w:lang w:val="en-US" w:eastAsia="zh-CN" w:bidi="ar-SA"/>
              </w:rPr>
              <w:t>/</w:t>
            </w:r>
            <w:r>
              <w:rPr>
                <w:rFonts w:hint="eastAsia" w:cs="Times New Roman" w:eastAsiaTheme="minorEastAsia"/>
                <w:color w:val="auto"/>
                <w:kern w:val="2"/>
                <w:sz w:val="24"/>
                <w:szCs w:val="24"/>
                <w:lang w:val="en-US" w:eastAsia="zh-CN" w:bidi="ar-SA"/>
              </w:rPr>
              <w:t>周期</w:t>
            </w:r>
            <w:r>
              <w:rPr>
                <w:rFonts w:hint="default" w:ascii="Times New Roman" w:hAnsi="Times New Roman" w:cs="Times New Roman" w:eastAsiaTheme="minorEastAsia"/>
                <w:color w:val="auto"/>
                <w:kern w:val="2"/>
                <w:sz w:val="24"/>
                <w:szCs w:val="24"/>
                <w:lang w:val="en-US" w:eastAsia="zh-CN" w:bidi="ar-SA"/>
              </w:rPr>
              <w:t>）。生活污水经厂区</w:t>
            </w:r>
            <w:r>
              <w:rPr>
                <w:rFonts w:hint="eastAsia" w:ascii="Times New Roman" w:hAnsi="Times New Roman" w:cs="Times New Roman" w:eastAsiaTheme="minorEastAsia"/>
                <w:color w:val="auto"/>
                <w:kern w:val="2"/>
                <w:sz w:val="24"/>
                <w:szCs w:val="24"/>
                <w:lang w:val="en-US" w:eastAsia="zh-CN" w:bidi="ar-SA"/>
              </w:rPr>
              <w:t>化粪池初步处理后运至</w:t>
            </w:r>
            <w:r>
              <w:rPr>
                <w:rFonts w:hint="eastAsia" w:cs="Times New Roman" w:eastAsiaTheme="minorEastAsia"/>
                <w:color w:val="auto"/>
                <w:kern w:val="2"/>
                <w:sz w:val="24"/>
                <w:szCs w:val="24"/>
                <w:lang w:val="en-US" w:eastAsia="zh-CN" w:bidi="ar-SA"/>
              </w:rPr>
              <w:t>中卫市第一</w:t>
            </w:r>
            <w:r>
              <w:rPr>
                <w:rFonts w:hint="eastAsia" w:ascii="Times New Roman" w:hAnsi="Times New Roman" w:cs="Times New Roman" w:eastAsiaTheme="minorEastAsia"/>
                <w:color w:val="auto"/>
                <w:kern w:val="2"/>
                <w:sz w:val="24"/>
                <w:szCs w:val="24"/>
                <w:lang w:val="en-US" w:eastAsia="zh-CN" w:bidi="ar-SA"/>
              </w:rPr>
              <w:t>污水处理厂进行处理</w:t>
            </w:r>
            <w:r>
              <w:rPr>
                <w:rFonts w:hint="default" w:ascii="Times New Roman" w:hAnsi="Times New Roman" w:cs="Times New Roman" w:eastAsiaTheme="minorEastAsia"/>
                <w:color w:val="auto"/>
                <w:kern w:val="2"/>
                <w:sz w:val="24"/>
                <w:szCs w:val="24"/>
                <w:lang w:val="en-US" w:eastAsia="zh-CN" w:bidi="ar-SA"/>
              </w:rPr>
              <w:t>。</w:t>
            </w:r>
          </w:p>
          <w:p>
            <w:pPr>
              <w:numPr>
                <w:ilvl w:val="0"/>
                <w:numId w:val="9"/>
              </w:numPr>
              <w:adjustRightInd w:val="0"/>
              <w:snapToGrid w:val="0"/>
              <w:spacing w:line="360" w:lineRule="auto"/>
              <w:ind w:left="0" w:leftChars="0" w:firstLine="480" w:firstLineChars="200"/>
              <w:jc w:val="both"/>
              <w:rPr>
                <w:rFonts w:hint="default"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eastAsiaTheme="minorEastAsia"/>
                <w:color w:val="auto"/>
                <w:kern w:val="2"/>
                <w:sz w:val="24"/>
                <w:szCs w:val="24"/>
                <w:lang w:val="en-US" w:eastAsia="zh-CN" w:bidi="ar-SA"/>
              </w:rPr>
              <w:t>生产废水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①混凝土用水全部进入产品，无废水产生；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②搅拌机清洗废水按用水量的80</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计，产生量为</w:t>
            </w:r>
            <w:r>
              <w:rPr>
                <w:rFonts w:hint="default" w:ascii="Times New Roman" w:hAnsi="Times New Roman" w:eastAsia="宋体" w:cs="Times New Roman"/>
                <w:b w:val="0"/>
                <w:bCs w:val="0"/>
                <w:color w:val="auto"/>
                <w:sz w:val="24"/>
                <w:szCs w:val="24"/>
                <w:highlight w:val="none"/>
                <w:lang w:val="en-US" w:eastAsia="zh-CN"/>
              </w:rPr>
              <w:t>1.6m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/d</w:t>
            </w:r>
            <w:r>
              <w:rPr>
                <w:rFonts w:hint="default" w:ascii="Times New Roman" w:hAnsi="Times New Roman" w:eastAsia="宋体" w:cs="Times New Roman"/>
                <w:color w:val="auto"/>
                <w:kern w:val="2"/>
                <w:sz w:val="24"/>
                <w:szCs w:val="24"/>
              </w:rPr>
              <w:t>（</w:t>
            </w:r>
            <w:r>
              <w:rPr>
                <w:rFonts w:hint="eastAsia" w:cs="Times New Roman"/>
                <w:color w:val="auto"/>
                <w:sz w:val="24"/>
                <w:szCs w:val="24"/>
                <w:lang w:val="en-US" w:eastAsia="zh-CN"/>
              </w:rPr>
              <w:t>147.2</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周期</w:t>
            </w:r>
            <w:r>
              <w:rPr>
                <w:rFonts w:hint="default" w:ascii="Times New Roman" w:hAnsi="Times New Roman" w:eastAsia="宋体" w:cs="Times New Roman"/>
                <w:color w:val="auto"/>
                <w:kern w:val="2"/>
                <w:sz w:val="24"/>
                <w:szCs w:val="24"/>
              </w:rPr>
              <w:t>）</w:t>
            </w:r>
            <w:r>
              <w:rPr>
                <w:rFonts w:hint="default" w:ascii="Times New Roman" w:hAnsi="Times New Roman" w:eastAsia="宋体" w:cs="Times New Roman"/>
                <w:color w:val="auto"/>
                <w:sz w:val="24"/>
                <w:szCs w:val="24"/>
                <w:lang w:val="en-US" w:eastAsia="zh-CN"/>
              </w:rPr>
              <w:t>，经10m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的临时沉淀池沉淀，取上清液回用于厂区道路洒水抑尘，不外排；</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③车辆冲洗废水按用水量的80</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计，产生量为</w:t>
            </w:r>
            <w:r>
              <w:rPr>
                <w:rFonts w:hint="eastAsia" w:cs="Times New Roman"/>
                <w:b w:val="0"/>
                <w:bCs w:val="0"/>
                <w:color w:val="auto"/>
                <w:sz w:val="24"/>
                <w:szCs w:val="24"/>
                <w:highlight w:val="none"/>
                <w:lang w:val="en-US" w:eastAsia="zh-CN"/>
              </w:rPr>
              <w:t>6.45</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/d</w:t>
            </w:r>
            <w:r>
              <w:rPr>
                <w:rFonts w:hint="default" w:ascii="Times New Roman" w:hAnsi="Times New Roman" w:eastAsia="宋体" w:cs="Times New Roman"/>
                <w:color w:val="auto"/>
                <w:kern w:val="2"/>
                <w:sz w:val="24"/>
                <w:szCs w:val="24"/>
              </w:rPr>
              <w:t>（</w:t>
            </w:r>
            <w:r>
              <w:rPr>
                <w:rFonts w:hint="eastAsia" w:cs="Times New Roman"/>
                <w:color w:val="auto"/>
                <w:kern w:val="2"/>
                <w:sz w:val="24"/>
                <w:szCs w:val="24"/>
                <w:lang w:val="en-US" w:eastAsia="zh-CN"/>
              </w:rPr>
              <w:t>593</w:t>
            </w:r>
            <w:r>
              <w:rPr>
                <w:rFonts w:hint="default" w:ascii="Times New Roman" w:hAnsi="Times New Roman" w:eastAsia="宋体" w:cs="Times New Roman"/>
                <w:color w:val="auto"/>
                <w:kern w:val="2"/>
                <w:sz w:val="24"/>
                <w:szCs w:val="24"/>
              </w:rPr>
              <w:t>m</w:t>
            </w:r>
            <w:r>
              <w:rPr>
                <w:rFonts w:hint="default" w:ascii="Times New Roman" w:hAnsi="Times New Roman" w:eastAsia="宋体" w:cs="Times New Roman"/>
                <w:color w:val="auto"/>
                <w:kern w:val="2"/>
                <w:sz w:val="24"/>
                <w:szCs w:val="24"/>
                <w:vertAlign w:val="superscript"/>
              </w:rPr>
              <w:t>3</w:t>
            </w:r>
            <w:r>
              <w:rPr>
                <w:rFonts w:hint="default" w:ascii="Times New Roman" w:hAnsi="Times New Roman" w:eastAsia="宋体" w:cs="Times New Roman"/>
                <w:color w:val="auto"/>
                <w:kern w:val="2"/>
                <w:sz w:val="24"/>
                <w:szCs w:val="24"/>
              </w:rPr>
              <w:t>/</w:t>
            </w:r>
            <w:r>
              <w:rPr>
                <w:rFonts w:hint="eastAsia" w:cs="Times New Roman"/>
                <w:color w:val="auto"/>
                <w:kern w:val="2"/>
                <w:sz w:val="24"/>
                <w:szCs w:val="24"/>
                <w:lang w:val="en-US" w:eastAsia="zh-CN"/>
              </w:rPr>
              <w:t>周期</w:t>
            </w:r>
            <w:r>
              <w:rPr>
                <w:rFonts w:hint="default" w:ascii="Times New Roman" w:hAnsi="Times New Roman" w:eastAsia="宋体" w:cs="Times New Roman"/>
                <w:color w:val="auto"/>
                <w:kern w:val="2"/>
                <w:sz w:val="24"/>
                <w:szCs w:val="24"/>
              </w:rPr>
              <w:t>）</w:t>
            </w:r>
            <w:r>
              <w:rPr>
                <w:rFonts w:hint="default" w:ascii="Times New Roman" w:hAnsi="Times New Roman" w:eastAsia="宋体" w:cs="Times New Roman"/>
                <w:color w:val="auto"/>
                <w:sz w:val="24"/>
                <w:szCs w:val="24"/>
                <w:lang w:val="en-US" w:eastAsia="zh-CN"/>
              </w:rPr>
              <w:t>，经10m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的临时沉淀池沉淀，取上清液回用于厂区道路洒水抑尘，不外排；</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④厂区道路降尘用水自然蒸发，无废水产生。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1"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废水治理措施可行性分析</w:t>
            </w:r>
          </w:p>
          <w:p>
            <w:pPr>
              <w:adjustRightInd w:val="0"/>
              <w:snapToGrid w:val="0"/>
              <w:spacing w:line="360" w:lineRule="auto"/>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本项目生产废水主要为</w:t>
            </w:r>
            <w:r>
              <w:rPr>
                <w:rFonts w:hint="default" w:ascii="Times New Roman" w:hAnsi="Times New Roman" w:eastAsia="宋体" w:cs="Times New Roman"/>
                <w:color w:val="auto"/>
                <w:kern w:val="2"/>
                <w:sz w:val="24"/>
                <w:szCs w:val="24"/>
                <w:lang w:val="en-US" w:eastAsia="zh-CN"/>
              </w:rPr>
              <w:t>搅拌机清洗废水</w:t>
            </w:r>
            <w:r>
              <w:rPr>
                <w:rFonts w:hint="eastAsia"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rPr>
              <w:t>车辆冲洗废水</w:t>
            </w:r>
            <w:r>
              <w:rPr>
                <w:rFonts w:hint="default"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rPr>
              <w:t>生活污水。其中车辆冲洗废水</w:t>
            </w:r>
            <w:r>
              <w:rPr>
                <w:rFonts w:hint="eastAsia" w:cs="Times New Roman"/>
                <w:color w:val="auto"/>
                <w:kern w:val="2"/>
                <w:sz w:val="24"/>
                <w:szCs w:val="24"/>
                <w:lang w:val="en-US" w:eastAsia="zh-CN"/>
              </w:rPr>
              <w:t>和车辆冲洗废水</w:t>
            </w:r>
            <w:r>
              <w:rPr>
                <w:rFonts w:hint="default" w:ascii="Times New Roman" w:hAnsi="Times New Roman" w:eastAsia="宋体" w:cs="Times New Roman"/>
                <w:color w:val="auto"/>
                <w:kern w:val="2"/>
                <w:sz w:val="24"/>
                <w:szCs w:val="24"/>
              </w:rPr>
              <w:t>进入</w:t>
            </w:r>
            <w:r>
              <w:rPr>
                <w:rFonts w:hint="eastAsia" w:cs="Times New Roman"/>
                <w:color w:val="auto"/>
                <w:kern w:val="2"/>
                <w:sz w:val="24"/>
                <w:szCs w:val="24"/>
                <w:lang w:val="en-US" w:eastAsia="zh-CN"/>
              </w:rPr>
              <w:t>沉淀池沉淀</w:t>
            </w:r>
            <w:r>
              <w:rPr>
                <w:rFonts w:hint="default" w:ascii="Times New Roman" w:hAnsi="Times New Roman" w:eastAsia="宋体" w:cs="Times New Roman"/>
                <w:color w:val="auto"/>
                <w:kern w:val="2"/>
                <w:sz w:val="24"/>
                <w:szCs w:val="24"/>
              </w:rPr>
              <w:t>，经</w:t>
            </w:r>
            <w:r>
              <w:rPr>
                <w:rFonts w:hint="eastAsia" w:cs="Times New Roman"/>
                <w:color w:val="auto"/>
                <w:kern w:val="2"/>
                <w:sz w:val="24"/>
                <w:szCs w:val="24"/>
                <w:lang w:val="en-US" w:eastAsia="zh-CN"/>
              </w:rPr>
              <w:t>沉淀</w:t>
            </w:r>
            <w:r>
              <w:rPr>
                <w:rFonts w:hint="default" w:ascii="Times New Roman" w:hAnsi="Times New Roman" w:eastAsia="宋体" w:cs="Times New Roman"/>
                <w:color w:val="auto"/>
                <w:kern w:val="2"/>
                <w:sz w:val="24"/>
                <w:szCs w:val="24"/>
              </w:rPr>
              <w:t>后进入</w:t>
            </w:r>
            <w:r>
              <w:rPr>
                <w:rFonts w:hint="eastAsia" w:cs="Times New Roman"/>
                <w:color w:val="auto"/>
                <w:kern w:val="2"/>
                <w:sz w:val="24"/>
                <w:szCs w:val="24"/>
                <w:lang w:val="en-US" w:eastAsia="zh-CN"/>
              </w:rPr>
              <w:t>取上清液回用于道路洒水抑尘</w:t>
            </w:r>
            <w:r>
              <w:rPr>
                <w:rFonts w:hint="default" w:ascii="Times New Roman" w:hAnsi="Times New Roman" w:eastAsia="宋体" w:cs="Times New Roman"/>
                <w:color w:val="auto"/>
                <w:kern w:val="2"/>
                <w:sz w:val="24"/>
                <w:szCs w:val="24"/>
                <w:lang w:val="en-US" w:eastAsia="zh-CN"/>
              </w:rPr>
              <w:t>。项目</w:t>
            </w:r>
            <w:r>
              <w:rPr>
                <w:rFonts w:hint="eastAsia" w:cs="Times New Roman"/>
                <w:color w:val="auto"/>
                <w:kern w:val="2"/>
                <w:sz w:val="24"/>
                <w:szCs w:val="24"/>
                <w:lang w:val="en-US" w:eastAsia="zh-CN"/>
              </w:rPr>
              <w:t>运行过程中产生的</w:t>
            </w:r>
            <w:r>
              <w:rPr>
                <w:rFonts w:hint="default" w:ascii="Times New Roman" w:hAnsi="Times New Roman" w:eastAsia="宋体" w:cs="Times New Roman"/>
                <w:color w:val="auto"/>
                <w:kern w:val="2"/>
                <w:sz w:val="24"/>
                <w:szCs w:val="24"/>
              </w:rPr>
              <w:t>生活污水</w:t>
            </w:r>
            <w:r>
              <w:rPr>
                <w:rFonts w:hint="eastAsia" w:cs="Times New Roman"/>
                <w:color w:val="auto"/>
                <w:kern w:val="2"/>
                <w:sz w:val="24"/>
                <w:szCs w:val="24"/>
                <w:lang w:val="en-US" w:eastAsia="zh-CN"/>
              </w:rPr>
              <w:t>通过厂区设置的化粪池预处理</w:t>
            </w:r>
            <w:r>
              <w:rPr>
                <w:rFonts w:hint="default" w:ascii="Times New Roman" w:hAnsi="Times New Roman" w:eastAsia="宋体" w:cs="Times New Roman"/>
                <w:color w:val="auto"/>
                <w:kern w:val="2"/>
                <w:sz w:val="24"/>
                <w:szCs w:val="24"/>
              </w:rPr>
              <w:t>，</w:t>
            </w:r>
            <w:r>
              <w:rPr>
                <w:rFonts w:hint="default" w:ascii="Times New Roman" w:hAnsi="Times New Roman" w:eastAsia="宋体" w:cs="Times New Roman"/>
                <w:color w:val="auto"/>
                <w:kern w:val="2"/>
                <w:sz w:val="24"/>
                <w:szCs w:val="24"/>
                <w:lang w:eastAsia="zh-CN"/>
              </w:rPr>
              <w:t>处理后</w:t>
            </w:r>
            <w:r>
              <w:rPr>
                <w:rFonts w:hint="default" w:ascii="Times New Roman" w:hAnsi="Times New Roman" w:eastAsia="宋体" w:cs="Times New Roman"/>
                <w:color w:val="auto"/>
                <w:kern w:val="2"/>
                <w:sz w:val="24"/>
                <w:szCs w:val="24"/>
              </w:rPr>
              <w:t>水质</w:t>
            </w:r>
            <w:r>
              <w:rPr>
                <w:rFonts w:hint="default" w:ascii="Times New Roman" w:hAnsi="Times New Roman" w:eastAsia="宋体" w:cs="Times New Roman"/>
                <w:color w:val="auto"/>
                <w:kern w:val="2"/>
                <w:sz w:val="24"/>
                <w:szCs w:val="24"/>
                <w:lang w:eastAsia="zh-CN"/>
              </w:rPr>
              <w:t>能够满足</w:t>
            </w:r>
            <w:r>
              <w:rPr>
                <w:rFonts w:hint="default" w:ascii="Times New Roman" w:hAnsi="Times New Roman" w:eastAsia="宋体" w:cs="Times New Roman"/>
                <w:color w:val="auto"/>
                <w:kern w:val="2"/>
                <w:sz w:val="24"/>
                <w:szCs w:val="24"/>
              </w:rPr>
              <w:t>《</w:t>
            </w:r>
            <w:r>
              <w:rPr>
                <w:rFonts w:hint="default" w:ascii="Times New Roman" w:hAnsi="Times New Roman" w:eastAsia="宋体" w:cs="Times New Roman"/>
                <w:color w:val="auto"/>
                <w:kern w:val="2"/>
                <w:sz w:val="24"/>
                <w:szCs w:val="24"/>
                <w:lang w:val="en-US" w:eastAsia="zh-CN"/>
              </w:rPr>
              <w:t>污水综合排放标准</w:t>
            </w:r>
            <w:r>
              <w:rPr>
                <w:rFonts w:hint="default" w:ascii="Times New Roman" w:hAnsi="Times New Roman" w:eastAsia="宋体" w:cs="Times New Roman"/>
                <w:color w:val="auto"/>
                <w:kern w:val="2"/>
                <w:sz w:val="24"/>
                <w:szCs w:val="24"/>
              </w:rPr>
              <w:t>》（GB8978-1996）表</w:t>
            </w:r>
            <w:r>
              <w:rPr>
                <w:rFonts w:hint="default" w:ascii="Times New Roman" w:hAnsi="Times New Roman" w:eastAsia="宋体" w:cs="Times New Roman"/>
                <w:color w:val="auto"/>
                <w:kern w:val="2"/>
                <w:sz w:val="24"/>
                <w:szCs w:val="24"/>
                <w:lang w:val="en-US" w:eastAsia="zh-CN"/>
              </w:rPr>
              <w:t>4</w:t>
            </w:r>
            <w:r>
              <w:rPr>
                <w:rFonts w:hint="default" w:ascii="Times New Roman" w:hAnsi="Times New Roman" w:eastAsia="宋体" w:cs="Times New Roman"/>
                <w:color w:val="auto"/>
                <w:kern w:val="2"/>
                <w:sz w:val="24"/>
                <w:szCs w:val="24"/>
              </w:rPr>
              <w:t>中</w:t>
            </w:r>
            <w:r>
              <w:rPr>
                <w:rFonts w:hint="default" w:ascii="Times New Roman" w:hAnsi="Times New Roman" w:eastAsia="宋体" w:cs="Times New Roman"/>
                <w:color w:val="auto"/>
                <w:kern w:val="2"/>
                <w:sz w:val="24"/>
                <w:szCs w:val="24"/>
                <w:lang w:val="en-US" w:eastAsia="zh-CN"/>
              </w:rPr>
              <w:t>三级标准</w:t>
            </w:r>
            <w:r>
              <w:rPr>
                <w:rFonts w:hint="default" w:ascii="Times New Roman" w:hAnsi="Times New Roman" w:eastAsia="宋体" w:cs="Times New Roman"/>
                <w:color w:val="auto"/>
                <w:kern w:val="2"/>
                <w:sz w:val="24"/>
                <w:szCs w:val="24"/>
                <w:lang w:eastAsia="zh-CN"/>
              </w:rPr>
              <w:t>，NH</w:t>
            </w:r>
            <w:r>
              <w:rPr>
                <w:rFonts w:hint="default" w:ascii="Times New Roman" w:hAnsi="Times New Roman" w:eastAsia="宋体" w:cs="Times New Roman"/>
                <w:color w:val="auto"/>
                <w:kern w:val="2"/>
                <w:sz w:val="24"/>
                <w:szCs w:val="24"/>
                <w:vertAlign w:val="subscript"/>
                <w:lang w:eastAsia="zh-CN"/>
              </w:rPr>
              <w:t>3</w:t>
            </w:r>
            <w:r>
              <w:rPr>
                <w:rFonts w:hint="default" w:ascii="Times New Roman" w:hAnsi="Times New Roman" w:eastAsia="宋体" w:cs="Times New Roman"/>
                <w:color w:val="auto"/>
                <w:kern w:val="2"/>
                <w:sz w:val="24"/>
                <w:szCs w:val="24"/>
                <w:lang w:eastAsia="zh-CN"/>
              </w:rPr>
              <w:t>-N</w:t>
            </w:r>
            <w:r>
              <w:rPr>
                <w:rFonts w:hint="default" w:ascii="Times New Roman" w:hAnsi="Times New Roman" w:eastAsia="宋体" w:cs="Times New Roman"/>
                <w:color w:val="auto"/>
                <w:kern w:val="2"/>
                <w:sz w:val="24"/>
                <w:szCs w:val="24"/>
                <w:lang w:val="en-US" w:eastAsia="zh-CN"/>
              </w:rPr>
              <w:t>满足</w:t>
            </w:r>
            <w:r>
              <w:rPr>
                <w:rFonts w:hint="eastAsia" w:cs="Times New Roman"/>
                <w:color w:val="auto"/>
                <w:kern w:val="2"/>
                <w:sz w:val="24"/>
                <w:szCs w:val="24"/>
                <w:lang w:val="en-US" w:eastAsia="zh-CN"/>
              </w:rPr>
              <w:t>《</w:t>
            </w:r>
            <w:r>
              <w:rPr>
                <w:rFonts w:hint="default" w:ascii="Times New Roman" w:hAnsi="Times New Roman" w:eastAsia="宋体" w:cs="Times New Roman"/>
                <w:color w:val="auto"/>
                <w:kern w:val="2"/>
                <w:sz w:val="24"/>
                <w:szCs w:val="24"/>
              </w:rPr>
              <w:t>污水排入城镇下水道水质标准》（GB/T31962-2015）表1中A级限值</w:t>
            </w:r>
            <w:r>
              <w:rPr>
                <w:rFonts w:hint="default"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rPr>
              <w:t>定期拉运至中卫市第一污水处理厂</w:t>
            </w:r>
            <w:r>
              <w:rPr>
                <w:rFonts w:hint="eastAsia" w:cs="Times New Roman"/>
                <w:color w:val="auto"/>
                <w:kern w:val="2"/>
                <w:sz w:val="24"/>
                <w:szCs w:val="24"/>
                <w:lang w:val="en-US" w:eastAsia="zh-CN"/>
              </w:rPr>
              <w:t>进行</w:t>
            </w:r>
            <w:r>
              <w:rPr>
                <w:rFonts w:hint="default" w:ascii="Times New Roman" w:hAnsi="Times New Roman" w:eastAsia="宋体" w:cs="Times New Roman"/>
                <w:color w:val="auto"/>
                <w:kern w:val="2"/>
                <w:sz w:val="24"/>
                <w:szCs w:val="24"/>
              </w:rPr>
              <w:t>处置。</w:t>
            </w:r>
          </w:p>
          <w:p>
            <w:pPr>
              <w:adjustRightInd w:val="0"/>
              <w:snapToGrid w:val="0"/>
              <w:spacing w:line="360" w:lineRule="auto"/>
              <w:ind w:firstLine="481" w:firstLineChars="200"/>
              <w:jc w:val="both"/>
              <w:rPr>
                <w:rFonts w:hint="default" w:ascii="Times New Roman" w:hAnsi="Times New Roman" w:eastAsia="宋体" w:cs="Times New Roman"/>
                <w:color w:val="auto"/>
                <w:kern w:val="2"/>
                <w:sz w:val="24"/>
                <w:szCs w:val="24"/>
              </w:rPr>
            </w:pPr>
            <w:r>
              <w:rPr>
                <w:rFonts w:hint="eastAsia" w:cs="Times New Roman"/>
                <w:b/>
                <w:bCs/>
                <w:color w:val="auto"/>
                <w:kern w:val="2"/>
                <w:sz w:val="24"/>
                <w:szCs w:val="24"/>
                <w:lang w:val="en-US" w:eastAsia="zh-CN"/>
              </w:rPr>
              <w:t>3.1生活污水通过化粪池处理后拉运至</w:t>
            </w:r>
            <w:r>
              <w:rPr>
                <w:rFonts w:hint="default" w:ascii="Times New Roman" w:hAnsi="Times New Roman" w:eastAsia="宋体" w:cs="Times New Roman"/>
                <w:b/>
                <w:bCs/>
                <w:color w:val="auto"/>
                <w:kern w:val="2"/>
                <w:sz w:val="24"/>
                <w:szCs w:val="24"/>
                <w:lang w:eastAsia="zh-CN"/>
              </w:rPr>
              <w:t>中卫市第一污水处理厂</w:t>
            </w:r>
            <w:r>
              <w:rPr>
                <w:rFonts w:hint="default" w:ascii="Times New Roman" w:hAnsi="Times New Roman" w:eastAsia="宋体" w:cs="Times New Roman"/>
                <w:b/>
                <w:bCs/>
                <w:color w:val="auto"/>
                <w:kern w:val="2"/>
                <w:sz w:val="24"/>
                <w:szCs w:val="24"/>
              </w:rPr>
              <w:t>可行性分析</w:t>
            </w:r>
          </w:p>
          <w:p>
            <w:pPr>
              <w:adjustRightInd w:val="0"/>
              <w:snapToGrid w:val="0"/>
              <w:spacing w:line="360" w:lineRule="auto"/>
              <w:ind w:firstLine="480" w:firstLineChars="200"/>
              <w:jc w:val="both"/>
              <w:rPr>
                <w:rFonts w:hint="default" w:ascii="Times New Roman" w:hAnsi="Times New Roman" w:eastAsia="宋体" w:cs="Times New Roman"/>
                <w:color w:val="auto"/>
                <w:kern w:val="2"/>
                <w:sz w:val="24"/>
                <w:szCs w:val="24"/>
                <w:lang w:eastAsia="zh-CN"/>
              </w:rPr>
            </w:pPr>
            <w:r>
              <w:rPr>
                <w:rFonts w:hint="eastAsia" w:ascii="Times New Roman" w:hAnsi="Times New Roman" w:cs="Times New Roman" w:eastAsiaTheme="minorEastAsia"/>
                <w:color w:val="auto"/>
                <w:kern w:val="2"/>
                <w:sz w:val="24"/>
                <w:szCs w:val="24"/>
                <w:lang w:val="en-US" w:eastAsia="zh-CN" w:bidi="ar-SA"/>
              </w:rPr>
              <w:t>本项目</w:t>
            </w:r>
            <w:r>
              <w:rPr>
                <w:rFonts w:hint="default" w:ascii="Times New Roman" w:hAnsi="Times New Roman" w:cs="Times New Roman" w:eastAsiaTheme="minorEastAsia"/>
                <w:color w:val="auto"/>
                <w:kern w:val="2"/>
                <w:sz w:val="24"/>
                <w:szCs w:val="24"/>
                <w:lang w:val="en-US" w:eastAsia="zh-CN" w:bidi="ar-SA"/>
              </w:rPr>
              <w:t>生活污水量以生活给水量的80%计，污水量为0.56m</w:t>
            </w:r>
            <w:r>
              <w:rPr>
                <w:rFonts w:hint="default" w:ascii="Times New Roman" w:hAnsi="Times New Roman" w:cs="Times New Roman" w:eastAsiaTheme="minorEastAsia"/>
                <w:color w:val="auto"/>
                <w:kern w:val="2"/>
                <w:sz w:val="24"/>
                <w:szCs w:val="24"/>
                <w:vertAlign w:val="superscript"/>
                <w:lang w:val="en-US" w:eastAsia="zh-CN" w:bidi="ar-SA"/>
              </w:rPr>
              <w:t>3</w:t>
            </w:r>
            <w:r>
              <w:rPr>
                <w:rFonts w:hint="default" w:ascii="Times New Roman" w:hAnsi="Times New Roman" w:cs="Times New Roman" w:eastAsiaTheme="minorEastAsia"/>
                <w:color w:val="auto"/>
                <w:kern w:val="2"/>
                <w:sz w:val="24"/>
                <w:szCs w:val="24"/>
                <w:lang w:val="en-US" w:eastAsia="zh-CN" w:bidi="ar-SA"/>
              </w:rPr>
              <w:t>/d（</w:t>
            </w:r>
            <w:r>
              <w:rPr>
                <w:rFonts w:hint="eastAsia" w:cs="Times New Roman" w:eastAsiaTheme="minorEastAsia"/>
                <w:color w:val="auto"/>
                <w:kern w:val="2"/>
                <w:sz w:val="24"/>
                <w:szCs w:val="24"/>
                <w:lang w:val="en-US" w:eastAsia="zh-CN" w:bidi="ar-SA"/>
              </w:rPr>
              <w:t>77.3</w:t>
            </w:r>
            <w:r>
              <w:rPr>
                <w:rFonts w:hint="default" w:ascii="Times New Roman" w:hAnsi="Times New Roman" w:cs="Times New Roman" w:eastAsiaTheme="minorEastAsia"/>
                <w:color w:val="auto"/>
                <w:kern w:val="2"/>
                <w:sz w:val="24"/>
                <w:szCs w:val="24"/>
                <w:lang w:val="en-US" w:eastAsia="zh-CN" w:bidi="ar-SA"/>
              </w:rPr>
              <w:t>m</w:t>
            </w:r>
            <w:r>
              <w:rPr>
                <w:rFonts w:hint="default" w:ascii="Times New Roman" w:hAnsi="Times New Roman" w:cs="Times New Roman" w:eastAsiaTheme="minorEastAsia"/>
                <w:color w:val="auto"/>
                <w:kern w:val="2"/>
                <w:sz w:val="24"/>
                <w:szCs w:val="24"/>
                <w:vertAlign w:val="superscript"/>
                <w:lang w:val="en-US" w:eastAsia="zh-CN" w:bidi="ar-SA"/>
              </w:rPr>
              <w:t>3</w:t>
            </w:r>
            <w:r>
              <w:rPr>
                <w:rFonts w:hint="default" w:ascii="Times New Roman" w:hAnsi="Times New Roman" w:cs="Times New Roman" w:eastAsiaTheme="minorEastAsia"/>
                <w:color w:val="auto"/>
                <w:kern w:val="2"/>
                <w:sz w:val="24"/>
                <w:szCs w:val="24"/>
                <w:lang w:val="en-US" w:eastAsia="zh-CN" w:bidi="ar-SA"/>
              </w:rPr>
              <w:t>/</w:t>
            </w:r>
            <w:r>
              <w:rPr>
                <w:rFonts w:hint="eastAsia" w:cs="Times New Roman" w:eastAsiaTheme="minorEastAsia"/>
                <w:color w:val="auto"/>
                <w:kern w:val="2"/>
                <w:sz w:val="24"/>
                <w:szCs w:val="24"/>
                <w:lang w:val="en-US" w:eastAsia="zh-CN" w:bidi="ar-SA"/>
              </w:rPr>
              <w:t>周期</w:t>
            </w:r>
            <w:r>
              <w:rPr>
                <w:rFonts w:hint="default" w:ascii="Times New Roman" w:hAnsi="Times New Roman" w:cs="Times New Roman" w:eastAsiaTheme="minorEastAsia"/>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rPr>
              <w:t>生活污水进入化粪池处理</w:t>
            </w:r>
            <w:r>
              <w:rPr>
                <w:rFonts w:hint="default" w:ascii="Times New Roman" w:hAnsi="Times New Roman" w:eastAsia="宋体" w:cs="Times New Roman"/>
                <w:color w:val="auto"/>
                <w:kern w:val="2"/>
                <w:sz w:val="24"/>
                <w:szCs w:val="24"/>
                <w:lang w:eastAsia="zh-CN"/>
              </w:rPr>
              <w:t>后</w:t>
            </w:r>
            <w:r>
              <w:rPr>
                <w:rFonts w:hint="eastAsia" w:cs="Times New Roman"/>
                <w:color w:val="auto"/>
                <w:kern w:val="2"/>
                <w:sz w:val="24"/>
                <w:szCs w:val="24"/>
                <w:lang w:val="en-US" w:eastAsia="zh-CN"/>
              </w:rPr>
              <w:t>定期</w:t>
            </w:r>
            <w:r>
              <w:rPr>
                <w:rFonts w:hint="default" w:ascii="Times New Roman" w:hAnsi="Times New Roman" w:eastAsia="宋体" w:cs="Times New Roman"/>
                <w:color w:val="auto"/>
                <w:kern w:val="2"/>
                <w:sz w:val="24"/>
                <w:szCs w:val="24"/>
                <w:lang w:eastAsia="zh-CN"/>
              </w:rPr>
              <w:t>拉运至</w:t>
            </w:r>
            <w:r>
              <w:rPr>
                <w:rFonts w:hint="default" w:ascii="Times New Roman" w:hAnsi="Times New Roman" w:eastAsia="宋体" w:cs="Times New Roman"/>
                <w:color w:val="auto"/>
                <w:kern w:val="2"/>
                <w:sz w:val="24"/>
                <w:szCs w:val="24"/>
              </w:rPr>
              <w:t>中卫市第一污水处理厂处理</w:t>
            </w:r>
            <w:r>
              <w:rPr>
                <w:rFonts w:hint="default" w:ascii="Times New Roman" w:hAnsi="Times New Roman" w:eastAsia="宋体" w:cs="Times New Roman"/>
                <w:color w:val="auto"/>
                <w:kern w:val="2"/>
                <w:sz w:val="24"/>
                <w:szCs w:val="24"/>
                <w:lang w:eastAsia="zh-CN"/>
              </w:rPr>
              <w:t>。</w:t>
            </w:r>
          </w:p>
          <w:p>
            <w:pPr>
              <w:adjustRightInd w:val="0"/>
              <w:snapToGrid w:val="0"/>
              <w:spacing w:line="360" w:lineRule="auto"/>
              <w:ind w:firstLine="480" w:firstLineChars="200"/>
              <w:jc w:val="both"/>
              <w:rPr>
                <w:rFonts w:hint="default" w:ascii="Times New Roman" w:hAnsi="Times New Roman" w:eastAsia="宋体" w:cs="Times New Roman"/>
                <w:color w:val="auto"/>
                <w:kern w:val="2"/>
                <w:sz w:val="24"/>
                <w:szCs w:val="24"/>
                <w:lang w:eastAsia="zh-CN"/>
              </w:rPr>
            </w:pPr>
            <w:r>
              <w:rPr>
                <w:rFonts w:hint="eastAsia" w:ascii="Times New Roman" w:hAnsi="Times New Roman" w:eastAsia="宋体" w:cs="Times New Roman"/>
                <w:color w:val="auto"/>
                <w:kern w:val="2"/>
                <w:sz w:val="24"/>
                <w:szCs w:val="24"/>
                <w:lang w:val="en-US" w:eastAsia="zh-CN"/>
              </w:rPr>
              <w:t>生活污水拉运需委托资质单位，运输车辆必须符合安全标准。</w:t>
            </w:r>
            <w:r>
              <w:rPr>
                <w:rFonts w:hint="default" w:ascii="Times New Roman" w:hAnsi="Times New Roman" w:eastAsia="宋体" w:cs="Times New Roman"/>
                <w:color w:val="auto"/>
                <w:kern w:val="2"/>
                <w:sz w:val="24"/>
                <w:szCs w:val="24"/>
                <w:lang w:val="en-US" w:eastAsia="zh-CN"/>
              </w:rPr>
              <w:t>在</w:t>
            </w:r>
            <w:r>
              <w:rPr>
                <w:rFonts w:hint="eastAsia" w:ascii="Times New Roman" w:hAnsi="Times New Roman" w:eastAsia="宋体" w:cs="Times New Roman"/>
                <w:color w:val="auto"/>
                <w:kern w:val="2"/>
                <w:sz w:val="24"/>
                <w:szCs w:val="24"/>
                <w:lang w:val="en-US" w:eastAsia="zh-CN"/>
              </w:rPr>
              <w:t>污水</w:t>
            </w:r>
            <w:r>
              <w:rPr>
                <w:rFonts w:hint="default" w:ascii="Times New Roman" w:hAnsi="Times New Roman" w:eastAsia="宋体" w:cs="Times New Roman"/>
                <w:color w:val="auto"/>
                <w:kern w:val="2"/>
                <w:sz w:val="24"/>
                <w:szCs w:val="24"/>
                <w:lang w:val="en-US" w:eastAsia="zh-CN"/>
              </w:rPr>
              <w:t>运输途中要采取防范措施，</w:t>
            </w:r>
            <w:r>
              <w:rPr>
                <w:rFonts w:hint="eastAsia" w:ascii="Times New Roman" w:hAnsi="Times New Roman" w:eastAsia="宋体" w:cs="Times New Roman"/>
                <w:color w:val="auto"/>
                <w:kern w:val="2"/>
                <w:sz w:val="24"/>
                <w:szCs w:val="24"/>
                <w:lang w:val="en-US" w:eastAsia="zh-CN"/>
              </w:rPr>
              <w:t>应确保车速适中，</w:t>
            </w:r>
            <w:r>
              <w:rPr>
                <w:rFonts w:hint="default" w:ascii="Times New Roman" w:hAnsi="Times New Roman" w:eastAsia="宋体" w:cs="Times New Roman"/>
                <w:color w:val="auto"/>
                <w:kern w:val="2"/>
                <w:sz w:val="24"/>
                <w:szCs w:val="24"/>
                <w:lang w:val="en-US" w:eastAsia="zh-CN"/>
              </w:rPr>
              <w:t>避免超载超速，</w:t>
            </w:r>
            <w:r>
              <w:rPr>
                <w:rFonts w:hint="eastAsia" w:ascii="Times New Roman" w:hAnsi="Times New Roman" w:eastAsia="宋体" w:cs="Times New Roman"/>
                <w:color w:val="auto"/>
                <w:kern w:val="2"/>
                <w:sz w:val="24"/>
                <w:szCs w:val="24"/>
                <w:lang w:val="en-US" w:eastAsia="zh-CN"/>
              </w:rPr>
              <w:t>防止污水</w:t>
            </w:r>
            <w:r>
              <w:rPr>
                <w:rFonts w:hint="default" w:ascii="Times New Roman" w:hAnsi="Times New Roman" w:eastAsia="宋体" w:cs="Times New Roman"/>
                <w:color w:val="auto"/>
                <w:kern w:val="2"/>
                <w:sz w:val="24"/>
                <w:szCs w:val="24"/>
                <w:lang w:val="en-US" w:eastAsia="zh-CN"/>
              </w:rPr>
              <w:t>沿途滴漏洒落造成环境污染</w:t>
            </w:r>
            <w:r>
              <w:rPr>
                <w:rFonts w:hint="eastAsia"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lang w:val="en-US" w:eastAsia="zh-CN"/>
              </w:rPr>
              <w:t>运输车辆按规定时间、路线行驶，</w:t>
            </w:r>
            <w:r>
              <w:rPr>
                <w:rFonts w:hint="eastAsia" w:ascii="Times New Roman" w:hAnsi="Times New Roman" w:eastAsia="宋体" w:cs="Times New Roman"/>
                <w:color w:val="auto"/>
                <w:kern w:val="2"/>
                <w:sz w:val="24"/>
                <w:szCs w:val="24"/>
                <w:lang w:val="en-US" w:eastAsia="zh-CN"/>
              </w:rPr>
              <w:t>不得在途中随意停留，不得在途中随意停靠于人口密集和河流水源地等路段，</w:t>
            </w:r>
            <w:r>
              <w:rPr>
                <w:rFonts w:hint="default" w:ascii="Times New Roman" w:hAnsi="Times New Roman" w:eastAsia="宋体" w:cs="Times New Roman"/>
                <w:color w:val="auto"/>
                <w:kern w:val="2"/>
                <w:sz w:val="24"/>
                <w:szCs w:val="24"/>
                <w:lang w:val="en-US" w:eastAsia="zh-CN"/>
              </w:rPr>
              <w:t>坚决不超载、不超高</w:t>
            </w:r>
            <w:r>
              <w:rPr>
                <w:rFonts w:hint="eastAsia" w:ascii="Times New Roman" w:hAnsi="Times New Roman" w:eastAsia="宋体" w:cs="Times New Roman"/>
                <w:color w:val="auto"/>
                <w:kern w:val="2"/>
                <w:sz w:val="24"/>
                <w:szCs w:val="24"/>
                <w:lang w:val="en-US" w:eastAsia="zh-CN"/>
              </w:rPr>
              <w:t>；</w:t>
            </w:r>
            <w:r>
              <w:rPr>
                <w:rFonts w:hint="default" w:ascii="Times New Roman" w:hAnsi="Times New Roman" w:eastAsia="宋体" w:cs="Times New Roman"/>
                <w:color w:val="auto"/>
                <w:kern w:val="2"/>
                <w:sz w:val="24"/>
                <w:szCs w:val="24"/>
                <w:lang w:val="en-US" w:eastAsia="zh-CN"/>
              </w:rPr>
              <w:t>整个运输过程应按照环境保护相关法律法规执行。</w:t>
            </w:r>
          </w:p>
          <w:p>
            <w:pPr>
              <w:adjustRightInd w:val="0"/>
              <w:snapToGrid w:val="0"/>
              <w:spacing w:line="360" w:lineRule="auto"/>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中卫市第一污水处理厂</w:t>
            </w:r>
            <w:r>
              <w:rPr>
                <w:rFonts w:hint="default" w:ascii="Times New Roman" w:hAnsi="Times New Roman" w:eastAsia="宋体" w:cs="Times New Roman"/>
                <w:color w:val="auto"/>
                <w:kern w:val="2"/>
                <w:sz w:val="24"/>
                <w:szCs w:val="24"/>
                <w:lang w:eastAsia="zh-CN"/>
              </w:rPr>
              <w:t>位于中卫市城市建成区内，为中卫市生活污水处理单位，可处理城市生活污水、部分社会服务单位及工业企业废水</w:t>
            </w:r>
            <w:r>
              <w:rPr>
                <w:rFonts w:hint="eastAsia" w:cs="Times New Roman"/>
                <w:color w:val="auto"/>
                <w:kern w:val="2"/>
                <w:sz w:val="24"/>
                <w:szCs w:val="24"/>
                <w:lang w:eastAsia="zh-CN"/>
              </w:rPr>
              <w:t>。污水处理</w:t>
            </w:r>
            <w:r>
              <w:rPr>
                <w:rFonts w:hint="eastAsia" w:cs="Times New Roman"/>
                <w:color w:val="auto"/>
                <w:kern w:val="2"/>
                <w:sz w:val="24"/>
                <w:szCs w:val="24"/>
                <w:lang w:val="en-US" w:eastAsia="zh-CN"/>
              </w:rPr>
              <w:t>厂</w:t>
            </w:r>
            <w:r>
              <w:rPr>
                <w:rFonts w:hint="default" w:ascii="Times New Roman" w:hAnsi="Times New Roman" w:eastAsia="宋体" w:cs="Times New Roman"/>
                <w:color w:val="auto"/>
                <w:kern w:val="2"/>
                <w:sz w:val="24"/>
                <w:szCs w:val="24"/>
              </w:rPr>
              <w:t>设计处理能力为</w:t>
            </w:r>
            <w:r>
              <w:rPr>
                <w:rFonts w:hint="default" w:ascii="Times New Roman" w:hAnsi="Times New Roman" w:eastAsia="宋体" w:cs="Times New Roman"/>
                <w:color w:val="auto"/>
                <w:kern w:val="2"/>
                <w:sz w:val="24"/>
                <w:szCs w:val="24"/>
                <w:lang w:val="en-US" w:eastAsia="zh-CN"/>
              </w:rPr>
              <w:t>400</w:t>
            </w:r>
            <w:r>
              <w:rPr>
                <w:rFonts w:hint="default" w:ascii="Times New Roman" w:hAnsi="Times New Roman" w:eastAsia="宋体" w:cs="Times New Roman"/>
                <w:color w:val="auto"/>
                <w:kern w:val="2"/>
                <w:sz w:val="24"/>
                <w:szCs w:val="24"/>
              </w:rPr>
              <w:t>00m</w:t>
            </w:r>
            <w:r>
              <w:rPr>
                <w:rFonts w:hint="default" w:ascii="Times New Roman" w:hAnsi="Times New Roman" w:eastAsia="宋体" w:cs="Times New Roman"/>
                <w:color w:val="auto"/>
                <w:kern w:val="2"/>
                <w:sz w:val="24"/>
                <w:szCs w:val="24"/>
                <w:vertAlign w:val="superscript"/>
              </w:rPr>
              <w:t>3</w:t>
            </w:r>
            <w:r>
              <w:rPr>
                <w:rFonts w:hint="default" w:ascii="Times New Roman" w:hAnsi="Times New Roman" w:eastAsia="宋体" w:cs="Times New Roman"/>
                <w:color w:val="auto"/>
                <w:kern w:val="2"/>
                <w:sz w:val="24"/>
                <w:szCs w:val="24"/>
              </w:rPr>
              <w:t>/d，采用</w:t>
            </w:r>
            <w:r>
              <w:rPr>
                <w:rFonts w:hint="default" w:ascii="Times New Roman" w:hAnsi="Times New Roman" w:eastAsia="宋体" w:cs="Times New Roman"/>
                <w:color w:val="auto"/>
                <w:kern w:val="2"/>
                <w:sz w:val="24"/>
                <w:szCs w:val="24"/>
                <w:lang w:val="en-US" w:eastAsia="zh-CN"/>
              </w:rPr>
              <w:t>A</w:t>
            </w:r>
            <w:r>
              <w:rPr>
                <w:rFonts w:hint="default" w:ascii="Times New Roman" w:hAnsi="Times New Roman" w:eastAsia="宋体" w:cs="Times New Roman"/>
                <w:color w:val="auto"/>
                <w:kern w:val="2"/>
                <w:sz w:val="24"/>
                <w:szCs w:val="24"/>
                <w:vertAlign w:val="superscript"/>
                <w:lang w:val="en-US" w:eastAsia="zh-CN"/>
              </w:rPr>
              <w:t>2</w:t>
            </w:r>
            <w:r>
              <w:rPr>
                <w:rFonts w:hint="default" w:ascii="Times New Roman" w:hAnsi="Times New Roman" w:eastAsia="宋体" w:cs="Times New Roman"/>
                <w:color w:val="auto"/>
                <w:kern w:val="2"/>
                <w:sz w:val="24"/>
                <w:szCs w:val="24"/>
                <w:lang w:val="en-US" w:eastAsia="zh-CN"/>
              </w:rPr>
              <w:t>O+MBR</w:t>
            </w:r>
            <w:r>
              <w:rPr>
                <w:rFonts w:hint="default" w:ascii="Times New Roman" w:hAnsi="Times New Roman" w:eastAsia="宋体" w:cs="Times New Roman"/>
                <w:color w:val="auto"/>
                <w:kern w:val="2"/>
                <w:sz w:val="24"/>
                <w:szCs w:val="24"/>
              </w:rPr>
              <w:t>工艺，</w:t>
            </w:r>
            <w:r>
              <w:rPr>
                <w:rFonts w:hint="default" w:ascii="Times New Roman" w:hAnsi="Times New Roman" w:eastAsia="宋体" w:cs="Times New Roman"/>
                <w:color w:val="auto"/>
                <w:kern w:val="2"/>
                <w:sz w:val="24"/>
                <w:szCs w:val="24"/>
                <w:lang w:eastAsia="zh-CN"/>
              </w:rPr>
              <w:t>目前废水实际处理量约</w:t>
            </w:r>
            <w:r>
              <w:rPr>
                <w:rFonts w:hint="default" w:ascii="Times New Roman" w:hAnsi="Times New Roman" w:eastAsia="宋体" w:cs="Times New Roman"/>
                <w:color w:val="auto"/>
                <w:kern w:val="2"/>
                <w:sz w:val="24"/>
                <w:szCs w:val="24"/>
              </w:rPr>
              <w:t>为</w:t>
            </w:r>
            <w:r>
              <w:rPr>
                <w:rFonts w:hint="default" w:ascii="Times New Roman" w:hAnsi="Times New Roman" w:eastAsia="宋体" w:cs="Times New Roman"/>
                <w:color w:val="auto"/>
                <w:kern w:val="2"/>
                <w:sz w:val="24"/>
                <w:szCs w:val="24"/>
                <w:lang w:val="en-US" w:eastAsia="zh-CN"/>
              </w:rPr>
              <w:t>33</w:t>
            </w:r>
            <w:r>
              <w:rPr>
                <w:rFonts w:hint="default" w:ascii="Times New Roman" w:hAnsi="Times New Roman" w:eastAsia="宋体" w:cs="Times New Roman"/>
                <w:color w:val="auto"/>
                <w:kern w:val="2"/>
                <w:sz w:val="24"/>
                <w:szCs w:val="24"/>
              </w:rPr>
              <w:t>000m</w:t>
            </w:r>
            <w:r>
              <w:rPr>
                <w:rFonts w:hint="default" w:ascii="Times New Roman" w:hAnsi="Times New Roman" w:eastAsia="宋体" w:cs="Times New Roman"/>
                <w:color w:val="auto"/>
                <w:kern w:val="2"/>
                <w:sz w:val="24"/>
                <w:szCs w:val="24"/>
                <w:vertAlign w:val="superscript"/>
              </w:rPr>
              <w:t>3</w:t>
            </w:r>
            <w:r>
              <w:rPr>
                <w:rFonts w:hint="default" w:ascii="Times New Roman" w:hAnsi="Times New Roman" w:eastAsia="宋体" w:cs="Times New Roman"/>
                <w:color w:val="auto"/>
                <w:kern w:val="2"/>
                <w:sz w:val="24"/>
                <w:szCs w:val="24"/>
              </w:rPr>
              <w:t>/d，污水处理</w:t>
            </w:r>
            <w:r>
              <w:rPr>
                <w:rFonts w:hint="eastAsia" w:cs="Times New Roman"/>
                <w:color w:val="auto"/>
                <w:kern w:val="2"/>
                <w:sz w:val="24"/>
                <w:szCs w:val="24"/>
                <w:lang w:val="en-US" w:eastAsia="zh-CN"/>
              </w:rPr>
              <w:t>厂</w:t>
            </w:r>
            <w:r>
              <w:rPr>
                <w:rFonts w:hint="default" w:ascii="Times New Roman" w:hAnsi="Times New Roman" w:eastAsia="宋体" w:cs="Times New Roman"/>
                <w:color w:val="auto"/>
                <w:kern w:val="2"/>
                <w:sz w:val="24"/>
                <w:szCs w:val="24"/>
              </w:rPr>
              <w:t>的设计处理能力可完全接纳</w:t>
            </w:r>
            <w:r>
              <w:rPr>
                <w:rFonts w:hint="eastAsia" w:cs="Times New Roman"/>
                <w:color w:val="auto"/>
                <w:kern w:val="2"/>
                <w:sz w:val="24"/>
                <w:szCs w:val="24"/>
                <w:lang w:val="en-US" w:eastAsia="zh-CN"/>
              </w:rPr>
              <w:t>本</w:t>
            </w:r>
            <w:r>
              <w:rPr>
                <w:rFonts w:hint="default" w:ascii="Times New Roman" w:hAnsi="Times New Roman" w:eastAsia="宋体" w:cs="Times New Roman"/>
                <w:color w:val="auto"/>
                <w:kern w:val="2"/>
                <w:sz w:val="24"/>
                <w:szCs w:val="24"/>
              </w:rPr>
              <w:t>项目</w:t>
            </w:r>
            <w:r>
              <w:rPr>
                <w:rFonts w:hint="eastAsia" w:cs="Times New Roman"/>
                <w:color w:val="auto"/>
                <w:kern w:val="2"/>
                <w:sz w:val="24"/>
                <w:szCs w:val="24"/>
                <w:lang w:val="en-US" w:eastAsia="zh-CN"/>
              </w:rPr>
              <w:t>产生</w:t>
            </w:r>
            <w:r>
              <w:rPr>
                <w:rFonts w:hint="default" w:ascii="Times New Roman" w:hAnsi="Times New Roman" w:eastAsia="宋体" w:cs="Times New Roman"/>
                <w:color w:val="auto"/>
                <w:kern w:val="2"/>
                <w:sz w:val="24"/>
                <w:szCs w:val="24"/>
                <w:lang w:eastAsia="zh-CN"/>
              </w:rPr>
              <w:t>的废水</w:t>
            </w:r>
            <w:r>
              <w:rPr>
                <w:rFonts w:hint="default" w:ascii="Times New Roman" w:hAnsi="Times New Roman" w:eastAsia="宋体" w:cs="Times New Roman"/>
                <w:color w:val="auto"/>
                <w:kern w:val="2"/>
                <w:sz w:val="24"/>
                <w:szCs w:val="24"/>
              </w:rPr>
              <w:t>。</w:t>
            </w:r>
          </w:p>
          <w:p>
            <w:pPr>
              <w:adjustRightInd w:val="0"/>
              <w:snapToGrid w:val="0"/>
              <w:spacing w:line="360" w:lineRule="auto"/>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w:t>
            </w:r>
            <w:r>
              <w:rPr>
                <w:rFonts w:hint="eastAsia" w:cs="Times New Roman"/>
                <w:color w:val="auto"/>
                <w:kern w:val="2"/>
                <w:sz w:val="24"/>
                <w:szCs w:val="24"/>
                <w:lang w:val="en-US" w:eastAsia="zh-CN"/>
              </w:rPr>
              <w:t>运行过程中产生的</w:t>
            </w:r>
            <w:r>
              <w:rPr>
                <w:rFonts w:hint="default" w:ascii="Times New Roman" w:hAnsi="Times New Roman" w:eastAsia="宋体" w:cs="Times New Roman"/>
                <w:color w:val="auto"/>
                <w:kern w:val="2"/>
                <w:sz w:val="24"/>
                <w:szCs w:val="24"/>
              </w:rPr>
              <w:t>生活污水</w:t>
            </w:r>
            <w:r>
              <w:rPr>
                <w:rFonts w:hint="eastAsia" w:cs="Times New Roman"/>
                <w:color w:val="auto"/>
                <w:kern w:val="2"/>
                <w:sz w:val="24"/>
                <w:szCs w:val="24"/>
                <w:lang w:val="en-US" w:eastAsia="zh-CN"/>
              </w:rPr>
              <w:t>通过</w:t>
            </w:r>
            <w:r>
              <w:rPr>
                <w:rFonts w:hint="default" w:ascii="Times New Roman" w:hAnsi="Times New Roman" w:eastAsia="宋体" w:cs="Times New Roman"/>
                <w:color w:val="auto"/>
                <w:kern w:val="2"/>
                <w:sz w:val="24"/>
                <w:szCs w:val="24"/>
              </w:rPr>
              <w:t>化粪池</w:t>
            </w:r>
            <w:r>
              <w:rPr>
                <w:rFonts w:hint="eastAsia" w:cs="Times New Roman"/>
                <w:color w:val="auto"/>
                <w:kern w:val="2"/>
                <w:sz w:val="24"/>
                <w:szCs w:val="24"/>
                <w:lang w:val="en-US" w:eastAsia="zh-CN"/>
              </w:rPr>
              <w:t>初步</w:t>
            </w:r>
            <w:r>
              <w:rPr>
                <w:rFonts w:hint="default" w:ascii="Times New Roman" w:hAnsi="Times New Roman" w:eastAsia="宋体" w:cs="Times New Roman"/>
                <w:color w:val="auto"/>
                <w:kern w:val="2"/>
                <w:sz w:val="24"/>
                <w:szCs w:val="24"/>
              </w:rPr>
              <w:t>处理</w:t>
            </w:r>
            <w:r>
              <w:rPr>
                <w:rFonts w:hint="default" w:ascii="Times New Roman" w:hAnsi="Times New Roman" w:eastAsia="宋体" w:cs="Times New Roman"/>
                <w:color w:val="auto"/>
                <w:kern w:val="2"/>
                <w:sz w:val="24"/>
                <w:szCs w:val="24"/>
                <w:lang w:eastAsia="zh-CN"/>
              </w:rPr>
              <w:t>后，</w:t>
            </w:r>
            <w:r>
              <w:rPr>
                <w:rFonts w:hint="eastAsia" w:cs="Times New Roman"/>
                <w:color w:val="auto"/>
                <w:kern w:val="2"/>
                <w:sz w:val="24"/>
                <w:szCs w:val="24"/>
                <w:lang w:val="en-US" w:eastAsia="zh-CN"/>
              </w:rPr>
              <w:t>定期拉运至</w:t>
            </w:r>
            <w:r>
              <w:rPr>
                <w:rFonts w:hint="default" w:ascii="Times New Roman" w:hAnsi="Times New Roman" w:eastAsia="宋体" w:cs="Times New Roman"/>
                <w:color w:val="auto"/>
                <w:kern w:val="2"/>
                <w:sz w:val="24"/>
                <w:szCs w:val="24"/>
              </w:rPr>
              <w:t>中卫市第一污水处理厂处理，该污水处理厂采用以生化为主的处理工艺，从工艺流程看，主要处理混合废水中可生化的有机污染物。</w:t>
            </w:r>
            <w:r>
              <w:rPr>
                <w:rFonts w:hint="default" w:ascii="Times New Roman" w:hAnsi="Times New Roman" w:eastAsia="宋体" w:cs="Times New Roman"/>
                <w:color w:val="auto"/>
                <w:kern w:val="2"/>
                <w:sz w:val="24"/>
                <w:szCs w:val="24"/>
                <w:lang w:eastAsia="zh-CN"/>
              </w:rPr>
              <w:t>本项目</w:t>
            </w:r>
            <w:r>
              <w:rPr>
                <w:rFonts w:hint="eastAsia" w:cs="Times New Roman"/>
                <w:color w:val="auto"/>
                <w:kern w:val="2"/>
                <w:sz w:val="24"/>
                <w:szCs w:val="24"/>
                <w:lang w:val="en-US" w:eastAsia="zh-CN"/>
              </w:rPr>
              <w:t>产生的生活污水</w:t>
            </w:r>
            <w:r>
              <w:rPr>
                <w:rFonts w:hint="default" w:ascii="Times New Roman" w:hAnsi="Times New Roman" w:eastAsia="宋体" w:cs="Times New Roman"/>
                <w:color w:val="auto"/>
                <w:kern w:val="2"/>
                <w:sz w:val="24"/>
                <w:szCs w:val="24"/>
              </w:rPr>
              <w:t>通过化粪池预处理后，将高浓度的SS等污染物去除，不会对中卫市第一污水处理厂</w:t>
            </w:r>
            <w:r>
              <w:rPr>
                <w:rFonts w:hint="default" w:ascii="Times New Roman" w:hAnsi="Times New Roman" w:eastAsia="宋体" w:cs="Times New Roman"/>
                <w:color w:val="auto"/>
                <w:kern w:val="2"/>
                <w:sz w:val="24"/>
                <w:szCs w:val="24"/>
                <w:lang w:eastAsia="zh-CN"/>
              </w:rPr>
              <w:t>处理系统</w:t>
            </w:r>
            <w:r>
              <w:rPr>
                <w:rFonts w:hint="default" w:ascii="Times New Roman" w:hAnsi="Times New Roman" w:eastAsia="宋体" w:cs="Times New Roman"/>
                <w:color w:val="auto"/>
                <w:kern w:val="2"/>
                <w:sz w:val="24"/>
                <w:szCs w:val="24"/>
              </w:rPr>
              <w:t>造成不利影</w:t>
            </w:r>
            <w:r>
              <w:rPr>
                <w:rFonts w:hint="default" w:ascii="Times New Roman" w:hAnsi="Times New Roman" w:eastAsia="宋体" w:cs="Times New Roman"/>
                <w:color w:val="auto"/>
                <w:kern w:val="2"/>
                <w:sz w:val="24"/>
                <w:szCs w:val="24"/>
                <w:lang w:eastAsia="zh-CN"/>
              </w:rPr>
              <w:t>响</w:t>
            </w:r>
            <w:r>
              <w:rPr>
                <w:rFonts w:hint="default" w:ascii="Times New Roman" w:hAnsi="Times New Roman" w:eastAsia="宋体" w:cs="Times New Roman"/>
                <w:color w:val="auto"/>
                <w:kern w:val="2"/>
                <w:sz w:val="24"/>
                <w:szCs w:val="24"/>
              </w:rPr>
              <w:t>。</w:t>
            </w:r>
          </w:p>
          <w:p>
            <w:pPr>
              <w:adjustRightInd w:val="0"/>
              <w:snapToGrid w:val="0"/>
              <w:spacing w:line="360" w:lineRule="auto"/>
              <w:ind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综上所述，本项目</w:t>
            </w:r>
            <w:r>
              <w:rPr>
                <w:rFonts w:hint="eastAsia" w:cs="Times New Roman"/>
                <w:color w:val="auto"/>
                <w:kern w:val="2"/>
                <w:sz w:val="24"/>
                <w:szCs w:val="24"/>
                <w:lang w:val="en-US" w:eastAsia="zh-CN"/>
              </w:rPr>
              <w:t>生产废水和生活废水均</w:t>
            </w:r>
            <w:r>
              <w:rPr>
                <w:rFonts w:hint="default" w:ascii="Times New Roman" w:hAnsi="Times New Roman" w:eastAsia="宋体" w:cs="Times New Roman"/>
                <w:color w:val="auto"/>
                <w:kern w:val="2"/>
                <w:sz w:val="24"/>
                <w:szCs w:val="24"/>
              </w:rPr>
              <w:t>得到妥善处理，对水环境的影响较小。</w:t>
            </w:r>
          </w:p>
          <w:p>
            <w:pPr>
              <w:pStyle w:val="6"/>
              <w:spacing w:after="0" w:line="360" w:lineRule="auto"/>
              <w:ind w:left="0" w:leftChars="0"/>
              <w:rPr>
                <w:rFonts w:hint="default" w:cs="Times New Roman"/>
                <w:b/>
                <w:bCs/>
                <w:color w:val="auto"/>
                <w:kern w:val="2"/>
                <w:sz w:val="24"/>
                <w:szCs w:val="24"/>
                <w:lang w:val="en-US" w:eastAsia="zh-CN"/>
              </w:rPr>
            </w:pPr>
            <w:r>
              <w:rPr>
                <w:rFonts w:hint="default" w:cs="Times New Roman"/>
                <w:b/>
                <w:bCs/>
                <w:color w:val="auto"/>
                <w:kern w:val="2"/>
                <w:sz w:val="24"/>
                <w:szCs w:val="24"/>
                <w:lang w:val="en-US" w:eastAsia="zh-CN"/>
              </w:rPr>
              <w:t>3.2监测要求及排放标准</w:t>
            </w:r>
          </w:p>
          <w:p>
            <w:pPr>
              <w:adjustRightInd w:val="0"/>
              <w:spacing w:line="360" w:lineRule="auto"/>
              <w:ind w:firstLine="480" w:firstLineChars="200"/>
              <w:rPr>
                <w:rFonts w:hint="default"/>
                <w:color w:val="auto"/>
                <w:lang w:val="en-US" w:eastAsia="zh-CN"/>
              </w:rPr>
            </w:pPr>
            <w:r>
              <w:rPr>
                <w:rFonts w:hint="default" w:ascii="Times New Roman" w:hAnsi="Times New Roman" w:eastAsia="宋体" w:cs="Times New Roman"/>
                <w:color w:val="auto"/>
                <w:sz w:val="24"/>
                <w:lang w:val="en-US" w:eastAsia="zh-CN"/>
              </w:rPr>
              <w:t>根据《排污单位自行监测技术指南 总则》（HJ848-2017），本项目水环境监测计划见表4-</w:t>
            </w:r>
            <w:r>
              <w:rPr>
                <w:rFonts w:hint="eastAsia"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lang w:val="en-US" w:eastAsia="zh-CN"/>
              </w:rPr>
              <w:t>。</w:t>
            </w:r>
          </w:p>
          <w:p>
            <w:pPr>
              <w:adjustRightInd w:val="0"/>
              <w:snapToGrid w:val="0"/>
              <w:ind w:right="105" w:rightChars="50"/>
              <w:jc w:val="center"/>
              <w:rPr>
                <w:b/>
                <w:bCs/>
                <w:color w:val="auto"/>
                <w:szCs w:val="21"/>
              </w:rPr>
            </w:pPr>
            <w:r>
              <w:rPr>
                <w:b/>
                <w:bCs/>
                <w:color w:val="auto"/>
                <w:szCs w:val="21"/>
              </w:rPr>
              <w:t>表4-</w:t>
            </w:r>
            <w:r>
              <w:rPr>
                <w:rFonts w:hint="eastAsia"/>
                <w:b/>
                <w:bCs/>
                <w:color w:val="auto"/>
                <w:szCs w:val="21"/>
              </w:rPr>
              <w:t>1</w:t>
            </w:r>
            <w:r>
              <w:rPr>
                <w:rFonts w:hint="eastAsia"/>
                <w:b/>
                <w:bCs/>
                <w:color w:val="auto"/>
                <w:szCs w:val="21"/>
                <w:lang w:val="en-US" w:eastAsia="zh-CN"/>
              </w:rPr>
              <w:t>0</w:t>
            </w:r>
            <w:r>
              <w:rPr>
                <w:b/>
                <w:bCs/>
                <w:color w:val="auto"/>
                <w:szCs w:val="21"/>
              </w:rPr>
              <w:t xml:space="preserve">  </w:t>
            </w:r>
            <w:r>
              <w:rPr>
                <w:rFonts w:hint="eastAsia"/>
                <w:b/>
                <w:bCs/>
                <w:color w:val="auto"/>
                <w:szCs w:val="21"/>
              </w:rPr>
              <w:t xml:space="preserve"> </w:t>
            </w:r>
            <w:r>
              <w:rPr>
                <w:b/>
                <w:bCs/>
                <w:color w:val="auto"/>
                <w:szCs w:val="21"/>
              </w:rPr>
              <w:t>本项目</w:t>
            </w:r>
            <w:r>
              <w:rPr>
                <w:rFonts w:hint="eastAsia"/>
                <w:b/>
                <w:bCs/>
                <w:color w:val="auto"/>
                <w:szCs w:val="21"/>
                <w:lang w:val="en-US" w:eastAsia="zh-CN"/>
              </w:rPr>
              <w:t>水</w:t>
            </w:r>
            <w:r>
              <w:rPr>
                <w:b/>
                <w:bCs/>
                <w:color w:val="auto"/>
                <w:szCs w:val="21"/>
              </w:rPr>
              <w:t>环境监测计划一览表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192"/>
              <w:gridCol w:w="2602"/>
              <w:gridCol w:w="1142"/>
              <w:gridCol w:w="27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00" w:type="pct"/>
                  <w:tcBorders>
                    <w:tl2br w:val="nil"/>
                    <w:tr2bl w:val="nil"/>
                  </w:tcBorders>
                  <w:vAlign w:val="center"/>
                </w:tcPr>
                <w:p>
                  <w:pPr>
                    <w:adjustRightInd w:val="0"/>
                    <w:snapToGrid w:val="0"/>
                    <w:jc w:val="center"/>
                    <w:rPr>
                      <w:b/>
                      <w:bCs/>
                      <w:color w:val="auto"/>
                      <w:szCs w:val="21"/>
                    </w:rPr>
                  </w:pPr>
                  <w:r>
                    <w:rPr>
                      <w:b/>
                      <w:bCs/>
                      <w:color w:val="auto"/>
                      <w:szCs w:val="21"/>
                    </w:rPr>
                    <w:t>因素</w:t>
                  </w:r>
                </w:p>
              </w:tc>
              <w:tc>
                <w:tcPr>
                  <w:tcW w:w="715" w:type="pct"/>
                  <w:tcBorders>
                    <w:tl2br w:val="nil"/>
                    <w:tr2bl w:val="nil"/>
                  </w:tcBorders>
                  <w:vAlign w:val="center"/>
                </w:tcPr>
                <w:p>
                  <w:pPr>
                    <w:adjustRightInd w:val="0"/>
                    <w:snapToGrid w:val="0"/>
                    <w:jc w:val="center"/>
                    <w:rPr>
                      <w:b/>
                      <w:bCs/>
                      <w:color w:val="auto"/>
                      <w:szCs w:val="21"/>
                    </w:rPr>
                  </w:pPr>
                  <w:r>
                    <w:rPr>
                      <w:rFonts w:hint="eastAsia"/>
                      <w:b/>
                      <w:bCs/>
                      <w:color w:val="auto"/>
                      <w:szCs w:val="21"/>
                    </w:rPr>
                    <w:t>监测点位</w:t>
                  </w:r>
                </w:p>
              </w:tc>
              <w:tc>
                <w:tcPr>
                  <w:tcW w:w="1561" w:type="pct"/>
                  <w:tcBorders>
                    <w:tl2br w:val="nil"/>
                    <w:tr2bl w:val="nil"/>
                  </w:tcBorders>
                  <w:vAlign w:val="center"/>
                </w:tcPr>
                <w:p>
                  <w:pPr>
                    <w:adjustRightInd w:val="0"/>
                    <w:snapToGrid w:val="0"/>
                    <w:jc w:val="center"/>
                    <w:rPr>
                      <w:b/>
                      <w:bCs/>
                      <w:color w:val="auto"/>
                      <w:szCs w:val="21"/>
                    </w:rPr>
                  </w:pPr>
                  <w:r>
                    <w:rPr>
                      <w:b/>
                      <w:bCs/>
                      <w:color w:val="auto"/>
                      <w:szCs w:val="21"/>
                    </w:rPr>
                    <w:t>监测指标</w:t>
                  </w:r>
                </w:p>
              </w:tc>
              <w:tc>
                <w:tcPr>
                  <w:tcW w:w="685" w:type="pct"/>
                  <w:tcBorders>
                    <w:tl2br w:val="nil"/>
                    <w:tr2bl w:val="nil"/>
                  </w:tcBorders>
                  <w:vAlign w:val="center"/>
                </w:tcPr>
                <w:p>
                  <w:pPr>
                    <w:adjustRightInd w:val="0"/>
                    <w:snapToGrid w:val="0"/>
                    <w:jc w:val="center"/>
                    <w:rPr>
                      <w:b/>
                      <w:bCs/>
                      <w:color w:val="auto"/>
                      <w:szCs w:val="21"/>
                    </w:rPr>
                  </w:pPr>
                  <w:r>
                    <w:rPr>
                      <w:b/>
                      <w:bCs/>
                      <w:color w:val="auto"/>
                      <w:szCs w:val="21"/>
                    </w:rPr>
                    <w:t>监测频次</w:t>
                  </w:r>
                </w:p>
              </w:tc>
              <w:tc>
                <w:tcPr>
                  <w:tcW w:w="1637" w:type="pct"/>
                  <w:tcBorders>
                    <w:tl2br w:val="nil"/>
                    <w:tr2bl w:val="nil"/>
                  </w:tcBorders>
                  <w:vAlign w:val="center"/>
                </w:tcPr>
                <w:p>
                  <w:pPr>
                    <w:adjustRightInd w:val="0"/>
                    <w:snapToGrid w:val="0"/>
                    <w:jc w:val="center"/>
                    <w:rPr>
                      <w:b/>
                      <w:bCs/>
                      <w:color w:val="auto"/>
                      <w:szCs w:val="21"/>
                    </w:rPr>
                  </w:pPr>
                  <w:r>
                    <w:rPr>
                      <w:b/>
                      <w:bCs/>
                      <w:color w:val="auto"/>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400" w:type="pct"/>
                  <w:tcBorders>
                    <w:tl2br w:val="nil"/>
                    <w:tr2bl w:val="nil"/>
                  </w:tcBorders>
                  <w:vAlign w:val="center"/>
                </w:tcPr>
                <w:p>
                  <w:pPr>
                    <w:adjustRightInd w:val="0"/>
                    <w:snapToGrid w:val="0"/>
                    <w:jc w:val="center"/>
                    <w:rPr>
                      <w:rFonts w:hint="eastAsia" w:eastAsia="宋体"/>
                      <w:color w:val="auto"/>
                      <w:szCs w:val="21"/>
                      <w:lang w:eastAsia="zh-CN"/>
                    </w:rPr>
                  </w:pPr>
                  <w:r>
                    <w:rPr>
                      <w:rFonts w:hint="eastAsia"/>
                      <w:color w:val="auto"/>
                      <w:szCs w:val="21"/>
                      <w:lang w:val="en-US" w:eastAsia="zh-CN"/>
                    </w:rPr>
                    <w:t>废水</w:t>
                  </w:r>
                </w:p>
              </w:tc>
              <w:tc>
                <w:tcPr>
                  <w:tcW w:w="715" w:type="pct"/>
                  <w:tcBorders>
                    <w:tl2br w:val="nil"/>
                    <w:tr2bl w:val="nil"/>
                  </w:tcBorders>
                  <w:vAlign w:val="center"/>
                </w:tcPr>
                <w:p>
                  <w:pPr>
                    <w:adjustRightInd w:val="0"/>
                    <w:snapToGrid w:val="0"/>
                    <w:jc w:val="center"/>
                    <w:rPr>
                      <w:rFonts w:hint="eastAsia" w:eastAsia="宋体"/>
                      <w:color w:val="auto"/>
                      <w:szCs w:val="21"/>
                      <w:lang w:eastAsia="zh-CN"/>
                    </w:rPr>
                  </w:pPr>
                  <w:r>
                    <w:rPr>
                      <w:rFonts w:hint="eastAsia"/>
                      <w:color w:val="auto"/>
                      <w:szCs w:val="21"/>
                      <w:lang w:val="en-US" w:eastAsia="zh-CN"/>
                    </w:rPr>
                    <w:t>化粪池</w:t>
                  </w:r>
                </w:p>
              </w:tc>
              <w:tc>
                <w:tcPr>
                  <w:tcW w:w="1561" w:type="pct"/>
                  <w:tcBorders>
                    <w:tl2br w:val="nil"/>
                    <w:tr2bl w:val="nil"/>
                  </w:tcBorders>
                  <w:vAlign w:val="center"/>
                </w:tcPr>
                <w:p>
                  <w:pPr>
                    <w:adjustRightInd w:val="0"/>
                    <w:snapToGrid w:val="0"/>
                    <w:jc w:val="center"/>
                    <w:rPr>
                      <w:color w:val="auto"/>
                      <w:szCs w:val="21"/>
                    </w:rPr>
                  </w:pPr>
                  <w:r>
                    <w:rPr>
                      <w:rFonts w:hint="eastAsia"/>
                      <w:color w:val="auto"/>
                      <w:szCs w:val="21"/>
                      <w:lang w:val="en-US" w:eastAsia="zh-CN"/>
                    </w:rPr>
                    <w:t>化学需氧量、五日生化需氧量、氨氮、总磷、总氮、悬浮物</w:t>
                  </w:r>
                </w:p>
              </w:tc>
              <w:tc>
                <w:tcPr>
                  <w:tcW w:w="685" w:type="pct"/>
                  <w:tcBorders>
                    <w:tl2br w:val="nil"/>
                    <w:tr2bl w:val="nil"/>
                  </w:tcBorders>
                  <w:vAlign w:val="center"/>
                </w:tcPr>
                <w:p>
                  <w:pPr>
                    <w:adjustRightInd w:val="0"/>
                    <w:snapToGrid w:val="0"/>
                    <w:jc w:val="center"/>
                    <w:rPr>
                      <w:color w:val="auto"/>
                      <w:szCs w:val="21"/>
                    </w:rPr>
                  </w:pPr>
                  <w:r>
                    <w:rPr>
                      <w:color w:val="auto"/>
                      <w:szCs w:val="21"/>
                    </w:rPr>
                    <w:t>1次/季度</w:t>
                  </w:r>
                </w:p>
              </w:tc>
              <w:tc>
                <w:tcPr>
                  <w:tcW w:w="1637" w:type="pct"/>
                  <w:tcBorders>
                    <w:tl2br w:val="nil"/>
                    <w:tr2bl w:val="nil"/>
                  </w:tcBorders>
                  <w:vAlign w:val="center"/>
                </w:tcPr>
                <w:p>
                  <w:pPr>
                    <w:adjustRightInd w:val="0"/>
                    <w:snapToGrid w:val="0"/>
                    <w:jc w:val="center"/>
                    <w:rPr>
                      <w:color w:val="auto"/>
                      <w:szCs w:val="21"/>
                    </w:rPr>
                  </w:pPr>
                  <w:r>
                    <w:rPr>
                      <w:color w:val="auto"/>
                      <w:szCs w:val="21"/>
                    </w:rPr>
                    <w:t>《污水排入城镇下水道水质标准》（GB/T31962-2015）中</w:t>
                  </w:r>
                  <w:r>
                    <w:rPr>
                      <w:rFonts w:hint="eastAsia"/>
                      <w:color w:val="auto"/>
                      <w:szCs w:val="21"/>
                      <w:lang w:val="en-US" w:eastAsia="zh-CN"/>
                    </w:rPr>
                    <w:t>A</w:t>
                  </w:r>
                  <w:r>
                    <w:rPr>
                      <w:color w:val="auto"/>
                      <w:szCs w:val="21"/>
                    </w:rPr>
                    <w:t>级</w:t>
                  </w:r>
                  <w:r>
                    <w:rPr>
                      <w:rFonts w:hint="eastAsia"/>
                      <w:color w:val="auto"/>
                      <w:szCs w:val="21"/>
                      <w:lang w:eastAsia="zh-CN"/>
                    </w:rPr>
                    <w:t>限值</w:t>
                  </w:r>
                </w:p>
              </w:tc>
            </w:tr>
          </w:tbl>
          <w:p>
            <w:pPr>
              <w:pStyle w:val="6"/>
              <w:spacing w:after="0" w:line="360" w:lineRule="auto"/>
              <w:ind w:left="0" w:leftChars="0" w:firstLine="482"/>
              <w:rPr>
                <w:rFonts w:hint="default"/>
                <w:color w:val="auto"/>
                <w:lang w:val="en-US" w:eastAsia="zh-CN"/>
              </w:rPr>
            </w:pPr>
            <w:r>
              <w:rPr>
                <w:rFonts w:hint="eastAsia"/>
                <w:b/>
                <w:bCs/>
                <w:color w:val="auto"/>
                <w:lang w:val="en-US" w:eastAsia="zh-CN"/>
              </w:rPr>
              <w:t>3.3</w:t>
            </w:r>
            <w:r>
              <w:rPr>
                <w:rFonts w:hint="default"/>
                <w:b/>
                <w:bCs/>
                <w:color w:val="auto"/>
                <w:lang w:val="en-US" w:eastAsia="zh-CN"/>
              </w:rPr>
              <w:t>废水管理要求</w:t>
            </w:r>
          </w:p>
          <w:p>
            <w:pPr>
              <w:pStyle w:val="6"/>
              <w:spacing w:after="0" w:line="360" w:lineRule="auto"/>
              <w:ind w:left="0" w:leftChars="0" w:firstLine="480"/>
              <w:rPr>
                <w:rFonts w:hint="default"/>
                <w:color w:val="auto"/>
                <w:lang w:val="en-US" w:eastAsia="zh-CN"/>
              </w:rPr>
            </w:pPr>
            <w:r>
              <w:rPr>
                <w:rFonts w:hint="eastAsia"/>
                <w:color w:val="auto"/>
                <w:lang w:val="en-US" w:eastAsia="zh-CN"/>
              </w:rPr>
              <w:t>（1）</w:t>
            </w:r>
            <w:r>
              <w:rPr>
                <w:rFonts w:hint="default"/>
                <w:color w:val="auto"/>
                <w:lang w:val="en-US" w:eastAsia="zh-CN"/>
              </w:rPr>
              <w:t>严格执行上述废水污染防控措施，以减轻对区域环境的影响；</w:t>
            </w:r>
          </w:p>
          <w:p>
            <w:pPr>
              <w:pStyle w:val="6"/>
              <w:spacing w:after="0" w:line="360" w:lineRule="auto"/>
              <w:ind w:left="0" w:leftChars="0" w:firstLine="480"/>
              <w:rPr>
                <w:rFonts w:hint="default"/>
                <w:color w:val="auto"/>
                <w:lang w:val="en-US" w:eastAsia="zh-CN"/>
              </w:rPr>
            </w:pPr>
            <w:r>
              <w:rPr>
                <w:rFonts w:hint="eastAsia"/>
                <w:color w:val="auto"/>
                <w:lang w:val="en-US" w:eastAsia="zh-CN"/>
              </w:rPr>
              <w:t>（2）项目运行过程中需</w:t>
            </w:r>
            <w:r>
              <w:rPr>
                <w:rFonts w:hint="default"/>
                <w:color w:val="auto"/>
                <w:lang w:val="en-US" w:eastAsia="zh-CN"/>
              </w:rPr>
              <w:t>及时将化粪池</w:t>
            </w:r>
            <w:r>
              <w:rPr>
                <w:rFonts w:hint="eastAsia"/>
                <w:color w:val="auto"/>
                <w:lang w:val="en-US" w:eastAsia="zh-CN"/>
              </w:rPr>
              <w:t>初步</w:t>
            </w:r>
            <w:r>
              <w:rPr>
                <w:rFonts w:hint="default"/>
                <w:color w:val="auto"/>
                <w:lang w:val="en-US" w:eastAsia="zh-CN"/>
              </w:rPr>
              <w:t>处理后</w:t>
            </w:r>
            <w:r>
              <w:rPr>
                <w:rFonts w:hint="eastAsia"/>
                <w:color w:val="auto"/>
                <w:lang w:val="en-US" w:eastAsia="zh-CN"/>
              </w:rPr>
              <w:t>的</w:t>
            </w:r>
            <w:r>
              <w:rPr>
                <w:rFonts w:hint="default"/>
                <w:color w:val="auto"/>
                <w:lang w:val="en-US" w:eastAsia="zh-CN"/>
              </w:rPr>
              <w:t>污水拉运至</w:t>
            </w:r>
            <w:r>
              <w:rPr>
                <w:rFonts w:hint="eastAsia"/>
                <w:color w:val="auto"/>
                <w:lang w:val="en-US" w:eastAsia="zh-CN"/>
              </w:rPr>
              <w:t>中卫市第一污水处理厂进行</w:t>
            </w:r>
            <w:r>
              <w:rPr>
                <w:rFonts w:hint="default"/>
                <w:color w:val="auto"/>
                <w:lang w:val="en-US" w:eastAsia="zh-CN"/>
              </w:rPr>
              <w:t>处置，不得随意排倒；</w:t>
            </w:r>
          </w:p>
          <w:p>
            <w:pPr>
              <w:pStyle w:val="6"/>
              <w:spacing w:after="0" w:line="360" w:lineRule="auto"/>
              <w:ind w:left="0" w:leftChars="0" w:firstLine="480"/>
              <w:rPr>
                <w:rFonts w:hint="default"/>
                <w:color w:val="auto"/>
                <w:lang w:val="en-US" w:eastAsia="zh-CN"/>
              </w:rPr>
            </w:pPr>
            <w:r>
              <w:rPr>
                <w:rFonts w:hint="eastAsia"/>
                <w:color w:val="auto"/>
                <w:lang w:val="en-US" w:eastAsia="zh-CN"/>
              </w:rPr>
              <w:t>（3）</w:t>
            </w:r>
            <w:r>
              <w:rPr>
                <w:rFonts w:hint="default"/>
                <w:color w:val="auto"/>
                <w:lang w:val="en-US" w:eastAsia="zh-CN"/>
              </w:rPr>
              <w:t>污水拉运需委托</w:t>
            </w:r>
            <w:r>
              <w:rPr>
                <w:rFonts w:hint="eastAsia"/>
                <w:color w:val="auto"/>
                <w:lang w:val="en-US" w:eastAsia="zh-CN"/>
              </w:rPr>
              <w:t>资质</w:t>
            </w:r>
            <w:r>
              <w:rPr>
                <w:rFonts w:hint="default"/>
                <w:color w:val="auto"/>
                <w:lang w:val="en-US" w:eastAsia="zh-CN"/>
              </w:rPr>
              <w:t>单位，</w:t>
            </w:r>
            <w:r>
              <w:rPr>
                <w:rFonts w:hint="eastAsia"/>
                <w:color w:val="auto"/>
                <w:lang w:val="en-US" w:eastAsia="zh-CN"/>
              </w:rPr>
              <w:t>采用封闭罐车拉运，</w:t>
            </w:r>
            <w:r>
              <w:rPr>
                <w:rFonts w:hint="default"/>
                <w:color w:val="auto"/>
                <w:lang w:val="en-US" w:eastAsia="zh-CN"/>
              </w:rPr>
              <w:t>避免在拉运途中出现偷排、随意倾倒废水的现象；</w:t>
            </w:r>
          </w:p>
          <w:p>
            <w:pPr>
              <w:pStyle w:val="6"/>
              <w:spacing w:after="0" w:line="360" w:lineRule="auto"/>
              <w:ind w:left="0" w:leftChars="0" w:firstLine="480" w:firstLineChars="200"/>
              <w:rPr>
                <w:rFonts w:hint="default"/>
                <w:color w:val="auto"/>
                <w:lang w:val="en-US" w:eastAsia="zh-CN"/>
              </w:rPr>
            </w:pPr>
            <w:r>
              <w:rPr>
                <w:rFonts w:hint="eastAsia"/>
                <w:color w:val="auto"/>
                <w:lang w:val="en-US" w:eastAsia="zh-CN"/>
              </w:rPr>
              <w:t>（4）</w:t>
            </w:r>
            <w:r>
              <w:rPr>
                <w:rFonts w:hint="default"/>
                <w:color w:val="auto"/>
                <w:lang w:val="en-US" w:eastAsia="zh-CN"/>
              </w:rPr>
              <w:t>建立健全环境管理制度，建立健全环保岗位责任制，指派专人负责协调管理项目运营期污水拉运处置工作，并制定废水拉运处置工作管理</w:t>
            </w:r>
            <w:r>
              <w:rPr>
                <w:rFonts w:hint="eastAsia"/>
                <w:color w:val="auto"/>
                <w:lang w:val="en-US" w:eastAsia="zh-CN"/>
              </w:rPr>
              <w:t>台账</w:t>
            </w:r>
            <w:bookmarkStart w:id="4" w:name="_GoBack"/>
            <w:bookmarkEnd w:id="4"/>
            <w:r>
              <w:rPr>
                <w:rFonts w:hint="default"/>
                <w:color w:val="auto"/>
                <w:lang w:val="en-US" w:eastAsia="zh-CN"/>
              </w:rPr>
              <w:t>，及时记录拉运时间、车次、数量、去向等。</w:t>
            </w:r>
          </w:p>
          <w:p>
            <w:pPr>
              <w:numPr>
                <w:ilvl w:val="0"/>
                <w:numId w:val="0"/>
              </w:numPr>
              <w:adjustRightInd w:val="0"/>
              <w:snapToGrid w:val="0"/>
              <w:spacing w:line="360" w:lineRule="auto"/>
              <w:ind w:firstLine="481" w:firstLineChars="200"/>
              <w:jc w:val="both"/>
              <w:outlineLvl w:val="1"/>
              <w:rPr>
                <w:b/>
                <w:bCs/>
                <w:color w:val="auto"/>
                <w:sz w:val="24"/>
              </w:rPr>
            </w:pPr>
            <w:r>
              <w:rPr>
                <w:rFonts w:hint="eastAsia"/>
                <w:b/>
                <w:bCs/>
                <w:color w:val="auto"/>
                <w:sz w:val="24"/>
                <w:lang w:eastAsia="zh-CN"/>
              </w:rPr>
              <w:t>三、</w:t>
            </w:r>
            <w:r>
              <w:rPr>
                <w:b/>
                <w:bCs/>
                <w:color w:val="auto"/>
                <w:sz w:val="24"/>
              </w:rPr>
              <w:t>噪声</w:t>
            </w:r>
          </w:p>
          <w:p>
            <w:pPr>
              <w:adjustRightInd w:val="0"/>
              <w:snapToGrid w:val="0"/>
              <w:spacing w:line="360" w:lineRule="auto"/>
              <w:ind w:firstLine="481" w:firstLineChars="200"/>
              <w:jc w:val="both"/>
              <w:rPr>
                <w:rFonts w:hint="default" w:ascii="Times New Roman" w:hAnsi="Times New Roman" w:eastAsia="宋体" w:cs="Times New Roman"/>
                <w:b/>
                <w:bCs w:val="0"/>
                <w:color w:val="auto"/>
                <w:sz w:val="24"/>
                <w:szCs w:val="32"/>
                <w:highlight w:val="none"/>
                <w:lang w:val="en-US" w:eastAsia="zh-CN"/>
              </w:rPr>
            </w:pPr>
            <w:r>
              <w:rPr>
                <w:rFonts w:hint="default" w:ascii="Times New Roman" w:hAnsi="Times New Roman" w:eastAsia="宋体" w:cs="Times New Roman"/>
                <w:b/>
                <w:bCs w:val="0"/>
                <w:color w:val="auto"/>
                <w:sz w:val="24"/>
                <w:szCs w:val="32"/>
                <w:highlight w:val="none"/>
                <w:lang w:val="en-US" w:eastAsia="zh-CN"/>
              </w:rPr>
              <w:t>1</w:t>
            </w:r>
            <w:r>
              <w:rPr>
                <w:rFonts w:hint="default" w:ascii="Times New Roman" w:hAnsi="Times New Roman" w:cs="Times New Roman" w:eastAsiaTheme="minorEastAsia"/>
                <w:b/>
                <w:bCs/>
                <w:color w:val="auto"/>
                <w:kern w:val="2"/>
                <w:sz w:val="24"/>
                <w:szCs w:val="24"/>
                <w:lang w:val="en-US" w:eastAsia="zh-CN" w:bidi="ar-SA"/>
              </w:rPr>
              <w:t>、</w:t>
            </w:r>
            <w:r>
              <w:rPr>
                <w:rFonts w:hint="eastAsia" w:ascii="Times New Roman" w:hAnsi="Times New Roman" w:cs="Times New Roman" w:eastAsiaTheme="minorEastAsia"/>
                <w:b/>
                <w:bCs/>
                <w:color w:val="auto"/>
                <w:kern w:val="2"/>
                <w:sz w:val="24"/>
                <w:szCs w:val="24"/>
                <w:lang w:val="en-US" w:eastAsia="zh-CN" w:bidi="ar-SA"/>
              </w:rPr>
              <w:t>噪声产排情况</w:t>
            </w:r>
          </w:p>
          <w:p>
            <w:pPr>
              <w:adjustRightInd w:val="0"/>
              <w:snapToGrid w:val="0"/>
              <w:spacing w:line="360" w:lineRule="auto"/>
              <w:ind w:firstLine="480" w:firstLineChars="200"/>
              <w:jc w:val="both"/>
              <w:rPr>
                <w:color w:val="auto"/>
                <w:sz w:val="24"/>
              </w:rPr>
            </w:pPr>
            <w:r>
              <w:rPr>
                <w:color w:val="auto"/>
                <w:sz w:val="24"/>
              </w:rPr>
              <w:t>本项目噪声主要为</w:t>
            </w:r>
            <w:r>
              <w:rPr>
                <w:rFonts w:hint="eastAsia"/>
                <w:color w:val="auto"/>
                <w:sz w:val="24"/>
                <w:lang w:val="en-US" w:eastAsia="zh-CN"/>
              </w:rPr>
              <w:t>搅拌机、配料机、</w:t>
            </w:r>
            <w:r>
              <w:rPr>
                <w:color w:val="auto"/>
                <w:sz w:val="24"/>
              </w:rPr>
              <w:t>皮带机、</w:t>
            </w:r>
            <w:r>
              <w:rPr>
                <w:rFonts w:hint="eastAsia"/>
                <w:color w:val="auto"/>
                <w:sz w:val="24"/>
              </w:rPr>
              <w:t>提升机</w:t>
            </w:r>
            <w:r>
              <w:rPr>
                <w:rFonts w:hint="eastAsia"/>
                <w:color w:val="auto"/>
                <w:sz w:val="24"/>
                <w:lang w:eastAsia="zh-CN"/>
              </w:rPr>
              <w:t>、</w:t>
            </w:r>
            <w:r>
              <w:rPr>
                <w:color w:val="auto"/>
                <w:sz w:val="24"/>
              </w:rPr>
              <w:t>水泵等</w:t>
            </w:r>
            <w:r>
              <w:rPr>
                <w:snapToGrid w:val="0"/>
                <w:color w:val="auto"/>
                <w:kern w:val="0"/>
                <w:sz w:val="24"/>
              </w:rPr>
              <w:t>设备</w:t>
            </w:r>
            <w:r>
              <w:rPr>
                <w:color w:val="auto"/>
                <w:sz w:val="24"/>
              </w:rPr>
              <w:t>产生的噪声，设备采取隔声、基础减振等降噪措施。噪声预测范围为项目四周的厂界。项目各设备噪声及治理措施见表4-</w:t>
            </w:r>
            <w:r>
              <w:rPr>
                <w:rFonts w:hint="eastAsia"/>
                <w:color w:val="auto"/>
                <w:sz w:val="24"/>
              </w:rPr>
              <w:t>1</w:t>
            </w:r>
            <w:r>
              <w:rPr>
                <w:rFonts w:hint="eastAsia"/>
                <w:color w:val="auto"/>
                <w:sz w:val="24"/>
                <w:lang w:val="en-US" w:eastAsia="zh-CN"/>
              </w:rPr>
              <w:t>1</w:t>
            </w:r>
            <w:r>
              <w:rPr>
                <w:color w:val="auto"/>
                <w:sz w:val="24"/>
              </w:rPr>
              <w:t>。</w:t>
            </w:r>
          </w:p>
          <w:p>
            <w:pPr>
              <w:pStyle w:val="23"/>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rPr>
                <w:color w:val="FF0000"/>
                <w:sz w:val="21"/>
                <w:szCs w:val="21"/>
              </w:rPr>
            </w:pPr>
            <w:r>
              <w:rPr>
                <w:b/>
                <w:bCs/>
                <w:color w:val="auto"/>
                <w:sz w:val="21"/>
                <w:szCs w:val="21"/>
              </w:rPr>
              <w:t>表4-</w:t>
            </w:r>
            <w:r>
              <w:rPr>
                <w:rFonts w:hint="eastAsia"/>
                <w:b/>
                <w:bCs/>
                <w:color w:val="auto"/>
                <w:sz w:val="21"/>
                <w:szCs w:val="21"/>
              </w:rPr>
              <w:t>1</w:t>
            </w:r>
            <w:r>
              <w:rPr>
                <w:rFonts w:hint="eastAsia"/>
                <w:b/>
                <w:bCs/>
                <w:color w:val="auto"/>
                <w:sz w:val="21"/>
                <w:szCs w:val="21"/>
                <w:lang w:val="en-US" w:eastAsia="zh-CN"/>
              </w:rPr>
              <w:t>1</w:t>
            </w:r>
            <w:r>
              <w:rPr>
                <w:b/>
                <w:bCs/>
                <w:color w:val="auto"/>
                <w:sz w:val="21"/>
                <w:szCs w:val="21"/>
              </w:rPr>
              <w:t xml:space="preserve"> </w:t>
            </w:r>
            <w:r>
              <w:rPr>
                <w:rFonts w:hint="eastAsia"/>
                <w:b/>
                <w:bCs/>
                <w:color w:val="auto"/>
                <w:sz w:val="21"/>
                <w:szCs w:val="21"/>
              </w:rPr>
              <w:t xml:space="preserve"> </w:t>
            </w:r>
            <w:r>
              <w:rPr>
                <w:b/>
                <w:bCs/>
                <w:color w:val="auto"/>
                <w:sz w:val="21"/>
                <w:szCs w:val="21"/>
              </w:rPr>
              <w:t xml:space="preserve"> 项目主要噪声源及降噪措施一览表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01"/>
              <w:gridCol w:w="1621"/>
              <w:gridCol w:w="1328"/>
              <w:gridCol w:w="1247"/>
              <w:gridCol w:w="800"/>
              <w:gridCol w:w="772"/>
              <w:gridCol w:w="7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76" w:type="dxa"/>
                  <w:vMerge w:val="restart"/>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声源名称</w:t>
                  </w:r>
                </w:p>
              </w:tc>
              <w:tc>
                <w:tcPr>
                  <w:tcW w:w="1643" w:type="dxa"/>
                  <w:vMerge w:val="restart"/>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规格型号</w:t>
                  </w:r>
                </w:p>
              </w:tc>
              <w:tc>
                <w:tcPr>
                  <w:tcW w:w="1358" w:type="dxa"/>
                  <w:vMerge w:val="restart"/>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声源声压级dB(A)</w:t>
                  </w:r>
                </w:p>
              </w:tc>
              <w:tc>
                <w:tcPr>
                  <w:tcW w:w="1280" w:type="dxa"/>
                  <w:vMerge w:val="restart"/>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声源控制措施</w:t>
                  </w:r>
                </w:p>
              </w:tc>
              <w:tc>
                <w:tcPr>
                  <w:tcW w:w="2360" w:type="dxa"/>
                  <w:gridSpan w:val="3"/>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空间相对位置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76" w:type="dxa"/>
                  <w:vMerge w:val="continue"/>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rPr>
                  </w:pPr>
                </w:p>
              </w:tc>
              <w:tc>
                <w:tcPr>
                  <w:tcW w:w="1643" w:type="dxa"/>
                  <w:vMerge w:val="continue"/>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rPr>
                  </w:pPr>
                </w:p>
              </w:tc>
              <w:tc>
                <w:tcPr>
                  <w:tcW w:w="1358" w:type="dxa"/>
                  <w:vMerge w:val="continue"/>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rPr>
                  </w:pPr>
                </w:p>
              </w:tc>
              <w:tc>
                <w:tcPr>
                  <w:tcW w:w="1280" w:type="dxa"/>
                  <w:vMerge w:val="continue"/>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rPr>
                  </w:pPr>
                </w:p>
              </w:tc>
              <w:tc>
                <w:tcPr>
                  <w:tcW w:w="806"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X</w:t>
                  </w:r>
                </w:p>
              </w:tc>
              <w:tc>
                <w:tcPr>
                  <w:tcW w:w="777"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Y</w:t>
                  </w:r>
                </w:p>
              </w:tc>
              <w:tc>
                <w:tcPr>
                  <w:tcW w:w="777"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Z</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76"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搅拌机</w:t>
                  </w:r>
                  <w:r>
                    <w:rPr>
                      <w:rFonts w:hint="eastAsia" w:cs="Times New Roman"/>
                      <w:color w:val="auto"/>
                      <w:sz w:val="21"/>
                      <w:szCs w:val="21"/>
                      <w:highlight w:val="none"/>
                      <w:vertAlign w:val="baseline"/>
                      <w:lang w:val="en-US" w:eastAsia="zh-CN"/>
                    </w:rPr>
                    <w:t>1</w:t>
                  </w:r>
                </w:p>
              </w:tc>
              <w:tc>
                <w:tcPr>
                  <w:tcW w:w="1643" w:type="dxa"/>
                  <w:vMerge w:val="restart"/>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lang w:val="en-US" w:eastAsia="zh-CN"/>
                    </w:rPr>
                    <w:t>JS</w:t>
                  </w:r>
                  <w:r>
                    <w:rPr>
                      <w:rFonts w:hint="eastAsia" w:cs="Times New Roman"/>
                      <w:snapToGrid w:val="0"/>
                      <w:color w:val="auto"/>
                      <w:kern w:val="0"/>
                      <w:sz w:val="21"/>
                      <w:szCs w:val="21"/>
                      <w:highlight w:val="none"/>
                      <w:lang w:val="en-US" w:eastAsia="zh-CN"/>
                    </w:rPr>
                    <w:t>1</w:t>
                  </w:r>
                  <w:r>
                    <w:rPr>
                      <w:rFonts w:hint="default" w:ascii="Times New Roman" w:hAnsi="Times New Roman" w:eastAsia="宋体" w:cs="Times New Roman"/>
                      <w:snapToGrid w:val="0"/>
                      <w:color w:val="auto"/>
                      <w:kern w:val="0"/>
                      <w:sz w:val="21"/>
                      <w:szCs w:val="21"/>
                      <w:highlight w:val="none"/>
                      <w:lang w:val="en-US" w:eastAsia="zh-CN"/>
                    </w:rPr>
                    <w:t>000型</w:t>
                  </w:r>
                </w:p>
              </w:tc>
              <w:tc>
                <w:tcPr>
                  <w:tcW w:w="1358" w:type="dxa"/>
                  <w:vMerge w:val="restart"/>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85</w:t>
                  </w:r>
                </w:p>
              </w:tc>
              <w:tc>
                <w:tcPr>
                  <w:tcW w:w="1280" w:type="dxa"/>
                  <w:vMerge w:val="restart"/>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选择低噪声设备，采取隔声、基础减振等措施。</w:t>
                  </w:r>
                </w:p>
              </w:tc>
              <w:tc>
                <w:tcPr>
                  <w:tcW w:w="806"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280.1</w:t>
                  </w:r>
                </w:p>
              </w:tc>
              <w:tc>
                <w:tcPr>
                  <w:tcW w:w="777"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347.4</w:t>
                  </w:r>
                </w:p>
              </w:tc>
              <w:tc>
                <w:tcPr>
                  <w:tcW w:w="777"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76"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搅拌机2</w:t>
                  </w:r>
                </w:p>
              </w:tc>
              <w:tc>
                <w:tcPr>
                  <w:tcW w:w="1643" w:type="dxa"/>
                  <w:vMerge w:val="continue"/>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snapToGrid w:val="0"/>
                      <w:color w:val="auto"/>
                      <w:kern w:val="0"/>
                      <w:sz w:val="21"/>
                      <w:szCs w:val="21"/>
                      <w:highlight w:val="none"/>
                      <w:lang w:val="en-US" w:eastAsia="zh-CN"/>
                    </w:rPr>
                  </w:pPr>
                </w:p>
              </w:tc>
              <w:tc>
                <w:tcPr>
                  <w:tcW w:w="1358" w:type="dxa"/>
                  <w:vMerge w:val="continue"/>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c>
                <w:tcPr>
                  <w:tcW w:w="1280" w:type="dxa"/>
                  <w:vMerge w:val="continue"/>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c>
                <w:tcPr>
                  <w:tcW w:w="806"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323.8</w:t>
                  </w:r>
                </w:p>
              </w:tc>
              <w:tc>
                <w:tcPr>
                  <w:tcW w:w="777"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336.5</w:t>
                  </w:r>
                </w:p>
              </w:tc>
              <w:tc>
                <w:tcPr>
                  <w:tcW w:w="777"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76" w:type="dxa"/>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rPr>
                    <w:t>配料机</w:t>
                  </w:r>
                  <w:r>
                    <w:rPr>
                      <w:rFonts w:hint="eastAsia" w:cs="Times New Roman"/>
                      <w:snapToGrid w:val="0"/>
                      <w:color w:val="auto"/>
                      <w:kern w:val="0"/>
                      <w:sz w:val="21"/>
                      <w:szCs w:val="21"/>
                      <w:highlight w:val="none"/>
                      <w:lang w:val="en-US" w:eastAsia="zh-CN"/>
                    </w:rPr>
                    <w:t>1</w:t>
                  </w:r>
                </w:p>
              </w:tc>
              <w:tc>
                <w:tcPr>
                  <w:tcW w:w="1643" w:type="dxa"/>
                  <w:vMerge w:val="restart"/>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HPDQ2400</w:t>
                  </w:r>
                </w:p>
              </w:tc>
              <w:tc>
                <w:tcPr>
                  <w:tcW w:w="1358" w:type="dxa"/>
                  <w:vMerge w:val="restart"/>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80</w:t>
                  </w:r>
                </w:p>
              </w:tc>
              <w:tc>
                <w:tcPr>
                  <w:tcW w:w="1280" w:type="dxa"/>
                  <w:vMerge w:val="continue"/>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c>
                <w:tcPr>
                  <w:tcW w:w="806"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294.3</w:t>
                  </w:r>
                </w:p>
              </w:tc>
              <w:tc>
                <w:tcPr>
                  <w:tcW w:w="777"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390</w:t>
                  </w:r>
                </w:p>
              </w:tc>
              <w:tc>
                <w:tcPr>
                  <w:tcW w:w="777"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76" w:type="dxa"/>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配料机2</w:t>
                  </w:r>
                </w:p>
              </w:tc>
              <w:tc>
                <w:tcPr>
                  <w:tcW w:w="1643" w:type="dxa"/>
                  <w:vMerge w:val="continue"/>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eastAsia" w:cs="Times New Roman"/>
                      <w:b w:val="0"/>
                      <w:bCs/>
                      <w:color w:val="auto"/>
                      <w:sz w:val="21"/>
                      <w:szCs w:val="21"/>
                      <w:highlight w:val="none"/>
                      <w:vertAlign w:val="baseline"/>
                      <w:lang w:val="en-US" w:eastAsia="zh-CN"/>
                    </w:rPr>
                  </w:pPr>
                </w:p>
              </w:tc>
              <w:tc>
                <w:tcPr>
                  <w:tcW w:w="1358" w:type="dxa"/>
                  <w:vMerge w:val="continue"/>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c>
                <w:tcPr>
                  <w:tcW w:w="1280" w:type="dxa"/>
                  <w:vMerge w:val="continue"/>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c>
                <w:tcPr>
                  <w:tcW w:w="806"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336.9</w:t>
                  </w:r>
                </w:p>
              </w:tc>
              <w:tc>
                <w:tcPr>
                  <w:tcW w:w="777"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375.8</w:t>
                  </w:r>
                </w:p>
              </w:tc>
              <w:tc>
                <w:tcPr>
                  <w:tcW w:w="777"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76" w:type="dxa"/>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皮带机</w:t>
                  </w:r>
                  <w:r>
                    <w:rPr>
                      <w:rFonts w:hint="eastAsia" w:cs="Times New Roman"/>
                      <w:snapToGrid w:val="0"/>
                      <w:color w:val="auto"/>
                      <w:kern w:val="0"/>
                      <w:sz w:val="21"/>
                      <w:szCs w:val="21"/>
                      <w:highlight w:val="none"/>
                      <w:lang w:val="en-US" w:eastAsia="zh-CN" w:bidi="ar-SA"/>
                    </w:rPr>
                    <w:t>1</w:t>
                  </w:r>
                </w:p>
              </w:tc>
              <w:tc>
                <w:tcPr>
                  <w:tcW w:w="1643" w:type="dxa"/>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center"/>
                    <w:rPr>
                      <w:rFonts w:hint="default" w:ascii="Times New Roman" w:hAnsi="Times New Roman" w:eastAsia="宋体" w:cs="Times New Roman"/>
                      <w:snapToGrid w:val="0"/>
                      <w:color w:val="auto"/>
                      <w:kern w:val="0"/>
                      <w:sz w:val="21"/>
                      <w:szCs w:val="21"/>
                      <w:highlight w:val="none"/>
                      <w:u w:val="none"/>
                      <w:lang w:val="en-US" w:eastAsia="zh-CN" w:bidi="ar-SA"/>
                    </w:rPr>
                  </w:pPr>
                  <w:r>
                    <w:rPr>
                      <w:rFonts w:hint="default" w:ascii="Times New Roman" w:hAnsi="Times New Roman" w:eastAsia="宋体" w:cs="Times New Roman"/>
                      <w:snapToGrid w:val="0"/>
                      <w:color w:val="auto"/>
                      <w:kern w:val="0"/>
                      <w:sz w:val="21"/>
                      <w:szCs w:val="21"/>
                      <w:highlight w:val="none"/>
                      <w:u w:val="none"/>
                      <w:lang w:val="en-US" w:eastAsia="zh-CN" w:bidi="ar-SA"/>
                    </w:rPr>
                    <w:t>/</w:t>
                  </w:r>
                </w:p>
              </w:tc>
              <w:tc>
                <w:tcPr>
                  <w:tcW w:w="1358" w:type="dxa"/>
                  <w:vMerge w:val="restart"/>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80</w:t>
                  </w:r>
                </w:p>
              </w:tc>
              <w:tc>
                <w:tcPr>
                  <w:tcW w:w="1280" w:type="dxa"/>
                  <w:vMerge w:val="continue"/>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c>
                <w:tcPr>
                  <w:tcW w:w="806"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288.9</w:t>
                  </w:r>
                </w:p>
              </w:tc>
              <w:tc>
                <w:tcPr>
                  <w:tcW w:w="777"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368.1</w:t>
                  </w:r>
                </w:p>
              </w:tc>
              <w:tc>
                <w:tcPr>
                  <w:tcW w:w="777"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76" w:type="dxa"/>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皮带机2</w:t>
                  </w:r>
                </w:p>
              </w:tc>
              <w:tc>
                <w:tcPr>
                  <w:tcW w:w="1643" w:type="dxa"/>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center"/>
                    <w:rPr>
                      <w:rFonts w:hint="default" w:ascii="Times New Roman" w:hAnsi="Times New Roman" w:eastAsia="宋体" w:cs="Times New Roman"/>
                      <w:snapToGrid w:val="0"/>
                      <w:color w:val="auto"/>
                      <w:kern w:val="0"/>
                      <w:sz w:val="21"/>
                      <w:szCs w:val="21"/>
                      <w:highlight w:val="none"/>
                      <w:u w:val="none"/>
                      <w:lang w:val="en-US" w:eastAsia="zh-CN" w:bidi="ar-SA"/>
                    </w:rPr>
                  </w:pPr>
                  <w:r>
                    <w:rPr>
                      <w:rFonts w:hint="eastAsia" w:cs="Times New Roman"/>
                      <w:snapToGrid w:val="0"/>
                      <w:color w:val="auto"/>
                      <w:kern w:val="0"/>
                      <w:sz w:val="21"/>
                      <w:szCs w:val="21"/>
                      <w:highlight w:val="none"/>
                      <w:u w:val="none"/>
                      <w:lang w:val="en-US" w:eastAsia="zh-CN" w:bidi="ar-SA"/>
                    </w:rPr>
                    <w:t>/</w:t>
                  </w:r>
                </w:p>
              </w:tc>
              <w:tc>
                <w:tcPr>
                  <w:tcW w:w="1358" w:type="dxa"/>
                  <w:vMerge w:val="continue"/>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c>
                <w:tcPr>
                  <w:tcW w:w="1280" w:type="dxa"/>
                  <w:vMerge w:val="continue"/>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c>
                <w:tcPr>
                  <w:tcW w:w="806"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330.4</w:t>
                  </w:r>
                </w:p>
              </w:tc>
              <w:tc>
                <w:tcPr>
                  <w:tcW w:w="777"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rPr>
                      <w:rFonts w:hint="default"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357.2</w:t>
                  </w:r>
                </w:p>
              </w:tc>
              <w:tc>
                <w:tcPr>
                  <w:tcW w:w="777"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76" w:type="dxa"/>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水泵</w:t>
                  </w:r>
                  <w:r>
                    <w:rPr>
                      <w:rFonts w:hint="eastAsia" w:cs="Times New Roman"/>
                      <w:snapToGrid w:val="0"/>
                      <w:color w:val="auto"/>
                      <w:kern w:val="0"/>
                      <w:sz w:val="21"/>
                      <w:szCs w:val="21"/>
                      <w:highlight w:val="none"/>
                      <w:lang w:val="en-US" w:eastAsia="zh-CN" w:bidi="ar-SA"/>
                    </w:rPr>
                    <w:t>1</w:t>
                  </w:r>
                </w:p>
              </w:tc>
              <w:tc>
                <w:tcPr>
                  <w:tcW w:w="1643" w:type="dxa"/>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w:t>
                  </w:r>
                </w:p>
              </w:tc>
              <w:tc>
                <w:tcPr>
                  <w:tcW w:w="1358" w:type="dxa"/>
                  <w:vMerge w:val="restart"/>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75</w:t>
                  </w:r>
                </w:p>
              </w:tc>
              <w:tc>
                <w:tcPr>
                  <w:tcW w:w="1280" w:type="dxa"/>
                  <w:vMerge w:val="continue"/>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c>
                <w:tcPr>
                  <w:tcW w:w="806"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238.6</w:t>
                  </w:r>
                </w:p>
              </w:tc>
              <w:tc>
                <w:tcPr>
                  <w:tcW w:w="777"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455.5</w:t>
                  </w:r>
                </w:p>
              </w:tc>
              <w:tc>
                <w:tcPr>
                  <w:tcW w:w="777"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76" w:type="dxa"/>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水泵2</w:t>
                  </w:r>
                </w:p>
              </w:tc>
              <w:tc>
                <w:tcPr>
                  <w:tcW w:w="1643" w:type="dxa"/>
                  <w:vAlign w:val="center"/>
                </w:tcPr>
                <w:p>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w:t>
                  </w:r>
                </w:p>
              </w:tc>
              <w:tc>
                <w:tcPr>
                  <w:tcW w:w="1358" w:type="dxa"/>
                  <w:vMerge w:val="continue"/>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c>
                <w:tcPr>
                  <w:tcW w:w="1280" w:type="dxa"/>
                  <w:vMerge w:val="continue"/>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c>
                <w:tcPr>
                  <w:tcW w:w="806"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263.7</w:t>
                  </w:r>
                </w:p>
              </w:tc>
              <w:tc>
                <w:tcPr>
                  <w:tcW w:w="777"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405.3</w:t>
                  </w:r>
                </w:p>
              </w:tc>
              <w:tc>
                <w:tcPr>
                  <w:tcW w:w="777" w:type="dxa"/>
                  <w:vAlign w:val="center"/>
                </w:tcPr>
                <w:p>
                  <w:pPr>
                    <w:pStyle w:val="23"/>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r>
          </w:tbl>
          <w:p>
            <w:pPr>
              <w:keepNext w:val="0"/>
              <w:keepLines w:val="0"/>
              <w:pageBreakBefore w:val="0"/>
              <w:widowControl w:val="0"/>
              <w:tabs>
                <w:tab w:val="left" w:pos="3240"/>
              </w:tabs>
              <w:kinsoku/>
              <w:wordWrap/>
              <w:overflowPunct/>
              <w:topLinePunct w:val="0"/>
              <w:autoSpaceDE/>
              <w:autoSpaceDN/>
              <w:bidi w:val="0"/>
              <w:adjustRightInd w:val="0"/>
              <w:snapToGrid w:val="0"/>
              <w:spacing w:line="360" w:lineRule="auto"/>
              <w:ind w:firstLine="480" w:firstLineChars="200"/>
              <w:jc w:val="both"/>
              <w:textAlignment w:val="auto"/>
              <w:rPr>
                <w:color w:val="auto"/>
                <w:sz w:val="24"/>
              </w:rPr>
            </w:pPr>
            <w:r>
              <w:rPr>
                <w:color w:val="auto"/>
                <w:sz w:val="24"/>
              </w:rPr>
              <w:t>为尽量降低项目加工区噪声对周边环境的影响，项目在设备安装时选择低噪设备，对振动较大的设备合理设置摆放位置并加装基础减振</w:t>
            </w:r>
            <w:r>
              <w:rPr>
                <w:rFonts w:hint="eastAsia"/>
                <w:color w:val="auto"/>
                <w:sz w:val="24"/>
              </w:rPr>
              <w:t>等</w:t>
            </w:r>
            <w:r>
              <w:rPr>
                <w:color w:val="auto"/>
                <w:sz w:val="24"/>
              </w:rPr>
              <w:t>措施。</w:t>
            </w:r>
          </w:p>
          <w:p>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1" w:firstLineChars="200"/>
              <w:jc w:val="both"/>
              <w:textAlignment w:val="auto"/>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cs="Times New Roman" w:eastAsiaTheme="minorEastAsia"/>
                <w:b/>
                <w:bCs/>
                <w:color w:val="auto"/>
                <w:kern w:val="2"/>
                <w:sz w:val="24"/>
                <w:szCs w:val="24"/>
                <w:lang w:val="en-US" w:eastAsia="zh-CN" w:bidi="ar-SA"/>
              </w:rPr>
              <w:t>2、噪声防治措施</w:t>
            </w:r>
          </w:p>
          <w:p>
            <w:pPr>
              <w:keepNext w:val="0"/>
              <w:keepLines w:val="0"/>
              <w:pageBreakBefore w:val="0"/>
              <w:widowControl w:val="0"/>
              <w:kinsoku/>
              <w:wordWrap/>
              <w:overflowPunct/>
              <w:topLinePunct w:val="0"/>
              <w:autoSpaceDE/>
              <w:autoSpaceDN/>
              <w:bidi w:val="0"/>
              <w:adjustRightInd w:val="0"/>
              <w:spacing w:line="360" w:lineRule="auto"/>
              <w:ind w:firstLine="480" w:firstLineChars="200"/>
              <w:jc w:val="both"/>
              <w:textAlignment w:val="auto"/>
              <w:rPr>
                <w:color w:val="auto"/>
                <w:sz w:val="24"/>
              </w:rPr>
            </w:pPr>
            <w:r>
              <w:rPr>
                <w:color w:val="auto"/>
                <w:sz w:val="24"/>
              </w:rPr>
              <w:t>建设单位针对项目营运期设备产生的噪声主要采取以下措施：</w:t>
            </w:r>
          </w:p>
          <w:p>
            <w:pPr>
              <w:keepNext w:val="0"/>
              <w:keepLines w:val="0"/>
              <w:pageBreakBefore w:val="0"/>
              <w:widowControl w:val="0"/>
              <w:kinsoku/>
              <w:wordWrap/>
              <w:overflowPunct/>
              <w:topLinePunct w:val="0"/>
              <w:autoSpaceDE/>
              <w:autoSpaceDN/>
              <w:bidi w:val="0"/>
              <w:adjustRightInd w:val="0"/>
              <w:spacing w:line="360" w:lineRule="auto"/>
              <w:ind w:firstLine="480" w:firstLineChars="200"/>
              <w:jc w:val="both"/>
              <w:textAlignment w:val="auto"/>
              <w:rPr>
                <w:color w:val="auto"/>
                <w:sz w:val="24"/>
              </w:rPr>
            </w:pPr>
            <w:r>
              <w:rPr>
                <w:color w:val="auto"/>
                <w:sz w:val="24"/>
              </w:rPr>
              <w:t>①</w:t>
            </w:r>
            <w:r>
              <w:rPr>
                <w:rFonts w:hint="eastAsia"/>
                <w:color w:val="auto"/>
                <w:sz w:val="24"/>
                <w:lang w:val="en-US" w:eastAsia="zh-CN"/>
              </w:rPr>
              <w:t>在</w:t>
            </w:r>
            <w:r>
              <w:rPr>
                <w:color w:val="auto"/>
                <w:sz w:val="24"/>
              </w:rPr>
              <w:t>生产设备选购上，优先</w:t>
            </w:r>
            <w:r>
              <w:rPr>
                <w:rFonts w:hint="eastAsia"/>
                <w:color w:val="auto"/>
                <w:sz w:val="24"/>
                <w:lang w:val="en-US" w:eastAsia="zh-CN"/>
              </w:rPr>
              <w:t>选用</w:t>
            </w:r>
            <w:r>
              <w:rPr>
                <w:color w:val="auto"/>
                <w:sz w:val="24"/>
              </w:rPr>
              <w:t>噪声值较低的生产设备</w:t>
            </w:r>
            <w:r>
              <w:rPr>
                <w:rFonts w:hint="eastAsia"/>
                <w:color w:val="auto"/>
                <w:sz w:val="24"/>
                <w:lang w:val="en-US" w:eastAsia="zh-CN"/>
              </w:rPr>
              <w:t>和</w:t>
            </w:r>
            <w:r>
              <w:rPr>
                <w:color w:val="auto"/>
                <w:sz w:val="24"/>
              </w:rPr>
              <w:t>隔音效果好的材质；</w:t>
            </w:r>
          </w:p>
          <w:p>
            <w:pPr>
              <w:keepNext w:val="0"/>
              <w:keepLines w:val="0"/>
              <w:pageBreakBefore w:val="0"/>
              <w:widowControl w:val="0"/>
              <w:kinsoku/>
              <w:wordWrap/>
              <w:overflowPunct/>
              <w:topLinePunct w:val="0"/>
              <w:autoSpaceDE/>
              <w:autoSpaceDN/>
              <w:bidi w:val="0"/>
              <w:adjustRightInd w:val="0"/>
              <w:spacing w:line="360" w:lineRule="auto"/>
              <w:ind w:firstLine="480" w:firstLineChars="200"/>
              <w:jc w:val="both"/>
              <w:textAlignment w:val="auto"/>
              <w:rPr>
                <w:color w:val="auto"/>
                <w:sz w:val="24"/>
              </w:rPr>
            </w:pPr>
            <w:r>
              <w:rPr>
                <w:color w:val="auto"/>
                <w:sz w:val="24"/>
              </w:rPr>
              <w:t>②设备基础应安装减振、隔振材料；</w:t>
            </w:r>
          </w:p>
          <w:p>
            <w:pPr>
              <w:keepNext w:val="0"/>
              <w:keepLines w:val="0"/>
              <w:pageBreakBefore w:val="0"/>
              <w:widowControl w:val="0"/>
              <w:kinsoku/>
              <w:wordWrap/>
              <w:overflowPunct/>
              <w:topLinePunct w:val="0"/>
              <w:autoSpaceDE/>
              <w:autoSpaceDN/>
              <w:bidi w:val="0"/>
              <w:adjustRightInd w:val="0"/>
              <w:spacing w:line="360" w:lineRule="auto"/>
              <w:ind w:firstLine="480" w:firstLineChars="200"/>
              <w:jc w:val="both"/>
              <w:textAlignment w:val="auto"/>
              <w:rPr>
                <w:color w:val="auto"/>
                <w:sz w:val="24"/>
              </w:rPr>
            </w:pPr>
            <w:r>
              <w:rPr>
                <w:color w:val="auto"/>
                <w:sz w:val="24"/>
              </w:rPr>
              <w:t>③建立设备定期维护，保养的管理制度，以防止设备故障形成的非正常生产噪声，同时确保环保措施发挥最佳有效的功能；</w:t>
            </w: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80" w:firstLineChars="200"/>
              <w:jc w:val="both"/>
              <w:textAlignment w:val="auto"/>
              <w:rPr>
                <w:color w:val="auto"/>
                <w:sz w:val="24"/>
              </w:rPr>
            </w:pPr>
            <w:r>
              <w:rPr>
                <w:color w:val="auto"/>
                <w:sz w:val="24"/>
              </w:rPr>
              <w:t>④项目投产运营后要进行后续环境噪声监测，</w:t>
            </w:r>
            <w:r>
              <w:rPr>
                <w:rFonts w:hint="eastAsia"/>
                <w:color w:val="auto"/>
                <w:sz w:val="24"/>
                <w:lang w:val="en-US" w:eastAsia="zh-CN"/>
              </w:rPr>
              <w:t>对于</w:t>
            </w:r>
            <w:r>
              <w:rPr>
                <w:color w:val="auto"/>
                <w:sz w:val="24"/>
              </w:rPr>
              <w:t>高噪声设备</w:t>
            </w:r>
            <w:r>
              <w:rPr>
                <w:rFonts w:hint="eastAsia"/>
                <w:color w:val="auto"/>
                <w:sz w:val="24"/>
                <w:lang w:val="en-US" w:eastAsia="zh-CN"/>
              </w:rPr>
              <w:t>需</w:t>
            </w:r>
            <w:r>
              <w:rPr>
                <w:color w:val="auto"/>
                <w:sz w:val="24"/>
              </w:rPr>
              <w:t>安装消声减振降噪措施后</w:t>
            </w:r>
            <w:r>
              <w:rPr>
                <w:rFonts w:hint="eastAsia"/>
                <w:color w:val="auto"/>
                <w:sz w:val="24"/>
                <w:lang w:val="en-US" w:eastAsia="zh-CN"/>
              </w:rPr>
              <w:t>进行监测，判断</w:t>
            </w:r>
            <w:r>
              <w:rPr>
                <w:color w:val="auto"/>
                <w:sz w:val="24"/>
              </w:rPr>
              <w:t>厂界噪声是否达标，若不达标要从噪声源和传播途径上进行整改</w:t>
            </w:r>
            <w:r>
              <w:rPr>
                <w:rFonts w:hint="eastAsia"/>
                <w:color w:val="auto"/>
                <w:sz w:val="24"/>
              </w:rPr>
              <w:t>。</w:t>
            </w:r>
          </w:p>
          <w:p>
            <w:pPr>
              <w:keepNext w:val="0"/>
              <w:keepLines w:val="0"/>
              <w:pageBreakBefore w:val="0"/>
              <w:widowControl w:val="0"/>
              <w:tabs>
                <w:tab w:val="left" w:pos="1200"/>
                <w:tab w:val="center" w:pos="4312"/>
              </w:tabs>
              <w:kinsoku/>
              <w:wordWrap/>
              <w:overflowPunct/>
              <w:topLinePunct w:val="0"/>
              <w:autoSpaceDE/>
              <w:autoSpaceDN/>
              <w:bidi w:val="0"/>
              <w:adjustRightInd w:val="0"/>
              <w:snapToGrid w:val="0"/>
              <w:spacing w:line="360" w:lineRule="auto"/>
              <w:ind w:firstLine="481" w:firstLineChars="200"/>
              <w:jc w:val="both"/>
              <w:textAlignment w:val="auto"/>
              <w:rPr>
                <w:rFonts w:hint="default" w:eastAsiaTheme="minorEastAsia"/>
                <w:b/>
                <w:bCs/>
                <w:color w:val="000000" w:themeColor="text1"/>
                <w:sz w:val="24"/>
                <w:lang w:val="en-US" w:eastAsia="zh-CN"/>
                <w14:textFill>
                  <w14:solidFill>
                    <w14:schemeClr w14:val="tx1"/>
                  </w14:solidFill>
                </w14:textFill>
              </w:rPr>
            </w:pPr>
            <w:r>
              <w:rPr>
                <w:rFonts w:hint="eastAsia" w:eastAsiaTheme="minorEastAsia"/>
                <w:b/>
                <w:bCs/>
                <w:color w:val="000000" w:themeColor="text1"/>
                <w:sz w:val="24"/>
                <w14:textFill>
                  <w14:solidFill>
                    <w14:schemeClr w14:val="tx1"/>
                  </w14:solidFill>
                </w14:textFill>
              </w:rPr>
              <w:t>3、噪声</w:t>
            </w:r>
            <w:r>
              <w:rPr>
                <w:rFonts w:hint="eastAsia" w:eastAsiaTheme="minorEastAsia"/>
                <w:b/>
                <w:bCs/>
                <w:color w:val="000000" w:themeColor="text1"/>
                <w:sz w:val="24"/>
                <w:lang w:val="en-US" w:eastAsia="zh-CN"/>
                <w14:textFill>
                  <w14:solidFill>
                    <w14:schemeClr w14:val="tx1"/>
                  </w14:solidFill>
                </w14:textFill>
              </w:rPr>
              <w:t>预测及分析</w:t>
            </w:r>
          </w:p>
          <w:p>
            <w:pPr>
              <w:keepNext w:val="0"/>
              <w:keepLines w:val="0"/>
              <w:pageBreakBefore w:val="0"/>
              <w:widowControl/>
              <w:kinsoku/>
              <w:wordWrap/>
              <w:overflowPunct/>
              <w:topLinePunct w:val="0"/>
              <w:autoSpaceDE/>
              <w:autoSpaceDN/>
              <w:bidi w:val="0"/>
              <w:spacing w:line="360" w:lineRule="auto"/>
              <w:ind w:firstLine="480" w:firstLineChars="200"/>
              <w:jc w:val="both"/>
              <w:textAlignment w:val="auto"/>
              <w:rPr>
                <w:color w:val="000000" w:themeColor="text1"/>
                <w:sz w:val="24"/>
                <w14:textFill>
                  <w14:solidFill>
                    <w14:schemeClr w14:val="tx1"/>
                  </w14:solidFill>
                </w14:textFill>
              </w:rPr>
            </w:pPr>
            <w:r>
              <w:rPr>
                <w:rFonts w:hint="eastAsia"/>
                <w:color w:val="000000" w:themeColor="text1"/>
                <w:kern w:val="0"/>
                <w:sz w:val="24"/>
                <w:lang w:val="en-US" w:eastAsia="zh-CN" w:bidi="ar"/>
                <w14:textFill>
                  <w14:solidFill>
                    <w14:schemeClr w14:val="tx1"/>
                  </w14:solidFill>
                </w14:textFill>
              </w:rPr>
              <w:t>本项目</w:t>
            </w:r>
            <w:r>
              <w:rPr>
                <w:color w:val="000000" w:themeColor="text1"/>
                <w:kern w:val="0"/>
                <w:sz w:val="24"/>
                <w:lang w:bidi="ar"/>
                <w14:textFill>
                  <w14:solidFill>
                    <w14:schemeClr w14:val="tx1"/>
                  </w14:solidFill>
                </w14:textFill>
              </w:rPr>
              <w:t>声环境影响主要预测项目正常运行工况下对厂界的贡献值。</w:t>
            </w:r>
            <w:r>
              <w:rPr>
                <w:color w:val="000000" w:themeColor="text1"/>
                <w:sz w:val="24"/>
                <w14:textFill>
                  <w14:solidFill>
                    <w14:schemeClr w14:val="tx1"/>
                  </w14:solidFill>
                </w14:textFill>
              </w:rPr>
              <w:t>噪声预测模式采用《环境影响评价技术导则声环境》（HJ 2.4-2021）中推荐的预测模式：</w:t>
            </w:r>
          </w:p>
          <w:p>
            <w:pPr>
              <w:keepNext w:val="0"/>
              <w:keepLines w:val="0"/>
              <w:pageBreakBefore w:val="0"/>
              <w:kinsoku/>
              <w:wordWrap/>
              <w:topLinePunct w:val="0"/>
              <w:autoSpaceDE/>
              <w:autoSpaceDN/>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（1）户外声传播衰减计算</w:t>
            </w:r>
          </w:p>
          <w:p>
            <w:pPr>
              <w:keepNext w:val="0"/>
              <w:keepLines w:val="0"/>
              <w:pageBreakBefore w:val="0"/>
              <w:kinsoku/>
              <w:wordWrap/>
              <w:topLinePunct w:val="0"/>
              <w:autoSpaceDE/>
              <w:autoSpaceDN/>
              <w:bidi w:val="0"/>
              <w:adjustRightInd w:val="0"/>
              <w:snapToGrid w:val="0"/>
              <w:spacing w:line="360" w:lineRule="auto"/>
              <w:jc w:val="center"/>
              <w:textAlignment w:val="auto"/>
              <w:rPr>
                <w:color w:val="FF0000"/>
                <w:sz w:val="24"/>
              </w:rPr>
            </w:pPr>
            <w:r>
              <w:rPr>
                <w:color w:val="FF0000"/>
                <w:position w:val="-14"/>
                <w:sz w:val="24"/>
              </w:rPr>
              <w:object>
                <v:shape id="_x0000_i1031" o:spt="75" type="#_x0000_t75" style="height:22.6pt;width:297pt;" o:ole="t" filled="f" o:preferrelative="t" stroked="f" coordsize="21600,21600">
                  <v:path/>
                  <v:fill on="f" focussize="0,0"/>
                  <v:stroke on="f" joinstyle="miter"/>
                  <v:imagedata r:id="rId29" o:title=""/>
                  <o:lock v:ext="edit" aspectratio="t"/>
                  <w10:wrap type="none"/>
                  <w10:anchorlock/>
                </v:shape>
                <o:OLEObject Type="Embed" ProgID="Equation.KSEE3" ShapeID="_x0000_i1031" DrawAspect="Content" ObjectID="_1468075731" r:id="rId28">
                  <o:LockedField>false</o:LockedField>
                </o:OLEObject>
              </w:object>
            </w:r>
          </w:p>
          <w:p>
            <w:pPr>
              <w:keepNext w:val="0"/>
              <w:keepLines w:val="0"/>
              <w:pageBreakBefore w:val="0"/>
              <w:kinsoku/>
              <w:wordWrap/>
              <w:overflowPunct w:val="0"/>
              <w:topLinePunct w:val="0"/>
              <w:autoSpaceDE/>
              <w:autoSpaceDN/>
              <w:bidi w:val="0"/>
              <w:adjustRightInd w:val="0"/>
              <w:snapToGrid w:val="0"/>
              <w:spacing w:line="360" w:lineRule="auto"/>
              <w:ind w:firstLine="480" w:firstLineChars="200"/>
              <w:jc w:val="left"/>
              <w:textAlignment w:val="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式中：L</w:t>
            </w:r>
            <w:r>
              <w:rPr>
                <w:color w:val="000000" w:themeColor="text1"/>
                <w:kern w:val="0"/>
                <w:sz w:val="24"/>
                <w:vertAlign w:val="subscript"/>
                <w14:textFill>
                  <w14:solidFill>
                    <w14:schemeClr w14:val="tx1"/>
                  </w14:solidFill>
                </w14:textFill>
              </w:rPr>
              <w:t>p</w:t>
            </w:r>
            <w:r>
              <w:rPr>
                <w:color w:val="000000" w:themeColor="text1"/>
                <w:kern w:val="0"/>
                <w:sz w:val="24"/>
                <w14:textFill>
                  <w14:solidFill>
                    <w14:schemeClr w14:val="tx1"/>
                  </w14:solidFill>
                </w14:textFill>
              </w:rPr>
              <w:t>(r)——预测点处声压级，dB；</w:t>
            </w:r>
          </w:p>
          <w:p>
            <w:pPr>
              <w:keepNext w:val="0"/>
              <w:keepLines w:val="0"/>
              <w:pageBreakBefore w:val="0"/>
              <w:kinsoku/>
              <w:wordWrap/>
              <w:overflowPunct w:val="0"/>
              <w:topLinePunct w:val="0"/>
              <w:autoSpaceDE/>
              <w:autoSpaceDN/>
              <w:bidi w:val="0"/>
              <w:adjustRightInd w:val="0"/>
              <w:snapToGrid w:val="0"/>
              <w:spacing w:line="360" w:lineRule="auto"/>
              <w:ind w:firstLine="1200" w:firstLineChars="500"/>
              <w:jc w:val="left"/>
              <w:textAlignment w:val="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L</w:t>
            </w:r>
            <w:r>
              <w:rPr>
                <w:color w:val="000000" w:themeColor="text1"/>
                <w:kern w:val="0"/>
                <w:sz w:val="24"/>
                <w:vertAlign w:val="subscript"/>
                <w14:textFill>
                  <w14:solidFill>
                    <w14:schemeClr w14:val="tx1"/>
                  </w14:solidFill>
                </w14:textFill>
              </w:rPr>
              <w:t>p</w:t>
            </w:r>
            <w:r>
              <w:rPr>
                <w:color w:val="000000" w:themeColor="text1"/>
                <w:kern w:val="0"/>
                <w:sz w:val="24"/>
                <w14:textFill>
                  <w14:solidFill>
                    <w14:schemeClr w14:val="tx1"/>
                  </w14:solidFill>
                </w14:textFill>
              </w:rPr>
              <w:t>(r</w:t>
            </w:r>
            <w:r>
              <w:rPr>
                <w:color w:val="000000" w:themeColor="text1"/>
                <w:kern w:val="0"/>
                <w:sz w:val="24"/>
                <w:vertAlign w:val="subscript"/>
                <w14:textFill>
                  <w14:solidFill>
                    <w14:schemeClr w14:val="tx1"/>
                  </w14:solidFill>
                </w14:textFill>
              </w:rPr>
              <w:t>0</w:t>
            </w:r>
            <w:r>
              <w:rPr>
                <w:color w:val="000000" w:themeColor="text1"/>
                <w:kern w:val="0"/>
                <w:sz w:val="24"/>
                <w14:textFill>
                  <w14:solidFill>
                    <w14:schemeClr w14:val="tx1"/>
                  </w14:solidFill>
                </w14:textFill>
              </w:rPr>
              <w:t>)——参考位置r</w:t>
            </w:r>
            <w:r>
              <w:rPr>
                <w:color w:val="000000" w:themeColor="text1"/>
                <w:kern w:val="0"/>
                <w:sz w:val="24"/>
                <w:vertAlign w:val="subscript"/>
                <w14:textFill>
                  <w14:solidFill>
                    <w14:schemeClr w14:val="tx1"/>
                  </w14:solidFill>
                </w14:textFill>
              </w:rPr>
              <w:t>0</w:t>
            </w:r>
            <w:r>
              <w:rPr>
                <w:color w:val="000000" w:themeColor="text1"/>
                <w:kern w:val="0"/>
                <w:sz w:val="24"/>
                <w14:textFill>
                  <w14:solidFill>
                    <w14:schemeClr w14:val="tx1"/>
                  </w14:solidFill>
                </w14:textFill>
              </w:rPr>
              <w:t>处的声压级，dB；</w:t>
            </w:r>
          </w:p>
          <w:p>
            <w:pPr>
              <w:keepNext w:val="0"/>
              <w:keepLines w:val="0"/>
              <w:pageBreakBefore w:val="0"/>
              <w:kinsoku/>
              <w:wordWrap/>
              <w:overflowPunct w:val="0"/>
              <w:topLinePunct w:val="0"/>
              <w:autoSpaceDE/>
              <w:autoSpaceDN/>
              <w:bidi w:val="0"/>
              <w:adjustRightInd w:val="0"/>
              <w:snapToGrid w:val="0"/>
              <w:spacing w:line="360" w:lineRule="auto"/>
              <w:ind w:firstLine="1200" w:firstLineChars="500"/>
              <w:jc w:val="left"/>
              <w:textAlignment w:val="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D</w:t>
            </w:r>
            <w:r>
              <w:rPr>
                <w:color w:val="000000" w:themeColor="text1"/>
                <w:kern w:val="0"/>
                <w:sz w:val="24"/>
                <w:vertAlign w:val="subscript"/>
                <w14:textFill>
                  <w14:solidFill>
                    <w14:schemeClr w14:val="tx1"/>
                  </w14:solidFill>
                </w14:textFill>
              </w:rPr>
              <w:t>C</w:t>
            </w:r>
            <w:r>
              <w:rPr>
                <w:color w:val="000000" w:themeColor="text1"/>
                <w:kern w:val="0"/>
                <w:sz w:val="24"/>
                <w14:textFill>
                  <w14:solidFill>
                    <w14:schemeClr w14:val="tx1"/>
                  </w14:solidFill>
                </w14:textFill>
              </w:rPr>
              <w:t>——指向性校正，它描述点声源的等效连续声压级与产生声功率级Lw的全向点声源在规定方向的声级的偏差程度，dB；</w:t>
            </w:r>
          </w:p>
          <w:p>
            <w:pPr>
              <w:keepNext w:val="0"/>
              <w:keepLines w:val="0"/>
              <w:pageBreakBefore w:val="0"/>
              <w:kinsoku/>
              <w:wordWrap/>
              <w:overflowPunct w:val="0"/>
              <w:topLinePunct w:val="0"/>
              <w:autoSpaceDE/>
              <w:autoSpaceDN/>
              <w:bidi w:val="0"/>
              <w:adjustRightInd w:val="0"/>
              <w:snapToGrid w:val="0"/>
              <w:spacing w:line="360" w:lineRule="auto"/>
              <w:ind w:firstLine="1200" w:firstLineChars="500"/>
              <w:jc w:val="left"/>
              <w:textAlignment w:val="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A</w:t>
            </w:r>
            <w:r>
              <w:rPr>
                <w:color w:val="000000" w:themeColor="text1"/>
                <w:kern w:val="0"/>
                <w:sz w:val="24"/>
                <w:vertAlign w:val="subscript"/>
                <w14:textFill>
                  <w14:solidFill>
                    <w14:schemeClr w14:val="tx1"/>
                  </w14:solidFill>
                </w14:textFill>
              </w:rPr>
              <w:t>div</w:t>
            </w:r>
            <w:r>
              <w:rPr>
                <w:color w:val="000000" w:themeColor="text1"/>
                <w:kern w:val="0"/>
                <w:sz w:val="24"/>
                <w14:textFill>
                  <w14:solidFill>
                    <w14:schemeClr w14:val="tx1"/>
                  </w14:solidFill>
                </w14:textFill>
              </w:rPr>
              <w:t>——几何发散引起的衰减，dB；</w:t>
            </w:r>
          </w:p>
          <w:p>
            <w:pPr>
              <w:keepNext w:val="0"/>
              <w:keepLines w:val="0"/>
              <w:pageBreakBefore w:val="0"/>
              <w:kinsoku/>
              <w:wordWrap/>
              <w:overflowPunct w:val="0"/>
              <w:topLinePunct w:val="0"/>
              <w:autoSpaceDE/>
              <w:autoSpaceDN/>
              <w:bidi w:val="0"/>
              <w:adjustRightInd w:val="0"/>
              <w:snapToGrid w:val="0"/>
              <w:spacing w:line="360" w:lineRule="auto"/>
              <w:ind w:firstLine="1200" w:firstLineChars="500"/>
              <w:jc w:val="left"/>
              <w:textAlignment w:val="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A</w:t>
            </w:r>
            <w:r>
              <w:rPr>
                <w:color w:val="000000" w:themeColor="text1"/>
                <w:kern w:val="0"/>
                <w:sz w:val="24"/>
                <w:vertAlign w:val="subscript"/>
                <w14:textFill>
                  <w14:solidFill>
                    <w14:schemeClr w14:val="tx1"/>
                  </w14:solidFill>
                </w14:textFill>
              </w:rPr>
              <w:t>atm</w:t>
            </w:r>
            <w:r>
              <w:rPr>
                <w:color w:val="000000" w:themeColor="text1"/>
                <w:kern w:val="0"/>
                <w:sz w:val="24"/>
                <w14:textFill>
                  <w14:solidFill>
                    <w14:schemeClr w14:val="tx1"/>
                  </w14:solidFill>
                </w14:textFill>
              </w:rPr>
              <w:t>——大气吸收引起的衰减，dB；</w:t>
            </w:r>
          </w:p>
          <w:p>
            <w:pPr>
              <w:keepNext w:val="0"/>
              <w:keepLines w:val="0"/>
              <w:pageBreakBefore w:val="0"/>
              <w:kinsoku/>
              <w:wordWrap/>
              <w:overflowPunct w:val="0"/>
              <w:topLinePunct w:val="0"/>
              <w:autoSpaceDE/>
              <w:autoSpaceDN/>
              <w:bidi w:val="0"/>
              <w:adjustRightInd w:val="0"/>
              <w:snapToGrid w:val="0"/>
              <w:spacing w:line="360" w:lineRule="auto"/>
              <w:ind w:firstLine="1200" w:firstLineChars="500"/>
              <w:jc w:val="left"/>
              <w:textAlignment w:val="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A</w:t>
            </w:r>
            <w:r>
              <w:rPr>
                <w:color w:val="000000" w:themeColor="text1"/>
                <w:kern w:val="0"/>
                <w:sz w:val="24"/>
                <w:vertAlign w:val="subscript"/>
                <w14:textFill>
                  <w14:solidFill>
                    <w14:schemeClr w14:val="tx1"/>
                  </w14:solidFill>
                </w14:textFill>
              </w:rPr>
              <w:t>gr</w:t>
            </w:r>
            <w:r>
              <w:rPr>
                <w:color w:val="000000" w:themeColor="text1"/>
                <w:kern w:val="0"/>
                <w:sz w:val="24"/>
                <w14:textFill>
                  <w14:solidFill>
                    <w14:schemeClr w14:val="tx1"/>
                  </w14:solidFill>
                </w14:textFill>
              </w:rPr>
              <w:t>——地面效应引起的衰减，dB；</w:t>
            </w:r>
          </w:p>
          <w:p>
            <w:pPr>
              <w:keepNext w:val="0"/>
              <w:keepLines w:val="0"/>
              <w:pageBreakBefore w:val="0"/>
              <w:kinsoku/>
              <w:wordWrap/>
              <w:overflowPunct w:val="0"/>
              <w:topLinePunct w:val="0"/>
              <w:autoSpaceDE/>
              <w:autoSpaceDN/>
              <w:bidi w:val="0"/>
              <w:adjustRightInd w:val="0"/>
              <w:snapToGrid w:val="0"/>
              <w:spacing w:line="360" w:lineRule="auto"/>
              <w:ind w:firstLine="1200" w:firstLineChars="500"/>
              <w:jc w:val="left"/>
              <w:textAlignment w:val="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A</w:t>
            </w:r>
            <w:r>
              <w:rPr>
                <w:color w:val="000000" w:themeColor="text1"/>
                <w:kern w:val="0"/>
                <w:sz w:val="24"/>
                <w:vertAlign w:val="subscript"/>
                <w14:textFill>
                  <w14:solidFill>
                    <w14:schemeClr w14:val="tx1"/>
                  </w14:solidFill>
                </w14:textFill>
              </w:rPr>
              <w:t>bar</w:t>
            </w:r>
            <w:r>
              <w:rPr>
                <w:color w:val="000000" w:themeColor="text1"/>
                <w:kern w:val="0"/>
                <w:sz w:val="24"/>
                <w14:textFill>
                  <w14:solidFill>
                    <w14:schemeClr w14:val="tx1"/>
                  </w14:solidFill>
                </w14:textFill>
              </w:rPr>
              <w:t>——障碍物屏蔽引起的衰减，dB；</w:t>
            </w:r>
          </w:p>
          <w:p>
            <w:pPr>
              <w:keepNext w:val="0"/>
              <w:keepLines w:val="0"/>
              <w:pageBreakBefore w:val="0"/>
              <w:kinsoku/>
              <w:wordWrap/>
              <w:overflowPunct w:val="0"/>
              <w:topLinePunct w:val="0"/>
              <w:autoSpaceDE/>
              <w:autoSpaceDN/>
              <w:bidi w:val="0"/>
              <w:adjustRightInd w:val="0"/>
              <w:snapToGrid w:val="0"/>
              <w:spacing w:line="360" w:lineRule="auto"/>
              <w:ind w:firstLine="1200" w:firstLineChars="500"/>
              <w:jc w:val="left"/>
              <w:textAlignment w:val="auto"/>
              <w:rPr>
                <w:b/>
                <w:bCs/>
                <w:color w:val="000000" w:themeColor="text1"/>
                <w:sz w:val="24"/>
                <w14:textFill>
                  <w14:solidFill>
                    <w14:schemeClr w14:val="tx1"/>
                  </w14:solidFill>
                </w14:textFill>
              </w:rPr>
            </w:pPr>
            <w:r>
              <w:rPr>
                <w:color w:val="000000" w:themeColor="text1"/>
                <w:kern w:val="0"/>
                <w:sz w:val="24"/>
                <w14:textFill>
                  <w14:solidFill>
                    <w14:schemeClr w14:val="tx1"/>
                  </w14:solidFill>
                </w14:textFill>
              </w:rPr>
              <w:t>A</w:t>
            </w:r>
            <w:r>
              <w:rPr>
                <w:color w:val="000000" w:themeColor="text1"/>
                <w:kern w:val="0"/>
                <w:sz w:val="24"/>
                <w:vertAlign w:val="subscript"/>
                <w14:textFill>
                  <w14:solidFill>
                    <w14:schemeClr w14:val="tx1"/>
                  </w14:solidFill>
                </w14:textFill>
              </w:rPr>
              <w:t>misc</w:t>
            </w:r>
            <w:r>
              <w:rPr>
                <w:color w:val="000000" w:themeColor="text1"/>
                <w:kern w:val="0"/>
                <w:sz w:val="24"/>
                <w14:textFill>
                  <w14:solidFill>
                    <w14:schemeClr w14:val="tx1"/>
                  </w14:solidFill>
                </w14:textFill>
              </w:rPr>
              <w:t>——其他多方面效应引起的衰减，dB。</w:t>
            </w:r>
          </w:p>
          <w:p>
            <w:pPr>
              <w:keepNext w:val="0"/>
              <w:keepLines w:val="0"/>
              <w:pageBreakBefore w:val="0"/>
              <w:widowControl/>
              <w:tabs>
                <w:tab w:val="left" w:pos="3320"/>
              </w:tabs>
              <w:kinsoku/>
              <w:wordWrap/>
              <w:topLinePunct w:val="0"/>
              <w:autoSpaceDE/>
              <w:autoSpaceDN/>
              <w:bidi w:val="0"/>
              <w:adjustRightInd w:val="0"/>
              <w:snapToGrid w:val="0"/>
              <w:spacing w:line="360" w:lineRule="auto"/>
              <w:ind w:firstLine="480" w:firstLineChars="200"/>
              <w:textAlignment w:val="auto"/>
              <w:rPr>
                <w:snapToGrid w:val="0"/>
                <w:color w:val="000000" w:themeColor="text1"/>
                <w:kern w:val="0"/>
                <w:sz w:val="24"/>
                <w14:textFill>
                  <w14:solidFill>
                    <w14:schemeClr w14:val="tx1"/>
                  </w14:solidFill>
                </w14:textFill>
              </w:rPr>
            </w:pPr>
            <w:r>
              <w:rPr>
                <w:color w:val="000000" w:themeColor="text1"/>
                <w:sz w:val="24"/>
                <w14:textFill>
                  <w14:solidFill>
                    <w14:schemeClr w14:val="tx1"/>
                  </w14:solidFill>
                </w14:textFill>
              </w:rPr>
              <w:t>（2）工业企业噪声贡献值预测如下：</w:t>
            </w:r>
          </w:p>
          <w:p>
            <w:pPr>
              <w:keepNext w:val="0"/>
              <w:keepLines w:val="0"/>
              <w:pageBreakBefore w:val="0"/>
              <w:widowControl/>
              <w:tabs>
                <w:tab w:val="left" w:pos="3320"/>
              </w:tabs>
              <w:kinsoku/>
              <w:wordWrap/>
              <w:topLinePunct w:val="0"/>
              <w:autoSpaceDE/>
              <w:autoSpaceDN/>
              <w:bidi w:val="0"/>
              <w:adjustRightInd w:val="0"/>
              <w:snapToGrid w:val="0"/>
              <w:spacing w:line="360" w:lineRule="auto"/>
              <w:ind w:firstLine="480" w:firstLineChars="200"/>
              <w:textAlignment w:val="auto"/>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设第i个室外声源在预测点产生的A声级为L</w:t>
            </w:r>
            <w:r>
              <w:rPr>
                <w:snapToGrid w:val="0"/>
                <w:color w:val="000000" w:themeColor="text1"/>
                <w:kern w:val="0"/>
                <w:sz w:val="24"/>
                <w:vertAlign w:val="subscript"/>
                <w14:textFill>
                  <w14:solidFill>
                    <w14:schemeClr w14:val="tx1"/>
                  </w14:solidFill>
                </w14:textFill>
              </w:rPr>
              <w:t>Ai</w:t>
            </w:r>
            <w:r>
              <w:rPr>
                <w:snapToGrid w:val="0"/>
                <w:color w:val="000000" w:themeColor="text1"/>
                <w:kern w:val="0"/>
                <w:sz w:val="24"/>
                <w14:textFill>
                  <w14:solidFill>
                    <w14:schemeClr w14:val="tx1"/>
                  </w14:solidFill>
                </w14:textFill>
              </w:rPr>
              <w:t>，在T时间内该声源工作时间为ti；第j个等效室外声源在预测点产生的A声级为L</w:t>
            </w:r>
            <w:r>
              <w:rPr>
                <w:snapToGrid w:val="0"/>
                <w:color w:val="000000" w:themeColor="text1"/>
                <w:kern w:val="0"/>
                <w:sz w:val="24"/>
                <w:vertAlign w:val="subscript"/>
                <w14:textFill>
                  <w14:solidFill>
                    <w14:schemeClr w14:val="tx1"/>
                  </w14:solidFill>
                </w14:textFill>
              </w:rPr>
              <w:t>Aj</w:t>
            </w:r>
            <w:r>
              <w:rPr>
                <w:snapToGrid w:val="0"/>
                <w:color w:val="000000" w:themeColor="text1"/>
                <w:kern w:val="0"/>
                <w:sz w:val="24"/>
                <w14:textFill>
                  <w14:solidFill>
                    <w14:schemeClr w14:val="tx1"/>
                  </w14:solidFill>
                </w14:textFill>
              </w:rPr>
              <w:t>，在T时间内该声源工作时间为t</w:t>
            </w:r>
            <w:r>
              <w:rPr>
                <w:snapToGrid w:val="0"/>
                <w:color w:val="000000" w:themeColor="text1"/>
                <w:kern w:val="0"/>
                <w:sz w:val="24"/>
                <w:vertAlign w:val="subscript"/>
                <w14:textFill>
                  <w14:solidFill>
                    <w14:schemeClr w14:val="tx1"/>
                  </w14:solidFill>
                </w14:textFill>
              </w:rPr>
              <w:t>j</w:t>
            </w:r>
            <w:r>
              <w:rPr>
                <w:snapToGrid w:val="0"/>
                <w:color w:val="000000" w:themeColor="text1"/>
                <w:kern w:val="0"/>
                <w:sz w:val="24"/>
                <w14:textFill>
                  <w14:solidFill>
                    <w14:schemeClr w14:val="tx1"/>
                  </w14:solidFill>
                </w14:textFill>
              </w:rPr>
              <w:t>，则拟建工程声源对预测点产生的贡献值（L</w:t>
            </w:r>
            <w:r>
              <w:rPr>
                <w:snapToGrid w:val="0"/>
                <w:color w:val="000000" w:themeColor="text1"/>
                <w:kern w:val="0"/>
                <w:sz w:val="24"/>
                <w:vertAlign w:val="subscript"/>
                <w14:textFill>
                  <w14:solidFill>
                    <w14:schemeClr w14:val="tx1"/>
                  </w14:solidFill>
                </w14:textFill>
              </w:rPr>
              <w:t>eqg</w:t>
            </w:r>
            <w:r>
              <w:rPr>
                <w:snapToGrid w:val="0"/>
                <w:color w:val="000000" w:themeColor="text1"/>
                <w:kern w:val="0"/>
                <w:sz w:val="24"/>
                <w14:textFill>
                  <w14:solidFill>
                    <w14:schemeClr w14:val="tx1"/>
                  </w14:solidFill>
                </w14:textFill>
              </w:rPr>
              <w:t>）为：</w:t>
            </w:r>
          </w:p>
          <w:p>
            <w:pPr>
              <w:keepNext w:val="0"/>
              <w:keepLines w:val="0"/>
              <w:pageBreakBefore w:val="0"/>
              <w:widowControl/>
              <w:tabs>
                <w:tab w:val="left" w:pos="342"/>
                <w:tab w:val="left" w:pos="3320"/>
              </w:tabs>
              <w:kinsoku/>
              <w:wordWrap/>
              <w:topLinePunct w:val="0"/>
              <w:autoSpaceDE/>
              <w:autoSpaceDN/>
              <w:bidi w:val="0"/>
              <w:adjustRightInd w:val="0"/>
              <w:snapToGrid w:val="0"/>
              <w:spacing w:line="360" w:lineRule="auto"/>
              <w:jc w:val="center"/>
              <w:textAlignment w:val="auto"/>
              <w:rPr>
                <w:snapToGrid w:val="0"/>
                <w:color w:val="FF0000"/>
                <w:kern w:val="0"/>
                <w:sz w:val="24"/>
              </w:rPr>
            </w:pPr>
            <w:r>
              <w:rPr>
                <w:color w:val="FF0000"/>
                <w:position w:val="-30"/>
                <w:sz w:val="24"/>
              </w:rPr>
              <w:object>
                <v:shape id="_x0000_i1032" o:spt="75" type="#_x0000_t75" style="height:37.5pt;width:218.55pt;" o:ole="t" filled="f" o:preferrelative="t" stroked="f" coordsize="21600,21600">
                  <v:path/>
                  <v:fill on="f" focussize="0,0"/>
                  <v:stroke on="f" joinstyle="miter"/>
                  <v:imagedata r:id="rId31" o:title=""/>
                  <o:lock v:ext="edit" aspectratio="t"/>
                  <w10:wrap type="none"/>
                  <w10:anchorlock/>
                </v:shape>
                <o:OLEObject Type="Embed" ProgID="Equation.KSEE3" ShapeID="_x0000_i1032" DrawAspect="Content" ObjectID="_1468075732" r:id="rId30">
                  <o:LockedField>false</o:LockedField>
                </o:OLEObject>
              </w:object>
            </w:r>
          </w:p>
          <w:p>
            <w:pPr>
              <w:keepNext w:val="0"/>
              <w:keepLines w:val="0"/>
              <w:pageBreakBefore w:val="0"/>
              <w:widowControl/>
              <w:tabs>
                <w:tab w:val="left" w:pos="3320"/>
              </w:tabs>
              <w:kinsoku/>
              <w:wordWrap/>
              <w:topLinePunct w:val="0"/>
              <w:autoSpaceDE/>
              <w:autoSpaceDN/>
              <w:bidi w:val="0"/>
              <w:adjustRightInd w:val="0"/>
              <w:snapToGrid w:val="0"/>
              <w:spacing w:line="360" w:lineRule="auto"/>
              <w:ind w:firstLine="480" w:firstLineChars="200"/>
              <w:textAlignment w:val="auto"/>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式中：L</w:t>
            </w:r>
            <w:r>
              <w:rPr>
                <w:snapToGrid w:val="0"/>
                <w:color w:val="000000" w:themeColor="text1"/>
                <w:kern w:val="0"/>
                <w:sz w:val="24"/>
                <w:vertAlign w:val="subscript"/>
                <w14:textFill>
                  <w14:solidFill>
                    <w14:schemeClr w14:val="tx1"/>
                  </w14:solidFill>
                </w14:textFill>
              </w:rPr>
              <w:t>eqg</w:t>
            </w:r>
            <w:r>
              <w:rPr>
                <w:snapToGrid w:val="0"/>
                <w:color w:val="000000" w:themeColor="text1"/>
                <w:kern w:val="0"/>
                <w:sz w:val="24"/>
                <w14:textFill>
                  <w14:solidFill>
                    <w14:schemeClr w14:val="tx1"/>
                  </w14:solidFill>
                </w14:textFill>
              </w:rPr>
              <w:t>——建设项目声源在预测点产生的噪声贡献值，dB；</w:t>
            </w:r>
          </w:p>
          <w:p>
            <w:pPr>
              <w:keepNext w:val="0"/>
              <w:keepLines w:val="0"/>
              <w:pageBreakBefore w:val="0"/>
              <w:widowControl/>
              <w:tabs>
                <w:tab w:val="left" w:pos="3320"/>
              </w:tabs>
              <w:kinsoku/>
              <w:wordWrap/>
              <w:topLinePunct w:val="0"/>
              <w:autoSpaceDE/>
              <w:autoSpaceDN/>
              <w:bidi w:val="0"/>
              <w:adjustRightInd w:val="0"/>
              <w:snapToGrid w:val="0"/>
              <w:spacing w:line="360" w:lineRule="auto"/>
              <w:ind w:firstLine="1200" w:firstLineChars="500"/>
              <w:textAlignment w:val="auto"/>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T——用于计算等效声级的时间，s；</w:t>
            </w:r>
          </w:p>
          <w:p>
            <w:pPr>
              <w:keepNext w:val="0"/>
              <w:keepLines w:val="0"/>
              <w:pageBreakBefore w:val="0"/>
              <w:widowControl/>
              <w:tabs>
                <w:tab w:val="left" w:pos="3320"/>
              </w:tabs>
              <w:kinsoku/>
              <w:wordWrap/>
              <w:topLinePunct w:val="0"/>
              <w:autoSpaceDE/>
              <w:autoSpaceDN/>
              <w:bidi w:val="0"/>
              <w:adjustRightInd w:val="0"/>
              <w:snapToGrid w:val="0"/>
              <w:spacing w:line="360" w:lineRule="auto"/>
              <w:ind w:firstLine="1200" w:firstLineChars="500"/>
              <w:textAlignment w:val="auto"/>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N——室外声源个数；</w:t>
            </w:r>
          </w:p>
          <w:p>
            <w:pPr>
              <w:keepNext w:val="0"/>
              <w:keepLines w:val="0"/>
              <w:pageBreakBefore w:val="0"/>
              <w:widowControl/>
              <w:tabs>
                <w:tab w:val="left" w:pos="3320"/>
              </w:tabs>
              <w:kinsoku/>
              <w:wordWrap/>
              <w:topLinePunct w:val="0"/>
              <w:autoSpaceDE/>
              <w:autoSpaceDN/>
              <w:bidi w:val="0"/>
              <w:adjustRightInd w:val="0"/>
              <w:snapToGrid w:val="0"/>
              <w:spacing w:line="360" w:lineRule="auto"/>
              <w:ind w:firstLine="1200" w:firstLineChars="500"/>
              <w:textAlignment w:val="auto"/>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t</w:t>
            </w:r>
            <w:r>
              <w:rPr>
                <w:snapToGrid w:val="0"/>
                <w:color w:val="000000" w:themeColor="text1"/>
                <w:kern w:val="0"/>
                <w:sz w:val="24"/>
                <w:vertAlign w:val="subscript"/>
                <w14:textFill>
                  <w14:solidFill>
                    <w14:schemeClr w14:val="tx1"/>
                  </w14:solidFill>
                </w14:textFill>
              </w:rPr>
              <w:t>i</w:t>
            </w:r>
            <w:r>
              <w:rPr>
                <w:snapToGrid w:val="0"/>
                <w:color w:val="000000" w:themeColor="text1"/>
                <w:kern w:val="0"/>
                <w:sz w:val="24"/>
                <w14:textFill>
                  <w14:solidFill>
                    <w14:schemeClr w14:val="tx1"/>
                  </w14:solidFill>
                </w14:textFill>
              </w:rPr>
              <w:t>——在T时间内i声源工作时间，s；</w:t>
            </w:r>
          </w:p>
          <w:p>
            <w:pPr>
              <w:keepNext w:val="0"/>
              <w:keepLines w:val="0"/>
              <w:pageBreakBefore w:val="0"/>
              <w:widowControl/>
              <w:tabs>
                <w:tab w:val="left" w:pos="3320"/>
              </w:tabs>
              <w:kinsoku/>
              <w:wordWrap/>
              <w:topLinePunct w:val="0"/>
              <w:autoSpaceDE/>
              <w:autoSpaceDN/>
              <w:bidi w:val="0"/>
              <w:adjustRightInd w:val="0"/>
              <w:snapToGrid w:val="0"/>
              <w:spacing w:line="360" w:lineRule="auto"/>
              <w:ind w:firstLine="1200" w:firstLineChars="500"/>
              <w:textAlignment w:val="auto"/>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M——等效室外声源个数；</w:t>
            </w:r>
          </w:p>
          <w:p>
            <w:pPr>
              <w:keepNext w:val="0"/>
              <w:keepLines w:val="0"/>
              <w:pageBreakBefore w:val="0"/>
              <w:widowControl/>
              <w:tabs>
                <w:tab w:val="left" w:pos="3320"/>
              </w:tabs>
              <w:kinsoku/>
              <w:wordWrap/>
              <w:topLinePunct w:val="0"/>
              <w:autoSpaceDE/>
              <w:autoSpaceDN/>
              <w:bidi w:val="0"/>
              <w:adjustRightInd w:val="0"/>
              <w:snapToGrid w:val="0"/>
              <w:spacing w:line="360" w:lineRule="auto"/>
              <w:ind w:firstLine="1200" w:firstLineChars="500"/>
              <w:textAlignment w:val="auto"/>
              <w:rPr>
                <w:snapToGrid w:val="0"/>
                <w:color w:val="auto"/>
                <w:kern w:val="0"/>
                <w:sz w:val="24"/>
              </w:rPr>
            </w:pPr>
            <w:r>
              <w:rPr>
                <w:snapToGrid w:val="0"/>
                <w:color w:val="000000" w:themeColor="text1"/>
                <w:kern w:val="0"/>
                <w:sz w:val="24"/>
                <w14:textFill>
                  <w14:solidFill>
                    <w14:schemeClr w14:val="tx1"/>
                  </w14:solidFill>
                </w14:textFill>
              </w:rPr>
              <w:t>t</w:t>
            </w:r>
            <w:r>
              <w:rPr>
                <w:snapToGrid w:val="0"/>
                <w:color w:val="000000" w:themeColor="text1"/>
                <w:kern w:val="0"/>
                <w:sz w:val="24"/>
                <w:vertAlign w:val="subscript"/>
                <w14:textFill>
                  <w14:solidFill>
                    <w14:schemeClr w14:val="tx1"/>
                  </w14:solidFill>
                </w14:textFill>
              </w:rPr>
              <w:t>j</w:t>
            </w:r>
            <w:r>
              <w:rPr>
                <w:snapToGrid w:val="0"/>
                <w:color w:val="000000" w:themeColor="text1"/>
                <w:kern w:val="0"/>
                <w:sz w:val="24"/>
                <w14:textFill>
                  <w14:solidFill>
                    <w14:schemeClr w14:val="tx1"/>
                  </w14:solidFill>
                </w14:textFill>
              </w:rPr>
              <w:t>——在T</w:t>
            </w:r>
            <w:r>
              <w:rPr>
                <w:snapToGrid w:val="0"/>
                <w:color w:val="auto"/>
                <w:kern w:val="0"/>
                <w:sz w:val="24"/>
              </w:rPr>
              <w:t>时间内j声源工作时间，s。</w:t>
            </w:r>
          </w:p>
          <w:p>
            <w:pPr>
              <w:pStyle w:val="52"/>
              <w:keepNext w:val="0"/>
              <w:keepLines w:val="0"/>
              <w:pageBreakBefore w:val="0"/>
              <w:kinsoku/>
              <w:wordWrap/>
              <w:topLinePunct w:val="0"/>
              <w:autoSpaceDE/>
              <w:autoSpaceDN/>
              <w:bidi w:val="0"/>
              <w:adjustRightInd w:val="0"/>
              <w:snapToGrid w:val="0"/>
              <w:ind w:firstLine="480"/>
              <w:jc w:val="both"/>
              <w:textAlignment w:val="auto"/>
              <w:rPr>
                <w:rFonts w:hint="default" w:ascii="Times New Roman" w:hAnsi="Times New Roman" w:eastAsia="宋体"/>
                <w:snapToGrid w:val="0"/>
                <w:color w:val="auto"/>
                <w:szCs w:val="24"/>
              </w:rPr>
            </w:pPr>
            <w:r>
              <w:rPr>
                <w:rFonts w:hint="default" w:ascii="Times New Roman" w:hAnsi="Times New Roman" w:eastAsia="宋体"/>
                <w:snapToGrid w:val="0"/>
                <w:color w:val="auto"/>
                <w:szCs w:val="24"/>
              </w:rPr>
              <w:t>噪声影响预测结果见表4-</w:t>
            </w:r>
            <w:r>
              <w:rPr>
                <w:rFonts w:ascii="Times New Roman" w:hAnsi="Times New Roman" w:eastAsia="宋体"/>
                <w:snapToGrid w:val="0"/>
                <w:color w:val="auto"/>
                <w:szCs w:val="24"/>
              </w:rPr>
              <w:t>1</w:t>
            </w:r>
            <w:r>
              <w:rPr>
                <w:rFonts w:hint="eastAsia" w:ascii="Times New Roman" w:hAnsi="Times New Roman" w:eastAsia="宋体"/>
                <w:snapToGrid w:val="0"/>
                <w:color w:val="auto"/>
                <w:szCs w:val="24"/>
                <w:lang w:val="en-US" w:eastAsia="zh-CN"/>
              </w:rPr>
              <w:t>2</w:t>
            </w:r>
            <w:r>
              <w:rPr>
                <w:rFonts w:hint="default" w:ascii="Times New Roman" w:hAnsi="Times New Roman" w:eastAsia="宋体"/>
                <w:snapToGrid w:val="0"/>
                <w:color w:val="auto"/>
                <w:szCs w:val="24"/>
              </w:rPr>
              <w:t>，噪声预测等声级线见图4-1。</w:t>
            </w:r>
          </w:p>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 w:val="21"/>
                <w:szCs w:val="21"/>
              </w:rPr>
            </w:pPr>
            <w:r>
              <w:rPr>
                <w:b/>
                <w:bCs/>
                <w:color w:val="auto"/>
                <w:sz w:val="21"/>
                <w:szCs w:val="21"/>
              </w:rPr>
              <w:t>表4-</w:t>
            </w:r>
            <w:r>
              <w:rPr>
                <w:rFonts w:hint="eastAsia"/>
                <w:b/>
                <w:bCs/>
                <w:color w:val="auto"/>
                <w:sz w:val="21"/>
                <w:szCs w:val="21"/>
              </w:rPr>
              <w:t>1</w:t>
            </w:r>
            <w:r>
              <w:rPr>
                <w:rFonts w:hint="eastAsia"/>
                <w:b/>
                <w:bCs/>
                <w:color w:val="auto"/>
                <w:sz w:val="21"/>
                <w:szCs w:val="21"/>
                <w:lang w:val="en-US" w:eastAsia="zh-CN"/>
              </w:rPr>
              <w:t>2</w:t>
            </w:r>
            <w:r>
              <w:rPr>
                <w:b/>
                <w:bCs/>
                <w:color w:val="auto"/>
                <w:sz w:val="21"/>
                <w:szCs w:val="21"/>
              </w:rPr>
              <w:t xml:space="preserve">   噪声预测结果一览表   单位：dB(A)</w:t>
            </w:r>
          </w:p>
          <w:tbl>
            <w:tblPr>
              <w:tblStyle w:val="24"/>
              <w:tblW w:w="489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185"/>
              <w:gridCol w:w="1244"/>
              <w:gridCol w:w="1244"/>
              <w:gridCol w:w="1244"/>
              <w:gridCol w:w="1358"/>
              <w:gridCol w:w="8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1357" w:type="pct"/>
                  <w:noWrap/>
                  <w:vAlign w:val="center"/>
                </w:tcPr>
                <w:p>
                  <w:pPr>
                    <w:pStyle w:val="38"/>
                    <w:tabs>
                      <w:tab w:val="left" w:pos="432"/>
                      <w:tab w:val="left" w:pos="567"/>
                    </w:tabs>
                    <w:spacing w:beforeLines="0" w:afterLines="0" w:line="240" w:lineRule="auto"/>
                    <w:ind w:firstLine="0"/>
                    <w:jc w:val="center"/>
                    <w:rPr>
                      <w:rFonts w:ascii="Times New Roman"/>
                      <w:b/>
                      <w:bCs/>
                      <w:color w:val="auto"/>
                      <w:szCs w:val="21"/>
                    </w:rPr>
                  </w:pPr>
                  <w:r>
                    <w:rPr>
                      <w:rFonts w:ascii="Times New Roman"/>
                      <w:b/>
                      <w:bCs/>
                      <w:color w:val="auto"/>
                      <w:szCs w:val="21"/>
                    </w:rPr>
                    <w:t>评价点</w:t>
                  </w:r>
                </w:p>
              </w:tc>
              <w:tc>
                <w:tcPr>
                  <w:tcW w:w="746" w:type="pct"/>
                  <w:noWrap/>
                  <w:vAlign w:val="center"/>
                </w:tcPr>
                <w:p>
                  <w:pPr>
                    <w:pStyle w:val="38"/>
                    <w:tabs>
                      <w:tab w:val="left" w:pos="432"/>
                      <w:tab w:val="left" w:pos="567"/>
                    </w:tabs>
                    <w:spacing w:beforeLines="0" w:afterLines="0" w:line="240" w:lineRule="auto"/>
                    <w:ind w:firstLine="0"/>
                    <w:jc w:val="center"/>
                    <w:rPr>
                      <w:rFonts w:ascii="Times New Roman"/>
                      <w:b/>
                      <w:bCs/>
                      <w:color w:val="auto"/>
                      <w:szCs w:val="21"/>
                    </w:rPr>
                  </w:pPr>
                  <w:r>
                    <w:rPr>
                      <w:rFonts w:ascii="Times New Roman"/>
                      <w:b/>
                      <w:bCs/>
                      <w:color w:val="auto"/>
                    </w:rPr>
                    <w:t>贡献值dB(A)</w:t>
                  </w:r>
                </w:p>
              </w:tc>
              <w:tc>
                <w:tcPr>
                  <w:tcW w:w="746" w:type="pct"/>
                  <w:noWrap/>
                  <w:vAlign w:val="center"/>
                </w:tcPr>
                <w:p>
                  <w:pPr>
                    <w:pStyle w:val="38"/>
                    <w:tabs>
                      <w:tab w:val="left" w:pos="432"/>
                      <w:tab w:val="left" w:pos="567"/>
                    </w:tabs>
                    <w:spacing w:beforeLines="0" w:afterLines="0" w:line="240" w:lineRule="auto"/>
                    <w:ind w:firstLine="0"/>
                    <w:jc w:val="center"/>
                    <w:rPr>
                      <w:rFonts w:hint="eastAsia" w:ascii="Times New Roman" w:eastAsia="宋体"/>
                      <w:b/>
                      <w:bCs/>
                      <w:color w:val="auto"/>
                      <w:lang w:eastAsia="zh-CN"/>
                    </w:rPr>
                  </w:pPr>
                  <w:r>
                    <w:rPr>
                      <w:rFonts w:hint="eastAsia" w:ascii="Times New Roman"/>
                      <w:b/>
                      <w:bCs/>
                      <w:color w:val="auto"/>
                      <w:lang w:eastAsia="zh-CN"/>
                    </w:rPr>
                    <w:t>背景值</w:t>
                  </w:r>
                  <w:r>
                    <w:rPr>
                      <w:rFonts w:ascii="Times New Roman"/>
                      <w:b/>
                      <w:bCs/>
                      <w:color w:val="auto"/>
                    </w:rPr>
                    <w:t>dB(A)</w:t>
                  </w:r>
                </w:p>
              </w:tc>
              <w:tc>
                <w:tcPr>
                  <w:tcW w:w="746" w:type="pct"/>
                  <w:noWrap/>
                  <w:vAlign w:val="center"/>
                </w:tcPr>
                <w:p>
                  <w:pPr>
                    <w:pStyle w:val="38"/>
                    <w:tabs>
                      <w:tab w:val="left" w:pos="432"/>
                      <w:tab w:val="left" w:pos="567"/>
                    </w:tabs>
                    <w:spacing w:beforeLines="0" w:afterLines="0" w:line="240" w:lineRule="auto"/>
                    <w:ind w:firstLine="0"/>
                    <w:jc w:val="center"/>
                    <w:rPr>
                      <w:rFonts w:hint="eastAsia" w:ascii="Times New Roman" w:eastAsia="宋体"/>
                      <w:b/>
                      <w:bCs/>
                      <w:color w:val="auto"/>
                      <w:lang w:eastAsia="zh-CN"/>
                    </w:rPr>
                  </w:pPr>
                  <w:r>
                    <w:rPr>
                      <w:rFonts w:hint="eastAsia" w:ascii="Times New Roman"/>
                      <w:b/>
                      <w:bCs/>
                      <w:color w:val="auto"/>
                      <w:lang w:eastAsia="zh-CN"/>
                    </w:rPr>
                    <w:t>预测值</w:t>
                  </w:r>
                  <w:r>
                    <w:rPr>
                      <w:rFonts w:ascii="Times New Roman"/>
                      <w:b/>
                      <w:bCs/>
                      <w:color w:val="auto"/>
                    </w:rPr>
                    <w:t>dB(A)</w:t>
                  </w:r>
                </w:p>
              </w:tc>
              <w:tc>
                <w:tcPr>
                  <w:tcW w:w="849" w:type="pct"/>
                  <w:noWrap/>
                  <w:vAlign w:val="center"/>
                </w:tcPr>
                <w:p>
                  <w:pPr>
                    <w:adjustRightInd w:val="0"/>
                    <w:snapToGrid w:val="0"/>
                    <w:jc w:val="center"/>
                    <w:rPr>
                      <w:b/>
                      <w:bCs/>
                      <w:color w:val="auto"/>
                    </w:rPr>
                  </w:pPr>
                  <w:r>
                    <w:rPr>
                      <w:b/>
                      <w:bCs/>
                      <w:color w:val="auto"/>
                    </w:rPr>
                    <w:t>评价标准</w:t>
                  </w:r>
                </w:p>
              </w:tc>
              <w:tc>
                <w:tcPr>
                  <w:tcW w:w="554" w:type="pct"/>
                  <w:noWrap/>
                  <w:vAlign w:val="center"/>
                </w:tcPr>
                <w:p>
                  <w:pPr>
                    <w:pStyle w:val="38"/>
                    <w:tabs>
                      <w:tab w:val="left" w:pos="432"/>
                      <w:tab w:val="left" w:pos="567"/>
                    </w:tabs>
                    <w:spacing w:beforeLines="0" w:afterLines="0" w:line="240" w:lineRule="auto"/>
                    <w:ind w:firstLine="0"/>
                    <w:jc w:val="center"/>
                    <w:rPr>
                      <w:rFonts w:ascii="Times New Roman"/>
                      <w:b/>
                      <w:bCs/>
                      <w:color w:val="auto"/>
                      <w:szCs w:val="21"/>
                    </w:rPr>
                  </w:pPr>
                  <w:r>
                    <w:rPr>
                      <w:rFonts w:ascii="Times New Roman"/>
                      <w:b/>
                      <w:bCs/>
                      <w:color w:val="auto"/>
                      <w:szCs w:val="21"/>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7" w:type="pct"/>
                  <w:noWrap/>
                  <w:vAlign w:val="center"/>
                </w:tcPr>
                <w:p>
                  <w:pPr>
                    <w:pStyle w:val="38"/>
                    <w:tabs>
                      <w:tab w:val="left" w:pos="432"/>
                      <w:tab w:val="left" w:pos="567"/>
                    </w:tabs>
                    <w:spacing w:beforeLines="0" w:afterLines="0" w:line="240" w:lineRule="auto"/>
                    <w:ind w:firstLine="0"/>
                    <w:jc w:val="center"/>
                    <w:rPr>
                      <w:rFonts w:ascii="Times New Roman"/>
                      <w:color w:val="auto"/>
                      <w:szCs w:val="21"/>
                    </w:rPr>
                  </w:pPr>
                  <w:r>
                    <w:rPr>
                      <w:rFonts w:hint="eastAsia" w:ascii="Times New Roman"/>
                      <w:color w:val="auto"/>
                      <w:szCs w:val="21"/>
                    </w:rPr>
                    <w:t>北</w:t>
                  </w:r>
                  <w:r>
                    <w:rPr>
                      <w:rFonts w:ascii="Times New Roman"/>
                      <w:color w:val="auto"/>
                      <w:szCs w:val="21"/>
                    </w:rPr>
                    <w:t>厂界</w:t>
                  </w:r>
                </w:p>
              </w:tc>
              <w:tc>
                <w:tcPr>
                  <w:tcW w:w="746" w:type="pct"/>
                  <w:noWrap/>
                  <w:vAlign w:val="center"/>
                </w:tcPr>
                <w:p>
                  <w:pPr>
                    <w:pStyle w:val="38"/>
                    <w:tabs>
                      <w:tab w:val="left" w:pos="432"/>
                      <w:tab w:val="left" w:pos="567"/>
                    </w:tabs>
                    <w:spacing w:beforeLines="0" w:afterLines="0" w:line="240" w:lineRule="auto"/>
                    <w:ind w:firstLine="0"/>
                    <w:jc w:val="center"/>
                    <w:rPr>
                      <w:rFonts w:hint="default" w:ascii="Times New Roman" w:eastAsia="宋体"/>
                      <w:color w:val="auto"/>
                      <w:szCs w:val="21"/>
                      <w:lang w:val="en-US" w:eastAsia="zh-CN"/>
                    </w:rPr>
                  </w:pPr>
                  <w:r>
                    <w:rPr>
                      <w:rFonts w:hint="eastAsia" w:ascii="Times New Roman"/>
                      <w:color w:val="auto"/>
                      <w:szCs w:val="21"/>
                      <w:lang w:val="en-US" w:eastAsia="zh-CN"/>
                    </w:rPr>
                    <w:t>47</w:t>
                  </w:r>
                </w:p>
              </w:tc>
              <w:tc>
                <w:tcPr>
                  <w:tcW w:w="746" w:type="pct"/>
                  <w:noWrap/>
                  <w:vAlign w:val="center"/>
                </w:tcPr>
                <w:p>
                  <w:pPr>
                    <w:pStyle w:val="38"/>
                    <w:tabs>
                      <w:tab w:val="left" w:pos="432"/>
                      <w:tab w:val="left" w:pos="567"/>
                    </w:tabs>
                    <w:spacing w:beforeLines="0" w:afterLines="0" w:line="240" w:lineRule="auto"/>
                    <w:ind w:firstLine="0"/>
                    <w:jc w:val="center"/>
                    <w:rPr>
                      <w:rFonts w:hint="eastAsia" w:ascii="Times New Roman" w:eastAsia="宋体"/>
                      <w:color w:val="auto"/>
                      <w:szCs w:val="21"/>
                      <w:lang w:val="en-US" w:eastAsia="zh-CN"/>
                    </w:rPr>
                  </w:pPr>
                  <w:r>
                    <w:rPr>
                      <w:rFonts w:hint="eastAsia" w:ascii="Times New Roman"/>
                      <w:color w:val="auto"/>
                      <w:szCs w:val="21"/>
                      <w:lang w:val="en-US" w:eastAsia="zh-CN"/>
                    </w:rPr>
                    <w:t>/</w:t>
                  </w:r>
                </w:p>
              </w:tc>
              <w:tc>
                <w:tcPr>
                  <w:tcW w:w="746" w:type="pct"/>
                  <w:noWrap/>
                  <w:vAlign w:val="center"/>
                </w:tcPr>
                <w:p>
                  <w:pPr>
                    <w:pStyle w:val="38"/>
                    <w:tabs>
                      <w:tab w:val="left" w:pos="432"/>
                      <w:tab w:val="left" w:pos="567"/>
                    </w:tabs>
                    <w:spacing w:beforeLines="0" w:afterLines="0" w:line="240" w:lineRule="auto"/>
                    <w:ind w:firstLine="0"/>
                    <w:jc w:val="center"/>
                    <w:rPr>
                      <w:rFonts w:hint="eastAsia" w:ascii="Times New Roman" w:eastAsia="宋体"/>
                      <w:color w:val="auto"/>
                      <w:szCs w:val="21"/>
                      <w:lang w:val="en-US" w:eastAsia="zh-CN"/>
                    </w:rPr>
                  </w:pPr>
                  <w:r>
                    <w:rPr>
                      <w:rFonts w:hint="eastAsia" w:ascii="Times New Roman"/>
                      <w:color w:val="auto"/>
                      <w:szCs w:val="21"/>
                      <w:lang w:val="en-US" w:eastAsia="zh-CN"/>
                    </w:rPr>
                    <w:t>/</w:t>
                  </w:r>
                </w:p>
              </w:tc>
              <w:tc>
                <w:tcPr>
                  <w:tcW w:w="849" w:type="pct"/>
                  <w:vMerge w:val="restart"/>
                  <w:noWrap/>
                  <w:vAlign w:val="center"/>
                </w:tcPr>
                <w:p>
                  <w:pPr>
                    <w:widowControl/>
                    <w:adjustRightInd w:val="0"/>
                    <w:snapToGrid w:val="0"/>
                    <w:jc w:val="center"/>
                    <w:rPr>
                      <w:color w:val="auto"/>
                    </w:rPr>
                  </w:pPr>
                  <w:r>
                    <w:rPr>
                      <w:color w:val="auto"/>
                    </w:rPr>
                    <w:t>昼间:</w:t>
                  </w:r>
                  <w:r>
                    <w:rPr>
                      <w:rFonts w:hint="eastAsia"/>
                      <w:color w:val="auto"/>
                      <w:lang w:val="en-US" w:eastAsia="zh-CN"/>
                    </w:rPr>
                    <w:t>60</w:t>
                  </w:r>
                  <w:r>
                    <w:rPr>
                      <w:color w:val="auto"/>
                    </w:rPr>
                    <w:t>dB(A)</w:t>
                  </w:r>
                </w:p>
              </w:tc>
              <w:tc>
                <w:tcPr>
                  <w:tcW w:w="554" w:type="pct"/>
                  <w:noWrap/>
                  <w:vAlign w:val="center"/>
                </w:tcPr>
                <w:p>
                  <w:pPr>
                    <w:pStyle w:val="38"/>
                    <w:tabs>
                      <w:tab w:val="left" w:pos="432"/>
                      <w:tab w:val="left" w:pos="567"/>
                    </w:tabs>
                    <w:spacing w:beforeLines="0" w:afterLines="0" w:line="240" w:lineRule="auto"/>
                    <w:ind w:firstLine="0"/>
                    <w:jc w:val="center"/>
                    <w:rPr>
                      <w:rFonts w:ascii="Times New Roman"/>
                      <w:color w:val="auto"/>
                      <w:szCs w:val="21"/>
                    </w:rPr>
                  </w:pPr>
                  <w:r>
                    <w:rPr>
                      <w:rFonts w:ascii="Times New Roman"/>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7" w:type="pct"/>
                  <w:noWrap/>
                  <w:vAlign w:val="center"/>
                </w:tcPr>
                <w:p>
                  <w:pPr>
                    <w:pStyle w:val="38"/>
                    <w:tabs>
                      <w:tab w:val="left" w:pos="432"/>
                      <w:tab w:val="left" w:pos="567"/>
                    </w:tabs>
                    <w:spacing w:beforeLines="0" w:afterLines="0" w:line="240" w:lineRule="auto"/>
                    <w:ind w:firstLine="0"/>
                    <w:jc w:val="center"/>
                    <w:rPr>
                      <w:rFonts w:ascii="Times New Roman"/>
                      <w:color w:val="auto"/>
                      <w:szCs w:val="21"/>
                    </w:rPr>
                  </w:pPr>
                  <w:r>
                    <w:rPr>
                      <w:rFonts w:ascii="Times New Roman"/>
                      <w:color w:val="auto"/>
                      <w:szCs w:val="21"/>
                    </w:rPr>
                    <w:t>南厂界</w:t>
                  </w:r>
                </w:p>
              </w:tc>
              <w:tc>
                <w:tcPr>
                  <w:tcW w:w="746" w:type="pct"/>
                  <w:noWrap/>
                  <w:vAlign w:val="center"/>
                </w:tcPr>
                <w:p>
                  <w:pPr>
                    <w:pStyle w:val="38"/>
                    <w:tabs>
                      <w:tab w:val="left" w:pos="432"/>
                      <w:tab w:val="left" w:pos="567"/>
                    </w:tabs>
                    <w:spacing w:beforeLines="0" w:afterLines="0" w:line="240" w:lineRule="auto"/>
                    <w:ind w:firstLine="0"/>
                    <w:jc w:val="center"/>
                    <w:rPr>
                      <w:rFonts w:hint="default" w:ascii="Times New Roman" w:eastAsia="宋体"/>
                      <w:color w:val="auto"/>
                      <w:szCs w:val="21"/>
                      <w:lang w:val="en-US" w:eastAsia="zh-CN"/>
                    </w:rPr>
                  </w:pPr>
                  <w:r>
                    <w:rPr>
                      <w:rFonts w:hint="eastAsia" w:ascii="Times New Roman"/>
                      <w:color w:val="auto"/>
                      <w:szCs w:val="21"/>
                      <w:lang w:val="en-US" w:eastAsia="zh-CN"/>
                    </w:rPr>
                    <w:t>30</w:t>
                  </w:r>
                </w:p>
              </w:tc>
              <w:tc>
                <w:tcPr>
                  <w:tcW w:w="746" w:type="pct"/>
                  <w:noWrap/>
                  <w:vAlign w:val="center"/>
                </w:tcPr>
                <w:p>
                  <w:pPr>
                    <w:spacing w:beforeLines="0" w:afterLines="0" w:line="240" w:lineRule="auto"/>
                    <w:ind w:firstLine="0"/>
                    <w:jc w:val="center"/>
                    <w:rPr>
                      <w:rFonts w:hint="eastAsia" w:ascii="Times New Roman"/>
                      <w:color w:val="auto"/>
                      <w:szCs w:val="21"/>
                    </w:rPr>
                  </w:pPr>
                  <w:r>
                    <w:rPr>
                      <w:rFonts w:hint="eastAsia" w:ascii="Times New Roman"/>
                      <w:color w:val="auto"/>
                      <w:szCs w:val="21"/>
                      <w:lang w:val="en-US" w:eastAsia="zh-CN"/>
                    </w:rPr>
                    <w:t>/</w:t>
                  </w:r>
                </w:p>
              </w:tc>
              <w:tc>
                <w:tcPr>
                  <w:tcW w:w="746" w:type="pct"/>
                  <w:noWrap/>
                  <w:vAlign w:val="center"/>
                </w:tcPr>
                <w:p>
                  <w:pPr>
                    <w:spacing w:beforeLines="0" w:afterLines="0" w:line="240" w:lineRule="auto"/>
                    <w:ind w:firstLine="0"/>
                    <w:jc w:val="center"/>
                    <w:rPr>
                      <w:rFonts w:hint="eastAsia" w:ascii="Times New Roman"/>
                      <w:color w:val="auto"/>
                      <w:szCs w:val="21"/>
                    </w:rPr>
                  </w:pPr>
                  <w:r>
                    <w:rPr>
                      <w:rFonts w:hint="eastAsia" w:ascii="Times New Roman"/>
                      <w:color w:val="auto"/>
                      <w:szCs w:val="21"/>
                      <w:lang w:val="en-US" w:eastAsia="zh-CN"/>
                    </w:rPr>
                    <w:t>/</w:t>
                  </w:r>
                </w:p>
              </w:tc>
              <w:tc>
                <w:tcPr>
                  <w:tcW w:w="849" w:type="pct"/>
                  <w:vMerge w:val="continue"/>
                  <w:noWrap/>
                  <w:vAlign w:val="center"/>
                </w:tcPr>
                <w:p>
                  <w:pPr>
                    <w:pStyle w:val="38"/>
                    <w:tabs>
                      <w:tab w:val="left" w:pos="432"/>
                      <w:tab w:val="left" w:pos="567"/>
                    </w:tabs>
                    <w:spacing w:beforeLines="0" w:afterLines="0" w:line="240" w:lineRule="auto"/>
                    <w:ind w:firstLine="0"/>
                    <w:jc w:val="center"/>
                    <w:rPr>
                      <w:rFonts w:ascii="Times New Roman"/>
                      <w:color w:val="auto"/>
                      <w:szCs w:val="21"/>
                    </w:rPr>
                  </w:pPr>
                </w:p>
              </w:tc>
              <w:tc>
                <w:tcPr>
                  <w:tcW w:w="554" w:type="pct"/>
                  <w:noWrap/>
                  <w:vAlign w:val="center"/>
                </w:tcPr>
                <w:p>
                  <w:pPr>
                    <w:jc w:val="center"/>
                    <w:rPr>
                      <w:color w:val="auto"/>
                      <w:szCs w:val="21"/>
                    </w:rPr>
                  </w:pPr>
                  <w:r>
                    <w:rPr>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7" w:type="pct"/>
                  <w:noWrap/>
                  <w:vAlign w:val="center"/>
                </w:tcPr>
                <w:p>
                  <w:pPr>
                    <w:pStyle w:val="38"/>
                    <w:tabs>
                      <w:tab w:val="left" w:pos="432"/>
                      <w:tab w:val="left" w:pos="567"/>
                    </w:tabs>
                    <w:spacing w:beforeLines="0" w:afterLines="0" w:line="240" w:lineRule="auto"/>
                    <w:ind w:firstLine="0"/>
                    <w:jc w:val="center"/>
                    <w:rPr>
                      <w:rFonts w:ascii="Times New Roman"/>
                      <w:color w:val="auto"/>
                      <w:szCs w:val="21"/>
                    </w:rPr>
                  </w:pPr>
                  <w:r>
                    <w:rPr>
                      <w:rFonts w:ascii="Times New Roman"/>
                      <w:color w:val="auto"/>
                      <w:szCs w:val="21"/>
                    </w:rPr>
                    <w:t>西厂界</w:t>
                  </w:r>
                </w:p>
              </w:tc>
              <w:tc>
                <w:tcPr>
                  <w:tcW w:w="746" w:type="pct"/>
                  <w:noWrap/>
                  <w:vAlign w:val="center"/>
                </w:tcPr>
                <w:p>
                  <w:pPr>
                    <w:pStyle w:val="38"/>
                    <w:tabs>
                      <w:tab w:val="left" w:pos="432"/>
                      <w:tab w:val="left" w:pos="567"/>
                    </w:tabs>
                    <w:spacing w:beforeLines="0" w:afterLines="0" w:line="240" w:lineRule="auto"/>
                    <w:ind w:firstLine="0"/>
                    <w:jc w:val="center"/>
                    <w:rPr>
                      <w:rFonts w:hint="default" w:ascii="Times New Roman" w:eastAsia="宋体"/>
                      <w:color w:val="auto"/>
                      <w:szCs w:val="21"/>
                      <w:lang w:val="en-US" w:eastAsia="zh-CN"/>
                    </w:rPr>
                  </w:pPr>
                  <w:r>
                    <w:rPr>
                      <w:rFonts w:hint="eastAsia" w:ascii="Times New Roman"/>
                      <w:color w:val="auto"/>
                      <w:szCs w:val="21"/>
                      <w:lang w:val="en-US" w:eastAsia="zh-CN"/>
                    </w:rPr>
                    <w:t>36</w:t>
                  </w:r>
                </w:p>
              </w:tc>
              <w:tc>
                <w:tcPr>
                  <w:tcW w:w="746" w:type="pct"/>
                  <w:noWrap/>
                  <w:vAlign w:val="center"/>
                </w:tcPr>
                <w:p>
                  <w:pPr>
                    <w:spacing w:beforeLines="0" w:afterLines="0" w:line="240" w:lineRule="auto"/>
                    <w:ind w:firstLine="0"/>
                    <w:jc w:val="center"/>
                    <w:rPr>
                      <w:rFonts w:hint="eastAsia" w:ascii="Times New Roman"/>
                      <w:color w:val="auto"/>
                      <w:szCs w:val="21"/>
                    </w:rPr>
                  </w:pPr>
                  <w:r>
                    <w:rPr>
                      <w:rFonts w:hint="eastAsia" w:ascii="Times New Roman"/>
                      <w:color w:val="auto"/>
                      <w:szCs w:val="21"/>
                      <w:lang w:val="en-US" w:eastAsia="zh-CN"/>
                    </w:rPr>
                    <w:t>/</w:t>
                  </w:r>
                </w:p>
              </w:tc>
              <w:tc>
                <w:tcPr>
                  <w:tcW w:w="746" w:type="pct"/>
                  <w:noWrap/>
                  <w:vAlign w:val="center"/>
                </w:tcPr>
                <w:p>
                  <w:pPr>
                    <w:spacing w:beforeLines="0" w:afterLines="0" w:line="240" w:lineRule="auto"/>
                    <w:ind w:firstLine="0"/>
                    <w:jc w:val="center"/>
                    <w:rPr>
                      <w:rFonts w:hint="eastAsia" w:ascii="Times New Roman"/>
                      <w:color w:val="auto"/>
                      <w:szCs w:val="21"/>
                    </w:rPr>
                  </w:pPr>
                  <w:r>
                    <w:rPr>
                      <w:rFonts w:hint="eastAsia" w:ascii="Times New Roman"/>
                      <w:color w:val="auto"/>
                      <w:szCs w:val="21"/>
                      <w:lang w:val="en-US" w:eastAsia="zh-CN"/>
                    </w:rPr>
                    <w:t>/</w:t>
                  </w:r>
                </w:p>
              </w:tc>
              <w:tc>
                <w:tcPr>
                  <w:tcW w:w="849" w:type="pct"/>
                  <w:vMerge w:val="continue"/>
                  <w:noWrap/>
                  <w:vAlign w:val="center"/>
                </w:tcPr>
                <w:p>
                  <w:pPr>
                    <w:pStyle w:val="38"/>
                    <w:tabs>
                      <w:tab w:val="left" w:pos="432"/>
                      <w:tab w:val="left" w:pos="567"/>
                    </w:tabs>
                    <w:spacing w:beforeLines="0" w:afterLines="0" w:line="240" w:lineRule="auto"/>
                    <w:ind w:firstLine="0"/>
                    <w:jc w:val="center"/>
                    <w:rPr>
                      <w:rFonts w:ascii="Times New Roman"/>
                      <w:color w:val="auto"/>
                      <w:szCs w:val="21"/>
                    </w:rPr>
                  </w:pPr>
                </w:p>
              </w:tc>
              <w:tc>
                <w:tcPr>
                  <w:tcW w:w="554" w:type="pct"/>
                  <w:noWrap/>
                  <w:vAlign w:val="center"/>
                </w:tcPr>
                <w:p>
                  <w:pPr>
                    <w:jc w:val="center"/>
                    <w:rPr>
                      <w:color w:val="auto"/>
                      <w:szCs w:val="21"/>
                    </w:rPr>
                  </w:pPr>
                  <w:r>
                    <w:rPr>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7" w:type="pct"/>
                  <w:noWrap/>
                  <w:vAlign w:val="center"/>
                </w:tcPr>
                <w:p>
                  <w:pPr>
                    <w:pStyle w:val="38"/>
                    <w:tabs>
                      <w:tab w:val="left" w:pos="432"/>
                      <w:tab w:val="left" w:pos="567"/>
                    </w:tabs>
                    <w:spacing w:beforeLines="0" w:afterLines="0" w:line="240" w:lineRule="auto"/>
                    <w:ind w:firstLine="0"/>
                    <w:jc w:val="center"/>
                    <w:rPr>
                      <w:rFonts w:ascii="Times New Roman"/>
                      <w:color w:val="auto"/>
                      <w:szCs w:val="21"/>
                    </w:rPr>
                  </w:pPr>
                  <w:r>
                    <w:rPr>
                      <w:rFonts w:hint="eastAsia" w:ascii="Times New Roman"/>
                      <w:color w:val="auto"/>
                      <w:szCs w:val="21"/>
                    </w:rPr>
                    <w:t>东</w:t>
                  </w:r>
                  <w:r>
                    <w:rPr>
                      <w:rFonts w:ascii="Times New Roman"/>
                      <w:color w:val="auto"/>
                      <w:szCs w:val="21"/>
                    </w:rPr>
                    <w:t>厂界</w:t>
                  </w:r>
                </w:p>
              </w:tc>
              <w:tc>
                <w:tcPr>
                  <w:tcW w:w="746" w:type="pct"/>
                  <w:noWrap/>
                  <w:vAlign w:val="center"/>
                </w:tcPr>
                <w:p>
                  <w:pPr>
                    <w:pStyle w:val="38"/>
                    <w:tabs>
                      <w:tab w:val="left" w:pos="432"/>
                      <w:tab w:val="left" w:pos="567"/>
                    </w:tabs>
                    <w:spacing w:beforeLines="0" w:afterLines="0" w:line="240" w:lineRule="auto"/>
                    <w:ind w:firstLine="0"/>
                    <w:jc w:val="center"/>
                    <w:rPr>
                      <w:rFonts w:hint="default" w:ascii="Times New Roman" w:eastAsia="宋体"/>
                      <w:color w:val="auto"/>
                      <w:szCs w:val="21"/>
                      <w:lang w:val="en-US" w:eastAsia="zh-CN"/>
                    </w:rPr>
                  </w:pPr>
                  <w:r>
                    <w:rPr>
                      <w:rFonts w:hint="eastAsia" w:ascii="Times New Roman"/>
                      <w:color w:val="auto"/>
                      <w:szCs w:val="21"/>
                      <w:lang w:val="en-US" w:eastAsia="zh-CN"/>
                    </w:rPr>
                    <w:t>51</w:t>
                  </w:r>
                </w:p>
              </w:tc>
              <w:tc>
                <w:tcPr>
                  <w:tcW w:w="746" w:type="pct"/>
                  <w:noWrap/>
                  <w:vAlign w:val="center"/>
                </w:tcPr>
                <w:p>
                  <w:pPr>
                    <w:spacing w:beforeLines="0" w:afterLines="0" w:line="240" w:lineRule="auto"/>
                    <w:ind w:firstLine="0"/>
                    <w:jc w:val="center"/>
                    <w:rPr>
                      <w:rFonts w:hint="eastAsia" w:ascii="Times New Roman"/>
                      <w:color w:val="auto"/>
                      <w:szCs w:val="21"/>
                    </w:rPr>
                  </w:pPr>
                  <w:r>
                    <w:rPr>
                      <w:rFonts w:hint="eastAsia" w:ascii="Times New Roman"/>
                      <w:color w:val="auto"/>
                      <w:szCs w:val="21"/>
                      <w:lang w:val="en-US" w:eastAsia="zh-CN"/>
                    </w:rPr>
                    <w:t>/</w:t>
                  </w:r>
                </w:p>
              </w:tc>
              <w:tc>
                <w:tcPr>
                  <w:tcW w:w="746" w:type="pct"/>
                  <w:noWrap/>
                  <w:vAlign w:val="center"/>
                </w:tcPr>
                <w:p>
                  <w:pPr>
                    <w:spacing w:beforeLines="0" w:afterLines="0" w:line="240" w:lineRule="auto"/>
                    <w:ind w:firstLine="0"/>
                    <w:jc w:val="center"/>
                    <w:rPr>
                      <w:rFonts w:hint="eastAsia" w:ascii="Times New Roman"/>
                      <w:color w:val="auto"/>
                      <w:szCs w:val="21"/>
                    </w:rPr>
                  </w:pPr>
                  <w:r>
                    <w:rPr>
                      <w:rFonts w:hint="eastAsia" w:ascii="Times New Roman"/>
                      <w:color w:val="auto"/>
                      <w:szCs w:val="21"/>
                      <w:lang w:val="en-US" w:eastAsia="zh-CN"/>
                    </w:rPr>
                    <w:t>/</w:t>
                  </w:r>
                </w:p>
              </w:tc>
              <w:tc>
                <w:tcPr>
                  <w:tcW w:w="849" w:type="pct"/>
                  <w:vMerge w:val="continue"/>
                  <w:noWrap/>
                  <w:vAlign w:val="center"/>
                </w:tcPr>
                <w:p>
                  <w:pPr>
                    <w:pStyle w:val="38"/>
                    <w:tabs>
                      <w:tab w:val="left" w:pos="432"/>
                      <w:tab w:val="left" w:pos="567"/>
                    </w:tabs>
                    <w:spacing w:beforeLines="0" w:afterLines="0" w:line="240" w:lineRule="auto"/>
                    <w:ind w:firstLine="0"/>
                    <w:jc w:val="center"/>
                    <w:rPr>
                      <w:rFonts w:ascii="Times New Roman"/>
                      <w:color w:val="auto"/>
                      <w:szCs w:val="21"/>
                    </w:rPr>
                  </w:pPr>
                </w:p>
              </w:tc>
              <w:tc>
                <w:tcPr>
                  <w:tcW w:w="554" w:type="pct"/>
                  <w:noWrap/>
                  <w:vAlign w:val="center"/>
                </w:tcPr>
                <w:p>
                  <w:pPr>
                    <w:jc w:val="center"/>
                    <w:rPr>
                      <w:color w:val="auto"/>
                      <w:szCs w:val="21"/>
                    </w:rPr>
                  </w:pPr>
                  <w:r>
                    <w:rPr>
                      <w:color w:val="auto"/>
                      <w:szCs w:val="21"/>
                    </w:rPr>
                    <w:t>达标</w:t>
                  </w:r>
                </w:p>
              </w:tc>
            </w:tr>
          </w:tbl>
          <w:p>
            <w:pPr>
              <w:pStyle w:val="52"/>
              <w:adjustRightInd w:val="0"/>
              <w:snapToGrid w:val="0"/>
              <w:ind w:firstLine="0" w:firstLineChars="0"/>
              <w:rPr>
                <w:rFonts w:hint="eastAsia" w:ascii="Times New Roman" w:hAnsi="Times New Roman" w:eastAsia="宋体"/>
                <w:b/>
                <w:bCs/>
                <w:snapToGrid w:val="0"/>
                <w:color w:val="FF0000"/>
                <w:szCs w:val="24"/>
                <w:lang w:eastAsia="zh-CN"/>
              </w:rPr>
            </w:pPr>
            <w:r>
              <w:rPr>
                <w:rFonts w:hint="default" w:ascii="Times New Roman" w:hAnsi="Times New Roman" w:eastAsia="宋体"/>
                <w:color w:val="FF0000"/>
              </w:rPr>
              <mc:AlternateContent>
                <mc:Choice Requires="wps">
                  <w:drawing>
                    <wp:anchor distT="0" distB="0" distL="114300" distR="114300" simplePos="0" relativeHeight="251672576" behindDoc="0" locked="0" layoutInCell="1" allowOverlap="1">
                      <wp:simplePos x="0" y="0"/>
                      <wp:positionH relativeFrom="column">
                        <wp:posOffset>272415</wp:posOffset>
                      </wp:positionH>
                      <wp:positionV relativeFrom="paragraph">
                        <wp:posOffset>3480435</wp:posOffset>
                      </wp:positionV>
                      <wp:extent cx="905510" cy="281940"/>
                      <wp:effectExtent l="0" t="0" r="0" b="0"/>
                      <wp:wrapNone/>
                      <wp:docPr id="21" name="文本框 21"/>
                      <wp:cNvGraphicFramePr/>
                      <a:graphic xmlns:a="http://schemas.openxmlformats.org/drawingml/2006/main">
                        <a:graphicData uri="http://schemas.microsoft.com/office/word/2010/wordprocessingShape">
                          <wps:wsp>
                            <wps:cNvSpPr txBox="true"/>
                            <wps:spPr>
                              <a:xfrm>
                                <a:off x="0" y="0"/>
                                <a:ext cx="905510" cy="281940"/>
                              </a:xfrm>
                              <a:prstGeom prst="rect">
                                <a:avLst/>
                              </a:prstGeom>
                              <a:solidFill>
                                <a:srgbClr val="000000">
                                  <a:alpha val="0"/>
                                </a:srgbClr>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color w:val="0000FF"/>
                                      <w:sz w:val="21"/>
                                      <w:szCs w:val="21"/>
                                    </w:rPr>
                                  </w:pPr>
                                  <w:r>
                                    <w:rPr>
                                      <w:rFonts w:hint="eastAsia"/>
                                      <w:b/>
                                      <w:bCs/>
                                      <w:sz w:val="21"/>
                                      <w:szCs w:val="21"/>
                                    </w:rPr>
                                    <w:t>图 例</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1.45pt;margin-top:274.05pt;height:22.2pt;width:71.3pt;z-index:251672576;mso-width-relative:page;mso-height-relative:page;" fillcolor="#000000" filled="t" stroked="f" coordsize="21600,21600" o:gfxdata="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AvcZv3&#10;1wAAAAoBAAAPAAAAAAAAAAEAIAAAADgAAABkcnMvZG93bnJldi54bWxQSwECFAAUAAAACACHTuJA&#10;nf0oUUUCAABxBAAADgAAAAAAAAABACAAAAA8AQAAZHJzL2Uyb0RvYy54bWxQSwUGAAAAAAYABgBZ&#10;AQAA8wUAAAAA&#10;">
                      <v:fill on="t" opacity="0f" focussize="0,0"/>
                      <v:stroke on="f" weight="0.5pt"/>
                      <v:imagedata o:title=""/>
                      <o:lock v:ext="edit" aspectratio="f"/>
                      <v:textbox>
                        <w:txbxContent>
                          <w:p>
                            <w:pPr>
                              <w:ind w:firstLine="210" w:firstLineChars="100"/>
                              <w:rPr>
                                <w:color w:val="0000FF"/>
                                <w:sz w:val="21"/>
                                <w:szCs w:val="21"/>
                              </w:rPr>
                            </w:pPr>
                            <w:r>
                              <w:rPr>
                                <w:rFonts w:hint="eastAsia"/>
                                <w:b/>
                                <w:bCs/>
                                <w:sz w:val="21"/>
                                <w:szCs w:val="21"/>
                              </w:rPr>
                              <w:t>图 例</w:t>
                            </w:r>
                          </w:p>
                        </w:txbxContent>
                      </v:textbox>
                    </v:shape>
                  </w:pict>
                </mc:Fallback>
              </mc:AlternateContent>
            </w:r>
            <w:r>
              <w:rPr>
                <w:rFonts w:hint="default" w:ascii="Times New Roman" w:hAnsi="Times New Roman" w:eastAsia="宋体"/>
                <w:color w:val="FF0000"/>
              </w:rPr>
              <mc:AlternateContent>
                <mc:Choice Requires="wps">
                  <w:drawing>
                    <wp:anchor distT="0" distB="0" distL="114300" distR="114300" simplePos="0" relativeHeight="251673600" behindDoc="0" locked="0" layoutInCell="1" allowOverlap="1">
                      <wp:simplePos x="0" y="0"/>
                      <wp:positionH relativeFrom="column">
                        <wp:posOffset>241300</wp:posOffset>
                      </wp:positionH>
                      <wp:positionV relativeFrom="paragraph">
                        <wp:posOffset>3636010</wp:posOffset>
                      </wp:positionV>
                      <wp:extent cx="1291590" cy="593090"/>
                      <wp:effectExtent l="0" t="0" r="0" b="0"/>
                      <wp:wrapNone/>
                      <wp:docPr id="22" name="文本框 22"/>
                      <wp:cNvGraphicFramePr/>
                      <a:graphic xmlns:a="http://schemas.openxmlformats.org/drawingml/2006/main">
                        <a:graphicData uri="http://schemas.microsoft.com/office/word/2010/wordprocessingShape">
                          <wps:wsp>
                            <wps:cNvSpPr txBox="true"/>
                            <wps:spPr>
                              <a:xfrm>
                                <a:off x="0" y="0"/>
                                <a:ext cx="1291590" cy="593090"/>
                              </a:xfrm>
                              <a:prstGeom prst="rect">
                                <a:avLst/>
                              </a:prstGeom>
                              <a:solidFill>
                                <a:srgbClr val="000000">
                                  <a:alpha val="0"/>
                                </a:srgbClr>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spacing w:line="360" w:lineRule="auto"/>
                                    <w:textAlignment w:val="auto"/>
                                    <w:rPr>
                                      <w:sz w:val="21"/>
                                      <w:szCs w:val="21"/>
                                    </w:rPr>
                                  </w:pPr>
                                  <w:r>
                                    <w:rPr>
                                      <w:sz w:val="21"/>
                                      <w:szCs w:val="21"/>
                                    </w:rPr>
                                    <w:t>本项目厂界</w:t>
                                  </w:r>
                                </w:p>
                                <w:p>
                                  <w:pPr>
                                    <w:pStyle w:val="6"/>
                                    <w:keepNext w:val="0"/>
                                    <w:keepLines w:val="0"/>
                                    <w:pageBreakBefore w:val="0"/>
                                    <w:widowControl w:val="0"/>
                                    <w:kinsoku/>
                                    <w:wordWrap/>
                                    <w:overflowPunct/>
                                    <w:topLinePunct w:val="0"/>
                                    <w:bidi w:val="0"/>
                                    <w:adjustRightInd w:val="0"/>
                                    <w:snapToGrid w:val="0"/>
                                    <w:spacing w:after="0" w:line="360" w:lineRule="auto"/>
                                    <w:ind w:left="0" w:leftChars="0" w:firstLine="0" w:firstLineChars="0"/>
                                    <w:textAlignment w:val="auto"/>
                                  </w:pPr>
                                  <w:r>
                                    <w:rPr>
                                      <w:rFonts w:hint="eastAsia"/>
                                      <w:kern w:val="2"/>
                                      <w:sz w:val="21"/>
                                      <w:szCs w:val="21"/>
                                    </w:rPr>
                                    <w:t>厂区边界50m范围</w:t>
                                  </w:r>
                                </w:p>
                                <w:p>
                                  <w:pPr>
                                    <w:pStyle w:val="6"/>
                                    <w:adjustRightInd w:val="0"/>
                                    <w:snapToGrid w:val="0"/>
                                    <w:spacing w:after="0" w:line="15" w:lineRule="auto"/>
                                    <w:ind w:left="0" w:leftChars="0" w:firstLine="0" w:firstLineChars="0"/>
                                    <w:rPr>
                                      <w:sz w:val="21"/>
                                      <w:szCs w:val="21"/>
                                    </w:rPr>
                                  </w:pPr>
                                </w:p>
                                <w:p>
                                  <w:pPr>
                                    <w:pStyle w:val="6"/>
                                    <w:adjustRightInd w:val="0"/>
                                    <w:snapToGrid w:val="0"/>
                                    <w:spacing w:after="0"/>
                                    <w:ind w:left="0" w:leftChars="0" w:firstLine="200"/>
                                    <w:rPr>
                                      <w:sz w:val="10"/>
                                      <w:szCs w:val="10"/>
                                    </w:rPr>
                                  </w:pPr>
                                </w:p>
                                <w:p>
                                  <w:pPr>
                                    <w:pStyle w:val="6"/>
                                    <w:ind w:left="0" w:leftChars="0" w:firstLine="0" w:firstLineChars="0"/>
                                    <w:rPr>
                                      <w:sz w:val="21"/>
                                      <w:szCs w:val="21"/>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9pt;margin-top:286.3pt;height:46.7pt;width:101.7pt;z-index:251673600;mso-width-relative:page;mso-height-relative:page;" fillcolor="#000000" filled="t" stroked="f" coordsize="21600,21600" o:gfxdata="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D2/5VG&#10;2AAAAAoBAAAPAAAAAAAAAAEAIAAAADgAAABkcnMvZG93bnJldi54bWxQSwECFAAUAAAACACHTuJA&#10;3CB7RUQCAAByBAAADgAAAAAAAAABACAAAAA9AQAAZHJzL2Uyb0RvYy54bWxQSwUGAAAAAAYABgBZ&#10;AQAA8wUAAAAA&#10;">
                      <v:fill on="t" opacity="0f" focussize="0,0"/>
                      <v:stroke on="f" weight="0.5pt"/>
                      <v:imagedata o:title=""/>
                      <o:lock v:ext="edit" aspectratio="f"/>
                      <v:textbox>
                        <w:txbxContent>
                          <w:p>
                            <w:pPr>
                              <w:keepNext w:val="0"/>
                              <w:keepLines w:val="0"/>
                              <w:pageBreakBefore w:val="0"/>
                              <w:widowControl w:val="0"/>
                              <w:kinsoku/>
                              <w:wordWrap/>
                              <w:overflowPunct/>
                              <w:topLinePunct w:val="0"/>
                              <w:bidi w:val="0"/>
                              <w:spacing w:line="360" w:lineRule="auto"/>
                              <w:textAlignment w:val="auto"/>
                              <w:rPr>
                                <w:sz w:val="21"/>
                                <w:szCs w:val="21"/>
                              </w:rPr>
                            </w:pPr>
                            <w:r>
                              <w:rPr>
                                <w:sz w:val="21"/>
                                <w:szCs w:val="21"/>
                              </w:rPr>
                              <w:t>本项目厂界</w:t>
                            </w:r>
                          </w:p>
                          <w:p>
                            <w:pPr>
                              <w:pStyle w:val="6"/>
                              <w:keepNext w:val="0"/>
                              <w:keepLines w:val="0"/>
                              <w:pageBreakBefore w:val="0"/>
                              <w:widowControl w:val="0"/>
                              <w:kinsoku/>
                              <w:wordWrap/>
                              <w:overflowPunct/>
                              <w:topLinePunct w:val="0"/>
                              <w:bidi w:val="0"/>
                              <w:adjustRightInd w:val="0"/>
                              <w:snapToGrid w:val="0"/>
                              <w:spacing w:after="0" w:line="360" w:lineRule="auto"/>
                              <w:ind w:left="0" w:leftChars="0" w:firstLine="0" w:firstLineChars="0"/>
                              <w:textAlignment w:val="auto"/>
                            </w:pPr>
                            <w:r>
                              <w:rPr>
                                <w:rFonts w:hint="eastAsia"/>
                                <w:kern w:val="2"/>
                                <w:sz w:val="21"/>
                                <w:szCs w:val="21"/>
                              </w:rPr>
                              <w:t>厂区边界50m范围</w:t>
                            </w:r>
                          </w:p>
                          <w:p>
                            <w:pPr>
                              <w:pStyle w:val="6"/>
                              <w:adjustRightInd w:val="0"/>
                              <w:snapToGrid w:val="0"/>
                              <w:spacing w:after="0" w:line="15" w:lineRule="auto"/>
                              <w:ind w:left="0" w:leftChars="0" w:firstLine="0" w:firstLineChars="0"/>
                              <w:rPr>
                                <w:sz w:val="21"/>
                                <w:szCs w:val="21"/>
                              </w:rPr>
                            </w:pPr>
                          </w:p>
                          <w:p>
                            <w:pPr>
                              <w:pStyle w:val="6"/>
                              <w:adjustRightInd w:val="0"/>
                              <w:snapToGrid w:val="0"/>
                              <w:spacing w:after="0"/>
                              <w:ind w:left="0" w:leftChars="0" w:firstLine="200"/>
                              <w:rPr>
                                <w:sz w:val="10"/>
                                <w:szCs w:val="10"/>
                              </w:rPr>
                            </w:pPr>
                          </w:p>
                          <w:p>
                            <w:pPr>
                              <w:pStyle w:val="6"/>
                              <w:ind w:left="0" w:leftChars="0" w:firstLine="0" w:firstLineChars="0"/>
                              <w:rPr>
                                <w:sz w:val="21"/>
                                <w:szCs w:val="21"/>
                              </w:rPr>
                            </w:pPr>
                          </w:p>
                        </w:txbxContent>
                      </v:textbox>
                    </v:shape>
                  </w:pict>
                </mc:Fallback>
              </mc:AlternateContent>
            </w:r>
            <w:r>
              <w:rPr>
                <w:rFonts w:hint="default" w:ascii="Times New Roman" w:hAnsi="Times New Roman" w:eastAsia="宋体"/>
                <w:color w:val="FF0000"/>
              </w:rPr>
              <mc:AlternateContent>
                <mc:Choice Requires="wps">
                  <w:drawing>
                    <wp:anchor distT="0" distB="0" distL="114935" distR="114935" simplePos="0" relativeHeight="251671552" behindDoc="0" locked="0" layoutInCell="1" allowOverlap="1">
                      <wp:simplePos x="0" y="0"/>
                      <wp:positionH relativeFrom="column">
                        <wp:posOffset>26670</wp:posOffset>
                      </wp:positionH>
                      <wp:positionV relativeFrom="paragraph">
                        <wp:posOffset>3485515</wp:posOffset>
                      </wp:positionV>
                      <wp:extent cx="1470025" cy="736600"/>
                      <wp:effectExtent l="9525" t="9525" r="25400" b="15875"/>
                      <wp:wrapNone/>
                      <wp:docPr id="20" name="矩形 20"/>
                      <wp:cNvGraphicFramePr/>
                      <a:graphic xmlns:a="http://schemas.openxmlformats.org/drawingml/2006/main">
                        <a:graphicData uri="http://schemas.microsoft.com/office/word/2010/wordprocessingShape">
                          <wps:wsp>
                            <wps:cNvSpPr/>
                            <wps:spPr>
                              <a:xfrm>
                                <a:off x="0" y="0"/>
                                <a:ext cx="1470025" cy="736600"/>
                              </a:xfrm>
                              <a:prstGeom prst="rect">
                                <a:avLst/>
                              </a:prstGeom>
                              <a:solidFill>
                                <a:schemeClr val="bg1"/>
                              </a:solidFill>
                              <a:ln w="190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1pt;margin-top:274.45pt;height:58pt;width:115.75pt;z-index:251671552;v-text-anchor:middle;mso-width-relative:page;mso-height-relative:page;" fillcolor="#FFFFFF [3212]" filled="t" stroked="t" coordsize="21600,21600" o:gfxdata="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BhxUMr2QAAAAkBAAAPAAAAAAAAAAEAIAAAADgAAABkcnMvZG93&#10;bnJldi54bWxQSwECFAAUAAAACACHTuJAtWtAQlsCAAC3BAAADgAAAAAAAAABACAAAAA+AQAAZHJz&#10;L2Uyb0RvYy54bWxQSwUGAAAAAAYABgBZAQAACwYAAAAA&#10;">
                      <v:fill on="t" focussize="0,0"/>
                      <v:stroke weight="1.5pt" color="#000000 [3213]" miterlimit="8" joinstyle="miter"/>
                      <v:imagedata o:title=""/>
                      <o:lock v:ext="edit" aspectratio="f"/>
                    </v:rect>
                  </w:pict>
                </mc:Fallback>
              </mc:AlternateContent>
            </w:r>
            <w:r>
              <w:rPr>
                <w:rFonts w:hint="default" w:ascii="Times New Roman" w:hAnsi="Times New Roman" w:eastAsia="宋体" w:cs="Times New Roman"/>
                <w:b/>
                <w:bCs/>
                <w:snapToGrid w:val="0"/>
                <w:color w:val="auto"/>
                <w:szCs w:val="24"/>
                <w:highlight w:val="yellow"/>
                <w:lang w:val="en-US" w:eastAsia="zh-CN"/>
              </w:rPr>
              <w:drawing>
                <wp:anchor distT="0" distB="0" distL="114300" distR="114300" simplePos="0" relativeHeight="251670528" behindDoc="0" locked="0" layoutInCell="1" allowOverlap="1">
                  <wp:simplePos x="0" y="0"/>
                  <wp:positionH relativeFrom="column">
                    <wp:posOffset>86360</wp:posOffset>
                  </wp:positionH>
                  <wp:positionV relativeFrom="paragraph">
                    <wp:posOffset>10160</wp:posOffset>
                  </wp:positionV>
                  <wp:extent cx="702310" cy="546735"/>
                  <wp:effectExtent l="0" t="0" r="2540" b="5715"/>
                  <wp:wrapNone/>
                  <wp:docPr id="19" name="图片 19" descr="中卫市"/>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中卫市"/>
                          <pic:cNvPicPr>
                            <a:picLocks noChangeAspect="true"/>
                          </pic:cNvPicPr>
                        </pic:nvPicPr>
                        <pic:blipFill>
                          <a:blip r:embed="rId21"/>
                          <a:stretch>
                            <a:fillRect/>
                          </a:stretch>
                        </pic:blipFill>
                        <pic:spPr>
                          <a:xfrm>
                            <a:off x="0" y="0"/>
                            <a:ext cx="702310" cy="546735"/>
                          </a:xfrm>
                          <a:prstGeom prst="rect">
                            <a:avLst/>
                          </a:prstGeom>
                        </pic:spPr>
                      </pic:pic>
                    </a:graphicData>
                  </a:graphic>
                </wp:anchor>
              </w:drawing>
            </w:r>
            <w:r>
              <w:rPr>
                <w:rFonts w:hint="default" w:ascii="Times New Roman" w:hAnsi="Times New Roman" w:eastAsia="宋体"/>
                <w:color w:val="FF0000"/>
              </w:rPr>
              <mc:AlternateContent>
                <mc:Choice Requires="wps">
                  <w:drawing>
                    <wp:anchor distT="0" distB="0" distL="114300" distR="114300" simplePos="0" relativeHeight="251675648" behindDoc="0" locked="0" layoutInCell="1" allowOverlap="1">
                      <wp:simplePos x="0" y="0"/>
                      <wp:positionH relativeFrom="column">
                        <wp:posOffset>36195</wp:posOffset>
                      </wp:positionH>
                      <wp:positionV relativeFrom="paragraph">
                        <wp:posOffset>3950970</wp:posOffset>
                      </wp:positionV>
                      <wp:extent cx="237490" cy="140335"/>
                      <wp:effectExtent l="13970" t="14605" r="15240" b="16510"/>
                      <wp:wrapNone/>
                      <wp:docPr id="33" name="矩形 33"/>
                      <wp:cNvGraphicFramePr/>
                      <a:graphic xmlns:a="http://schemas.openxmlformats.org/drawingml/2006/main">
                        <a:graphicData uri="http://schemas.microsoft.com/office/word/2010/wordprocessingShape">
                          <wps:wsp>
                            <wps:cNvSpPr/>
                            <wps:spPr>
                              <a:xfrm>
                                <a:off x="0" y="0"/>
                                <a:ext cx="237490" cy="140335"/>
                              </a:xfrm>
                              <a:prstGeom prst="rect">
                                <a:avLst/>
                              </a:prstGeom>
                              <a:noFill/>
                              <a:ln w="28575">
                                <a:solidFill>
                                  <a:schemeClr val="accent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85pt;margin-top:311.1pt;height:11.05pt;width:18.7pt;z-index:251675648;v-text-anchor:middle;mso-width-relative:page;mso-height-relative:page;" filled="f" stroked="t" coordsize="21600,21600" o:gfxdata="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FgAAAGRy&#10;cy9QSwECFAAUAAAACACHTuJAfMy0B9gAAAAIAQAADwAAAAAAAAABACAAAAA4AAAAZHJzL2Rvd25y&#10;ZXYueG1sUEsBAhQAFAAAAAgAh07iQOTuL89aAgAAjQQAAA4AAAAAAAAAAQAgAAAAPQEAAGRycy9l&#10;Mm9Eb2MueG1sUEsFBgAAAAAGAAYAWQEAAAkGAAAAAA==&#10;">
                      <v:fill on="f" focussize="0,0"/>
                      <v:stroke weight="2.25pt" color="#4874CB [3204]" miterlimit="8" joinstyle="miter"/>
                      <v:imagedata o:title=""/>
                      <o:lock v:ext="edit" aspectratio="f"/>
                    </v:rect>
                  </w:pict>
                </mc:Fallback>
              </mc:AlternateContent>
            </w:r>
            <w:r>
              <w:rPr>
                <w:rFonts w:hint="default" w:ascii="Times New Roman" w:hAnsi="Times New Roman" w:eastAsia="宋体"/>
                <w:color w:val="FF0000"/>
              </w:rPr>
              <mc:AlternateContent>
                <mc:Choice Requires="wps">
                  <w:drawing>
                    <wp:anchor distT="0" distB="0" distL="114300" distR="114300" simplePos="0" relativeHeight="251674624" behindDoc="0" locked="0" layoutInCell="1" allowOverlap="1">
                      <wp:simplePos x="0" y="0"/>
                      <wp:positionH relativeFrom="column">
                        <wp:posOffset>36830</wp:posOffset>
                      </wp:positionH>
                      <wp:positionV relativeFrom="paragraph">
                        <wp:posOffset>3704590</wp:posOffset>
                      </wp:positionV>
                      <wp:extent cx="237490" cy="140335"/>
                      <wp:effectExtent l="13970" t="14605" r="15240" b="16510"/>
                      <wp:wrapNone/>
                      <wp:docPr id="32" name="矩形 32"/>
                      <wp:cNvGraphicFramePr/>
                      <a:graphic xmlns:a="http://schemas.openxmlformats.org/drawingml/2006/main">
                        <a:graphicData uri="http://schemas.microsoft.com/office/word/2010/wordprocessingShape">
                          <wps:wsp>
                            <wps:cNvSpPr/>
                            <wps:spPr>
                              <a:xfrm>
                                <a:off x="0" y="0"/>
                                <a:ext cx="237490" cy="140335"/>
                              </a:xfrm>
                              <a:prstGeom prst="rect">
                                <a:avLst/>
                              </a:prstGeom>
                              <a:noFill/>
                              <a:ln w="28575">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9pt;margin-top:291.7pt;height:11.05pt;width:18.7pt;z-index:251674624;v-text-anchor:middle;mso-width-relative:page;mso-height-relative:page;" filled="f" stroked="t" coordsize="21600,21600" o:gfxdata="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m0UpdkAAAAIAQAADwAAAAAAAAABACAAAAA4AAAAZHJzL2Rvd25yZXYueG1s&#10;UEsBAhQAFAAAAAgAh07iQGFeZ7dTAgAAjQQAAA4AAAAAAAAAAQAgAAAAPgEAAGRycy9lMm9Eb2Mu&#10;eG1sUEsFBgAAAAAGAAYAWQEAAAMGAAAAAA==&#10;">
                      <v:fill on="f" focussize="0,0"/>
                      <v:stroke weight="2.25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1323340</wp:posOffset>
                      </wp:positionH>
                      <wp:positionV relativeFrom="paragraph">
                        <wp:posOffset>431165</wp:posOffset>
                      </wp:positionV>
                      <wp:extent cx="2581275" cy="3113405"/>
                      <wp:effectExtent l="8255" t="7620" r="20320" b="22225"/>
                      <wp:wrapNone/>
                      <wp:docPr id="38" name="任意多边形 38"/>
                      <wp:cNvGraphicFramePr/>
                      <a:graphic xmlns:a="http://schemas.openxmlformats.org/drawingml/2006/main">
                        <a:graphicData uri="http://schemas.microsoft.com/office/word/2010/wordprocessingShape">
                          <wps:wsp>
                            <wps:cNvSpPr/>
                            <wps:spPr>
                              <a:xfrm>
                                <a:off x="2503170" y="1484630"/>
                                <a:ext cx="2581275" cy="3113405"/>
                              </a:xfrm>
                              <a:custGeom>
                                <a:avLst/>
                                <a:gdLst>
                                  <a:gd name="connisteX0" fmla="*/ 270510 w 2581275"/>
                                  <a:gd name="connsiteY0" fmla="*/ 3070860 h 3113405"/>
                                  <a:gd name="connisteX1" fmla="*/ 582930 w 2581275"/>
                                  <a:gd name="connsiteY1" fmla="*/ 3113405 h 3113405"/>
                                  <a:gd name="connisteX2" fmla="*/ 655955 w 2581275"/>
                                  <a:gd name="connsiteY2" fmla="*/ 3108325 h 3113405"/>
                                  <a:gd name="connisteX3" fmla="*/ 1618615 w 2581275"/>
                                  <a:gd name="connsiteY3" fmla="*/ 2051050 h 3113405"/>
                                  <a:gd name="connisteX4" fmla="*/ 1441450 w 2581275"/>
                                  <a:gd name="connsiteY4" fmla="*/ 1873885 h 3113405"/>
                                  <a:gd name="connisteX5" fmla="*/ 2108200 w 2581275"/>
                                  <a:gd name="connsiteY5" fmla="*/ 1364615 h 3113405"/>
                                  <a:gd name="connisteX6" fmla="*/ 2201545 w 2581275"/>
                                  <a:gd name="connsiteY6" fmla="*/ 1421765 h 3113405"/>
                                  <a:gd name="connisteX7" fmla="*/ 2581275 w 2581275"/>
                                  <a:gd name="connsiteY7" fmla="*/ 734060 h 3113405"/>
                                  <a:gd name="connisteX8" fmla="*/ 1863090 w 2581275"/>
                                  <a:gd name="connsiteY8" fmla="*/ 354965 h 3113405"/>
                                  <a:gd name="connisteX9" fmla="*/ 1831975 w 2581275"/>
                                  <a:gd name="connsiteY9" fmla="*/ 187325 h 3113405"/>
                                  <a:gd name="connisteX10" fmla="*/ 1337310 w 2581275"/>
                                  <a:gd name="connsiteY10" fmla="*/ 15875 h 3113405"/>
                                  <a:gd name="connisteX11" fmla="*/ 1264920 w 2581275"/>
                                  <a:gd name="connsiteY11" fmla="*/ 0 h 3113405"/>
                                  <a:gd name="connisteX12" fmla="*/ 734060 w 2581275"/>
                                  <a:gd name="connsiteY12" fmla="*/ 1238885 h 3113405"/>
                                  <a:gd name="connisteX13" fmla="*/ 260350 w 2581275"/>
                                  <a:gd name="connsiteY13" fmla="*/ 2332355 h 3113405"/>
                                  <a:gd name="connisteX14" fmla="*/ 0 w 2581275"/>
                                  <a:gd name="connsiteY14" fmla="*/ 2987675 h 3113405"/>
                                  <a:gd name="connisteX15" fmla="*/ 270510 w 2581275"/>
                                  <a:gd name="connsiteY15" fmla="*/ 3070860 h 311340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Lst>
                                <a:rect l="l" t="t" r="r" b="b"/>
                                <a:pathLst>
                                  <a:path w="2581275" h="3113405">
                                    <a:moveTo>
                                      <a:pt x="270510" y="3070860"/>
                                    </a:moveTo>
                                    <a:lnTo>
                                      <a:pt x="582930" y="3113405"/>
                                    </a:lnTo>
                                    <a:lnTo>
                                      <a:pt x="655955" y="3108325"/>
                                    </a:lnTo>
                                    <a:lnTo>
                                      <a:pt x="1618615" y="2051050"/>
                                    </a:lnTo>
                                    <a:lnTo>
                                      <a:pt x="1441450" y="1873885"/>
                                    </a:lnTo>
                                    <a:lnTo>
                                      <a:pt x="2108200" y="1364615"/>
                                    </a:lnTo>
                                    <a:lnTo>
                                      <a:pt x="2201545" y="1421765"/>
                                    </a:lnTo>
                                    <a:lnTo>
                                      <a:pt x="2581275" y="734060"/>
                                    </a:lnTo>
                                    <a:lnTo>
                                      <a:pt x="1863090" y="354965"/>
                                    </a:lnTo>
                                    <a:lnTo>
                                      <a:pt x="1831975" y="187325"/>
                                    </a:lnTo>
                                    <a:lnTo>
                                      <a:pt x="1337310" y="15875"/>
                                    </a:lnTo>
                                    <a:lnTo>
                                      <a:pt x="1264920" y="0"/>
                                    </a:lnTo>
                                    <a:lnTo>
                                      <a:pt x="734060" y="1238885"/>
                                    </a:lnTo>
                                    <a:lnTo>
                                      <a:pt x="260350" y="2332355"/>
                                    </a:lnTo>
                                    <a:lnTo>
                                      <a:pt x="0" y="2987675"/>
                                    </a:lnTo>
                                    <a:lnTo>
                                      <a:pt x="270510" y="3070860"/>
                                    </a:lnTo>
                                    <a:close/>
                                  </a:path>
                                </a:pathLst>
                              </a:custGeom>
                              <a:noFill/>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04.2pt;margin-top:33.95pt;height:245.15pt;width:203.25pt;z-index:251659264;mso-width-relative:page;mso-height-relative:page;" filled="f" stroked="t" coordsize="2581275,3113405" o:gfxdata="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" path="m270510,3070860l582930,3113405,655955,3108325,1618615,2051050,1441450,1873885,2108200,1364615,2201545,1421765,2581275,734060,1863090,354965,1831975,187325,1337310,15875,1264920,0,734060,1238885,260350,2332355,0,2987675,270510,3070860xe">
                      <v:path o:connectlocs="270510,3070860;582930,3113405;655955,3108325;1618615,2051050;1441450,1873885;2108200,1364615;2201545,1421765;2581275,734060;1863090,354965;1831975,187325;1337310,15875;1264920,0;734060,1238885;260350,2332355;0,2987675;270510,3070860" o:connectangles="0,0,0,0,0,0,0,0,0,0,0,0,0,0,0,0"/>
                      <v:fill on="f" focussize="0,0"/>
                      <v:stroke weight="1pt" color="#2E54A1 [2404]" miterlimit="8" joinstyle="miter"/>
                      <v:imagedata o:title=""/>
                      <o:lock v:ext="edit" aspectratio="f"/>
                    </v:shape>
                  </w:pict>
                </mc:Fallback>
              </mc:AlternateContent>
            </w:r>
            <w:r>
              <w:rPr>
                <w:rFonts w:hint="eastAsia" w:ascii="Times New Roman" w:hAnsi="Times New Roman" w:eastAsia="宋体"/>
                <w:b/>
                <w:bCs/>
                <w:snapToGrid w:val="0"/>
                <w:color w:val="FF0000"/>
                <w:szCs w:val="24"/>
                <w:lang w:eastAsia="zh-CN"/>
              </w:rPr>
              <w:drawing>
                <wp:inline distT="0" distB="0" distL="114300" distR="114300">
                  <wp:extent cx="5141595" cy="4236085"/>
                  <wp:effectExtent l="0" t="0" r="1905" b="12065"/>
                  <wp:docPr id="18" name="图片 18" descr="172224722877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1722247228774"/>
                          <pic:cNvPicPr>
                            <a:picLocks noChangeAspect="true"/>
                          </pic:cNvPicPr>
                        </pic:nvPicPr>
                        <pic:blipFill>
                          <a:blip r:embed="rId32"/>
                          <a:stretch>
                            <a:fillRect/>
                          </a:stretch>
                        </pic:blipFill>
                        <pic:spPr>
                          <a:xfrm>
                            <a:off x="0" y="0"/>
                            <a:ext cx="5141595" cy="4236085"/>
                          </a:xfrm>
                          <a:prstGeom prst="rect">
                            <a:avLst/>
                          </a:prstGeom>
                        </pic:spPr>
                      </pic:pic>
                    </a:graphicData>
                  </a:graphic>
                </wp:inline>
              </w:drawing>
            </w:r>
          </w:p>
          <w:p>
            <w:pPr>
              <w:pStyle w:val="5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b/>
                <w:bCs/>
                <w:snapToGrid w:val="0"/>
                <w:color w:val="auto"/>
                <w:sz w:val="21"/>
                <w:szCs w:val="21"/>
                <w:lang w:eastAsia="zh-CN"/>
              </w:rPr>
            </w:pPr>
            <w:r>
              <w:rPr>
                <w:rFonts w:hint="default" w:ascii="Times New Roman" w:hAnsi="Times New Roman" w:eastAsia="宋体"/>
                <w:b/>
                <w:bCs/>
                <w:snapToGrid w:val="0"/>
                <w:color w:val="auto"/>
                <w:sz w:val="21"/>
                <w:szCs w:val="21"/>
              </w:rPr>
              <w:t>图4-1  噪声预测等声级线图</w:t>
            </w:r>
          </w:p>
          <w:p>
            <w:pPr>
              <w:pStyle w:val="52"/>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eastAsia" w:ascii="Times New Roman" w:hAnsi="Times New Roman" w:cs="Times New Roman" w:eastAsiaTheme="minorEastAsia"/>
                <w:snapToGrid w:val="0"/>
                <w:color w:val="FF0000"/>
                <w:szCs w:val="24"/>
                <w:lang w:eastAsia="zh-CN"/>
              </w:rPr>
            </w:pPr>
            <w:r>
              <w:rPr>
                <w:rFonts w:hint="default" w:ascii="Times New Roman" w:hAnsi="Times New Roman" w:cs="Times New Roman" w:eastAsiaTheme="minorEastAsia"/>
                <w:snapToGrid w:val="0"/>
                <w:color w:val="auto"/>
                <w:szCs w:val="24"/>
              </w:rPr>
              <w:t>由表4-1</w:t>
            </w:r>
            <w:r>
              <w:rPr>
                <w:rFonts w:hint="eastAsia" w:ascii="Times New Roman" w:hAnsi="Times New Roman" w:cs="Times New Roman" w:eastAsiaTheme="minorEastAsia"/>
                <w:snapToGrid w:val="0"/>
                <w:color w:val="auto"/>
                <w:szCs w:val="24"/>
                <w:lang w:val="en-US" w:eastAsia="zh-CN"/>
              </w:rPr>
              <w:t>2</w:t>
            </w:r>
            <w:r>
              <w:rPr>
                <w:rFonts w:hint="default" w:ascii="Times New Roman" w:hAnsi="Times New Roman" w:cs="Times New Roman" w:eastAsiaTheme="minorEastAsia"/>
                <w:snapToGrid w:val="0"/>
                <w:color w:val="auto"/>
                <w:szCs w:val="24"/>
              </w:rPr>
              <w:t>、图4-1可知，厂界</w:t>
            </w:r>
            <w:r>
              <w:rPr>
                <w:rFonts w:hint="default" w:ascii="Times New Roman" w:hAnsi="Times New Roman" w:cs="Times New Roman" w:eastAsiaTheme="minorEastAsia"/>
                <w:snapToGrid w:val="0"/>
                <w:color w:val="000000" w:themeColor="text1"/>
                <w:szCs w:val="24"/>
                <w14:textFill>
                  <w14:solidFill>
                    <w14:schemeClr w14:val="tx1"/>
                  </w14:solidFill>
                </w14:textFill>
              </w:rPr>
              <w:t>昼间噪声预测值满足《工业企业厂界环境噪声排放标准》（GB 12348-2008）中的</w:t>
            </w:r>
            <w:r>
              <w:rPr>
                <w:rFonts w:hint="eastAsia" w:ascii="Times New Roman" w:hAnsi="Times New Roman" w:cs="Times New Roman" w:eastAsiaTheme="minorEastAsia"/>
                <w:snapToGrid w:val="0"/>
                <w:color w:val="000000" w:themeColor="text1"/>
                <w:szCs w:val="24"/>
                <w:lang w:val="en-US" w:eastAsia="zh-CN"/>
                <w14:textFill>
                  <w14:solidFill>
                    <w14:schemeClr w14:val="tx1"/>
                  </w14:solidFill>
                </w14:textFill>
              </w:rPr>
              <w:t>2</w:t>
            </w:r>
            <w:r>
              <w:rPr>
                <w:rFonts w:hint="default" w:ascii="Times New Roman" w:hAnsi="Times New Roman" w:cs="Times New Roman" w:eastAsiaTheme="minorEastAsia"/>
                <w:snapToGrid w:val="0"/>
                <w:color w:val="000000" w:themeColor="text1"/>
                <w:szCs w:val="24"/>
                <w14:textFill>
                  <w14:solidFill>
                    <w14:schemeClr w14:val="tx1"/>
                  </w14:solidFill>
                </w14:textFill>
              </w:rPr>
              <w:t>类标准要求</w:t>
            </w:r>
            <w:r>
              <w:rPr>
                <w:rFonts w:hint="eastAsia" w:ascii="Times New Roman" w:hAnsi="Times New Roman" w:cs="Times New Roman" w:eastAsiaTheme="minorEastAsia"/>
                <w:color w:val="000000" w:themeColor="text1"/>
                <w:lang w:eastAsia="zh-CN"/>
                <w14:textFill>
                  <w14:solidFill>
                    <w14:schemeClr w14:val="tx1"/>
                  </w14:solidFill>
                </w14:textFill>
              </w:rPr>
              <w:t>。</w:t>
            </w:r>
          </w:p>
          <w:p>
            <w:pPr>
              <w:tabs>
                <w:tab w:val="left" w:pos="7350"/>
              </w:tabs>
              <w:adjustRightInd w:val="0"/>
              <w:snapToGrid w:val="0"/>
              <w:spacing w:line="360" w:lineRule="auto"/>
              <w:ind w:firstLine="481" w:firstLineChars="200"/>
              <w:jc w:val="left"/>
              <w:rPr>
                <w:b/>
                <w:bCs/>
                <w:color w:val="auto"/>
                <w:sz w:val="24"/>
              </w:rPr>
            </w:pPr>
            <w:r>
              <w:rPr>
                <w:rFonts w:hint="eastAsia"/>
                <w:b/>
                <w:bCs/>
                <w:color w:val="auto"/>
                <w:sz w:val="24"/>
                <w:lang w:val="en-US" w:eastAsia="zh-CN"/>
              </w:rPr>
              <w:t>4</w:t>
            </w:r>
            <w:r>
              <w:rPr>
                <w:b/>
                <w:bCs/>
                <w:color w:val="auto"/>
                <w:sz w:val="24"/>
              </w:rPr>
              <w:t>、</w:t>
            </w:r>
            <w:r>
              <w:rPr>
                <w:rFonts w:hint="eastAsia" w:eastAsiaTheme="minorEastAsia"/>
                <w:b/>
                <w:bCs/>
                <w:color w:val="auto"/>
                <w:sz w:val="24"/>
              </w:rPr>
              <w:t>监测要求及排放标准</w:t>
            </w:r>
          </w:p>
          <w:p>
            <w:pPr>
              <w:adjustRightInd w:val="0"/>
              <w:snapToGrid w:val="0"/>
              <w:spacing w:line="360" w:lineRule="auto"/>
              <w:ind w:firstLine="480" w:firstLineChars="200"/>
              <w:jc w:val="left"/>
              <w:rPr>
                <w:color w:val="auto"/>
                <w:sz w:val="24"/>
              </w:rPr>
            </w:pPr>
            <w:r>
              <w:rPr>
                <w:color w:val="auto"/>
                <w:sz w:val="24"/>
              </w:rPr>
              <w:t>本项目建成投用后，噪声例行监测工作按照《排污许可证申请与核发技术规范 工业噪声》（HJ1301-2023）要求开展自行监测。本项目营运期噪声监测计划见表4-</w:t>
            </w:r>
            <w:r>
              <w:rPr>
                <w:rFonts w:hint="eastAsia"/>
                <w:color w:val="auto"/>
                <w:sz w:val="24"/>
              </w:rPr>
              <w:t>1</w:t>
            </w:r>
            <w:r>
              <w:rPr>
                <w:rFonts w:hint="eastAsia"/>
                <w:color w:val="auto"/>
                <w:sz w:val="24"/>
                <w:lang w:val="en-US" w:eastAsia="zh-CN"/>
              </w:rPr>
              <w:t>3</w:t>
            </w:r>
            <w:r>
              <w:rPr>
                <w:color w:val="auto"/>
                <w:sz w:val="24"/>
              </w:rPr>
              <w:t>。</w:t>
            </w:r>
          </w:p>
          <w:p>
            <w:pPr>
              <w:keepNext w:val="0"/>
              <w:keepLines w:val="0"/>
              <w:pageBreakBefore w:val="0"/>
              <w:widowControl w:val="0"/>
              <w:kinsoku/>
              <w:wordWrap/>
              <w:overflowPunct/>
              <w:topLinePunct w:val="0"/>
              <w:autoSpaceDE/>
              <w:autoSpaceDN/>
              <w:bidi w:val="0"/>
              <w:adjustRightInd w:val="0"/>
              <w:snapToGrid w:val="0"/>
              <w:ind w:right="105" w:rightChars="50"/>
              <w:jc w:val="center"/>
              <w:textAlignment w:val="auto"/>
              <w:rPr>
                <w:b/>
                <w:bCs/>
                <w:color w:val="auto"/>
                <w:sz w:val="21"/>
                <w:szCs w:val="21"/>
              </w:rPr>
            </w:pPr>
            <w:r>
              <w:rPr>
                <w:b/>
                <w:bCs/>
                <w:color w:val="auto"/>
                <w:sz w:val="21"/>
                <w:szCs w:val="21"/>
              </w:rPr>
              <w:t>表4-</w:t>
            </w:r>
            <w:r>
              <w:rPr>
                <w:rFonts w:hint="eastAsia"/>
                <w:b/>
                <w:bCs/>
                <w:color w:val="auto"/>
                <w:sz w:val="21"/>
                <w:szCs w:val="21"/>
              </w:rPr>
              <w:t>1</w:t>
            </w:r>
            <w:r>
              <w:rPr>
                <w:rFonts w:hint="eastAsia"/>
                <w:b/>
                <w:bCs/>
                <w:color w:val="auto"/>
                <w:sz w:val="21"/>
                <w:szCs w:val="21"/>
                <w:lang w:val="en-US" w:eastAsia="zh-CN"/>
              </w:rPr>
              <w:t>3</w:t>
            </w:r>
            <w:r>
              <w:rPr>
                <w:b/>
                <w:bCs/>
                <w:color w:val="auto"/>
                <w:sz w:val="21"/>
                <w:szCs w:val="21"/>
              </w:rPr>
              <w:t xml:space="preserve">  </w:t>
            </w:r>
            <w:r>
              <w:rPr>
                <w:rFonts w:hint="eastAsia"/>
                <w:b/>
                <w:bCs/>
                <w:color w:val="auto"/>
                <w:sz w:val="21"/>
                <w:szCs w:val="21"/>
              </w:rPr>
              <w:t xml:space="preserve"> </w:t>
            </w:r>
            <w:r>
              <w:rPr>
                <w:b/>
                <w:bCs/>
                <w:color w:val="auto"/>
                <w:sz w:val="21"/>
                <w:szCs w:val="21"/>
              </w:rPr>
              <w:t>本项目运营期噪声环境监测计划一览表</w:t>
            </w:r>
          </w:p>
          <w:tbl>
            <w:tblPr>
              <w:tblStyle w:val="24"/>
              <w:tblW w:w="80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1456"/>
              <w:gridCol w:w="1153"/>
              <w:gridCol w:w="1171"/>
              <w:gridCol w:w="35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48" w:type="dxa"/>
                  <w:tcBorders>
                    <w:tl2br w:val="nil"/>
                    <w:tr2bl w:val="nil"/>
                  </w:tcBorders>
                  <w:vAlign w:val="center"/>
                </w:tcPr>
                <w:p>
                  <w:pPr>
                    <w:adjustRightInd w:val="0"/>
                    <w:snapToGrid w:val="0"/>
                    <w:jc w:val="center"/>
                    <w:rPr>
                      <w:b/>
                      <w:bCs/>
                      <w:color w:val="auto"/>
                      <w:szCs w:val="21"/>
                    </w:rPr>
                  </w:pPr>
                  <w:r>
                    <w:rPr>
                      <w:b/>
                      <w:bCs/>
                      <w:color w:val="auto"/>
                      <w:szCs w:val="21"/>
                    </w:rPr>
                    <w:t>因素</w:t>
                  </w:r>
                </w:p>
              </w:tc>
              <w:tc>
                <w:tcPr>
                  <w:tcW w:w="1456" w:type="dxa"/>
                  <w:tcBorders>
                    <w:tl2br w:val="nil"/>
                    <w:tr2bl w:val="nil"/>
                  </w:tcBorders>
                  <w:vAlign w:val="center"/>
                </w:tcPr>
                <w:p>
                  <w:pPr>
                    <w:adjustRightInd w:val="0"/>
                    <w:snapToGrid w:val="0"/>
                    <w:jc w:val="center"/>
                    <w:rPr>
                      <w:b/>
                      <w:bCs/>
                      <w:color w:val="auto"/>
                      <w:szCs w:val="21"/>
                    </w:rPr>
                  </w:pPr>
                  <w:r>
                    <w:rPr>
                      <w:b/>
                      <w:bCs/>
                      <w:color w:val="auto"/>
                      <w:szCs w:val="21"/>
                    </w:rPr>
                    <w:t>监测位置</w:t>
                  </w:r>
                </w:p>
              </w:tc>
              <w:tc>
                <w:tcPr>
                  <w:tcW w:w="1153" w:type="dxa"/>
                  <w:tcBorders>
                    <w:tl2br w:val="nil"/>
                    <w:tr2bl w:val="nil"/>
                  </w:tcBorders>
                  <w:vAlign w:val="center"/>
                </w:tcPr>
                <w:p>
                  <w:pPr>
                    <w:adjustRightInd w:val="0"/>
                    <w:snapToGrid w:val="0"/>
                    <w:jc w:val="center"/>
                    <w:rPr>
                      <w:b/>
                      <w:bCs/>
                      <w:color w:val="auto"/>
                      <w:szCs w:val="21"/>
                    </w:rPr>
                  </w:pPr>
                  <w:r>
                    <w:rPr>
                      <w:b/>
                      <w:bCs/>
                      <w:color w:val="auto"/>
                      <w:szCs w:val="21"/>
                    </w:rPr>
                    <w:t>监测指标</w:t>
                  </w:r>
                </w:p>
              </w:tc>
              <w:tc>
                <w:tcPr>
                  <w:tcW w:w="1171" w:type="dxa"/>
                  <w:tcBorders>
                    <w:tl2br w:val="nil"/>
                    <w:tr2bl w:val="nil"/>
                  </w:tcBorders>
                  <w:vAlign w:val="center"/>
                </w:tcPr>
                <w:p>
                  <w:pPr>
                    <w:adjustRightInd w:val="0"/>
                    <w:snapToGrid w:val="0"/>
                    <w:jc w:val="center"/>
                    <w:rPr>
                      <w:b/>
                      <w:bCs/>
                      <w:color w:val="auto"/>
                      <w:szCs w:val="21"/>
                    </w:rPr>
                  </w:pPr>
                  <w:r>
                    <w:rPr>
                      <w:b/>
                      <w:bCs/>
                      <w:color w:val="auto"/>
                      <w:szCs w:val="21"/>
                    </w:rPr>
                    <w:t>监测频次</w:t>
                  </w:r>
                </w:p>
              </w:tc>
              <w:tc>
                <w:tcPr>
                  <w:tcW w:w="3569" w:type="dxa"/>
                  <w:tcBorders>
                    <w:tl2br w:val="nil"/>
                    <w:tr2bl w:val="nil"/>
                  </w:tcBorders>
                  <w:vAlign w:val="center"/>
                </w:tcPr>
                <w:p>
                  <w:pPr>
                    <w:adjustRightInd w:val="0"/>
                    <w:snapToGrid w:val="0"/>
                    <w:jc w:val="center"/>
                    <w:rPr>
                      <w:b/>
                      <w:bCs/>
                      <w:color w:val="auto"/>
                      <w:szCs w:val="21"/>
                    </w:rPr>
                  </w:pPr>
                  <w:r>
                    <w:rPr>
                      <w:b/>
                      <w:bCs/>
                      <w:color w:val="auto"/>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48" w:type="dxa"/>
                  <w:tcBorders>
                    <w:tl2br w:val="nil"/>
                    <w:tr2bl w:val="nil"/>
                  </w:tcBorders>
                  <w:vAlign w:val="center"/>
                </w:tcPr>
                <w:p>
                  <w:pPr>
                    <w:adjustRightInd w:val="0"/>
                    <w:snapToGrid w:val="0"/>
                    <w:jc w:val="center"/>
                    <w:rPr>
                      <w:color w:val="auto"/>
                      <w:szCs w:val="21"/>
                    </w:rPr>
                  </w:pPr>
                  <w:r>
                    <w:rPr>
                      <w:color w:val="auto"/>
                      <w:szCs w:val="21"/>
                    </w:rPr>
                    <w:t>噪声</w:t>
                  </w:r>
                </w:p>
              </w:tc>
              <w:tc>
                <w:tcPr>
                  <w:tcW w:w="1456" w:type="dxa"/>
                  <w:tcBorders>
                    <w:tl2br w:val="nil"/>
                    <w:tr2bl w:val="nil"/>
                  </w:tcBorders>
                  <w:vAlign w:val="center"/>
                </w:tcPr>
                <w:p>
                  <w:pPr>
                    <w:adjustRightInd w:val="0"/>
                    <w:snapToGrid w:val="0"/>
                    <w:jc w:val="center"/>
                    <w:rPr>
                      <w:color w:val="auto"/>
                      <w:szCs w:val="21"/>
                    </w:rPr>
                  </w:pPr>
                  <w:r>
                    <w:rPr>
                      <w:color w:val="auto"/>
                      <w:szCs w:val="21"/>
                    </w:rPr>
                    <w:t>厂界四周外1m处</w:t>
                  </w:r>
                </w:p>
              </w:tc>
              <w:tc>
                <w:tcPr>
                  <w:tcW w:w="1153" w:type="dxa"/>
                  <w:tcBorders>
                    <w:tl2br w:val="nil"/>
                    <w:tr2bl w:val="nil"/>
                  </w:tcBorders>
                  <w:vAlign w:val="center"/>
                </w:tcPr>
                <w:p>
                  <w:pPr>
                    <w:adjustRightInd w:val="0"/>
                    <w:snapToGrid w:val="0"/>
                    <w:jc w:val="center"/>
                    <w:rPr>
                      <w:color w:val="auto"/>
                      <w:szCs w:val="21"/>
                    </w:rPr>
                  </w:pPr>
                  <w:r>
                    <w:rPr>
                      <w:color w:val="auto"/>
                      <w:szCs w:val="21"/>
                    </w:rPr>
                    <w:t>LAeq</w:t>
                  </w:r>
                </w:p>
              </w:tc>
              <w:tc>
                <w:tcPr>
                  <w:tcW w:w="1171" w:type="dxa"/>
                  <w:tcBorders>
                    <w:tl2br w:val="nil"/>
                    <w:tr2bl w:val="nil"/>
                  </w:tcBorders>
                  <w:vAlign w:val="center"/>
                </w:tcPr>
                <w:p>
                  <w:pPr>
                    <w:adjustRightInd w:val="0"/>
                    <w:snapToGrid w:val="0"/>
                    <w:jc w:val="center"/>
                    <w:rPr>
                      <w:color w:val="auto"/>
                      <w:szCs w:val="21"/>
                    </w:rPr>
                  </w:pPr>
                  <w:r>
                    <w:rPr>
                      <w:color w:val="auto"/>
                      <w:szCs w:val="21"/>
                    </w:rPr>
                    <w:t>1次/季度，</w:t>
                  </w:r>
                </w:p>
                <w:p>
                  <w:pPr>
                    <w:adjustRightInd w:val="0"/>
                    <w:snapToGrid w:val="0"/>
                    <w:jc w:val="center"/>
                    <w:rPr>
                      <w:color w:val="auto"/>
                      <w:szCs w:val="21"/>
                    </w:rPr>
                  </w:pPr>
                  <w:r>
                    <w:rPr>
                      <w:color w:val="auto"/>
                      <w:szCs w:val="21"/>
                    </w:rPr>
                    <w:t>昼夜监测</w:t>
                  </w:r>
                </w:p>
              </w:tc>
              <w:tc>
                <w:tcPr>
                  <w:tcW w:w="3569" w:type="dxa"/>
                  <w:tcBorders>
                    <w:tl2br w:val="nil"/>
                    <w:tr2bl w:val="nil"/>
                  </w:tcBorders>
                  <w:vAlign w:val="center"/>
                </w:tcPr>
                <w:p>
                  <w:pPr>
                    <w:adjustRightInd w:val="0"/>
                    <w:snapToGrid w:val="0"/>
                    <w:jc w:val="center"/>
                    <w:rPr>
                      <w:color w:val="auto"/>
                      <w:szCs w:val="21"/>
                    </w:rPr>
                  </w:pPr>
                  <w:r>
                    <w:rPr>
                      <w:snapToGrid w:val="0"/>
                      <w:color w:val="auto"/>
                      <w:kern w:val="0"/>
                      <w:szCs w:val="21"/>
                    </w:rPr>
                    <w:t>《工业企业厂界环境噪声排放标准》（GB 12348-2008）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097" w:type="dxa"/>
                  <w:gridSpan w:val="5"/>
                  <w:tcBorders>
                    <w:tl2br w:val="nil"/>
                    <w:tr2bl w:val="nil"/>
                  </w:tcBorders>
                  <w:vAlign w:val="center"/>
                </w:tcPr>
                <w:p>
                  <w:pPr>
                    <w:adjustRightInd w:val="0"/>
                    <w:snapToGrid w:val="0"/>
                    <w:jc w:val="both"/>
                    <w:rPr>
                      <w:snapToGrid w:val="0"/>
                      <w:color w:val="auto"/>
                      <w:kern w:val="0"/>
                      <w:szCs w:val="21"/>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项目属于临时工程，间断运行3个月，在每次开工时对厂界</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昼间噪声</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进行1次监测，即为1次/开工运行。</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1" w:firstLineChars="200"/>
              <w:jc w:val="left"/>
              <w:textAlignment w:val="auto"/>
              <w:outlineLvl w:val="1"/>
              <w:rPr>
                <w:b/>
                <w:bCs/>
                <w:color w:val="auto"/>
                <w:sz w:val="24"/>
              </w:rPr>
            </w:pPr>
            <w:r>
              <w:rPr>
                <w:rFonts w:hint="eastAsia"/>
                <w:b/>
                <w:bCs/>
                <w:color w:val="auto"/>
                <w:sz w:val="24"/>
              </w:rPr>
              <w:t>四、</w:t>
            </w:r>
            <w:r>
              <w:rPr>
                <w:b/>
                <w:bCs/>
                <w:color w:val="auto"/>
                <w:sz w:val="24"/>
              </w:rPr>
              <w:t>固体废物</w:t>
            </w:r>
          </w:p>
          <w:p>
            <w:pPr>
              <w:pStyle w:val="31"/>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b/>
                <w:bCs/>
                <w:color w:val="auto"/>
                <w:lang w:val="en-US"/>
              </w:rPr>
            </w:pPr>
            <w:r>
              <w:rPr>
                <w:rFonts w:eastAsiaTheme="minorEastAsia"/>
                <w:b/>
                <w:bCs/>
                <w:color w:val="auto"/>
              </w:rPr>
              <w:t>1、</w:t>
            </w:r>
            <w:r>
              <w:rPr>
                <w:rFonts w:hint="eastAsia" w:eastAsiaTheme="minorEastAsia"/>
                <w:b/>
                <w:bCs/>
                <w:color w:val="auto"/>
                <w:lang w:val="en-US" w:eastAsia="zh-CN"/>
              </w:rPr>
              <w:t>本项目固体废物</w:t>
            </w:r>
            <w:r>
              <w:rPr>
                <w:rFonts w:eastAsiaTheme="minorEastAsia"/>
                <w:b/>
                <w:bCs/>
                <w:color w:val="auto"/>
              </w:rPr>
              <w:t>产生</w:t>
            </w:r>
            <w:r>
              <w:rPr>
                <w:rFonts w:hint="eastAsia" w:eastAsiaTheme="minorEastAsia"/>
                <w:b/>
                <w:bCs/>
                <w:color w:val="auto"/>
                <w:lang w:val="en-US" w:eastAsia="zh-CN"/>
              </w:rPr>
              <w:t>及排放情况</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color w:val="auto"/>
                <w:kern w:val="0"/>
                <w:sz w:val="24"/>
                <w:lang w:bidi="ar"/>
              </w:rPr>
            </w:pPr>
            <w:r>
              <w:rPr>
                <w:rFonts w:eastAsiaTheme="minorEastAsia"/>
                <w:color w:val="auto"/>
                <w:sz w:val="24"/>
              </w:rPr>
              <w:t>本项目运营期产生的固体废物主要有</w:t>
            </w:r>
            <w:r>
              <w:rPr>
                <w:rFonts w:hint="eastAsia" w:eastAsiaTheme="minorEastAsia"/>
                <w:color w:val="auto"/>
                <w:sz w:val="24"/>
                <w:lang w:val="en-US" w:eastAsia="zh-CN"/>
              </w:rPr>
              <w:t>除尘装置收集到的粉尘、</w:t>
            </w:r>
            <w:r>
              <w:rPr>
                <w:color w:val="auto"/>
                <w:kern w:val="0"/>
                <w:sz w:val="24"/>
                <w:lang w:bidi="ar"/>
              </w:rPr>
              <w:t>废石料</w:t>
            </w:r>
            <w:r>
              <w:rPr>
                <w:rFonts w:hint="eastAsia" w:eastAsiaTheme="minorEastAsia"/>
                <w:color w:val="auto"/>
                <w:sz w:val="24"/>
              </w:rPr>
              <w:t>、</w:t>
            </w:r>
            <w:r>
              <w:rPr>
                <w:rFonts w:hint="eastAsia" w:eastAsiaTheme="minorEastAsia"/>
                <w:color w:val="auto"/>
                <w:sz w:val="24"/>
                <w:lang w:val="en-US" w:eastAsia="zh-CN"/>
              </w:rPr>
              <w:t>拌合残渣、</w:t>
            </w:r>
            <w:r>
              <w:rPr>
                <w:color w:val="auto"/>
                <w:kern w:val="0"/>
                <w:sz w:val="24"/>
                <w:lang w:bidi="ar"/>
              </w:rPr>
              <w:t>废水沉淀沉渣</w:t>
            </w:r>
            <w:r>
              <w:rPr>
                <w:rFonts w:hint="eastAsia"/>
                <w:color w:val="auto"/>
                <w:kern w:val="0"/>
                <w:sz w:val="24"/>
                <w:lang w:bidi="ar"/>
              </w:rPr>
              <w:t>、</w:t>
            </w:r>
            <w:r>
              <w:rPr>
                <w:color w:val="auto"/>
                <w:kern w:val="0"/>
                <w:sz w:val="24"/>
                <w:lang w:bidi="ar"/>
              </w:rPr>
              <w:t>生活垃圾</w:t>
            </w:r>
            <w:r>
              <w:rPr>
                <w:rFonts w:hint="eastAsia"/>
                <w:color w:val="auto"/>
                <w:kern w:val="0"/>
                <w:sz w:val="24"/>
                <w:lang w:bidi="ar"/>
              </w:rPr>
              <w:t>及</w:t>
            </w:r>
            <w:r>
              <w:rPr>
                <w:rFonts w:hint="eastAsia"/>
                <w:color w:val="auto"/>
                <w:kern w:val="0"/>
                <w:sz w:val="24"/>
                <w:lang w:val="en-US" w:eastAsia="zh-CN" w:bidi="ar"/>
              </w:rPr>
              <w:t>拌合</w:t>
            </w:r>
            <w:r>
              <w:rPr>
                <w:rFonts w:hint="eastAsia"/>
                <w:color w:val="auto"/>
                <w:kern w:val="0"/>
                <w:sz w:val="24"/>
                <w:lang w:bidi="ar"/>
              </w:rPr>
              <w:t>站拆除后的建筑垃圾</w:t>
            </w:r>
            <w:r>
              <w:rPr>
                <w:rFonts w:hint="eastAsia"/>
                <w:color w:val="auto"/>
                <w:kern w:val="0"/>
                <w:sz w:val="24"/>
                <w:lang w:val="en-US" w:eastAsia="zh-CN" w:bidi="ar"/>
              </w:rPr>
              <w:t>和设备检修维护产生的废机油</w:t>
            </w:r>
            <w:r>
              <w:rPr>
                <w:rFonts w:hint="eastAsia"/>
                <w:color w:val="auto"/>
                <w:kern w:val="0"/>
                <w:sz w:val="24"/>
                <w:lang w:bidi="ar"/>
              </w:rPr>
              <w:t>。</w:t>
            </w:r>
          </w:p>
          <w:p>
            <w:pPr>
              <w:keepNext w:val="0"/>
              <w:keepLines w:val="0"/>
              <w:pageBreakBefore w:val="0"/>
              <w:widowControl/>
              <w:numPr>
                <w:ilvl w:val="0"/>
                <w:numId w:val="13"/>
              </w:numPr>
              <w:kinsoku/>
              <w:wordWrap/>
              <w:overflowPunct/>
              <w:topLinePunct w:val="0"/>
              <w:autoSpaceDE/>
              <w:autoSpaceDN/>
              <w:bidi w:val="0"/>
              <w:adjustRightInd w:val="0"/>
              <w:snapToGrid w:val="0"/>
              <w:spacing w:line="360" w:lineRule="auto"/>
              <w:ind w:firstLine="480" w:firstLineChars="200"/>
              <w:jc w:val="both"/>
              <w:textAlignment w:val="auto"/>
              <w:rPr>
                <w:rFonts w:hint="eastAsia"/>
                <w:color w:val="000000" w:themeColor="text1"/>
                <w:kern w:val="0"/>
                <w:sz w:val="24"/>
                <w:szCs w:val="24"/>
                <w:lang w:eastAsia="zh-CN" w:bidi="ar"/>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脉冲式除尘机、布袋除尘机收集的粉尘S1、S2：除尘机收集到的除尘灰全部用于生产，收集量约为22.35</w:t>
            </w:r>
            <w:r>
              <w:rPr>
                <w:color w:val="000000" w:themeColor="text1"/>
                <w:kern w:val="0"/>
                <w:sz w:val="24"/>
                <w:szCs w:val="24"/>
                <w:lang w:bidi="ar"/>
                <w14:textFill>
                  <w14:solidFill>
                    <w14:schemeClr w14:val="tx1"/>
                  </w14:solidFill>
                </w14:textFill>
              </w:rPr>
              <w:t>t/</w:t>
            </w:r>
            <w:r>
              <w:rPr>
                <w:rFonts w:hint="eastAsia"/>
                <w:color w:val="000000" w:themeColor="text1"/>
                <w:kern w:val="0"/>
                <w:sz w:val="24"/>
                <w:szCs w:val="24"/>
                <w:lang w:val="en-US" w:eastAsia="zh-CN" w:bidi="ar"/>
                <w14:textFill>
                  <w14:solidFill>
                    <w14:schemeClr w14:val="tx1"/>
                  </w14:solidFill>
                </w14:textFill>
              </w:rPr>
              <w:t>周期</w:t>
            </w:r>
            <w:r>
              <w:rPr>
                <w:rFonts w:hint="eastAsia"/>
                <w:color w:val="000000" w:themeColor="text1"/>
                <w:kern w:val="0"/>
                <w:sz w:val="24"/>
                <w:szCs w:val="24"/>
                <w:lang w:eastAsia="zh-CN" w:bidi="ar"/>
                <w14:textFill>
                  <w14:solidFill>
                    <w14:schemeClr w14:val="tx1"/>
                  </w14:solidFill>
                </w14:textFill>
              </w:rPr>
              <w:t>。</w:t>
            </w:r>
          </w:p>
          <w:p>
            <w:pPr>
              <w:keepNext w:val="0"/>
              <w:keepLines w:val="0"/>
              <w:pageBreakBefore w:val="0"/>
              <w:widowControl/>
              <w:numPr>
                <w:ilvl w:val="0"/>
                <w:numId w:val="13"/>
              </w:numPr>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kern w:val="0"/>
                <w:sz w:val="24"/>
                <w:szCs w:val="24"/>
                <w:lang w:val="en-US" w:eastAsia="zh-CN" w:bidi="ar"/>
              </w:rPr>
            </w:pPr>
            <w:r>
              <w:rPr>
                <w:rFonts w:hint="eastAsia"/>
                <w:color w:val="auto"/>
                <w:kern w:val="0"/>
                <w:sz w:val="24"/>
                <w:szCs w:val="24"/>
                <w:lang w:val="en-US" w:eastAsia="zh-CN" w:bidi="ar"/>
              </w:rPr>
              <w:t>废石料S3：废石料产生量与供应商提供的石料质量有关，根据建设单位提供资料，不合格石料约占石料总量的0.09%，约为65.5</w:t>
            </w:r>
            <w:r>
              <w:rPr>
                <w:color w:val="auto"/>
                <w:kern w:val="0"/>
                <w:sz w:val="24"/>
                <w:szCs w:val="24"/>
                <w:lang w:bidi="ar"/>
              </w:rPr>
              <w:t>t/</w:t>
            </w:r>
            <w:r>
              <w:rPr>
                <w:rFonts w:hint="eastAsia"/>
                <w:color w:val="auto"/>
                <w:kern w:val="0"/>
                <w:sz w:val="24"/>
                <w:szCs w:val="24"/>
                <w:lang w:val="en-US" w:eastAsia="zh-CN" w:bidi="ar"/>
              </w:rPr>
              <w:t>周期</w:t>
            </w:r>
            <w:r>
              <w:rPr>
                <w:rFonts w:hint="eastAsia"/>
                <w:color w:val="auto"/>
                <w:kern w:val="0"/>
                <w:sz w:val="24"/>
                <w:szCs w:val="24"/>
                <w:lang w:eastAsia="zh-CN" w:bidi="ar"/>
              </w:rPr>
              <w:t>。</w:t>
            </w:r>
            <w:r>
              <w:rPr>
                <w:rFonts w:hint="eastAsia"/>
                <w:color w:val="auto"/>
                <w:kern w:val="0"/>
                <w:sz w:val="24"/>
                <w:szCs w:val="24"/>
                <w:lang w:val="en-US" w:eastAsia="zh-CN" w:bidi="ar"/>
              </w:rPr>
              <w:t>废石料暂存于原料仓，由生产厂家回收。</w:t>
            </w:r>
          </w:p>
          <w:p>
            <w:pPr>
              <w:keepNext w:val="0"/>
              <w:keepLines w:val="0"/>
              <w:pageBreakBefore w:val="0"/>
              <w:widowControl/>
              <w:numPr>
                <w:ilvl w:val="0"/>
                <w:numId w:val="13"/>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olor w:val="auto"/>
                <w:kern w:val="0"/>
                <w:sz w:val="24"/>
                <w:szCs w:val="24"/>
                <w:lang w:val="en-US" w:eastAsia="zh-CN" w:bidi="ar"/>
              </w:rPr>
            </w:pPr>
            <w:r>
              <w:rPr>
                <w:rFonts w:hint="eastAsia"/>
                <w:color w:val="auto"/>
                <w:kern w:val="0"/>
                <w:sz w:val="24"/>
                <w:lang w:val="en-US" w:eastAsia="zh-CN" w:bidi="ar"/>
              </w:rPr>
              <w:t>拌合残渣S4：混凝土成品出料装车时由于接口密闭性不佳或工作人员操作不当会滴漏拌合残渣，产生量约为1.8</w:t>
            </w:r>
            <w:r>
              <w:rPr>
                <w:color w:val="auto"/>
                <w:kern w:val="0"/>
                <w:sz w:val="24"/>
                <w:szCs w:val="24"/>
                <w:lang w:bidi="ar"/>
              </w:rPr>
              <w:t>t/</w:t>
            </w:r>
            <w:r>
              <w:rPr>
                <w:rFonts w:hint="eastAsia"/>
                <w:color w:val="auto"/>
                <w:kern w:val="0"/>
                <w:sz w:val="24"/>
                <w:szCs w:val="24"/>
                <w:lang w:val="en-US" w:eastAsia="zh-CN" w:bidi="ar"/>
              </w:rPr>
              <w:t>周期</w:t>
            </w:r>
            <w:r>
              <w:rPr>
                <w:rFonts w:hint="eastAsia"/>
                <w:color w:val="auto"/>
                <w:kern w:val="0"/>
                <w:sz w:val="24"/>
                <w:szCs w:val="24"/>
                <w:lang w:eastAsia="zh-CN" w:bidi="ar"/>
              </w:rPr>
              <w:t>，</w:t>
            </w:r>
            <w:r>
              <w:rPr>
                <w:rFonts w:hint="eastAsia"/>
                <w:color w:val="auto"/>
                <w:kern w:val="0"/>
                <w:sz w:val="24"/>
                <w:szCs w:val="24"/>
                <w:lang w:val="en-US" w:eastAsia="zh-CN" w:bidi="ar"/>
              </w:rPr>
              <w:t>由建设单位收集后回用于生产。</w:t>
            </w:r>
          </w:p>
          <w:p>
            <w:pPr>
              <w:keepNext w:val="0"/>
              <w:keepLines w:val="0"/>
              <w:pageBreakBefore w:val="0"/>
              <w:widowControl/>
              <w:numPr>
                <w:ilvl w:val="0"/>
                <w:numId w:val="13"/>
              </w:numPr>
              <w:kinsoku/>
              <w:wordWrap/>
              <w:overflowPunct/>
              <w:topLinePunct w:val="0"/>
              <w:autoSpaceDE/>
              <w:autoSpaceDN/>
              <w:bidi w:val="0"/>
              <w:adjustRightInd w:val="0"/>
              <w:snapToGrid w:val="0"/>
              <w:spacing w:line="360" w:lineRule="auto"/>
              <w:ind w:left="0" w:leftChars="0" w:firstLine="480" w:firstLineChars="200"/>
              <w:jc w:val="both"/>
              <w:textAlignment w:val="auto"/>
              <w:rPr>
                <w:color w:val="auto"/>
                <w:kern w:val="0"/>
                <w:sz w:val="24"/>
                <w:lang w:bidi="ar"/>
              </w:rPr>
            </w:pPr>
            <w:r>
              <w:rPr>
                <w:color w:val="auto"/>
                <w:kern w:val="0"/>
                <w:sz w:val="24"/>
                <w:lang w:bidi="ar"/>
              </w:rPr>
              <w:t>废水沉淀沉渣S</w:t>
            </w:r>
            <w:r>
              <w:rPr>
                <w:rFonts w:hint="eastAsia"/>
                <w:color w:val="auto"/>
                <w:kern w:val="0"/>
                <w:sz w:val="24"/>
                <w:lang w:val="en-US" w:eastAsia="zh-CN" w:bidi="ar"/>
              </w:rPr>
              <w:t>5：</w:t>
            </w:r>
            <w:r>
              <w:rPr>
                <w:color w:val="auto"/>
                <w:kern w:val="0"/>
                <w:sz w:val="24"/>
                <w:lang w:bidi="ar"/>
              </w:rPr>
              <w:t>搅拌机清洗废水及车辆冲洗废水沉淀后回用，根据建设单位提供资料，沉渣产生量约为</w:t>
            </w:r>
            <w:r>
              <w:rPr>
                <w:rFonts w:hint="eastAsia"/>
                <w:color w:val="auto"/>
                <w:kern w:val="0"/>
                <w:sz w:val="24"/>
                <w:lang w:val="en-US" w:eastAsia="zh-CN" w:bidi="ar"/>
              </w:rPr>
              <w:t>2.3</w:t>
            </w:r>
            <w:r>
              <w:rPr>
                <w:color w:val="auto"/>
                <w:kern w:val="0"/>
                <w:sz w:val="24"/>
                <w:lang w:bidi="ar"/>
              </w:rPr>
              <w:t>t/</w:t>
            </w:r>
            <w:r>
              <w:rPr>
                <w:rFonts w:hint="eastAsia"/>
                <w:color w:val="auto"/>
                <w:kern w:val="0"/>
                <w:sz w:val="24"/>
                <w:lang w:val="en-US" w:eastAsia="zh-CN" w:bidi="ar"/>
              </w:rPr>
              <w:t>周期</w:t>
            </w:r>
            <w:r>
              <w:rPr>
                <w:color w:val="auto"/>
                <w:kern w:val="0"/>
                <w:sz w:val="24"/>
                <w:lang w:bidi="ar"/>
              </w:rPr>
              <w:t>，送至政府指定地点处置。</w:t>
            </w:r>
          </w:p>
          <w:p>
            <w:pPr>
              <w:keepNext w:val="0"/>
              <w:keepLines w:val="0"/>
              <w:pageBreakBefore w:val="0"/>
              <w:widowControl/>
              <w:numPr>
                <w:ilvl w:val="0"/>
                <w:numId w:val="13"/>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color w:val="auto"/>
                <w:kern w:val="0"/>
                <w:sz w:val="24"/>
                <w:lang w:bidi="ar"/>
              </w:rPr>
            </w:pPr>
            <w:r>
              <w:rPr>
                <w:rFonts w:hint="default"/>
                <w:color w:val="auto"/>
                <w:kern w:val="0"/>
                <w:sz w:val="24"/>
                <w:lang w:bidi="ar"/>
              </w:rPr>
              <w:t>生活垃圾S</w:t>
            </w:r>
            <w:r>
              <w:rPr>
                <w:rFonts w:hint="default"/>
                <w:color w:val="auto"/>
                <w:kern w:val="0"/>
                <w:sz w:val="24"/>
                <w:lang w:val="en-US" w:eastAsia="zh-CN" w:bidi="ar"/>
              </w:rPr>
              <w:t>6：</w:t>
            </w:r>
            <w:r>
              <w:rPr>
                <w:rFonts w:hint="default"/>
                <w:color w:val="auto"/>
                <w:kern w:val="0"/>
                <w:sz w:val="24"/>
                <w:lang w:bidi="ar"/>
              </w:rPr>
              <w:t>员工生活垃圾产生量按1.0kg/人·d计，项目职工</w:t>
            </w:r>
            <w:r>
              <w:rPr>
                <w:rFonts w:hint="default"/>
                <w:color w:val="auto"/>
                <w:kern w:val="0"/>
                <w:sz w:val="24"/>
                <w:lang w:val="en-US" w:eastAsia="zh-CN" w:bidi="ar"/>
              </w:rPr>
              <w:t>15</w:t>
            </w:r>
            <w:r>
              <w:rPr>
                <w:rFonts w:hint="default"/>
                <w:color w:val="auto"/>
                <w:kern w:val="0"/>
                <w:sz w:val="24"/>
                <w:lang w:bidi="ar"/>
              </w:rPr>
              <w:t>人，运营周期内生活垃圾产生量约</w:t>
            </w:r>
            <w:r>
              <w:rPr>
                <w:rFonts w:hint="default"/>
                <w:color w:val="auto"/>
                <w:kern w:val="0"/>
                <w:sz w:val="24"/>
                <w:lang w:val="en-US" w:eastAsia="zh-CN" w:bidi="ar"/>
              </w:rPr>
              <w:t>1.38t</w:t>
            </w:r>
            <w:r>
              <w:rPr>
                <w:rFonts w:hint="default"/>
                <w:color w:val="auto"/>
                <w:kern w:val="0"/>
                <w:sz w:val="24"/>
                <w:lang w:bidi="ar"/>
              </w:rPr>
              <w:t>/</w:t>
            </w:r>
            <w:r>
              <w:rPr>
                <w:rFonts w:hint="default"/>
                <w:color w:val="auto"/>
                <w:kern w:val="0"/>
                <w:sz w:val="24"/>
                <w:lang w:val="en-US" w:eastAsia="zh-CN" w:bidi="ar"/>
              </w:rPr>
              <w:t>周期</w:t>
            </w:r>
            <w:r>
              <w:rPr>
                <w:rFonts w:hint="default"/>
                <w:color w:val="auto"/>
                <w:kern w:val="0"/>
                <w:sz w:val="24"/>
                <w:lang w:bidi="ar"/>
              </w:rPr>
              <w:t>，</w:t>
            </w:r>
            <w:r>
              <w:rPr>
                <w:rFonts w:hint="default"/>
                <w:color w:val="auto"/>
                <w:sz w:val="24"/>
              </w:rPr>
              <w:t>设置垃圾桶收集生活垃圾，运至附近的</w:t>
            </w:r>
            <w:r>
              <w:rPr>
                <w:rFonts w:hint="default"/>
                <w:color w:val="auto"/>
                <w:sz w:val="24"/>
                <w:lang w:val="en-US" w:eastAsia="zh-CN"/>
              </w:rPr>
              <w:t>生活</w:t>
            </w:r>
            <w:r>
              <w:rPr>
                <w:rFonts w:hint="default"/>
                <w:color w:val="auto"/>
                <w:sz w:val="24"/>
              </w:rPr>
              <w:t>垃圾转运点处理</w:t>
            </w:r>
            <w:r>
              <w:rPr>
                <w:rFonts w:hint="default"/>
                <w:color w:val="auto"/>
                <w:kern w:val="0"/>
                <w:sz w:val="24"/>
                <w:lang w:bidi="ar"/>
              </w:rPr>
              <w:t>。</w:t>
            </w:r>
          </w:p>
          <w:p>
            <w:pPr>
              <w:widowControl/>
              <w:numPr>
                <w:ilvl w:val="0"/>
                <w:numId w:val="13"/>
              </w:numPr>
              <w:adjustRightInd w:val="0"/>
              <w:snapToGrid w:val="0"/>
              <w:spacing w:line="360" w:lineRule="auto"/>
              <w:ind w:left="0" w:leftChars="0" w:firstLine="480" w:firstLineChars="200"/>
              <w:rPr>
                <w:rFonts w:hint="default" w:ascii="Times New Roman" w:hAnsi="Times New Roman" w:eastAsia="宋体" w:cs="Times New Roman"/>
                <w:sz w:val="24"/>
              </w:rPr>
            </w:pPr>
            <w:r>
              <w:rPr>
                <w:rFonts w:hint="default" w:ascii="Times New Roman" w:hAnsi="Times New Roman" w:eastAsia="宋体" w:cs="Times New Roman"/>
                <w:color w:val="auto"/>
                <w:kern w:val="0"/>
                <w:sz w:val="24"/>
                <w:lang w:val="en-US" w:eastAsia="zh-CN" w:bidi="ar"/>
              </w:rPr>
              <w:t>拌合</w:t>
            </w:r>
            <w:r>
              <w:rPr>
                <w:rFonts w:hint="default" w:ascii="Times New Roman" w:hAnsi="Times New Roman" w:eastAsia="宋体" w:cs="Times New Roman"/>
                <w:color w:val="auto"/>
                <w:kern w:val="0"/>
                <w:sz w:val="24"/>
                <w:lang w:bidi="ar"/>
              </w:rPr>
              <w:t>站拆除后的建筑垃圾</w:t>
            </w:r>
            <w:r>
              <w:rPr>
                <w:rFonts w:hint="default" w:ascii="Times New Roman" w:hAnsi="Times New Roman" w:eastAsia="宋体" w:cs="Times New Roman"/>
                <w:color w:val="auto"/>
                <w:kern w:val="0"/>
                <w:sz w:val="24"/>
                <w:lang w:val="en-US" w:eastAsia="zh-CN" w:bidi="ar"/>
              </w:rPr>
              <w:t>S7</w:t>
            </w:r>
          </w:p>
          <w:p>
            <w:pPr>
              <w:widowControl/>
              <w:adjustRightInd w:val="0"/>
              <w:snapToGrid w:val="0"/>
              <w:spacing w:line="360" w:lineRule="auto"/>
              <w:ind w:firstLine="480" w:firstLineChars="200"/>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按照</w:t>
            </w:r>
            <w:r>
              <w:rPr>
                <w:rFonts w:hint="default" w:ascii="Times New Roman" w:hAnsi="Times New Roman" w:eastAsia="宋体" w:cs="Times New Roman"/>
                <w:color w:val="auto"/>
                <w:kern w:val="0"/>
                <w:sz w:val="24"/>
                <w:lang w:val="en-US" w:eastAsia="zh-CN" w:bidi="ar"/>
              </w:rPr>
              <w:t>拌合</w:t>
            </w:r>
            <w:r>
              <w:rPr>
                <w:rFonts w:hint="default" w:ascii="Times New Roman" w:hAnsi="Times New Roman" w:eastAsia="宋体" w:cs="Times New Roman"/>
                <w:color w:val="auto"/>
                <w:kern w:val="0"/>
                <w:sz w:val="24"/>
                <w:lang w:bidi="ar"/>
              </w:rPr>
              <w:t>站总体建筑重量的1%进行计算，本项目</w:t>
            </w:r>
            <w:r>
              <w:rPr>
                <w:rFonts w:hint="default" w:ascii="Times New Roman" w:hAnsi="Times New Roman" w:eastAsia="宋体" w:cs="Times New Roman"/>
                <w:color w:val="auto"/>
                <w:kern w:val="0"/>
                <w:sz w:val="24"/>
                <w:lang w:val="en-US" w:eastAsia="zh-CN" w:bidi="ar"/>
              </w:rPr>
              <w:t>拌合</w:t>
            </w:r>
            <w:r>
              <w:rPr>
                <w:rFonts w:hint="default" w:ascii="Times New Roman" w:hAnsi="Times New Roman" w:eastAsia="宋体" w:cs="Times New Roman"/>
                <w:color w:val="auto"/>
                <w:kern w:val="0"/>
                <w:sz w:val="24"/>
                <w:lang w:bidi="ar"/>
              </w:rPr>
              <w:t>站建筑重量按</w:t>
            </w:r>
            <w:r>
              <w:rPr>
                <w:rFonts w:hint="default" w:ascii="Times New Roman" w:hAnsi="Times New Roman" w:eastAsia="宋体" w:cs="Times New Roman"/>
                <w:color w:val="auto"/>
                <w:kern w:val="0"/>
                <w:sz w:val="24"/>
                <w:lang w:val="en-US" w:eastAsia="zh-CN" w:bidi="ar"/>
              </w:rPr>
              <w:t>300</w:t>
            </w:r>
            <w:r>
              <w:rPr>
                <w:rFonts w:hint="default" w:ascii="Times New Roman" w:hAnsi="Times New Roman" w:eastAsia="宋体" w:cs="Times New Roman"/>
                <w:color w:val="auto"/>
                <w:kern w:val="0"/>
                <w:sz w:val="24"/>
                <w:lang w:bidi="ar"/>
              </w:rPr>
              <w:t>t算，</w:t>
            </w:r>
            <w:r>
              <w:rPr>
                <w:rFonts w:hint="default" w:ascii="Times New Roman" w:hAnsi="Times New Roman" w:eastAsia="宋体" w:cs="Times New Roman"/>
                <w:color w:val="auto"/>
                <w:kern w:val="0"/>
                <w:sz w:val="24"/>
                <w:lang w:val="en-US" w:eastAsia="zh-CN" w:bidi="ar"/>
              </w:rPr>
              <w:t>拌合</w:t>
            </w:r>
            <w:r>
              <w:rPr>
                <w:rFonts w:hint="default" w:ascii="Times New Roman" w:hAnsi="Times New Roman" w:eastAsia="宋体" w:cs="Times New Roman"/>
                <w:color w:val="auto"/>
                <w:kern w:val="0"/>
                <w:sz w:val="24"/>
                <w:lang w:bidi="ar"/>
              </w:rPr>
              <w:t>站拆除后的建筑垃圾产生量为</w:t>
            </w:r>
            <w:r>
              <w:rPr>
                <w:rFonts w:hint="default" w:ascii="Times New Roman" w:hAnsi="Times New Roman" w:eastAsia="宋体" w:cs="Times New Roman"/>
                <w:color w:val="auto"/>
                <w:kern w:val="0"/>
                <w:sz w:val="24"/>
                <w:lang w:val="en-US" w:eastAsia="zh-CN" w:bidi="ar"/>
              </w:rPr>
              <w:t>3</w:t>
            </w:r>
            <w:r>
              <w:rPr>
                <w:rFonts w:hint="default" w:ascii="Times New Roman" w:hAnsi="Times New Roman" w:eastAsia="宋体" w:cs="Times New Roman"/>
                <w:color w:val="auto"/>
                <w:kern w:val="0"/>
                <w:sz w:val="24"/>
                <w:lang w:bidi="ar"/>
              </w:rPr>
              <w:t>t/</w:t>
            </w:r>
            <w:r>
              <w:rPr>
                <w:rFonts w:hint="default" w:ascii="Times New Roman" w:hAnsi="Times New Roman" w:eastAsia="宋体" w:cs="Times New Roman"/>
                <w:color w:val="auto"/>
                <w:kern w:val="0"/>
                <w:sz w:val="24"/>
                <w:lang w:val="en-US" w:eastAsia="zh-CN" w:bidi="ar"/>
              </w:rPr>
              <w:t>周期</w:t>
            </w:r>
            <w:r>
              <w:rPr>
                <w:rFonts w:hint="default" w:ascii="Times New Roman" w:hAnsi="Times New Roman" w:eastAsia="宋体" w:cs="Times New Roman"/>
                <w:color w:val="auto"/>
                <w:kern w:val="0"/>
                <w:sz w:val="24"/>
                <w:lang w:bidi="ar"/>
              </w:rPr>
              <w:t>，送至政府指定地点处置。</w:t>
            </w:r>
          </w:p>
          <w:p>
            <w:pPr>
              <w:pStyle w:val="6"/>
              <w:numPr>
                <w:ilvl w:val="0"/>
                <w:numId w:val="13"/>
              </w:numPr>
              <w:spacing w:after="0" w:line="360" w:lineRule="auto"/>
              <w:ind w:left="0" w:leftChars="0" w:firstLine="480"/>
              <w:rPr>
                <w:rFonts w:hint="default"/>
                <w:color w:val="auto"/>
                <w:kern w:val="0"/>
                <w:sz w:val="24"/>
                <w:szCs w:val="24"/>
                <w:lang w:val="en-US" w:eastAsia="zh-CN" w:bidi="ar"/>
              </w:rPr>
            </w:pPr>
            <w:r>
              <w:rPr>
                <w:rFonts w:hint="default"/>
                <w:color w:val="auto"/>
                <w:kern w:val="0"/>
                <w:sz w:val="24"/>
                <w:szCs w:val="24"/>
                <w:lang w:val="en-US" w:eastAsia="zh-CN" w:bidi="ar"/>
              </w:rPr>
              <w:t>设备检修维护过程产生的废</w:t>
            </w:r>
            <w:r>
              <w:rPr>
                <w:rFonts w:hint="eastAsia" w:ascii="Times New Roman" w:hAnsi="Times New Roman" w:eastAsia="宋体" w:cs="Times New Roman"/>
                <w:color w:val="auto"/>
                <w:kern w:val="0"/>
                <w:sz w:val="24"/>
                <w:szCs w:val="24"/>
                <w:lang w:val="en-US" w:eastAsia="zh-CN" w:bidi="ar"/>
              </w:rPr>
              <w:t>机</w:t>
            </w:r>
            <w:r>
              <w:rPr>
                <w:rFonts w:hint="default"/>
                <w:color w:val="auto"/>
                <w:kern w:val="0"/>
                <w:sz w:val="24"/>
                <w:szCs w:val="24"/>
                <w:lang w:val="en-US" w:eastAsia="zh-CN" w:bidi="ar"/>
              </w:rPr>
              <w:t>油</w:t>
            </w:r>
          </w:p>
          <w:p>
            <w:pPr>
              <w:pStyle w:val="23"/>
              <w:numPr>
                <w:ilvl w:val="-1"/>
                <w:numId w:val="0"/>
              </w:numPr>
              <w:spacing w:after="0" w:line="360" w:lineRule="auto"/>
              <w:ind w:firstLine="480" w:firstLineChars="200"/>
              <w:rPr>
                <w:rFonts w:hint="default" w:ascii="Times New Roman" w:hAnsi="Times New Roman" w:eastAsia="宋体" w:cs="Times New Roman"/>
                <w:color w:val="auto"/>
                <w:sz w:val="24"/>
                <w:szCs w:val="24"/>
                <w:lang w:val="en-US" w:eastAsia="zh-CN"/>
              </w:rPr>
            </w:pPr>
            <w:r>
              <w:rPr>
                <w:rFonts w:hint="default"/>
                <w:color w:val="auto"/>
                <w:sz w:val="24"/>
                <w:szCs w:val="24"/>
                <w:lang w:val="en-US" w:eastAsia="zh-CN"/>
              </w:rPr>
              <w:t>废</w:t>
            </w:r>
            <w:r>
              <w:rPr>
                <w:rFonts w:hint="eastAsia" w:ascii="Times New Roman" w:hAnsi="Times New Roman" w:eastAsia="宋体" w:cs="Times New Roman"/>
                <w:color w:val="auto"/>
                <w:sz w:val="24"/>
                <w:szCs w:val="24"/>
                <w:lang w:val="en-US" w:eastAsia="zh-CN"/>
              </w:rPr>
              <w:t>机</w:t>
            </w:r>
            <w:r>
              <w:rPr>
                <w:rFonts w:hint="default"/>
                <w:color w:val="auto"/>
                <w:sz w:val="24"/>
                <w:szCs w:val="24"/>
                <w:lang w:val="en-US" w:eastAsia="zh-CN"/>
              </w:rPr>
              <w:t>油：设备维护保养过程使用</w:t>
            </w:r>
            <w:r>
              <w:rPr>
                <w:rFonts w:hint="eastAsia" w:ascii="Times New Roman" w:hAnsi="Times New Roman" w:eastAsia="宋体" w:cs="Times New Roman"/>
                <w:color w:val="auto"/>
                <w:sz w:val="24"/>
                <w:szCs w:val="24"/>
                <w:lang w:val="en-US" w:eastAsia="zh-CN"/>
              </w:rPr>
              <w:t>机</w:t>
            </w:r>
            <w:r>
              <w:rPr>
                <w:rFonts w:hint="default"/>
                <w:color w:val="auto"/>
                <w:sz w:val="24"/>
                <w:szCs w:val="24"/>
                <w:lang w:val="en-US" w:eastAsia="zh-CN"/>
              </w:rPr>
              <w:t>油，废</w:t>
            </w:r>
            <w:r>
              <w:rPr>
                <w:rFonts w:hint="eastAsia" w:ascii="Times New Roman" w:hAnsi="Times New Roman" w:eastAsia="宋体" w:cs="Times New Roman"/>
                <w:color w:val="auto"/>
                <w:sz w:val="24"/>
                <w:szCs w:val="24"/>
                <w:lang w:val="en-US" w:eastAsia="zh-CN"/>
              </w:rPr>
              <w:t>机</w:t>
            </w:r>
            <w:r>
              <w:rPr>
                <w:rFonts w:hint="default"/>
                <w:color w:val="auto"/>
                <w:sz w:val="24"/>
                <w:szCs w:val="24"/>
                <w:lang w:val="en-US" w:eastAsia="zh-CN"/>
              </w:rPr>
              <w:t>油产生量约为0.0</w:t>
            </w:r>
            <w:r>
              <w:rPr>
                <w:rFonts w:hint="eastAsia" w:ascii="Times New Roman" w:hAnsi="Times New Roman" w:eastAsia="宋体" w:cs="Times New Roman"/>
                <w:color w:val="auto"/>
                <w:sz w:val="24"/>
                <w:szCs w:val="24"/>
                <w:lang w:val="en-US" w:eastAsia="zh-CN"/>
              </w:rPr>
              <w:t>1</w:t>
            </w:r>
            <w:r>
              <w:rPr>
                <w:rFonts w:hint="default"/>
                <w:color w:val="auto"/>
                <w:sz w:val="24"/>
                <w:szCs w:val="24"/>
                <w:lang w:val="en-US" w:eastAsia="zh-CN"/>
              </w:rPr>
              <w:t>t/</w:t>
            </w:r>
            <w:r>
              <w:rPr>
                <w:rFonts w:hint="eastAsia" w:ascii="Times New Roman" w:hAnsi="Times New Roman" w:eastAsia="宋体" w:cs="Times New Roman"/>
                <w:color w:val="auto"/>
                <w:sz w:val="24"/>
                <w:szCs w:val="24"/>
                <w:lang w:val="en-US" w:eastAsia="zh-CN"/>
              </w:rPr>
              <w:t>周期</w:t>
            </w:r>
            <w:r>
              <w:rPr>
                <w:rFonts w:hint="default"/>
                <w:color w:val="auto"/>
                <w:sz w:val="24"/>
                <w:szCs w:val="24"/>
                <w:lang w:val="en-US" w:eastAsia="zh-CN"/>
              </w:rPr>
              <w:t>。对照《国家危险废物名录》（2021年），废</w:t>
            </w:r>
            <w:r>
              <w:rPr>
                <w:rFonts w:hint="eastAsia" w:ascii="Times New Roman" w:hAnsi="Times New Roman" w:eastAsia="宋体" w:cs="Times New Roman"/>
                <w:color w:val="auto"/>
                <w:sz w:val="24"/>
                <w:szCs w:val="24"/>
                <w:lang w:val="en-US" w:eastAsia="zh-CN"/>
              </w:rPr>
              <w:t>机</w:t>
            </w:r>
            <w:r>
              <w:rPr>
                <w:rFonts w:hint="default"/>
                <w:color w:val="auto"/>
                <w:sz w:val="24"/>
                <w:szCs w:val="24"/>
                <w:lang w:val="en-US" w:eastAsia="zh-CN"/>
              </w:rPr>
              <w:t>油属于危险废物（HW08，危废代码：900-218-08），项目产生的</w:t>
            </w:r>
            <w:r>
              <w:rPr>
                <w:rFonts w:hint="eastAsia" w:ascii="Times New Roman" w:hAnsi="Times New Roman" w:eastAsia="宋体" w:cs="Times New Roman"/>
                <w:color w:val="auto"/>
                <w:sz w:val="24"/>
                <w:szCs w:val="24"/>
                <w:lang w:val="en-US" w:eastAsia="zh-CN"/>
              </w:rPr>
              <w:t>废机</w:t>
            </w:r>
            <w:r>
              <w:rPr>
                <w:rFonts w:hint="default"/>
                <w:color w:val="auto"/>
                <w:sz w:val="24"/>
                <w:szCs w:val="24"/>
                <w:lang w:val="en-US" w:eastAsia="zh-CN"/>
              </w:rPr>
              <w:t>油收集后在危险废物贮存</w:t>
            </w:r>
            <w:r>
              <w:rPr>
                <w:rFonts w:hint="eastAsia" w:ascii="Times New Roman" w:hAnsi="Times New Roman" w:eastAsia="宋体" w:cs="Times New Roman"/>
                <w:color w:val="auto"/>
                <w:sz w:val="24"/>
                <w:szCs w:val="24"/>
                <w:lang w:val="en-US" w:eastAsia="zh-CN"/>
              </w:rPr>
              <w:t>点</w:t>
            </w:r>
            <w:r>
              <w:rPr>
                <w:rFonts w:hint="default"/>
                <w:color w:val="auto"/>
                <w:sz w:val="24"/>
                <w:szCs w:val="24"/>
                <w:lang w:val="en-US" w:eastAsia="zh-CN"/>
              </w:rPr>
              <w:t>内暂存，最终委托有资质的单位处置。</w:t>
            </w:r>
          </w:p>
          <w:p>
            <w:pPr>
              <w:pStyle w:val="23"/>
              <w:numPr>
                <w:ilvl w:val="-1"/>
                <w:numId w:val="0"/>
              </w:numPr>
              <w:spacing w:after="0"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kern w:val="0"/>
                <w:sz w:val="24"/>
                <w:szCs w:val="24"/>
                <w:lang w:val="en-US" w:eastAsia="zh-CN" w:bidi="ar"/>
              </w:rPr>
              <w:t>设备检修维护过程产生的废</w:t>
            </w:r>
            <w:r>
              <w:rPr>
                <w:rFonts w:hint="eastAsia" w:ascii="Times New Roman" w:hAnsi="Times New Roman" w:eastAsia="宋体" w:cs="Times New Roman"/>
                <w:color w:val="auto"/>
                <w:kern w:val="0"/>
                <w:sz w:val="24"/>
                <w:szCs w:val="24"/>
                <w:lang w:val="en-US" w:eastAsia="zh-CN" w:bidi="ar"/>
              </w:rPr>
              <w:t>机</w:t>
            </w:r>
            <w:r>
              <w:rPr>
                <w:rFonts w:hint="default" w:ascii="Times New Roman" w:hAnsi="Times New Roman" w:eastAsia="宋体" w:cs="Times New Roman"/>
                <w:color w:val="auto"/>
                <w:kern w:val="0"/>
                <w:sz w:val="24"/>
                <w:szCs w:val="24"/>
                <w:lang w:val="en-US" w:eastAsia="zh-CN" w:bidi="ar"/>
              </w:rPr>
              <w:t>油</w:t>
            </w:r>
            <w:r>
              <w:rPr>
                <w:rFonts w:hint="eastAsia" w:ascii="Times New Roman" w:hAnsi="Times New Roman" w:eastAsia="宋体" w:cs="Times New Roman"/>
                <w:color w:val="auto"/>
                <w:kern w:val="0"/>
                <w:sz w:val="24"/>
                <w:szCs w:val="24"/>
                <w:lang w:val="en-US" w:eastAsia="zh-CN" w:bidi="ar"/>
              </w:rPr>
              <w:t>桶、废沾油抹布及手套</w:t>
            </w:r>
          </w:p>
          <w:p>
            <w:pPr>
              <w:pStyle w:val="23"/>
              <w:numPr>
                <w:ilvl w:val="-1"/>
                <w:numId w:val="0"/>
              </w:numPr>
              <w:spacing w:before="0" w:after="0" w:line="360" w:lineRule="auto"/>
              <w:ind w:right="0" w:firstLine="480" w:firstLineChars="200"/>
              <w:rPr>
                <w:rFonts w:hint="default"/>
                <w:color w:val="auto"/>
                <w:sz w:val="24"/>
                <w:szCs w:val="24"/>
                <w:lang w:val="en-US" w:eastAsia="zh-CN"/>
              </w:rPr>
            </w:pPr>
            <w:r>
              <w:rPr>
                <w:rFonts w:hint="default"/>
                <w:color w:val="auto"/>
                <w:sz w:val="24"/>
                <w:szCs w:val="24"/>
                <w:lang w:val="en-US" w:eastAsia="zh-CN"/>
              </w:rPr>
              <w:t>废</w:t>
            </w:r>
            <w:r>
              <w:rPr>
                <w:rFonts w:hint="eastAsia" w:ascii="Times New Roman" w:hAnsi="Times New Roman" w:eastAsia="宋体" w:cs="Times New Roman"/>
                <w:color w:val="auto"/>
                <w:sz w:val="24"/>
                <w:szCs w:val="24"/>
                <w:lang w:val="en-US" w:eastAsia="zh-CN"/>
              </w:rPr>
              <w:t>机</w:t>
            </w:r>
            <w:r>
              <w:rPr>
                <w:rFonts w:hint="default"/>
                <w:color w:val="auto"/>
                <w:sz w:val="24"/>
                <w:szCs w:val="24"/>
                <w:lang w:val="en-US" w:eastAsia="zh-CN"/>
              </w:rPr>
              <w:t>油桶：项目产生的废</w:t>
            </w:r>
            <w:r>
              <w:rPr>
                <w:rFonts w:hint="eastAsia" w:ascii="Times New Roman" w:hAnsi="Times New Roman" w:eastAsia="宋体" w:cs="Times New Roman"/>
                <w:color w:val="auto"/>
                <w:sz w:val="24"/>
                <w:szCs w:val="24"/>
                <w:lang w:val="en-US" w:eastAsia="zh-CN"/>
              </w:rPr>
              <w:t>机</w:t>
            </w:r>
            <w:r>
              <w:rPr>
                <w:rFonts w:hint="default"/>
                <w:color w:val="auto"/>
                <w:sz w:val="24"/>
                <w:szCs w:val="24"/>
                <w:lang w:val="en-US" w:eastAsia="zh-CN"/>
              </w:rPr>
              <w:t>油桶约为0.0</w:t>
            </w:r>
            <w:r>
              <w:rPr>
                <w:rFonts w:hint="eastAsia" w:ascii="Times New Roman" w:hAnsi="Times New Roman" w:eastAsia="宋体" w:cs="Times New Roman"/>
                <w:color w:val="auto"/>
                <w:sz w:val="24"/>
                <w:szCs w:val="24"/>
                <w:lang w:val="en-US" w:eastAsia="zh-CN"/>
              </w:rPr>
              <w:t>1</w:t>
            </w:r>
            <w:r>
              <w:rPr>
                <w:rFonts w:hint="default"/>
                <w:color w:val="auto"/>
                <w:sz w:val="24"/>
                <w:szCs w:val="24"/>
                <w:lang w:val="en-US" w:eastAsia="zh-CN"/>
              </w:rPr>
              <w:t>t/</w:t>
            </w:r>
            <w:r>
              <w:rPr>
                <w:rFonts w:hint="eastAsia" w:ascii="Times New Roman" w:hAnsi="Times New Roman" w:eastAsia="宋体" w:cs="Times New Roman"/>
                <w:color w:val="auto"/>
                <w:sz w:val="24"/>
                <w:szCs w:val="24"/>
                <w:lang w:val="en-US" w:eastAsia="zh-CN"/>
              </w:rPr>
              <w:t>周期，危险类别为</w:t>
            </w:r>
            <w:r>
              <w:rPr>
                <w:rFonts w:hint="default"/>
                <w:color w:val="auto"/>
                <w:sz w:val="24"/>
                <w:szCs w:val="24"/>
                <w:lang w:val="en-US" w:eastAsia="zh-CN"/>
              </w:rPr>
              <w:t>HW08，危废代码</w:t>
            </w:r>
            <w:r>
              <w:rPr>
                <w:rFonts w:hint="eastAsia" w:ascii="Times New Roman" w:hAnsi="Times New Roman" w:eastAsia="宋体" w:cs="Times New Roman"/>
                <w:color w:val="auto"/>
                <w:sz w:val="24"/>
                <w:szCs w:val="24"/>
                <w:lang w:val="en-US" w:eastAsia="zh-CN"/>
              </w:rPr>
              <w:t>为</w:t>
            </w:r>
            <w:r>
              <w:rPr>
                <w:rFonts w:hint="default"/>
                <w:color w:val="auto"/>
                <w:sz w:val="24"/>
                <w:szCs w:val="24"/>
                <w:lang w:val="en-US" w:eastAsia="zh-CN"/>
              </w:rPr>
              <w:t>900-249-08</w:t>
            </w:r>
            <w:r>
              <w:rPr>
                <w:rFonts w:hint="eastAsia" w:ascii="Times New Roman" w:hAnsi="Times New Roman" w:eastAsia="宋体" w:cs="Times New Roman"/>
                <w:color w:val="auto"/>
                <w:sz w:val="24"/>
                <w:szCs w:val="24"/>
                <w:lang w:val="en-US" w:eastAsia="zh-CN"/>
              </w:rPr>
              <w:t>；</w:t>
            </w:r>
            <w:r>
              <w:rPr>
                <w:rFonts w:hint="default"/>
                <w:color w:val="auto"/>
                <w:sz w:val="24"/>
                <w:szCs w:val="24"/>
                <w:lang w:val="en-US" w:eastAsia="zh-CN"/>
              </w:rPr>
              <w:t>废粘油抹布及手套：员工在机械设备操作过程和</w:t>
            </w:r>
            <w:r>
              <w:rPr>
                <w:rFonts w:hint="eastAsia" w:ascii="Times New Roman" w:hAnsi="Times New Roman" w:eastAsia="宋体" w:cs="Times New Roman"/>
                <w:color w:val="auto"/>
                <w:sz w:val="24"/>
                <w:szCs w:val="24"/>
                <w:lang w:val="en-US" w:eastAsia="zh-CN"/>
              </w:rPr>
              <w:t>维护过程</w:t>
            </w:r>
            <w:r>
              <w:rPr>
                <w:rFonts w:hint="default"/>
                <w:color w:val="auto"/>
                <w:sz w:val="24"/>
                <w:szCs w:val="24"/>
                <w:lang w:val="en-US" w:eastAsia="zh-CN"/>
              </w:rPr>
              <w:t>会配置手套、棉纱，产生量约为0.0</w:t>
            </w:r>
            <w:r>
              <w:rPr>
                <w:rFonts w:hint="eastAsia" w:ascii="Times New Roman" w:hAnsi="Times New Roman" w:eastAsia="宋体" w:cs="Times New Roman"/>
                <w:color w:val="auto"/>
                <w:sz w:val="24"/>
                <w:szCs w:val="24"/>
                <w:lang w:val="en-US" w:eastAsia="zh-CN"/>
              </w:rPr>
              <w:t>05</w:t>
            </w:r>
            <w:r>
              <w:rPr>
                <w:rFonts w:hint="default"/>
                <w:color w:val="auto"/>
                <w:sz w:val="24"/>
                <w:szCs w:val="24"/>
                <w:lang w:val="en-US" w:eastAsia="zh-CN"/>
              </w:rPr>
              <w:t>t/</w:t>
            </w:r>
            <w:r>
              <w:rPr>
                <w:rFonts w:hint="eastAsia" w:ascii="Times New Roman" w:hAnsi="Times New Roman" w:eastAsia="宋体" w:cs="Times New Roman"/>
                <w:color w:val="auto"/>
                <w:sz w:val="24"/>
                <w:szCs w:val="24"/>
                <w:lang w:val="en-US" w:eastAsia="zh-CN"/>
              </w:rPr>
              <w:t>周期，危险类别为</w:t>
            </w:r>
            <w:r>
              <w:rPr>
                <w:rFonts w:hint="default"/>
                <w:color w:val="auto"/>
                <w:sz w:val="24"/>
                <w:szCs w:val="24"/>
                <w:lang w:val="en-US" w:eastAsia="zh-CN"/>
              </w:rPr>
              <w:t>HW49，危废代码</w:t>
            </w:r>
            <w:r>
              <w:rPr>
                <w:rFonts w:hint="eastAsia" w:ascii="Times New Roman" w:hAnsi="Times New Roman" w:eastAsia="宋体" w:cs="Times New Roman"/>
                <w:color w:val="auto"/>
                <w:sz w:val="24"/>
                <w:szCs w:val="24"/>
                <w:lang w:val="en-US" w:eastAsia="zh-CN"/>
              </w:rPr>
              <w:t>为</w:t>
            </w:r>
            <w:r>
              <w:rPr>
                <w:rFonts w:hint="default"/>
                <w:color w:val="auto"/>
                <w:sz w:val="24"/>
                <w:szCs w:val="24"/>
                <w:lang w:val="en-US" w:eastAsia="zh-CN"/>
              </w:rPr>
              <w:t>900-041-49。</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本项目固体废物产生及排放汇总情况见表4-1</w:t>
            </w:r>
            <w:r>
              <w:rPr>
                <w:rFonts w:hint="default" w:ascii="Times New Roman" w:hAnsi="Times New Roman" w:eastAsia="宋体" w:cs="Times New Roman"/>
                <w:color w:val="auto"/>
                <w:kern w:val="0"/>
                <w:sz w:val="24"/>
                <w:lang w:val="en-US" w:eastAsia="zh-CN" w:bidi="ar"/>
              </w:rPr>
              <w:t>4</w:t>
            </w:r>
            <w:r>
              <w:rPr>
                <w:rFonts w:hint="default" w:ascii="Times New Roman" w:hAnsi="Times New Roman" w:eastAsia="宋体" w:cs="Times New Roman"/>
                <w:color w:val="auto"/>
                <w:kern w:val="0"/>
                <w:sz w:val="24"/>
                <w:lang w:bidi="ar"/>
              </w:rPr>
              <w:t>。</w:t>
            </w:r>
          </w:p>
          <w:p>
            <w:pPr>
              <w:pStyle w:val="23"/>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rPr>
                <w:b/>
                <w:bCs/>
                <w:color w:val="auto"/>
                <w:sz w:val="24"/>
                <w:szCs w:val="22"/>
              </w:rPr>
            </w:pPr>
            <w:r>
              <w:rPr>
                <w:b/>
                <w:bCs/>
                <w:color w:val="auto"/>
                <w:sz w:val="21"/>
                <w:szCs w:val="21"/>
              </w:rPr>
              <w:t>表4-</w:t>
            </w:r>
            <w:r>
              <w:rPr>
                <w:rFonts w:hint="eastAsia"/>
                <w:b/>
                <w:bCs/>
                <w:color w:val="auto"/>
                <w:sz w:val="21"/>
                <w:szCs w:val="21"/>
              </w:rPr>
              <w:t>1</w:t>
            </w:r>
            <w:r>
              <w:rPr>
                <w:rFonts w:hint="eastAsia"/>
                <w:b/>
                <w:bCs/>
                <w:color w:val="auto"/>
                <w:sz w:val="21"/>
                <w:szCs w:val="21"/>
                <w:lang w:val="en-US" w:eastAsia="zh-CN"/>
              </w:rPr>
              <w:t>4</w:t>
            </w:r>
            <w:r>
              <w:rPr>
                <w:b/>
                <w:bCs/>
                <w:color w:val="auto"/>
                <w:sz w:val="21"/>
                <w:szCs w:val="21"/>
              </w:rPr>
              <w:t xml:space="preserve"> </w:t>
            </w:r>
            <w:r>
              <w:rPr>
                <w:rFonts w:hint="eastAsia"/>
                <w:b/>
                <w:bCs/>
                <w:color w:val="auto"/>
                <w:sz w:val="21"/>
                <w:szCs w:val="21"/>
              </w:rPr>
              <w:t xml:space="preserve"> </w:t>
            </w:r>
            <w:r>
              <w:rPr>
                <w:b/>
                <w:bCs/>
                <w:color w:val="auto"/>
                <w:sz w:val="21"/>
                <w:szCs w:val="21"/>
              </w:rPr>
              <w:t xml:space="preserve"> 固体废物产生及排放情况一览表</w:t>
            </w:r>
          </w:p>
          <w:tbl>
            <w:tblPr>
              <w:tblStyle w:val="25"/>
              <w:tblW w:w="81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1024"/>
              <w:gridCol w:w="1620"/>
              <w:gridCol w:w="767"/>
              <w:gridCol w:w="1307"/>
              <w:gridCol w:w="1016"/>
              <w:gridCol w:w="13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054" w:type="dxa"/>
                  <w:vAlign w:val="center"/>
                </w:tcPr>
                <w:p>
                  <w:pPr>
                    <w:pStyle w:val="23"/>
                    <w:widowControl/>
                    <w:adjustRightInd w:val="0"/>
                    <w:snapToGrid w:val="0"/>
                    <w:spacing w:after="0"/>
                    <w:ind w:firstLine="0" w:firstLineChars="0"/>
                    <w:jc w:val="center"/>
                    <w:rPr>
                      <w:b/>
                      <w:bCs/>
                      <w:color w:val="auto"/>
                      <w:sz w:val="21"/>
                      <w:szCs w:val="21"/>
                    </w:rPr>
                  </w:pPr>
                  <w:r>
                    <w:rPr>
                      <w:b/>
                      <w:bCs/>
                      <w:color w:val="auto"/>
                      <w:sz w:val="21"/>
                      <w:szCs w:val="21"/>
                    </w:rPr>
                    <w:t>名称</w:t>
                  </w:r>
                </w:p>
              </w:tc>
              <w:tc>
                <w:tcPr>
                  <w:tcW w:w="1024" w:type="dxa"/>
                  <w:vAlign w:val="center"/>
                </w:tcPr>
                <w:p>
                  <w:pPr>
                    <w:pStyle w:val="23"/>
                    <w:widowControl/>
                    <w:adjustRightInd w:val="0"/>
                    <w:snapToGrid w:val="0"/>
                    <w:spacing w:after="0"/>
                    <w:ind w:firstLine="0" w:firstLineChars="0"/>
                    <w:jc w:val="center"/>
                    <w:rPr>
                      <w:b/>
                      <w:bCs/>
                      <w:color w:val="auto"/>
                      <w:sz w:val="21"/>
                      <w:szCs w:val="21"/>
                    </w:rPr>
                  </w:pPr>
                  <w:r>
                    <w:rPr>
                      <w:b/>
                      <w:bCs/>
                      <w:color w:val="auto"/>
                      <w:sz w:val="21"/>
                      <w:szCs w:val="21"/>
                    </w:rPr>
                    <w:t>产生环节</w:t>
                  </w:r>
                </w:p>
              </w:tc>
              <w:tc>
                <w:tcPr>
                  <w:tcW w:w="1620" w:type="dxa"/>
                  <w:vAlign w:val="center"/>
                </w:tcPr>
                <w:p>
                  <w:pPr>
                    <w:pStyle w:val="23"/>
                    <w:widowControl/>
                    <w:adjustRightInd w:val="0"/>
                    <w:snapToGrid w:val="0"/>
                    <w:spacing w:after="0"/>
                    <w:ind w:firstLine="0" w:firstLineChars="0"/>
                    <w:jc w:val="center"/>
                    <w:rPr>
                      <w:b/>
                      <w:bCs/>
                      <w:color w:val="auto"/>
                      <w:sz w:val="21"/>
                      <w:szCs w:val="21"/>
                    </w:rPr>
                  </w:pPr>
                  <w:r>
                    <w:rPr>
                      <w:b/>
                      <w:bCs/>
                      <w:color w:val="auto"/>
                      <w:sz w:val="21"/>
                      <w:szCs w:val="21"/>
                    </w:rPr>
                    <w:t>属性</w:t>
                  </w:r>
                </w:p>
              </w:tc>
              <w:tc>
                <w:tcPr>
                  <w:tcW w:w="767" w:type="dxa"/>
                  <w:vAlign w:val="center"/>
                </w:tcPr>
                <w:p>
                  <w:pPr>
                    <w:pStyle w:val="23"/>
                    <w:widowControl/>
                    <w:adjustRightInd w:val="0"/>
                    <w:snapToGrid w:val="0"/>
                    <w:spacing w:after="0"/>
                    <w:ind w:firstLine="0" w:firstLineChars="0"/>
                    <w:jc w:val="center"/>
                    <w:rPr>
                      <w:b/>
                      <w:bCs/>
                      <w:color w:val="auto"/>
                      <w:sz w:val="21"/>
                      <w:szCs w:val="21"/>
                    </w:rPr>
                  </w:pPr>
                  <w:r>
                    <w:rPr>
                      <w:b/>
                      <w:bCs/>
                      <w:color w:val="auto"/>
                      <w:sz w:val="21"/>
                      <w:szCs w:val="21"/>
                    </w:rPr>
                    <w:t>物理性状</w:t>
                  </w:r>
                </w:p>
              </w:tc>
              <w:tc>
                <w:tcPr>
                  <w:tcW w:w="1307" w:type="dxa"/>
                  <w:vAlign w:val="center"/>
                </w:tcPr>
                <w:p>
                  <w:pPr>
                    <w:pStyle w:val="23"/>
                    <w:widowControl/>
                    <w:adjustRightInd w:val="0"/>
                    <w:snapToGrid w:val="0"/>
                    <w:spacing w:after="0"/>
                    <w:ind w:firstLine="0" w:firstLineChars="0"/>
                    <w:jc w:val="center"/>
                    <w:rPr>
                      <w:b/>
                      <w:bCs/>
                      <w:color w:val="auto"/>
                      <w:sz w:val="21"/>
                      <w:szCs w:val="21"/>
                    </w:rPr>
                  </w:pPr>
                  <w:r>
                    <w:rPr>
                      <w:b/>
                      <w:bCs/>
                      <w:color w:val="auto"/>
                      <w:sz w:val="21"/>
                      <w:szCs w:val="21"/>
                    </w:rPr>
                    <w:t>产生量</w:t>
                  </w:r>
                </w:p>
                <w:p>
                  <w:pPr>
                    <w:pStyle w:val="23"/>
                    <w:widowControl/>
                    <w:adjustRightInd w:val="0"/>
                    <w:snapToGrid w:val="0"/>
                    <w:spacing w:after="0"/>
                    <w:ind w:firstLine="0" w:firstLineChars="0"/>
                    <w:jc w:val="center"/>
                    <w:rPr>
                      <w:b/>
                      <w:bCs/>
                      <w:color w:val="auto"/>
                      <w:sz w:val="21"/>
                      <w:szCs w:val="21"/>
                    </w:rPr>
                  </w:pPr>
                  <w:r>
                    <w:rPr>
                      <w:b/>
                      <w:bCs/>
                      <w:color w:val="auto"/>
                      <w:sz w:val="21"/>
                      <w:szCs w:val="21"/>
                    </w:rPr>
                    <w:t>（t/</w:t>
                  </w:r>
                  <w:r>
                    <w:rPr>
                      <w:rFonts w:hint="eastAsia"/>
                      <w:b/>
                      <w:bCs/>
                      <w:color w:val="auto"/>
                      <w:sz w:val="21"/>
                      <w:szCs w:val="21"/>
                      <w:lang w:val="en-US" w:eastAsia="zh-CN"/>
                    </w:rPr>
                    <w:t>周期</w:t>
                  </w:r>
                  <w:r>
                    <w:rPr>
                      <w:b/>
                      <w:bCs/>
                      <w:color w:val="auto"/>
                      <w:sz w:val="21"/>
                      <w:szCs w:val="21"/>
                    </w:rPr>
                    <w:t>）</w:t>
                  </w:r>
                </w:p>
              </w:tc>
              <w:tc>
                <w:tcPr>
                  <w:tcW w:w="1016" w:type="dxa"/>
                  <w:vAlign w:val="center"/>
                </w:tcPr>
                <w:p>
                  <w:pPr>
                    <w:pStyle w:val="23"/>
                    <w:widowControl/>
                    <w:adjustRightInd w:val="0"/>
                    <w:snapToGrid w:val="0"/>
                    <w:spacing w:after="0"/>
                    <w:ind w:firstLine="0" w:firstLineChars="0"/>
                    <w:jc w:val="center"/>
                    <w:rPr>
                      <w:b/>
                      <w:bCs/>
                      <w:color w:val="auto"/>
                      <w:sz w:val="21"/>
                      <w:szCs w:val="21"/>
                    </w:rPr>
                  </w:pPr>
                  <w:r>
                    <w:rPr>
                      <w:b/>
                      <w:bCs/>
                      <w:color w:val="auto"/>
                      <w:sz w:val="21"/>
                      <w:szCs w:val="21"/>
                    </w:rPr>
                    <w:t>贮存方式</w:t>
                  </w:r>
                </w:p>
              </w:tc>
              <w:tc>
                <w:tcPr>
                  <w:tcW w:w="1368" w:type="dxa"/>
                  <w:vAlign w:val="center"/>
                </w:tcPr>
                <w:p>
                  <w:pPr>
                    <w:pStyle w:val="23"/>
                    <w:widowControl/>
                    <w:adjustRightInd w:val="0"/>
                    <w:snapToGrid w:val="0"/>
                    <w:spacing w:after="0"/>
                    <w:ind w:firstLine="0" w:firstLineChars="0"/>
                    <w:jc w:val="center"/>
                    <w:rPr>
                      <w:b/>
                      <w:bCs/>
                      <w:color w:val="auto"/>
                      <w:sz w:val="21"/>
                      <w:szCs w:val="21"/>
                    </w:rPr>
                  </w:pPr>
                  <w:r>
                    <w:rPr>
                      <w:b/>
                      <w:bCs/>
                      <w:color w:val="auto"/>
                      <w:sz w:val="21"/>
                      <w:szCs w:val="21"/>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54" w:type="dxa"/>
                  <w:vAlign w:val="center"/>
                </w:tcPr>
                <w:p>
                  <w:pPr>
                    <w:pStyle w:val="23"/>
                    <w:widowControl/>
                    <w:adjustRightInd w:val="0"/>
                    <w:snapToGrid w:val="0"/>
                    <w:spacing w:after="0"/>
                    <w:ind w:firstLine="0" w:firstLineChars="0"/>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除尘灰（颗粒物）</w:t>
                  </w:r>
                </w:p>
              </w:tc>
              <w:tc>
                <w:tcPr>
                  <w:tcW w:w="1024" w:type="dxa"/>
                  <w:vAlign w:val="center"/>
                </w:tcPr>
                <w:p>
                  <w:pPr>
                    <w:pStyle w:val="23"/>
                    <w:widowControl/>
                    <w:adjustRightInd w:val="0"/>
                    <w:snapToGrid w:val="0"/>
                    <w:spacing w:after="0"/>
                    <w:ind w:firstLine="0" w:firstLineChars="0"/>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除尘装置收集的粉尘</w:t>
                  </w:r>
                </w:p>
              </w:tc>
              <w:tc>
                <w:tcPr>
                  <w:tcW w:w="1620" w:type="dxa"/>
                  <w:vAlign w:val="center"/>
                </w:tcPr>
                <w:p>
                  <w:pPr>
                    <w:pStyle w:val="23"/>
                    <w:widowControl/>
                    <w:adjustRightInd w:val="0"/>
                    <w:snapToGrid w:val="0"/>
                    <w:spacing w:after="0"/>
                    <w:ind w:firstLine="0" w:firstLineChars="0"/>
                    <w:jc w:val="center"/>
                    <w:rPr>
                      <w:color w:val="auto"/>
                      <w:kern w:val="0"/>
                      <w:sz w:val="21"/>
                      <w:szCs w:val="21"/>
                    </w:rPr>
                  </w:pPr>
                  <w:r>
                    <w:rPr>
                      <w:rFonts w:hint="eastAsia"/>
                      <w:b w:val="0"/>
                      <w:bCs w:val="0"/>
                      <w:color w:val="auto"/>
                      <w:sz w:val="21"/>
                      <w:szCs w:val="21"/>
                      <w:lang w:val="en-US" w:eastAsia="zh-CN"/>
                    </w:rPr>
                    <w:t>一般固废</w:t>
                  </w:r>
                </w:p>
              </w:tc>
              <w:tc>
                <w:tcPr>
                  <w:tcW w:w="767" w:type="dxa"/>
                  <w:vAlign w:val="center"/>
                </w:tcPr>
                <w:p>
                  <w:pPr>
                    <w:pStyle w:val="23"/>
                    <w:widowControl/>
                    <w:adjustRightInd w:val="0"/>
                    <w:snapToGrid w:val="0"/>
                    <w:spacing w:after="0"/>
                    <w:ind w:firstLine="0" w:firstLineChars="0"/>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固态</w:t>
                  </w:r>
                </w:p>
              </w:tc>
              <w:tc>
                <w:tcPr>
                  <w:tcW w:w="1307" w:type="dxa"/>
                  <w:vAlign w:val="center"/>
                </w:tcPr>
                <w:p>
                  <w:pPr>
                    <w:pStyle w:val="23"/>
                    <w:widowControl/>
                    <w:adjustRightInd w:val="0"/>
                    <w:snapToGrid w:val="0"/>
                    <w:spacing w:after="0"/>
                    <w:ind w:firstLine="0" w:firstLineChars="0"/>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22.35</w:t>
                  </w:r>
                </w:p>
              </w:tc>
              <w:tc>
                <w:tcPr>
                  <w:tcW w:w="1016" w:type="dxa"/>
                  <w:vAlign w:val="center"/>
                </w:tcPr>
                <w:p>
                  <w:pPr>
                    <w:pStyle w:val="23"/>
                    <w:widowControl/>
                    <w:adjustRightInd w:val="0"/>
                    <w:snapToGrid w:val="0"/>
                    <w:spacing w:after="0"/>
                    <w:ind w:firstLine="0" w:firstLineChars="0"/>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布袋除尘器</w:t>
                  </w:r>
                </w:p>
              </w:tc>
              <w:tc>
                <w:tcPr>
                  <w:tcW w:w="1368" w:type="dxa"/>
                  <w:vAlign w:val="center"/>
                </w:tcPr>
                <w:p>
                  <w:pPr>
                    <w:pStyle w:val="23"/>
                    <w:widowControl/>
                    <w:adjustRightInd w:val="0"/>
                    <w:snapToGrid w:val="0"/>
                    <w:spacing w:after="0"/>
                    <w:ind w:firstLine="0" w:firstLineChars="0"/>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54" w:type="dxa"/>
                  <w:vAlign w:val="center"/>
                </w:tcPr>
                <w:p>
                  <w:pPr>
                    <w:pStyle w:val="23"/>
                    <w:widowControl/>
                    <w:adjustRightInd w:val="0"/>
                    <w:snapToGrid w:val="0"/>
                    <w:spacing w:after="0"/>
                    <w:ind w:firstLine="0" w:firstLineChars="0"/>
                    <w:jc w:val="center"/>
                    <w:rPr>
                      <w:color w:val="auto"/>
                      <w:sz w:val="21"/>
                      <w:szCs w:val="21"/>
                    </w:rPr>
                  </w:pPr>
                  <w:r>
                    <w:rPr>
                      <w:color w:val="auto"/>
                      <w:sz w:val="21"/>
                      <w:szCs w:val="21"/>
                    </w:rPr>
                    <w:t>废石料</w:t>
                  </w:r>
                </w:p>
              </w:tc>
              <w:tc>
                <w:tcPr>
                  <w:tcW w:w="1024" w:type="dxa"/>
                  <w:vAlign w:val="center"/>
                </w:tcPr>
                <w:p>
                  <w:pPr>
                    <w:pStyle w:val="23"/>
                    <w:widowControl/>
                    <w:adjustRightInd w:val="0"/>
                    <w:snapToGrid w:val="0"/>
                    <w:spacing w:after="0"/>
                    <w:ind w:firstLine="0" w:firstLineChars="0"/>
                    <w:jc w:val="center"/>
                    <w:rPr>
                      <w:color w:val="auto"/>
                      <w:sz w:val="21"/>
                      <w:szCs w:val="21"/>
                    </w:rPr>
                  </w:pPr>
                  <w:r>
                    <w:rPr>
                      <w:color w:val="auto"/>
                      <w:sz w:val="21"/>
                      <w:szCs w:val="21"/>
                    </w:rPr>
                    <w:t>石料配比筛选</w:t>
                  </w:r>
                </w:p>
              </w:tc>
              <w:tc>
                <w:tcPr>
                  <w:tcW w:w="1620" w:type="dxa"/>
                  <w:vAlign w:val="center"/>
                </w:tcPr>
                <w:p>
                  <w:pPr>
                    <w:pStyle w:val="23"/>
                    <w:widowControl/>
                    <w:adjustRightInd w:val="0"/>
                    <w:snapToGrid w:val="0"/>
                    <w:spacing w:after="0"/>
                    <w:ind w:firstLine="0" w:firstLineChars="0"/>
                    <w:jc w:val="center"/>
                    <w:rPr>
                      <w:color w:val="auto"/>
                      <w:sz w:val="21"/>
                      <w:szCs w:val="21"/>
                    </w:rPr>
                  </w:pPr>
                  <w:r>
                    <w:rPr>
                      <w:rFonts w:hint="eastAsia"/>
                      <w:b w:val="0"/>
                      <w:bCs w:val="0"/>
                      <w:color w:val="auto"/>
                      <w:sz w:val="21"/>
                      <w:szCs w:val="21"/>
                      <w:lang w:val="en-US" w:eastAsia="zh-CN"/>
                    </w:rPr>
                    <w:t>一般固废</w:t>
                  </w:r>
                </w:p>
              </w:tc>
              <w:tc>
                <w:tcPr>
                  <w:tcW w:w="767" w:type="dxa"/>
                  <w:vAlign w:val="center"/>
                </w:tcPr>
                <w:p>
                  <w:pPr>
                    <w:pStyle w:val="23"/>
                    <w:widowControl/>
                    <w:adjustRightInd w:val="0"/>
                    <w:snapToGrid w:val="0"/>
                    <w:spacing w:after="0"/>
                    <w:ind w:firstLine="0" w:firstLineChars="0"/>
                    <w:jc w:val="center"/>
                    <w:rPr>
                      <w:color w:val="auto"/>
                      <w:sz w:val="21"/>
                      <w:szCs w:val="21"/>
                    </w:rPr>
                  </w:pPr>
                  <w:r>
                    <w:rPr>
                      <w:color w:val="auto"/>
                      <w:sz w:val="21"/>
                      <w:szCs w:val="21"/>
                    </w:rPr>
                    <w:t>固态</w:t>
                  </w:r>
                </w:p>
              </w:tc>
              <w:tc>
                <w:tcPr>
                  <w:tcW w:w="1307" w:type="dxa"/>
                  <w:vAlign w:val="center"/>
                </w:tcPr>
                <w:p>
                  <w:pPr>
                    <w:pStyle w:val="23"/>
                    <w:widowControl/>
                    <w:adjustRightInd w:val="0"/>
                    <w:snapToGrid w:val="0"/>
                    <w:spacing w:after="0"/>
                    <w:ind w:firstLine="0" w:firstLineChars="0"/>
                    <w:jc w:val="center"/>
                    <w:rPr>
                      <w:rFonts w:hint="default" w:eastAsia="宋体"/>
                      <w:color w:val="auto"/>
                      <w:sz w:val="21"/>
                      <w:szCs w:val="21"/>
                      <w:lang w:val="en-US" w:eastAsia="zh-CN"/>
                    </w:rPr>
                  </w:pPr>
                  <w:r>
                    <w:rPr>
                      <w:rFonts w:hint="eastAsia"/>
                      <w:color w:val="auto"/>
                      <w:sz w:val="21"/>
                      <w:szCs w:val="21"/>
                      <w:lang w:val="en-US" w:eastAsia="zh-CN"/>
                    </w:rPr>
                    <w:t>65.50</w:t>
                  </w:r>
                </w:p>
              </w:tc>
              <w:tc>
                <w:tcPr>
                  <w:tcW w:w="1016" w:type="dxa"/>
                  <w:vAlign w:val="center"/>
                </w:tcPr>
                <w:p>
                  <w:pPr>
                    <w:pStyle w:val="23"/>
                    <w:widowControl/>
                    <w:adjustRightInd w:val="0"/>
                    <w:snapToGrid w:val="0"/>
                    <w:spacing w:after="0"/>
                    <w:ind w:firstLine="0" w:firstLineChars="0"/>
                    <w:jc w:val="center"/>
                    <w:rPr>
                      <w:color w:val="auto"/>
                      <w:sz w:val="21"/>
                      <w:szCs w:val="21"/>
                    </w:rPr>
                  </w:pPr>
                  <w:r>
                    <w:rPr>
                      <w:color w:val="auto"/>
                      <w:sz w:val="21"/>
                      <w:szCs w:val="21"/>
                    </w:rPr>
                    <w:t>原料仓暂存</w:t>
                  </w:r>
                </w:p>
              </w:tc>
              <w:tc>
                <w:tcPr>
                  <w:tcW w:w="1368" w:type="dxa"/>
                  <w:vAlign w:val="center"/>
                </w:tcPr>
                <w:p>
                  <w:pPr>
                    <w:pStyle w:val="23"/>
                    <w:widowControl/>
                    <w:adjustRightInd w:val="0"/>
                    <w:snapToGrid w:val="0"/>
                    <w:spacing w:after="0"/>
                    <w:ind w:firstLine="0" w:firstLineChars="0"/>
                    <w:jc w:val="center"/>
                    <w:rPr>
                      <w:color w:val="auto"/>
                      <w:sz w:val="21"/>
                      <w:szCs w:val="21"/>
                    </w:rPr>
                  </w:pPr>
                  <w:r>
                    <w:rPr>
                      <w:color w:val="auto"/>
                      <w:sz w:val="21"/>
                      <w:szCs w:val="21"/>
                    </w:rPr>
                    <w:t>生产厂家回收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54" w:type="dxa"/>
                  <w:vAlign w:val="center"/>
                </w:tcPr>
                <w:p>
                  <w:pPr>
                    <w:pStyle w:val="23"/>
                    <w:widowControl/>
                    <w:adjustRightInd w:val="0"/>
                    <w:snapToGrid w:val="0"/>
                    <w:spacing w:after="0"/>
                    <w:ind w:firstLine="0" w:firstLineChars="0"/>
                    <w:jc w:val="center"/>
                    <w:rPr>
                      <w:color w:val="auto"/>
                      <w:sz w:val="21"/>
                      <w:szCs w:val="21"/>
                    </w:rPr>
                  </w:pPr>
                  <w:r>
                    <w:rPr>
                      <w:color w:val="auto"/>
                      <w:sz w:val="21"/>
                      <w:szCs w:val="21"/>
                    </w:rPr>
                    <w:t>沉淀池沉渣</w:t>
                  </w:r>
                </w:p>
              </w:tc>
              <w:tc>
                <w:tcPr>
                  <w:tcW w:w="1024" w:type="dxa"/>
                  <w:vAlign w:val="center"/>
                </w:tcPr>
                <w:p>
                  <w:pPr>
                    <w:pStyle w:val="23"/>
                    <w:widowControl/>
                    <w:adjustRightInd w:val="0"/>
                    <w:snapToGrid w:val="0"/>
                    <w:spacing w:after="0"/>
                    <w:ind w:firstLine="0" w:firstLineChars="0"/>
                    <w:jc w:val="center"/>
                    <w:rPr>
                      <w:color w:val="auto"/>
                      <w:sz w:val="21"/>
                      <w:szCs w:val="21"/>
                    </w:rPr>
                  </w:pPr>
                  <w:r>
                    <w:rPr>
                      <w:color w:val="auto"/>
                      <w:sz w:val="21"/>
                      <w:szCs w:val="21"/>
                    </w:rPr>
                    <w:t>沉淀池废水沉淀</w:t>
                  </w:r>
                </w:p>
              </w:tc>
              <w:tc>
                <w:tcPr>
                  <w:tcW w:w="1620" w:type="dxa"/>
                  <w:vAlign w:val="center"/>
                </w:tcPr>
                <w:p>
                  <w:pPr>
                    <w:pStyle w:val="23"/>
                    <w:widowControl/>
                    <w:adjustRightInd w:val="0"/>
                    <w:snapToGrid w:val="0"/>
                    <w:spacing w:after="0"/>
                    <w:ind w:firstLine="0" w:firstLineChars="0"/>
                    <w:jc w:val="center"/>
                    <w:rPr>
                      <w:color w:val="auto"/>
                      <w:sz w:val="21"/>
                      <w:szCs w:val="21"/>
                    </w:rPr>
                  </w:pPr>
                  <w:r>
                    <w:rPr>
                      <w:rFonts w:hint="eastAsia"/>
                      <w:b w:val="0"/>
                      <w:bCs w:val="0"/>
                      <w:color w:val="auto"/>
                      <w:sz w:val="21"/>
                      <w:szCs w:val="21"/>
                      <w:lang w:val="en-US" w:eastAsia="zh-CN"/>
                    </w:rPr>
                    <w:t>一般固废</w:t>
                  </w:r>
                </w:p>
              </w:tc>
              <w:tc>
                <w:tcPr>
                  <w:tcW w:w="767" w:type="dxa"/>
                  <w:vAlign w:val="center"/>
                </w:tcPr>
                <w:p>
                  <w:pPr>
                    <w:pStyle w:val="23"/>
                    <w:widowControl/>
                    <w:adjustRightInd w:val="0"/>
                    <w:snapToGrid w:val="0"/>
                    <w:spacing w:after="0"/>
                    <w:ind w:firstLine="0" w:firstLineChars="0"/>
                    <w:jc w:val="center"/>
                    <w:rPr>
                      <w:color w:val="auto"/>
                      <w:sz w:val="21"/>
                      <w:szCs w:val="21"/>
                    </w:rPr>
                  </w:pPr>
                  <w:r>
                    <w:rPr>
                      <w:color w:val="auto"/>
                      <w:sz w:val="21"/>
                      <w:szCs w:val="21"/>
                    </w:rPr>
                    <w:t>固态</w:t>
                  </w:r>
                </w:p>
              </w:tc>
              <w:tc>
                <w:tcPr>
                  <w:tcW w:w="1307" w:type="dxa"/>
                  <w:vAlign w:val="center"/>
                </w:tcPr>
                <w:p>
                  <w:pPr>
                    <w:pStyle w:val="23"/>
                    <w:widowControl/>
                    <w:adjustRightInd w:val="0"/>
                    <w:snapToGrid w:val="0"/>
                    <w:spacing w:after="0"/>
                    <w:ind w:firstLine="0" w:firstLineChars="0"/>
                    <w:jc w:val="center"/>
                    <w:rPr>
                      <w:rFonts w:hint="default" w:eastAsia="宋体"/>
                      <w:color w:val="auto"/>
                      <w:sz w:val="21"/>
                      <w:szCs w:val="21"/>
                      <w:lang w:val="en-US" w:eastAsia="zh-CN"/>
                    </w:rPr>
                  </w:pPr>
                  <w:r>
                    <w:rPr>
                      <w:rFonts w:hint="eastAsia"/>
                      <w:color w:val="auto"/>
                      <w:sz w:val="21"/>
                      <w:szCs w:val="21"/>
                      <w:lang w:val="en-US" w:eastAsia="zh-CN"/>
                    </w:rPr>
                    <w:t>2.30</w:t>
                  </w:r>
                </w:p>
              </w:tc>
              <w:tc>
                <w:tcPr>
                  <w:tcW w:w="1016" w:type="dxa"/>
                  <w:vAlign w:val="center"/>
                </w:tcPr>
                <w:p>
                  <w:pPr>
                    <w:pStyle w:val="23"/>
                    <w:widowControl/>
                    <w:adjustRightInd w:val="0"/>
                    <w:snapToGrid w:val="0"/>
                    <w:spacing w:after="0"/>
                    <w:ind w:firstLine="0" w:firstLineChars="0"/>
                    <w:jc w:val="center"/>
                    <w:rPr>
                      <w:color w:val="auto"/>
                      <w:sz w:val="21"/>
                      <w:szCs w:val="21"/>
                    </w:rPr>
                  </w:pPr>
                  <w:r>
                    <w:rPr>
                      <w:color w:val="auto"/>
                      <w:sz w:val="21"/>
                      <w:szCs w:val="21"/>
                    </w:rPr>
                    <w:t>沉淀池</w:t>
                  </w:r>
                </w:p>
              </w:tc>
              <w:tc>
                <w:tcPr>
                  <w:tcW w:w="1368" w:type="dxa"/>
                  <w:vAlign w:val="center"/>
                </w:tcPr>
                <w:p>
                  <w:pPr>
                    <w:pStyle w:val="23"/>
                    <w:widowControl/>
                    <w:adjustRightInd w:val="0"/>
                    <w:snapToGrid w:val="0"/>
                    <w:spacing w:after="0"/>
                    <w:ind w:firstLine="0" w:firstLineChars="0"/>
                    <w:jc w:val="center"/>
                    <w:rPr>
                      <w:color w:val="auto"/>
                      <w:sz w:val="21"/>
                      <w:szCs w:val="21"/>
                    </w:rPr>
                  </w:pPr>
                  <w:r>
                    <w:rPr>
                      <w:color w:val="auto"/>
                      <w:sz w:val="21"/>
                      <w:szCs w:val="21"/>
                    </w:rPr>
                    <w:t>送至政府指定地点处置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054" w:type="dxa"/>
                  <w:shd w:val="clear" w:color="auto" w:fill="auto"/>
                  <w:vAlign w:val="center"/>
                </w:tcPr>
                <w:p>
                  <w:pPr>
                    <w:pStyle w:val="23"/>
                    <w:widowControl/>
                    <w:adjustRightInd w:val="0"/>
                    <w:snapToGrid w:val="0"/>
                    <w:spacing w:after="0"/>
                    <w:ind w:right="113" w:rightChars="0"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建筑垃圾</w:t>
                  </w:r>
                </w:p>
              </w:tc>
              <w:tc>
                <w:tcPr>
                  <w:tcW w:w="1024" w:type="dxa"/>
                  <w:shd w:val="clear" w:color="auto" w:fill="auto"/>
                  <w:vAlign w:val="center"/>
                </w:tcPr>
                <w:p>
                  <w:pPr>
                    <w:pStyle w:val="23"/>
                    <w:widowControl/>
                    <w:adjustRightInd w:val="0"/>
                    <w:snapToGrid w:val="0"/>
                    <w:spacing w:after="0"/>
                    <w:ind w:right="113" w:rightChars="0"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拌合</w:t>
                  </w:r>
                  <w:r>
                    <w:rPr>
                      <w:rFonts w:hint="eastAsia"/>
                      <w:color w:val="auto"/>
                      <w:sz w:val="21"/>
                      <w:szCs w:val="21"/>
                    </w:rPr>
                    <w:t>站拆除</w:t>
                  </w:r>
                </w:p>
              </w:tc>
              <w:tc>
                <w:tcPr>
                  <w:tcW w:w="1620" w:type="dxa"/>
                  <w:shd w:val="clear" w:color="auto" w:fill="auto"/>
                  <w:vAlign w:val="center"/>
                </w:tcPr>
                <w:p>
                  <w:pPr>
                    <w:pStyle w:val="23"/>
                    <w:widowControl/>
                    <w:adjustRightInd w:val="0"/>
                    <w:snapToGrid w:val="0"/>
                    <w:spacing w:after="0"/>
                    <w:ind w:right="113"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b w:val="0"/>
                      <w:bCs w:val="0"/>
                      <w:color w:val="auto"/>
                      <w:sz w:val="21"/>
                      <w:szCs w:val="21"/>
                      <w:lang w:val="en-US" w:eastAsia="zh-CN"/>
                    </w:rPr>
                    <w:t>一般固废</w:t>
                  </w:r>
                </w:p>
              </w:tc>
              <w:tc>
                <w:tcPr>
                  <w:tcW w:w="767" w:type="dxa"/>
                  <w:shd w:val="clear" w:color="auto" w:fill="auto"/>
                  <w:vAlign w:val="center"/>
                </w:tcPr>
                <w:p>
                  <w:pPr>
                    <w:pStyle w:val="23"/>
                    <w:widowControl/>
                    <w:adjustRightInd w:val="0"/>
                    <w:snapToGrid w:val="0"/>
                    <w:spacing w:after="0"/>
                    <w:ind w:right="113" w:rightChars="0"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固态</w:t>
                  </w:r>
                </w:p>
              </w:tc>
              <w:tc>
                <w:tcPr>
                  <w:tcW w:w="1307" w:type="dxa"/>
                  <w:shd w:val="clear" w:color="auto" w:fill="auto"/>
                  <w:vAlign w:val="center"/>
                </w:tcPr>
                <w:p>
                  <w:pPr>
                    <w:pStyle w:val="23"/>
                    <w:widowControl/>
                    <w:adjustRightInd w:val="0"/>
                    <w:snapToGrid w:val="0"/>
                    <w:spacing w:after="0"/>
                    <w:ind w:right="113"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3.00</w:t>
                  </w:r>
                </w:p>
              </w:tc>
              <w:tc>
                <w:tcPr>
                  <w:tcW w:w="1016" w:type="dxa"/>
                  <w:shd w:val="clear" w:color="auto" w:fill="auto"/>
                  <w:vAlign w:val="center"/>
                </w:tcPr>
                <w:p>
                  <w:pPr>
                    <w:pStyle w:val="23"/>
                    <w:widowControl/>
                    <w:adjustRightInd w:val="0"/>
                    <w:snapToGrid w:val="0"/>
                    <w:spacing w:after="0"/>
                    <w:ind w:right="113" w:rightChars="0"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c>
                <w:tcPr>
                  <w:tcW w:w="1368" w:type="dxa"/>
                  <w:shd w:val="clear" w:color="auto" w:fill="auto"/>
                  <w:vAlign w:val="center"/>
                </w:tcPr>
                <w:p>
                  <w:pPr>
                    <w:pStyle w:val="23"/>
                    <w:widowControl/>
                    <w:adjustRightInd w:val="0"/>
                    <w:snapToGrid w:val="0"/>
                    <w:spacing w:after="0"/>
                    <w:ind w:right="113" w:rightChars="0"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送至政府指定地点处置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054" w:type="dxa"/>
                  <w:vAlign w:val="center"/>
                </w:tcPr>
                <w:p>
                  <w:pPr>
                    <w:pStyle w:val="23"/>
                    <w:widowControl/>
                    <w:adjustRightInd w:val="0"/>
                    <w:snapToGrid w:val="0"/>
                    <w:spacing w:after="0"/>
                    <w:ind w:firstLine="0" w:firstLineChars="0"/>
                    <w:jc w:val="center"/>
                    <w:rPr>
                      <w:color w:val="auto"/>
                      <w:kern w:val="0"/>
                      <w:sz w:val="21"/>
                      <w:szCs w:val="21"/>
                    </w:rPr>
                  </w:pPr>
                  <w:r>
                    <w:rPr>
                      <w:color w:val="auto"/>
                      <w:sz w:val="21"/>
                      <w:szCs w:val="21"/>
                    </w:rPr>
                    <w:t>生活垃圾</w:t>
                  </w:r>
                </w:p>
              </w:tc>
              <w:tc>
                <w:tcPr>
                  <w:tcW w:w="1024" w:type="dxa"/>
                  <w:vAlign w:val="center"/>
                </w:tcPr>
                <w:p>
                  <w:pPr>
                    <w:pStyle w:val="23"/>
                    <w:widowControl/>
                    <w:adjustRightInd w:val="0"/>
                    <w:snapToGrid w:val="0"/>
                    <w:spacing w:after="0"/>
                    <w:ind w:firstLine="0" w:firstLineChars="0"/>
                    <w:jc w:val="center"/>
                    <w:rPr>
                      <w:rFonts w:hint="eastAsia" w:eastAsia="宋体"/>
                      <w:color w:val="auto"/>
                      <w:kern w:val="0"/>
                      <w:sz w:val="21"/>
                      <w:szCs w:val="21"/>
                      <w:lang w:val="en-US" w:eastAsia="zh-CN"/>
                    </w:rPr>
                  </w:pPr>
                  <w:r>
                    <w:rPr>
                      <w:color w:val="auto"/>
                      <w:sz w:val="21"/>
                      <w:szCs w:val="21"/>
                    </w:rPr>
                    <w:t>办公</w:t>
                  </w:r>
                  <w:r>
                    <w:rPr>
                      <w:rFonts w:hint="eastAsia"/>
                      <w:color w:val="auto"/>
                      <w:sz w:val="21"/>
                      <w:szCs w:val="21"/>
                      <w:lang w:val="en-US" w:eastAsia="zh-CN"/>
                    </w:rPr>
                    <w:t>作业</w:t>
                  </w:r>
                </w:p>
              </w:tc>
              <w:tc>
                <w:tcPr>
                  <w:tcW w:w="1620" w:type="dxa"/>
                  <w:vAlign w:val="center"/>
                </w:tcPr>
                <w:p>
                  <w:pPr>
                    <w:pStyle w:val="23"/>
                    <w:widowControl/>
                    <w:adjustRightInd w:val="0"/>
                    <w:snapToGrid w:val="0"/>
                    <w:spacing w:after="0"/>
                    <w:ind w:firstLine="0" w:firstLineChars="0"/>
                    <w:jc w:val="center"/>
                    <w:rPr>
                      <w:color w:val="auto"/>
                      <w:kern w:val="0"/>
                      <w:sz w:val="21"/>
                      <w:szCs w:val="21"/>
                    </w:rPr>
                  </w:pPr>
                  <w:r>
                    <w:rPr>
                      <w:rFonts w:hint="eastAsia"/>
                      <w:b w:val="0"/>
                      <w:bCs w:val="0"/>
                      <w:color w:val="auto"/>
                      <w:sz w:val="21"/>
                      <w:szCs w:val="21"/>
                      <w:lang w:val="en-US" w:eastAsia="zh-CN"/>
                    </w:rPr>
                    <w:t>生活垃圾</w:t>
                  </w:r>
                </w:p>
              </w:tc>
              <w:tc>
                <w:tcPr>
                  <w:tcW w:w="767" w:type="dxa"/>
                  <w:vAlign w:val="center"/>
                </w:tcPr>
                <w:p>
                  <w:pPr>
                    <w:pStyle w:val="23"/>
                    <w:widowControl/>
                    <w:adjustRightInd w:val="0"/>
                    <w:snapToGrid w:val="0"/>
                    <w:spacing w:after="0"/>
                    <w:ind w:firstLine="0" w:firstLineChars="0"/>
                    <w:jc w:val="center"/>
                    <w:rPr>
                      <w:color w:val="auto"/>
                      <w:kern w:val="0"/>
                      <w:sz w:val="21"/>
                      <w:szCs w:val="21"/>
                    </w:rPr>
                  </w:pPr>
                  <w:r>
                    <w:rPr>
                      <w:color w:val="auto"/>
                      <w:sz w:val="21"/>
                      <w:szCs w:val="21"/>
                    </w:rPr>
                    <w:t>固态</w:t>
                  </w:r>
                </w:p>
              </w:tc>
              <w:tc>
                <w:tcPr>
                  <w:tcW w:w="1307" w:type="dxa"/>
                  <w:vAlign w:val="center"/>
                </w:tcPr>
                <w:p>
                  <w:pPr>
                    <w:pStyle w:val="23"/>
                    <w:widowControl/>
                    <w:adjustRightInd w:val="0"/>
                    <w:snapToGrid w:val="0"/>
                    <w:spacing w:after="0"/>
                    <w:ind w:firstLine="0" w:firstLineChars="0"/>
                    <w:jc w:val="center"/>
                    <w:rPr>
                      <w:rFonts w:hint="default" w:eastAsia="宋体"/>
                      <w:color w:val="auto"/>
                      <w:kern w:val="0"/>
                      <w:sz w:val="21"/>
                      <w:szCs w:val="21"/>
                      <w:lang w:val="en-US" w:eastAsia="zh-CN"/>
                    </w:rPr>
                  </w:pPr>
                  <w:r>
                    <w:rPr>
                      <w:rFonts w:hint="eastAsia"/>
                      <w:color w:val="auto"/>
                      <w:kern w:val="0"/>
                      <w:sz w:val="21"/>
                      <w:szCs w:val="21"/>
                    </w:rPr>
                    <w:t>1.</w:t>
                  </w:r>
                  <w:r>
                    <w:rPr>
                      <w:rFonts w:hint="eastAsia"/>
                      <w:color w:val="auto"/>
                      <w:kern w:val="0"/>
                      <w:sz w:val="21"/>
                      <w:szCs w:val="21"/>
                      <w:lang w:val="en-US" w:eastAsia="zh-CN"/>
                    </w:rPr>
                    <w:t>38</w:t>
                  </w:r>
                </w:p>
              </w:tc>
              <w:tc>
                <w:tcPr>
                  <w:tcW w:w="1016" w:type="dxa"/>
                  <w:vAlign w:val="center"/>
                </w:tcPr>
                <w:p>
                  <w:pPr>
                    <w:pStyle w:val="23"/>
                    <w:widowControl/>
                    <w:adjustRightInd w:val="0"/>
                    <w:snapToGrid w:val="0"/>
                    <w:spacing w:after="0"/>
                    <w:ind w:firstLine="0" w:firstLineChars="0"/>
                    <w:jc w:val="center"/>
                    <w:rPr>
                      <w:color w:val="auto"/>
                      <w:kern w:val="0"/>
                      <w:sz w:val="21"/>
                      <w:szCs w:val="21"/>
                    </w:rPr>
                  </w:pPr>
                  <w:r>
                    <w:rPr>
                      <w:color w:val="auto"/>
                      <w:sz w:val="21"/>
                      <w:szCs w:val="21"/>
                    </w:rPr>
                    <w:t>垃圾桶</w:t>
                  </w:r>
                </w:p>
              </w:tc>
              <w:tc>
                <w:tcPr>
                  <w:tcW w:w="1368" w:type="dxa"/>
                  <w:vAlign w:val="center"/>
                </w:tcPr>
                <w:p>
                  <w:pPr>
                    <w:pStyle w:val="23"/>
                    <w:widowControl/>
                    <w:adjustRightInd w:val="0"/>
                    <w:snapToGrid w:val="0"/>
                    <w:spacing w:after="0"/>
                    <w:ind w:firstLine="0" w:firstLineChars="0"/>
                    <w:jc w:val="center"/>
                    <w:rPr>
                      <w:color w:val="auto"/>
                      <w:kern w:val="0"/>
                      <w:sz w:val="21"/>
                      <w:szCs w:val="21"/>
                    </w:rPr>
                  </w:pPr>
                  <w:r>
                    <w:rPr>
                      <w:color w:val="auto"/>
                      <w:kern w:val="0"/>
                      <w:sz w:val="21"/>
                      <w:szCs w:val="21"/>
                    </w:rPr>
                    <w:t>垃圾桶收集后运至附近的垃圾转运点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54" w:type="dxa"/>
                  <w:vAlign w:val="center"/>
                </w:tcPr>
                <w:p>
                  <w:pPr>
                    <w:pStyle w:val="23"/>
                    <w:widowControl/>
                    <w:adjustRightInd w:val="0"/>
                    <w:snapToGrid w:val="0"/>
                    <w:spacing w:after="0"/>
                    <w:ind w:firstLine="0" w:firstLineChars="0"/>
                    <w:jc w:val="center"/>
                    <w:rPr>
                      <w:color w:val="auto"/>
                      <w:sz w:val="21"/>
                      <w:szCs w:val="21"/>
                    </w:rPr>
                  </w:pPr>
                  <w:r>
                    <w:rPr>
                      <w:rFonts w:hint="default"/>
                      <w:color w:val="auto"/>
                      <w:sz w:val="21"/>
                      <w:szCs w:val="21"/>
                      <w:lang w:val="en-US" w:eastAsia="zh-CN"/>
                    </w:rPr>
                    <w:t>废</w:t>
                  </w:r>
                  <w:r>
                    <w:rPr>
                      <w:rFonts w:hint="eastAsia"/>
                      <w:color w:val="auto"/>
                      <w:sz w:val="21"/>
                      <w:szCs w:val="21"/>
                      <w:lang w:val="en-US" w:eastAsia="zh-CN"/>
                    </w:rPr>
                    <w:t>机</w:t>
                  </w:r>
                  <w:r>
                    <w:rPr>
                      <w:rFonts w:hint="default"/>
                      <w:color w:val="auto"/>
                      <w:sz w:val="21"/>
                      <w:szCs w:val="21"/>
                      <w:lang w:val="en-US" w:eastAsia="zh-CN"/>
                    </w:rPr>
                    <w:t>油</w:t>
                  </w:r>
                </w:p>
              </w:tc>
              <w:tc>
                <w:tcPr>
                  <w:tcW w:w="1024" w:type="dxa"/>
                  <w:vMerge w:val="restart"/>
                  <w:vAlign w:val="center"/>
                </w:tcPr>
                <w:p>
                  <w:pPr>
                    <w:pStyle w:val="23"/>
                    <w:widowControl/>
                    <w:adjustRightInd w:val="0"/>
                    <w:snapToGrid w:val="0"/>
                    <w:spacing w:after="0"/>
                    <w:ind w:firstLine="0" w:firstLineChars="0"/>
                    <w:jc w:val="center"/>
                    <w:rPr>
                      <w:color w:val="auto"/>
                      <w:sz w:val="21"/>
                      <w:szCs w:val="21"/>
                    </w:rPr>
                  </w:pPr>
                  <w:r>
                    <w:rPr>
                      <w:rFonts w:hint="eastAsia"/>
                      <w:color w:val="auto"/>
                      <w:sz w:val="21"/>
                      <w:szCs w:val="21"/>
                      <w:lang w:val="en-US" w:eastAsia="zh-CN"/>
                    </w:rPr>
                    <w:t>设备维护及检修</w:t>
                  </w:r>
                </w:p>
              </w:tc>
              <w:tc>
                <w:tcPr>
                  <w:tcW w:w="1620" w:type="dxa"/>
                  <w:vAlign w:val="center"/>
                </w:tcPr>
                <w:p>
                  <w:pPr>
                    <w:pStyle w:val="23"/>
                    <w:widowControl/>
                    <w:adjustRightInd w:val="0"/>
                    <w:snapToGrid w:val="0"/>
                    <w:spacing w:after="0"/>
                    <w:ind w:firstLine="0" w:firstLineChars="0"/>
                    <w:jc w:val="center"/>
                    <w:rPr>
                      <w:rFonts w:hint="eastAsia" w:eastAsia="宋体"/>
                      <w:color w:val="auto"/>
                      <w:sz w:val="21"/>
                      <w:szCs w:val="21"/>
                      <w:lang w:eastAsia="zh-CN"/>
                    </w:rPr>
                  </w:pPr>
                  <w:r>
                    <w:rPr>
                      <w:rFonts w:hint="eastAsia"/>
                      <w:color w:val="auto"/>
                      <w:sz w:val="21"/>
                      <w:szCs w:val="21"/>
                    </w:rPr>
                    <w:t>危险废物（HW08 900-218-08）</w:t>
                  </w:r>
                </w:p>
              </w:tc>
              <w:tc>
                <w:tcPr>
                  <w:tcW w:w="767" w:type="dxa"/>
                  <w:vAlign w:val="center"/>
                </w:tcPr>
                <w:p>
                  <w:pPr>
                    <w:pStyle w:val="23"/>
                    <w:widowControl/>
                    <w:adjustRightInd w:val="0"/>
                    <w:snapToGrid w:val="0"/>
                    <w:spacing w:after="0"/>
                    <w:ind w:firstLine="0" w:firstLineChars="0"/>
                    <w:jc w:val="center"/>
                    <w:rPr>
                      <w:color w:val="auto"/>
                      <w:sz w:val="21"/>
                      <w:szCs w:val="21"/>
                    </w:rPr>
                  </w:pPr>
                  <w:r>
                    <w:rPr>
                      <w:rFonts w:hint="eastAsia"/>
                      <w:color w:val="auto"/>
                      <w:sz w:val="21"/>
                      <w:szCs w:val="21"/>
                    </w:rPr>
                    <w:t>液体</w:t>
                  </w:r>
                </w:p>
              </w:tc>
              <w:tc>
                <w:tcPr>
                  <w:tcW w:w="1307" w:type="dxa"/>
                  <w:vAlign w:val="center"/>
                </w:tcPr>
                <w:p>
                  <w:pPr>
                    <w:pStyle w:val="23"/>
                    <w:widowControl/>
                    <w:adjustRightInd w:val="0"/>
                    <w:snapToGrid w:val="0"/>
                    <w:spacing w:after="0"/>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0.01</w:t>
                  </w:r>
                </w:p>
              </w:tc>
              <w:tc>
                <w:tcPr>
                  <w:tcW w:w="1016" w:type="dxa"/>
                  <w:vAlign w:val="center"/>
                </w:tcPr>
                <w:p>
                  <w:pPr>
                    <w:pStyle w:val="23"/>
                    <w:widowControl/>
                    <w:adjustRightInd w:val="0"/>
                    <w:snapToGrid w:val="0"/>
                    <w:spacing w:after="0"/>
                    <w:ind w:firstLine="0" w:firstLineChars="0"/>
                    <w:jc w:val="center"/>
                    <w:rPr>
                      <w:color w:val="auto"/>
                      <w:sz w:val="21"/>
                      <w:szCs w:val="21"/>
                    </w:rPr>
                  </w:pPr>
                  <w:r>
                    <w:rPr>
                      <w:rFonts w:hint="eastAsia"/>
                      <w:color w:val="auto"/>
                      <w:sz w:val="21"/>
                      <w:szCs w:val="21"/>
                    </w:rPr>
                    <w:t>桶装+托盘</w:t>
                  </w:r>
                </w:p>
              </w:tc>
              <w:tc>
                <w:tcPr>
                  <w:tcW w:w="1368" w:type="dxa"/>
                  <w:vMerge w:val="restart"/>
                  <w:vAlign w:val="center"/>
                </w:tcPr>
                <w:p>
                  <w:pPr>
                    <w:pStyle w:val="23"/>
                    <w:widowControl/>
                    <w:adjustRightInd w:val="0"/>
                    <w:snapToGrid w:val="0"/>
                    <w:spacing w:after="0"/>
                    <w:ind w:firstLine="0" w:firstLineChars="0"/>
                    <w:jc w:val="center"/>
                    <w:rPr>
                      <w:color w:val="auto"/>
                      <w:kern w:val="0"/>
                      <w:sz w:val="21"/>
                      <w:szCs w:val="21"/>
                    </w:rPr>
                  </w:pPr>
                  <w:r>
                    <w:rPr>
                      <w:rFonts w:hint="eastAsia"/>
                      <w:color w:val="auto"/>
                      <w:sz w:val="21"/>
                      <w:szCs w:val="21"/>
                    </w:rPr>
                    <w:t>分类收集后暂存于危废</w:t>
                  </w:r>
                  <w:r>
                    <w:rPr>
                      <w:rFonts w:hint="eastAsia"/>
                      <w:color w:val="auto"/>
                      <w:sz w:val="21"/>
                      <w:szCs w:val="21"/>
                      <w:lang w:val="en-US" w:eastAsia="zh-CN"/>
                    </w:rPr>
                    <w:t>贮存点</w:t>
                  </w:r>
                  <w:r>
                    <w:rPr>
                      <w:rFonts w:hint="eastAsia"/>
                      <w:color w:val="auto"/>
                      <w:sz w:val="21"/>
                      <w:szCs w:val="21"/>
                    </w:rPr>
                    <w:t>，定期交由相关资质单位处置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54" w:type="dxa"/>
                  <w:vAlign w:val="center"/>
                </w:tcPr>
                <w:p>
                  <w:pPr>
                    <w:pStyle w:val="23"/>
                    <w:widowControl/>
                    <w:adjustRightInd w:val="0"/>
                    <w:snapToGrid w:val="0"/>
                    <w:spacing w:after="0"/>
                    <w:ind w:firstLine="0" w:firstLineChars="0"/>
                    <w:jc w:val="center"/>
                    <w:rPr>
                      <w:color w:val="auto"/>
                      <w:sz w:val="21"/>
                      <w:szCs w:val="21"/>
                    </w:rPr>
                  </w:pPr>
                  <w:r>
                    <w:rPr>
                      <w:rFonts w:hint="default"/>
                      <w:color w:val="auto"/>
                      <w:sz w:val="21"/>
                      <w:szCs w:val="21"/>
                      <w:lang w:val="en-US" w:eastAsia="zh-CN"/>
                    </w:rPr>
                    <w:t>废</w:t>
                  </w:r>
                  <w:r>
                    <w:rPr>
                      <w:rFonts w:hint="eastAsia"/>
                      <w:color w:val="auto"/>
                      <w:sz w:val="21"/>
                      <w:szCs w:val="21"/>
                      <w:lang w:val="en-US" w:eastAsia="zh-CN"/>
                    </w:rPr>
                    <w:t>机</w:t>
                  </w:r>
                  <w:r>
                    <w:rPr>
                      <w:rFonts w:hint="default"/>
                      <w:color w:val="auto"/>
                      <w:sz w:val="21"/>
                      <w:szCs w:val="21"/>
                      <w:lang w:val="en-US" w:eastAsia="zh-CN"/>
                    </w:rPr>
                    <w:t>油桶</w:t>
                  </w:r>
                </w:p>
              </w:tc>
              <w:tc>
                <w:tcPr>
                  <w:tcW w:w="1024" w:type="dxa"/>
                  <w:vMerge w:val="continue"/>
                  <w:vAlign w:val="center"/>
                </w:tcPr>
                <w:p>
                  <w:pPr>
                    <w:pStyle w:val="23"/>
                    <w:widowControl/>
                    <w:adjustRightInd w:val="0"/>
                    <w:snapToGrid w:val="0"/>
                    <w:spacing w:after="0"/>
                    <w:ind w:firstLine="0" w:firstLineChars="0"/>
                    <w:jc w:val="center"/>
                    <w:rPr>
                      <w:rFonts w:hint="eastAsia"/>
                      <w:color w:val="auto"/>
                      <w:sz w:val="21"/>
                      <w:szCs w:val="21"/>
                      <w:lang w:val="en-US" w:eastAsia="zh-CN"/>
                    </w:rPr>
                  </w:pPr>
                </w:p>
              </w:tc>
              <w:tc>
                <w:tcPr>
                  <w:tcW w:w="1620" w:type="dxa"/>
                  <w:vAlign w:val="center"/>
                </w:tcPr>
                <w:p>
                  <w:pPr>
                    <w:adjustRightInd w:val="0"/>
                    <w:snapToGrid w:val="0"/>
                    <w:jc w:val="center"/>
                    <w:rPr>
                      <w:rFonts w:hint="eastAsia"/>
                      <w:color w:val="auto"/>
                      <w:sz w:val="21"/>
                      <w:szCs w:val="21"/>
                    </w:rPr>
                  </w:pPr>
                  <w:r>
                    <w:rPr>
                      <w:color w:val="auto"/>
                      <w:szCs w:val="21"/>
                    </w:rPr>
                    <w:t>危险废物（HW08 900-249-08）</w:t>
                  </w:r>
                </w:p>
              </w:tc>
              <w:tc>
                <w:tcPr>
                  <w:tcW w:w="767" w:type="dxa"/>
                  <w:vAlign w:val="center"/>
                </w:tcPr>
                <w:p>
                  <w:pPr>
                    <w:pStyle w:val="23"/>
                    <w:widowControl/>
                    <w:adjustRightInd w:val="0"/>
                    <w:snapToGrid w:val="0"/>
                    <w:spacing w:after="0"/>
                    <w:ind w:firstLine="0" w:firstLineChars="0"/>
                    <w:jc w:val="center"/>
                    <w:rPr>
                      <w:rFonts w:hint="eastAsia"/>
                      <w:color w:val="auto"/>
                      <w:sz w:val="21"/>
                      <w:szCs w:val="21"/>
                    </w:rPr>
                  </w:pPr>
                  <w:r>
                    <w:rPr>
                      <w:color w:val="auto"/>
                      <w:sz w:val="21"/>
                      <w:szCs w:val="21"/>
                    </w:rPr>
                    <w:t>固态</w:t>
                  </w:r>
                </w:p>
              </w:tc>
              <w:tc>
                <w:tcPr>
                  <w:tcW w:w="1307" w:type="dxa"/>
                  <w:vAlign w:val="center"/>
                </w:tcPr>
                <w:p>
                  <w:pPr>
                    <w:pStyle w:val="23"/>
                    <w:widowControl/>
                    <w:adjustRightInd w:val="0"/>
                    <w:snapToGrid w:val="0"/>
                    <w:spacing w:after="0"/>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0.01</w:t>
                  </w:r>
                </w:p>
              </w:tc>
              <w:tc>
                <w:tcPr>
                  <w:tcW w:w="1016" w:type="dxa"/>
                  <w:vAlign w:val="center"/>
                </w:tcPr>
                <w:p>
                  <w:pPr>
                    <w:adjustRightInd w:val="0"/>
                    <w:snapToGrid w:val="0"/>
                    <w:jc w:val="center"/>
                    <w:rPr>
                      <w:rFonts w:hint="eastAsia"/>
                      <w:color w:val="auto"/>
                      <w:sz w:val="21"/>
                      <w:szCs w:val="21"/>
                    </w:rPr>
                  </w:pPr>
                  <w:r>
                    <w:rPr>
                      <w:rFonts w:hint="eastAsia" w:ascii="宋体" w:hAnsi="宋体"/>
                      <w:color w:val="auto"/>
                    </w:rPr>
                    <w:t>指定区域堆存+托盘</w:t>
                  </w:r>
                </w:p>
              </w:tc>
              <w:tc>
                <w:tcPr>
                  <w:tcW w:w="1368" w:type="dxa"/>
                  <w:vMerge w:val="continue"/>
                  <w:vAlign w:val="center"/>
                </w:tcPr>
                <w:p>
                  <w:pPr>
                    <w:pStyle w:val="23"/>
                    <w:widowControl/>
                    <w:adjustRightInd w:val="0"/>
                    <w:snapToGrid w:val="0"/>
                    <w:spacing w:after="0"/>
                    <w:ind w:firstLine="0" w:firstLineChars="0"/>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54" w:type="dxa"/>
                  <w:vAlign w:val="center"/>
                </w:tcPr>
                <w:p>
                  <w:pPr>
                    <w:pStyle w:val="23"/>
                    <w:widowControl/>
                    <w:adjustRightInd w:val="0"/>
                    <w:snapToGrid w:val="0"/>
                    <w:spacing w:after="0"/>
                    <w:ind w:firstLine="0" w:firstLineChars="0"/>
                    <w:jc w:val="center"/>
                    <w:rPr>
                      <w:rFonts w:hint="default"/>
                      <w:color w:val="auto"/>
                      <w:sz w:val="21"/>
                      <w:szCs w:val="21"/>
                      <w:lang w:val="en-US" w:eastAsia="zh-CN"/>
                    </w:rPr>
                  </w:pPr>
                  <w:r>
                    <w:rPr>
                      <w:rFonts w:hint="default"/>
                      <w:color w:val="auto"/>
                      <w:sz w:val="21"/>
                      <w:szCs w:val="21"/>
                      <w:lang w:val="en-US" w:eastAsia="zh-CN"/>
                    </w:rPr>
                    <w:t>废沾油抹布及手套</w:t>
                  </w:r>
                </w:p>
              </w:tc>
              <w:tc>
                <w:tcPr>
                  <w:tcW w:w="1024" w:type="dxa"/>
                  <w:vMerge w:val="continue"/>
                  <w:vAlign w:val="center"/>
                </w:tcPr>
                <w:p>
                  <w:pPr>
                    <w:pStyle w:val="23"/>
                    <w:widowControl/>
                    <w:adjustRightInd w:val="0"/>
                    <w:snapToGrid w:val="0"/>
                    <w:spacing w:after="0"/>
                    <w:ind w:firstLine="0" w:firstLineChars="0"/>
                    <w:jc w:val="center"/>
                    <w:rPr>
                      <w:rFonts w:hint="eastAsia"/>
                      <w:color w:val="auto"/>
                      <w:sz w:val="21"/>
                      <w:szCs w:val="21"/>
                      <w:lang w:val="en-US" w:eastAsia="zh-CN"/>
                    </w:rPr>
                  </w:pPr>
                </w:p>
              </w:tc>
              <w:tc>
                <w:tcPr>
                  <w:tcW w:w="1620" w:type="dxa"/>
                  <w:vAlign w:val="center"/>
                </w:tcPr>
                <w:p>
                  <w:pPr>
                    <w:adjustRightInd w:val="0"/>
                    <w:snapToGrid w:val="0"/>
                    <w:jc w:val="center"/>
                    <w:rPr>
                      <w:rFonts w:hint="eastAsia"/>
                      <w:color w:val="auto"/>
                      <w:sz w:val="21"/>
                      <w:szCs w:val="21"/>
                    </w:rPr>
                  </w:pPr>
                  <w:r>
                    <w:rPr>
                      <w:color w:val="auto"/>
                      <w:szCs w:val="21"/>
                    </w:rPr>
                    <w:t>危险废物（HW49 900-041-49）</w:t>
                  </w:r>
                </w:p>
              </w:tc>
              <w:tc>
                <w:tcPr>
                  <w:tcW w:w="767" w:type="dxa"/>
                  <w:vAlign w:val="center"/>
                </w:tcPr>
                <w:p>
                  <w:pPr>
                    <w:pStyle w:val="23"/>
                    <w:widowControl/>
                    <w:adjustRightInd w:val="0"/>
                    <w:snapToGrid w:val="0"/>
                    <w:spacing w:after="0"/>
                    <w:ind w:firstLine="0" w:firstLineChars="0"/>
                    <w:jc w:val="center"/>
                    <w:rPr>
                      <w:rFonts w:hint="eastAsia"/>
                      <w:color w:val="auto"/>
                      <w:sz w:val="21"/>
                      <w:szCs w:val="21"/>
                    </w:rPr>
                  </w:pPr>
                  <w:r>
                    <w:rPr>
                      <w:color w:val="auto"/>
                      <w:sz w:val="21"/>
                      <w:szCs w:val="21"/>
                    </w:rPr>
                    <w:t>固态</w:t>
                  </w:r>
                </w:p>
              </w:tc>
              <w:tc>
                <w:tcPr>
                  <w:tcW w:w="1307" w:type="dxa"/>
                  <w:vAlign w:val="center"/>
                </w:tcPr>
                <w:p>
                  <w:pPr>
                    <w:pStyle w:val="23"/>
                    <w:widowControl/>
                    <w:adjustRightInd w:val="0"/>
                    <w:snapToGrid w:val="0"/>
                    <w:spacing w:after="0"/>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0.005</w:t>
                  </w:r>
                </w:p>
              </w:tc>
              <w:tc>
                <w:tcPr>
                  <w:tcW w:w="1016" w:type="dxa"/>
                  <w:vAlign w:val="center"/>
                </w:tcPr>
                <w:p>
                  <w:pPr>
                    <w:adjustRightInd w:val="0"/>
                    <w:snapToGrid w:val="0"/>
                    <w:jc w:val="center"/>
                    <w:rPr>
                      <w:rFonts w:hint="eastAsia"/>
                      <w:color w:val="auto"/>
                      <w:sz w:val="21"/>
                      <w:szCs w:val="21"/>
                    </w:rPr>
                  </w:pPr>
                  <w:r>
                    <w:rPr>
                      <w:rFonts w:hint="eastAsia"/>
                      <w:snapToGrid w:val="0"/>
                      <w:color w:val="auto"/>
                      <w:kern w:val="0"/>
                      <w:szCs w:val="21"/>
                    </w:rPr>
                    <w:t>桶装</w:t>
                  </w:r>
                </w:p>
              </w:tc>
              <w:tc>
                <w:tcPr>
                  <w:tcW w:w="1368" w:type="dxa"/>
                  <w:vMerge w:val="continue"/>
                  <w:vAlign w:val="center"/>
                </w:tcPr>
                <w:p>
                  <w:pPr>
                    <w:pStyle w:val="23"/>
                    <w:widowControl/>
                    <w:adjustRightInd w:val="0"/>
                    <w:snapToGrid w:val="0"/>
                    <w:spacing w:after="0"/>
                    <w:ind w:firstLine="0" w:firstLineChars="0"/>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8156" w:type="dxa"/>
                  <w:gridSpan w:val="7"/>
                  <w:vAlign w:val="center"/>
                </w:tcPr>
                <w:p>
                  <w:pPr>
                    <w:pStyle w:val="23"/>
                    <w:widowControl/>
                    <w:adjustRightInd w:val="0"/>
                    <w:snapToGrid w:val="0"/>
                    <w:spacing w:after="0"/>
                    <w:ind w:firstLine="0" w:firstLineChars="0"/>
                    <w:jc w:val="both"/>
                    <w:rPr>
                      <w:rFonts w:hint="default" w:eastAsia="宋体"/>
                      <w:color w:val="auto"/>
                      <w:sz w:val="21"/>
                      <w:szCs w:val="21"/>
                      <w:lang w:val="en-US" w:eastAsia="zh-CN"/>
                    </w:rPr>
                  </w:pPr>
                  <w:r>
                    <w:rPr>
                      <w:rFonts w:hint="eastAsia"/>
                      <w:color w:val="auto"/>
                      <w:sz w:val="21"/>
                      <w:szCs w:val="21"/>
                      <w:lang w:val="en-US" w:eastAsia="zh-CN"/>
                    </w:rPr>
                    <w:t>注：根据《固体废物分类与代码目录》中的分类情况可知，本项目</w:t>
                  </w:r>
                  <w:r>
                    <w:rPr>
                      <w:color w:val="auto"/>
                      <w:sz w:val="21"/>
                      <w:szCs w:val="21"/>
                    </w:rPr>
                    <w:t>沉淀池沉渣</w:t>
                  </w:r>
                  <w:r>
                    <w:rPr>
                      <w:rFonts w:hint="eastAsia"/>
                      <w:color w:val="auto"/>
                      <w:sz w:val="21"/>
                      <w:szCs w:val="21"/>
                      <w:lang w:val="en-US" w:eastAsia="zh-CN"/>
                    </w:rPr>
                    <w:t>属于“SW71工程泥浆”，废物代码为900-001-S71；拌合</w:t>
                  </w:r>
                  <w:r>
                    <w:rPr>
                      <w:rFonts w:hint="eastAsia"/>
                      <w:color w:val="auto"/>
                      <w:sz w:val="21"/>
                      <w:szCs w:val="21"/>
                    </w:rPr>
                    <w:t>站拆除</w:t>
                  </w:r>
                  <w:r>
                    <w:rPr>
                      <w:rFonts w:hint="eastAsia"/>
                      <w:color w:val="auto"/>
                      <w:sz w:val="21"/>
                      <w:szCs w:val="21"/>
                      <w:lang w:val="en-US" w:eastAsia="zh-CN"/>
                    </w:rPr>
                    <w:t>后产生的建筑垃圾属于“SW73拆除垃圾”废物代码为502-099-S73”。</w:t>
                  </w:r>
                </w:p>
              </w:tc>
            </w:tr>
          </w:tbl>
          <w:p>
            <w:pPr>
              <w:pStyle w:val="31"/>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default"/>
                <w:b/>
                <w:bCs/>
                <w:color w:val="auto"/>
                <w:lang w:val="en-US"/>
              </w:rPr>
            </w:pPr>
            <w:r>
              <w:rPr>
                <w:rFonts w:hint="eastAsia" w:eastAsiaTheme="minorEastAsia"/>
                <w:b/>
                <w:bCs/>
                <w:color w:val="auto"/>
                <w:lang w:val="en-US" w:eastAsia="zh-CN"/>
              </w:rPr>
              <w:t>2</w:t>
            </w:r>
            <w:r>
              <w:rPr>
                <w:rFonts w:eastAsiaTheme="minorEastAsia"/>
                <w:b/>
                <w:bCs/>
                <w:color w:val="auto"/>
              </w:rPr>
              <w:t>、</w:t>
            </w:r>
            <w:r>
              <w:rPr>
                <w:rFonts w:hint="eastAsia" w:eastAsiaTheme="minorEastAsia"/>
                <w:b/>
                <w:bCs/>
                <w:color w:val="auto"/>
                <w:lang w:val="en-US" w:eastAsia="zh-CN"/>
              </w:rPr>
              <w:t>环境管理要求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Theme="minorEastAsia"/>
                <w:color w:val="auto"/>
                <w:sz w:val="24"/>
                <w:lang w:val="en-US" w:eastAsia="zh-CN"/>
              </w:rPr>
            </w:pPr>
            <w:r>
              <w:rPr>
                <w:rFonts w:hint="eastAsia" w:eastAsiaTheme="minorEastAsia"/>
                <w:color w:val="auto"/>
                <w:sz w:val="24"/>
                <w:lang w:val="en-US" w:eastAsia="zh-CN"/>
              </w:rPr>
              <w:t>（1）生活垃圾按相关要求设分类垃圾桶进行收集；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Theme="minorEastAsia"/>
                <w:color w:val="auto"/>
                <w:sz w:val="24"/>
                <w:lang w:val="en-US" w:eastAsia="zh-CN"/>
              </w:rPr>
            </w:pPr>
            <w:r>
              <w:rPr>
                <w:rFonts w:hint="eastAsia" w:eastAsiaTheme="minorEastAsia"/>
                <w:color w:val="auto"/>
                <w:sz w:val="24"/>
                <w:lang w:val="en-US" w:eastAsia="zh-CN"/>
              </w:rPr>
              <w:t>（2）一般工业固废集中收集至固废暂存区，外售给回收单位或由相关有资质单位处理；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Theme="minorEastAsia"/>
                <w:color w:val="auto"/>
                <w:sz w:val="24"/>
                <w:lang w:val="en-US" w:eastAsia="zh-CN"/>
              </w:rPr>
            </w:pPr>
            <w:r>
              <w:rPr>
                <w:rFonts w:hint="eastAsia" w:eastAsiaTheme="minorEastAsia"/>
                <w:color w:val="auto"/>
                <w:sz w:val="24"/>
                <w:lang w:val="en-US" w:eastAsia="zh-CN"/>
              </w:rPr>
              <w:t>本项目一般固体废物执行《中华人民共和国固体废物污染环境防治法》（2020年修订）中的相关要求进行管理：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对固体废物实行从产生、运输直至最终处理实行全过程管理，加强固体废物运输过程的事故风险防范，按照有关法律法规的要求，对固体废弃物全过程管理应报当地生态环境行政主管部门等批准。禁止向生活垃圾收集设施中投放工业固体废物，生活垃圾及时清运，避免长期堆存产生二次污染。建设单位委托他人运输、利用、处置工业固体废物的，应当对受托方的主体资格和技术能力进行核实，依法签订书面合同，在合同中约定污染防治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Theme="minorEastAsia"/>
                <w:color w:val="auto"/>
                <w:sz w:val="24"/>
                <w:lang w:val="en-US" w:eastAsia="zh-CN"/>
              </w:rPr>
            </w:pPr>
            <w:r>
              <w:rPr>
                <w:rFonts w:hint="eastAsia" w:eastAsiaTheme="minorEastAsia"/>
                <w:color w:val="auto"/>
                <w:sz w:val="24"/>
                <w:lang w:val="en-US" w:eastAsia="zh-CN"/>
              </w:rPr>
              <w:t>（3）由于本项目建设临时拌合站，项目运营期3个月，服务期结束进行拆除，且产生的危险废物为</w:t>
            </w:r>
            <w:r>
              <w:rPr>
                <w:rFonts w:hint="default" w:ascii="Times New Roman" w:hAnsi="Times New Roman" w:eastAsia="宋体" w:cs="Times New Roman"/>
                <w:color w:val="auto"/>
                <w:kern w:val="0"/>
                <w:sz w:val="24"/>
                <w:szCs w:val="24"/>
                <w:lang w:val="en-US" w:eastAsia="zh-CN" w:bidi="ar"/>
              </w:rPr>
              <w:t>设备检修维护过程产生的废</w:t>
            </w:r>
            <w:r>
              <w:rPr>
                <w:rFonts w:hint="eastAsia" w:ascii="Times New Roman" w:hAnsi="Times New Roman" w:eastAsia="宋体" w:cs="Times New Roman"/>
                <w:color w:val="auto"/>
                <w:kern w:val="0"/>
                <w:sz w:val="24"/>
                <w:szCs w:val="24"/>
                <w:lang w:val="en-US" w:eastAsia="zh-CN" w:bidi="ar"/>
              </w:rPr>
              <w:t>机</w:t>
            </w:r>
            <w:r>
              <w:rPr>
                <w:rFonts w:hint="default" w:ascii="Times New Roman" w:hAnsi="Times New Roman" w:eastAsia="宋体" w:cs="Times New Roman"/>
                <w:color w:val="auto"/>
                <w:kern w:val="0"/>
                <w:sz w:val="24"/>
                <w:szCs w:val="24"/>
                <w:lang w:val="en-US" w:eastAsia="zh-CN" w:bidi="ar"/>
              </w:rPr>
              <w:t>油</w:t>
            </w:r>
            <w:r>
              <w:rPr>
                <w:rFonts w:hint="eastAsia" w:ascii="Times New Roman" w:hAnsi="Times New Roman" w:eastAsia="宋体" w:cs="Times New Roman"/>
                <w:color w:val="auto"/>
                <w:kern w:val="0"/>
                <w:sz w:val="24"/>
                <w:szCs w:val="24"/>
                <w:lang w:val="en-US" w:eastAsia="zh-CN" w:bidi="ar"/>
              </w:rPr>
              <w:t>、废机油桶和</w:t>
            </w:r>
            <w:r>
              <w:rPr>
                <w:rFonts w:hint="eastAsia" w:cs="Times New Roman"/>
                <w:color w:val="auto"/>
                <w:kern w:val="0"/>
                <w:sz w:val="24"/>
                <w:szCs w:val="24"/>
                <w:lang w:val="en-US" w:eastAsia="zh-CN" w:bidi="ar"/>
              </w:rPr>
              <w:t>废</w:t>
            </w:r>
            <w:r>
              <w:rPr>
                <w:rFonts w:hint="eastAsia" w:ascii="Times New Roman" w:hAnsi="Times New Roman" w:eastAsia="宋体" w:cs="Times New Roman"/>
                <w:color w:val="auto"/>
                <w:kern w:val="0"/>
                <w:sz w:val="24"/>
                <w:szCs w:val="24"/>
                <w:lang w:val="en-US" w:eastAsia="zh-CN" w:bidi="ar"/>
              </w:rPr>
              <w:t>沾油抹布及手套，</w:t>
            </w:r>
            <w:r>
              <w:rPr>
                <w:rFonts w:hint="eastAsia" w:eastAsiaTheme="minorEastAsia"/>
                <w:color w:val="auto"/>
                <w:sz w:val="24"/>
                <w:lang w:val="en-US" w:eastAsia="zh-CN"/>
              </w:rPr>
              <w:t>数量较少，根据《危险废物贮存污染控制标准》（GB18597-2023）贮存点规定：HJ 1259 规定的纳入危险废物登记管理单位的，用于同一生产经营场所专门贮存危险废物的场所；或产生危险废物的单位设置于生产线附近，用于暂时贮存以便于中转其产生的危险废物的场所。本项目在厂区内设置危险废物贮存点，危险废物集中收集分区暂存，定期交由有相关资质的单位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eastAsiaTheme="minorEastAsia"/>
                <w:color w:val="auto"/>
                <w:sz w:val="24"/>
                <w:lang w:val="en-US" w:eastAsia="zh-CN"/>
              </w:rPr>
            </w:pPr>
            <w:r>
              <w:rPr>
                <w:rFonts w:hint="eastAsia" w:eastAsiaTheme="minorEastAsia"/>
                <w:color w:val="auto"/>
                <w:sz w:val="24"/>
                <w:lang w:val="en-US" w:eastAsia="zh-CN"/>
              </w:rPr>
              <w:t>针对危险废物贮存点的管理需符合《危险废物贮存污染控制标准》（GB18597-2023）中有关要求：①贮存点应具有固定的区域边界，并应采取与其他区域进行隔离的措施；②贮存点应采取防风、防雨、防晒和防止危险废物流失、扬散等措施；③贮存点贮存的危险废物应置于容器或包装物中，不应直接散堆；④贮存点应根据危险废物的形态、物理化学性质、包装形式等，采取防渗、防漏等污染防治措施或采用具有相应功能的装置；⑤贮存点应及时清运贮存的危险废物，实时贮存量不应超过3吨；⑥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eastAsiaTheme="minorEastAsia"/>
                <w:color w:val="auto"/>
                <w:sz w:val="24"/>
                <w:vertAlign w:val="superscript"/>
                <w:lang w:val="en-US" w:eastAsia="zh-CN"/>
              </w:rPr>
              <w:t>-7</w:t>
            </w:r>
            <w:r>
              <w:rPr>
                <w:rFonts w:hint="eastAsia" w:eastAsiaTheme="minorEastAsia"/>
                <w:color w:val="auto"/>
                <w:sz w:val="24"/>
                <w:lang w:val="en-US" w:eastAsia="zh-CN"/>
              </w:rPr>
              <w:t>cm/s），或至少2mm厚高密度聚乙烯膜等人工防渗材料（渗透系数不大于10</w:t>
            </w:r>
            <w:r>
              <w:rPr>
                <w:rFonts w:hint="eastAsia" w:eastAsiaTheme="minorEastAsia"/>
                <w:color w:val="auto"/>
                <w:sz w:val="24"/>
                <w:vertAlign w:val="superscript"/>
                <w:lang w:val="en-US" w:eastAsia="zh-CN"/>
              </w:rPr>
              <w:t>-10</w:t>
            </w:r>
            <w:r>
              <w:rPr>
                <w:rFonts w:hint="eastAsia" w:eastAsiaTheme="minorEastAsia"/>
                <w:color w:val="auto"/>
                <w:sz w:val="24"/>
                <w:lang w:val="en-US" w:eastAsia="zh-CN"/>
              </w:rPr>
              <w:t>cm/s），或其他防渗性能等效的材料。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Theme="minorEastAsia"/>
                <w:color w:val="auto"/>
                <w:sz w:val="24"/>
                <w:lang w:val="en-US" w:eastAsia="zh-CN"/>
              </w:rPr>
            </w:pPr>
            <w:r>
              <w:rPr>
                <w:rFonts w:hint="eastAsia" w:eastAsiaTheme="minorEastAsia"/>
                <w:color w:val="auto"/>
                <w:sz w:val="24"/>
                <w:lang w:val="en-US" w:eastAsia="zh-CN"/>
              </w:rPr>
              <w:t>针对危险废物的日常管理提出以下要求：①建立台账管理制度，需注明危险废物的名称、来源、数量、特征和包装容器的类别、入库时间、存放位置、出库日期及处理单位名称等；②危险废物贮存点应设立明显的危险废物标志，贮存期限不得超过国家规定；③必须定期对所贮存的危险废物包装容器及贮存设施进行检查，发现破损，应及时采取措施清理更换；④危险废物的运输处理应交于有资质的单位进行统一处理，应与该单位签订危险废物处置合同；⑤建立危险废物申报和转移联单，各项手续应符合国家和当地环保部门要求；⑥建立危废档案制度，详细记录各项固体废物的种类和数量；⑦分区储存，对不相容的物质分开存放，且标明危废名称及标识，合理规划危废点布局。</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Theme="minorEastAsia"/>
                <w:color w:val="auto"/>
                <w:sz w:val="24"/>
                <w:lang w:val="en-US" w:eastAsia="zh-CN"/>
              </w:rPr>
            </w:pPr>
            <w:r>
              <w:rPr>
                <w:rFonts w:hint="eastAsia" w:eastAsiaTheme="minorEastAsia"/>
                <w:color w:val="auto"/>
                <w:sz w:val="24"/>
                <w:lang w:val="en-US" w:eastAsia="zh-CN"/>
              </w:rPr>
              <w:t>建设方必须将其产生的危险废物交给持有该种危险废物的《危险废物经营许可证》的单位进行运输、利用、处理，严禁擅自倾倒、排放或交未经认证的取得经营资格的单位进行处理、处置，并加强对危险废物的管理，做好危废出、入库登记。在日常管理中，应加强对危险废物贮存点的管理，出现问题及时解决，避免形成二次污染，对工作人员应进行专业培训，熟知各项固废知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eastAsiaTheme="minorEastAsia"/>
                <w:b/>
                <w:bCs/>
                <w:color w:val="auto"/>
                <w:sz w:val="24"/>
              </w:rPr>
            </w:pPr>
            <w:r>
              <w:rPr>
                <w:rFonts w:hint="eastAsia" w:eastAsiaTheme="minorEastAsia"/>
                <w:color w:val="auto"/>
                <w:sz w:val="24"/>
                <w:lang w:val="en-US" w:eastAsia="zh-CN"/>
              </w:rPr>
              <w:t>综上所述，本项目各类固废均得到有效的处理及处置，不会产生二次污染，对周围环境影响较小。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1" w:firstLineChars="200"/>
              <w:jc w:val="left"/>
              <w:textAlignment w:val="auto"/>
              <w:rPr>
                <w:rFonts w:eastAsiaTheme="minorEastAsia"/>
                <w:b/>
                <w:bCs/>
                <w:color w:val="auto"/>
                <w:sz w:val="24"/>
              </w:rPr>
            </w:pPr>
            <w:r>
              <w:rPr>
                <w:rFonts w:eastAsiaTheme="minorEastAsia"/>
                <w:b/>
                <w:bCs/>
                <w:color w:val="auto"/>
                <w:sz w:val="24"/>
              </w:rPr>
              <w:t>五、地下水、土壤</w:t>
            </w:r>
          </w:p>
          <w:p>
            <w:pPr>
              <w:pStyle w:val="16"/>
              <w:keepNext w:val="0"/>
              <w:keepLines w:val="0"/>
              <w:pageBreakBefore w:val="0"/>
              <w:kinsoku/>
              <w:wordWrap/>
              <w:overflowPunct/>
              <w:topLinePunct w:val="0"/>
              <w:autoSpaceDE/>
              <w:autoSpaceDN/>
              <w:bidi w:val="0"/>
              <w:adjustRightInd w:val="0"/>
              <w:snapToGrid w:val="0"/>
              <w:spacing w:line="360" w:lineRule="auto"/>
              <w:ind w:firstLine="481" w:firstLineChars="200"/>
              <w:textAlignment w:val="auto"/>
              <w:rPr>
                <w:rFonts w:eastAsiaTheme="minorEastAsia"/>
                <w:b/>
                <w:bCs/>
                <w:color w:val="auto"/>
                <w:sz w:val="24"/>
                <w:szCs w:val="24"/>
              </w:rPr>
            </w:pPr>
            <w:r>
              <w:rPr>
                <w:rFonts w:eastAsiaTheme="minorEastAsia"/>
                <w:b/>
                <w:bCs/>
                <w:color w:val="auto"/>
                <w:sz w:val="24"/>
                <w:szCs w:val="24"/>
              </w:rPr>
              <w:t>1、地下水和土壤环境影响分析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eastAsiaTheme="minorEastAsia"/>
                <w:color w:val="auto"/>
                <w:sz w:val="24"/>
              </w:rPr>
            </w:pPr>
            <w:r>
              <w:rPr>
                <w:rFonts w:eastAsiaTheme="minorEastAsia"/>
                <w:color w:val="auto"/>
                <w:kern w:val="0"/>
                <w:sz w:val="24"/>
                <w:lang w:bidi="ar"/>
              </w:rPr>
              <w:t>本项目可能对地下水、土壤环境产生影响</w:t>
            </w:r>
            <w:r>
              <w:rPr>
                <w:rFonts w:hint="eastAsia" w:eastAsiaTheme="minorEastAsia"/>
                <w:color w:val="auto"/>
                <w:kern w:val="0"/>
                <w:sz w:val="24"/>
                <w:lang w:val="en-US" w:eastAsia="zh-CN" w:bidi="ar"/>
              </w:rPr>
              <w:t>的情况为</w:t>
            </w:r>
            <w:r>
              <w:rPr>
                <w:rFonts w:hint="eastAsia" w:eastAsiaTheme="minorEastAsia"/>
                <w:color w:val="auto"/>
                <w:kern w:val="0"/>
                <w:sz w:val="24"/>
                <w:lang w:eastAsia="zh-CN" w:bidi="ar"/>
              </w:rPr>
              <w:t>：</w:t>
            </w:r>
            <w:r>
              <w:rPr>
                <w:rFonts w:eastAsiaTheme="minorEastAsia"/>
                <w:color w:val="auto"/>
                <w:kern w:val="0"/>
                <w:sz w:val="24"/>
                <w:lang w:bidi="ar"/>
              </w:rPr>
              <w:t>排放到大气中的粉尘</w:t>
            </w:r>
            <w:r>
              <w:rPr>
                <w:rFonts w:hint="eastAsia" w:eastAsiaTheme="minorEastAsia"/>
                <w:color w:val="auto"/>
                <w:kern w:val="0"/>
                <w:sz w:val="24"/>
                <w:lang w:val="en-US" w:eastAsia="zh-CN" w:bidi="ar"/>
              </w:rPr>
              <w:t>和</w:t>
            </w:r>
            <w:r>
              <w:rPr>
                <w:rFonts w:eastAsiaTheme="minorEastAsia"/>
                <w:color w:val="auto"/>
                <w:kern w:val="0"/>
                <w:sz w:val="24"/>
                <w:lang w:bidi="ar"/>
              </w:rPr>
              <w:t>生产或运输过程中散落的物料进入土壤并通过土壤下渗至地下水</w:t>
            </w:r>
            <w:r>
              <w:rPr>
                <w:rFonts w:hint="eastAsia" w:eastAsiaTheme="minorEastAsia"/>
                <w:color w:val="auto"/>
                <w:kern w:val="0"/>
                <w:sz w:val="24"/>
                <w:lang w:eastAsia="zh-CN" w:bidi="ar"/>
              </w:rPr>
              <w:t>；废</w:t>
            </w:r>
            <w:r>
              <w:rPr>
                <w:rFonts w:hint="eastAsia" w:eastAsiaTheme="minorEastAsia"/>
                <w:color w:val="auto"/>
                <w:kern w:val="0"/>
                <w:sz w:val="24"/>
                <w:lang w:val="en-US" w:eastAsia="zh-CN" w:bidi="ar"/>
              </w:rPr>
              <w:t>机油</w:t>
            </w:r>
            <w:r>
              <w:rPr>
                <w:rFonts w:hint="eastAsia" w:eastAsiaTheme="minorEastAsia"/>
                <w:color w:val="auto"/>
                <w:kern w:val="0"/>
                <w:sz w:val="24"/>
                <w:lang w:eastAsia="zh-CN" w:bidi="ar"/>
              </w:rPr>
              <w:t>泄漏下渗对土壤的影响。</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eastAsiaTheme="minorEastAsia"/>
                <w:color w:val="auto"/>
                <w:kern w:val="0"/>
                <w:sz w:val="24"/>
                <w:lang w:bidi="ar"/>
              </w:rPr>
            </w:pPr>
            <w:r>
              <w:rPr>
                <w:rFonts w:hint="eastAsia" w:eastAsiaTheme="minorEastAsia"/>
                <w:color w:val="auto"/>
                <w:kern w:val="0"/>
                <w:sz w:val="24"/>
                <w:lang w:val="en-US" w:eastAsia="zh-CN" w:bidi="ar"/>
              </w:rPr>
              <w:t>其中</w:t>
            </w:r>
            <w:r>
              <w:rPr>
                <w:rFonts w:eastAsiaTheme="minorEastAsia"/>
                <w:color w:val="auto"/>
                <w:kern w:val="0"/>
                <w:sz w:val="24"/>
                <w:lang w:bidi="ar"/>
              </w:rPr>
              <w:t>粉尘通过大气沉降降落到地表，污染厂区及周边土壤环境，其影响主要集中在土壤表层，且项目粉尘和散落的物料主要成分为水洗砂、水泥及石料等，不含有重金属和有毒有害物质；项目生产或物料运输过程中散落的物料，因降雨等造成地面漫流，污染厂区及周边土壤和地下水环境。但项目粉尘排放量较少，散落的物料能够及时清扫，基本不会通过土壤下渗至地下水环境</w:t>
            </w:r>
            <w:r>
              <w:rPr>
                <w:rFonts w:hint="eastAsia" w:eastAsiaTheme="minorEastAsia"/>
                <w:color w:val="auto"/>
                <w:kern w:val="0"/>
                <w:sz w:val="24"/>
                <w:lang w:eastAsia="zh-CN" w:bidi="ar"/>
              </w:rPr>
              <w:t>；</w:t>
            </w:r>
            <w:r>
              <w:rPr>
                <w:rFonts w:hint="eastAsia" w:eastAsiaTheme="minorEastAsia"/>
                <w:color w:val="auto"/>
                <w:kern w:val="0"/>
                <w:sz w:val="24"/>
                <w:lang w:val="en-US" w:eastAsia="zh-CN" w:bidi="ar"/>
              </w:rPr>
              <w:t>项目运行过程中产生的</w:t>
            </w:r>
            <w:r>
              <w:rPr>
                <w:rFonts w:hint="eastAsia" w:eastAsiaTheme="minorEastAsia"/>
                <w:color w:val="auto"/>
                <w:kern w:val="0"/>
                <w:sz w:val="24"/>
                <w:lang w:eastAsia="zh-CN" w:bidi="ar"/>
              </w:rPr>
              <w:t>废</w:t>
            </w:r>
            <w:r>
              <w:rPr>
                <w:rFonts w:hint="eastAsia" w:eastAsiaTheme="minorEastAsia"/>
                <w:color w:val="auto"/>
                <w:kern w:val="0"/>
                <w:sz w:val="24"/>
                <w:lang w:val="en-US" w:eastAsia="zh-CN" w:bidi="ar"/>
              </w:rPr>
              <w:t>机油采用托盘+桶装的形式存放于危险废物贮存点，贮存点采用严格的防渗措施</w:t>
            </w:r>
            <w:r>
              <w:rPr>
                <w:rFonts w:hint="eastAsia" w:eastAsiaTheme="minorEastAsia"/>
                <w:color w:val="auto"/>
                <w:kern w:val="0"/>
                <w:sz w:val="24"/>
                <w:lang w:eastAsia="zh-CN" w:bidi="ar"/>
              </w:rPr>
              <w:t>。</w:t>
            </w:r>
          </w:p>
          <w:p>
            <w:pPr>
              <w:pStyle w:val="16"/>
              <w:keepNext w:val="0"/>
              <w:keepLines w:val="0"/>
              <w:pageBreakBefore w:val="0"/>
              <w:kinsoku/>
              <w:wordWrap/>
              <w:overflowPunct/>
              <w:topLinePunct w:val="0"/>
              <w:autoSpaceDE/>
              <w:autoSpaceDN/>
              <w:bidi w:val="0"/>
              <w:adjustRightInd w:val="0"/>
              <w:snapToGrid w:val="0"/>
              <w:spacing w:line="360" w:lineRule="auto"/>
              <w:ind w:firstLine="481" w:firstLineChars="200"/>
              <w:jc w:val="both"/>
              <w:textAlignment w:val="auto"/>
              <w:rPr>
                <w:rFonts w:eastAsiaTheme="minorEastAsia"/>
                <w:b/>
                <w:bCs/>
                <w:color w:val="auto"/>
                <w:sz w:val="24"/>
                <w:szCs w:val="24"/>
              </w:rPr>
            </w:pPr>
            <w:r>
              <w:rPr>
                <w:rFonts w:eastAsiaTheme="minorEastAsia"/>
                <w:b/>
                <w:bCs/>
                <w:color w:val="auto"/>
                <w:sz w:val="24"/>
                <w:szCs w:val="24"/>
                <w:lang w:bidi="ar"/>
              </w:rPr>
              <w:t>2、污染防治措施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eastAsiaTheme="minorEastAsia"/>
                <w:color w:val="auto"/>
                <w:sz w:val="24"/>
              </w:rPr>
            </w:pPr>
            <w:r>
              <w:rPr>
                <w:rFonts w:eastAsiaTheme="minorEastAsia"/>
                <w:color w:val="auto"/>
                <w:kern w:val="0"/>
                <w:sz w:val="24"/>
                <w:lang w:bidi="ar"/>
              </w:rPr>
              <w:t>为减少项目对地下水和土壤环境的污染，主要采取以下防治措施：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eastAsiaTheme="minorEastAsia"/>
                <w:color w:val="auto"/>
                <w:kern w:val="0"/>
                <w:sz w:val="24"/>
                <w:lang w:bidi="ar"/>
              </w:rPr>
            </w:pPr>
            <w:r>
              <w:rPr>
                <w:rFonts w:eastAsiaTheme="minorEastAsia"/>
                <w:color w:val="auto"/>
                <w:kern w:val="0"/>
                <w:sz w:val="24"/>
                <w:lang w:bidi="ar"/>
              </w:rPr>
              <w:t>（1）项目物料装卸、储存、投料、输送、搅拌生产均采取密闭或遮挡措施，各产尘点均采取除尘或降尘措施，减少粉尘排放；</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eastAsiaTheme="minorEastAsia"/>
                <w:color w:val="auto"/>
                <w:kern w:val="0"/>
                <w:sz w:val="24"/>
                <w:lang w:bidi="ar"/>
              </w:rPr>
            </w:pPr>
            <w:r>
              <w:rPr>
                <w:rFonts w:eastAsiaTheme="minorEastAsia"/>
                <w:color w:val="auto"/>
                <w:kern w:val="0"/>
                <w:sz w:val="24"/>
                <w:lang w:bidi="ar"/>
              </w:rPr>
              <w:t>（2）厂区周围种植具有较强吸附能力的绿化植物；</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eastAsiaTheme="minorEastAsia"/>
                <w:color w:val="auto"/>
                <w:kern w:val="0"/>
                <w:sz w:val="24"/>
                <w:lang w:bidi="ar"/>
              </w:rPr>
            </w:pPr>
            <w:r>
              <w:rPr>
                <w:rFonts w:eastAsiaTheme="minorEastAsia"/>
                <w:color w:val="auto"/>
                <w:kern w:val="0"/>
                <w:sz w:val="24"/>
                <w:lang w:bidi="ar"/>
              </w:rPr>
              <w:t>（3）项目生产区、储存区及厂区道路采用碎石铺设，</w:t>
            </w:r>
            <w:r>
              <w:rPr>
                <w:rFonts w:hint="eastAsia" w:eastAsiaTheme="minorEastAsia"/>
                <w:color w:val="auto"/>
                <w:kern w:val="0"/>
                <w:sz w:val="24"/>
                <w:lang w:bidi="ar"/>
              </w:rPr>
              <w:t>外加剂罐</w:t>
            </w:r>
            <w:r>
              <w:rPr>
                <w:rFonts w:hint="eastAsia" w:eastAsiaTheme="minorEastAsia"/>
                <w:color w:val="auto"/>
                <w:kern w:val="0"/>
                <w:sz w:val="24"/>
                <w:lang w:eastAsia="zh-CN" w:bidi="ar"/>
              </w:rPr>
              <w:t>、</w:t>
            </w:r>
            <w:r>
              <w:rPr>
                <w:rFonts w:eastAsiaTheme="minorEastAsia"/>
                <w:color w:val="auto"/>
                <w:kern w:val="0"/>
                <w:sz w:val="24"/>
                <w:lang w:bidi="ar"/>
              </w:rPr>
              <w:t>沉淀池</w:t>
            </w:r>
            <w:r>
              <w:rPr>
                <w:rFonts w:hint="eastAsia" w:eastAsiaTheme="minorEastAsia"/>
                <w:color w:val="auto"/>
                <w:kern w:val="0"/>
                <w:sz w:val="24"/>
                <w:lang w:val="en-US" w:eastAsia="zh-CN" w:bidi="ar"/>
              </w:rPr>
              <w:t>及化粪池进行一般防渗，防渗层的采用不低于1.5m厚渗透系数为1.0×10</w:t>
            </w:r>
            <w:r>
              <w:rPr>
                <w:rFonts w:hint="eastAsia" w:eastAsiaTheme="minorEastAsia"/>
                <w:color w:val="auto"/>
                <w:kern w:val="0"/>
                <w:sz w:val="24"/>
                <w:vertAlign w:val="superscript"/>
                <w:lang w:val="en-US" w:eastAsia="zh-CN" w:bidi="ar"/>
              </w:rPr>
              <w:t>-7</w:t>
            </w:r>
            <w:r>
              <w:rPr>
                <w:rFonts w:hint="eastAsia" w:eastAsiaTheme="minorEastAsia"/>
                <w:color w:val="auto"/>
                <w:kern w:val="0"/>
                <w:sz w:val="24"/>
                <w:lang w:val="en-US" w:eastAsia="zh-CN" w:bidi="ar"/>
              </w:rPr>
              <w:t>cm/s的黏土层进行</w:t>
            </w:r>
            <w:r>
              <w:rPr>
                <w:rFonts w:eastAsiaTheme="minorEastAsia"/>
                <w:color w:val="auto"/>
                <w:kern w:val="0"/>
                <w:sz w:val="24"/>
                <w:lang w:bidi="ar"/>
              </w:rPr>
              <w:t>防渗处理</w:t>
            </w:r>
            <w:r>
              <w:rPr>
                <w:rFonts w:hint="eastAsia" w:eastAsiaTheme="minorEastAsia"/>
                <w:color w:val="auto"/>
                <w:kern w:val="0"/>
                <w:sz w:val="24"/>
                <w:lang w:eastAsia="zh-CN" w:bidi="ar"/>
              </w:rPr>
              <w:t>；</w:t>
            </w:r>
            <w:r>
              <w:rPr>
                <w:rFonts w:hint="eastAsia" w:eastAsiaTheme="minorEastAsia"/>
                <w:color w:val="auto"/>
                <w:kern w:val="0"/>
                <w:sz w:val="24"/>
                <w:lang w:val="en-US" w:eastAsia="zh-CN" w:bidi="ar"/>
              </w:rPr>
              <w:t>危险废物贮存点应设置</w:t>
            </w:r>
            <w:r>
              <w:rPr>
                <w:rFonts w:hint="eastAsia" w:eastAsiaTheme="minorEastAsia"/>
                <w:color w:val="auto"/>
                <w:sz w:val="24"/>
                <w:lang w:val="en-US" w:eastAsia="zh-CN"/>
              </w:rPr>
              <w:t>防渗层为至少1m厚黏土层（渗透系数不大于10</w:t>
            </w:r>
            <w:r>
              <w:rPr>
                <w:rFonts w:hint="eastAsia" w:eastAsiaTheme="minorEastAsia"/>
                <w:color w:val="auto"/>
                <w:sz w:val="24"/>
                <w:vertAlign w:val="superscript"/>
                <w:lang w:val="en-US" w:eastAsia="zh-CN"/>
              </w:rPr>
              <w:t>-7</w:t>
            </w:r>
            <w:r>
              <w:rPr>
                <w:rFonts w:hint="eastAsia" w:eastAsiaTheme="minorEastAsia"/>
                <w:color w:val="auto"/>
                <w:sz w:val="24"/>
                <w:lang w:val="en-US" w:eastAsia="zh-CN"/>
              </w:rPr>
              <w:t>cm/s），或至少2mm厚高密度聚乙烯膜等人工防渗材料（渗透系数不大于10</w:t>
            </w:r>
            <w:r>
              <w:rPr>
                <w:rFonts w:hint="eastAsia" w:eastAsiaTheme="minorEastAsia"/>
                <w:color w:val="auto"/>
                <w:sz w:val="24"/>
                <w:vertAlign w:val="superscript"/>
                <w:lang w:val="en-US" w:eastAsia="zh-CN"/>
              </w:rPr>
              <w:t>-10</w:t>
            </w:r>
            <w:r>
              <w:rPr>
                <w:rFonts w:hint="eastAsia" w:eastAsiaTheme="minorEastAsia"/>
                <w:color w:val="auto"/>
                <w:sz w:val="24"/>
                <w:lang w:val="en-US" w:eastAsia="zh-CN"/>
              </w:rPr>
              <w:t>cm/s），或其他防渗性能等效的材料。</w:t>
            </w:r>
            <w:r>
              <w:rPr>
                <w:rFonts w:eastAsiaTheme="minorEastAsia"/>
                <w:color w:val="auto"/>
                <w:kern w:val="0"/>
                <w:sz w:val="24"/>
                <w:lang w:bidi="ar"/>
              </w:rPr>
              <w:t>运营过程中，做好设备的维护、检修，杜绝</w:t>
            </w:r>
            <w:r>
              <w:rPr>
                <w:rFonts w:hint="eastAsia" w:eastAsiaTheme="minorEastAsia"/>
                <w:color w:val="auto"/>
                <w:kern w:val="0"/>
                <w:sz w:val="24"/>
                <w:lang w:val="en-US" w:eastAsia="zh-CN" w:bidi="ar"/>
              </w:rPr>
              <w:t>跑、冒、滴、漏</w:t>
            </w:r>
            <w:r>
              <w:rPr>
                <w:rFonts w:eastAsiaTheme="minorEastAsia"/>
                <w:color w:val="auto"/>
                <w:kern w:val="0"/>
                <w:sz w:val="24"/>
                <w:lang w:bidi="ar"/>
              </w:rPr>
              <w:t>现象；</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eastAsiaTheme="minorEastAsia"/>
                <w:color w:val="auto"/>
                <w:sz w:val="24"/>
              </w:rPr>
            </w:pPr>
            <w:r>
              <w:rPr>
                <w:rFonts w:eastAsiaTheme="minorEastAsia"/>
                <w:color w:val="auto"/>
                <w:kern w:val="0"/>
                <w:sz w:val="24"/>
                <w:lang w:bidi="ar"/>
              </w:rPr>
              <w:t>（4）物料运输过程中合理选择运输路线，定期清扫、洒水抑尘。</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eastAsiaTheme="minorEastAsia"/>
                <w:color w:val="auto"/>
                <w:kern w:val="0"/>
                <w:sz w:val="24"/>
                <w:lang w:bidi="ar"/>
              </w:rPr>
            </w:pPr>
            <w:r>
              <w:rPr>
                <w:rFonts w:eastAsiaTheme="minorEastAsia"/>
                <w:color w:val="auto"/>
                <w:kern w:val="0"/>
                <w:sz w:val="24"/>
                <w:lang w:bidi="ar"/>
              </w:rPr>
              <w:t>综上分析，通过采取以上防治措施，项目对厂区及周边地下水和土壤环境影响较小。</w:t>
            </w:r>
          </w:p>
          <w:p>
            <w:pPr>
              <w:pStyle w:val="6"/>
              <w:keepNext w:val="0"/>
              <w:keepLines w:val="0"/>
              <w:pageBreakBefore w:val="0"/>
              <w:kinsoku/>
              <w:wordWrap/>
              <w:overflowPunct/>
              <w:topLinePunct w:val="0"/>
              <w:autoSpaceDE/>
              <w:autoSpaceDN/>
              <w:bidi w:val="0"/>
              <w:adjustRightInd w:val="0"/>
              <w:snapToGrid w:val="0"/>
              <w:spacing w:after="0" w:line="360" w:lineRule="auto"/>
              <w:ind w:firstLine="0" w:firstLineChars="0"/>
              <w:jc w:val="both"/>
              <w:textAlignment w:val="auto"/>
              <w:rPr>
                <w:b/>
                <w:bCs/>
                <w:color w:val="auto"/>
                <w:kern w:val="2"/>
                <w:szCs w:val="24"/>
              </w:rPr>
            </w:pPr>
            <w:r>
              <w:rPr>
                <w:rFonts w:hint="eastAsia"/>
                <w:b/>
                <w:bCs/>
                <w:color w:val="auto"/>
                <w:kern w:val="2"/>
                <w:szCs w:val="24"/>
              </w:rPr>
              <w:t>六、</w:t>
            </w:r>
            <w:r>
              <w:rPr>
                <w:b/>
                <w:bCs/>
                <w:color w:val="auto"/>
                <w:kern w:val="2"/>
                <w:szCs w:val="24"/>
              </w:rPr>
              <w:t>生态环境</w:t>
            </w:r>
          </w:p>
          <w:p>
            <w:pPr>
              <w:pStyle w:val="16"/>
              <w:keepNext w:val="0"/>
              <w:keepLines w:val="0"/>
              <w:pageBreakBefore w:val="0"/>
              <w:kinsoku/>
              <w:wordWrap/>
              <w:overflowPunct/>
              <w:topLinePunct w:val="0"/>
              <w:autoSpaceDE/>
              <w:autoSpaceDN/>
              <w:bidi w:val="0"/>
              <w:adjustRightInd w:val="0"/>
              <w:snapToGrid w:val="0"/>
              <w:spacing w:line="360" w:lineRule="auto"/>
              <w:ind w:firstLine="481" w:firstLineChars="200"/>
              <w:jc w:val="both"/>
              <w:textAlignment w:val="auto"/>
              <w:rPr>
                <w:b/>
                <w:bCs/>
                <w:color w:val="auto"/>
                <w:sz w:val="24"/>
                <w:szCs w:val="24"/>
              </w:rPr>
            </w:pPr>
            <w:r>
              <w:rPr>
                <w:b/>
                <w:bCs/>
                <w:color w:val="auto"/>
                <w:sz w:val="24"/>
                <w:szCs w:val="24"/>
              </w:rPr>
              <w:t>1、生态环境影响分析</w:t>
            </w:r>
          </w:p>
          <w:p>
            <w:pPr>
              <w:keepNext w:val="0"/>
              <w:keepLines w:val="0"/>
              <w:pageBreakBefore w:val="0"/>
              <w:tabs>
                <w:tab w:val="center" w:pos="4396"/>
              </w:tabs>
              <w:kinsoku/>
              <w:wordWrap/>
              <w:overflowPunct/>
              <w:topLinePunct w:val="0"/>
              <w:autoSpaceDE/>
              <w:autoSpaceDN/>
              <w:bidi w:val="0"/>
              <w:adjustRightInd w:val="0"/>
              <w:snapToGrid w:val="0"/>
              <w:spacing w:line="360" w:lineRule="auto"/>
              <w:ind w:firstLine="482"/>
              <w:jc w:val="both"/>
              <w:textAlignment w:val="auto"/>
              <w:rPr>
                <w:rFonts w:hint="eastAsia"/>
                <w:color w:val="auto"/>
                <w:sz w:val="24"/>
                <w:lang w:val="en-US" w:eastAsia="zh-CN"/>
              </w:rPr>
            </w:pPr>
            <w:r>
              <w:rPr>
                <w:rFonts w:hint="eastAsia"/>
                <w:color w:val="auto"/>
                <w:sz w:val="24"/>
                <w:lang w:val="en-US" w:eastAsia="zh-CN"/>
              </w:rPr>
              <w:t>本</w:t>
            </w:r>
            <w:r>
              <w:rPr>
                <w:color w:val="auto"/>
                <w:sz w:val="24"/>
              </w:rPr>
              <w:t>项目用地为临时用地，</w:t>
            </w:r>
            <w:r>
              <w:rPr>
                <w:rFonts w:hint="eastAsia"/>
                <w:color w:val="auto"/>
                <w:sz w:val="24"/>
                <w:lang w:val="en-US" w:eastAsia="zh-CN"/>
              </w:rPr>
              <w:t>建设临时拌合站</w:t>
            </w:r>
            <w:r>
              <w:rPr>
                <w:color w:val="auto"/>
                <w:sz w:val="24"/>
              </w:rPr>
              <w:t>为</w:t>
            </w:r>
            <w:r>
              <w:rPr>
                <w:rFonts w:hint="eastAsia"/>
                <w:color w:val="auto"/>
                <w:sz w:val="24"/>
              </w:rPr>
              <w:t>黄河宁夏段河道治理工程(中卫段)2024年第一批一标段预制</w:t>
            </w:r>
            <w:r>
              <w:rPr>
                <w:rFonts w:hint="eastAsia"/>
                <w:color w:val="auto"/>
                <w:sz w:val="24"/>
                <w:lang w:val="en-US" w:eastAsia="zh-CN"/>
              </w:rPr>
              <w:t>项目</w:t>
            </w:r>
            <w:r>
              <w:rPr>
                <w:color w:val="auto"/>
                <w:sz w:val="24"/>
              </w:rPr>
              <w:t>提供混凝土。</w:t>
            </w:r>
            <w:r>
              <w:rPr>
                <w:rFonts w:hint="eastAsia"/>
                <w:color w:val="auto"/>
                <w:sz w:val="24"/>
                <w:lang w:val="en-US" w:eastAsia="zh-CN"/>
              </w:rPr>
              <w:t>项目占地范围现状土地类型为天然牧草地，项目已取得临时用地手续，具体占地情况见表4-15：</w:t>
            </w:r>
          </w:p>
          <w:p>
            <w:pPr>
              <w:pStyle w:val="35"/>
              <w:bidi w:val="0"/>
              <w:ind w:firstLine="421" w:firstLineChars="20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4-15</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b/>
                <w:bCs/>
                <w:color w:val="auto"/>
                <w:sz w:val="21"/>
                <w:szCs w:val="21"/>
                <w:lang w:val="en-US" w:eastAsia="zh-CN"/>
              </w:rPr>
              <w:t xml:space="preserve">项目占地范围现状土地类型及面积统计表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单位：</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lang w:val="en-US" w:eastAsia="zh-CN"/>
              </w:rPr>
              <w:t>2</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71"/>
              <w:gridCol w:w="1281"/>
              <w:gridCol w:w="1098"/>
              <w:gridCol w:w="1105"/>
              <w:gridCol w:w="1096"/>
              <w:gridCol w:w="1065"/>
              <w:gridCol w:w="191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463" w:type="pct"/>
                  <w:vMerge w:val="restart"/>
                  <w:tcBorders>
                    <w:tl2br w:val="nil"/>
                    <w:tr2bl w:val="nil"/>
                  </w:tcBorders>
                  <w:vAlign w:val="center"/>
                </w:tcPr>
                <w:p>
                  <w:pPr>
                    <w:adjustRightInd w:val="0"/>
                    <w:snapToGrid w:val="0"/>
                    <w:jc w:val="center"/>
                    <w:rPr>
                      <w:rFonts w:hint="eastAsia" w:ascii="Times New Roman" w:hAnsi="Times New Roman" w:eastAsia="宋体" w:cs="Times New Roman"/>
                      <w:b/>
                      <w:color w:val="auto"/>
                      <w:kern w:val="0"/>
                      <w:highlight w:val="none"/>
                      <w:lang w:eastAsia="zh-CN"/>
                    </w:rPr>
                  </w:pPr>
                  <w:r>
                    <w:rPr>
                      <w:rFonts w:hint="eastAsia" w:cs="Times New Roman"/>
                      <w:b/>
                      <w:color w:val="auto"/>
                      <w:kern w:val="0"/>
                      <w:highlight w:val="none"/>
                      <w:lang w:eastAsia="zh-CN"/>
                    </w:rPr>
                    <w:t>用地单元</w:t>
                  </w:r>
                </w:p>
              </w:tc>
              <w:tc>
                <w:tcPr>
                  <w:tcW w:w="1428" w:type="pct"/>
                  <w:gridSpan w:val="2"/>
                  <w:vMerge w:val="restart"/>
                  <w:tcBorders>
                    <w:tl2br w:val="nil"/>
                    <w:tr2bl w:val="nil"/>
                  </w:tcBorders>
                  <w:vAlign w:val="center"/>
                </w:tcPr>
                <w:p>
                  <w:pPr>
                    <w:adjustRightInd w:val="0"/>
                    <w:snapToGrid w:val="0"/>
                    <w:jc w:val="center"/>
                    <w:rPr>
                      <w:rFonts w:hint="eastAsia" w:cs="Times New Roman"/>
                      <w:b/>
                      <w:color w:val="auto"/>
                      <w:kern w:val="0"/>
                      <w:highlight w:val="none"/>
                      <w:lang w:eastAsia="zh-CN"/>
                    </w:rPr>
                  </w:pPr>
                  <w:r>
                    <w:rPr>
                      <w:rFonts w:hint="eastAsia" w:cs="Times New Roman"/>
                      <w:b/>
                      <w:color w:val="auto"/>
                      <w:kern w:val="0"/>
                      <w:highlight w:val="none"/>
                      <w:lang w:eastAsia="zh-CN"/>
                    </w:rPr>
                    <w:t>权属单位</w:t>
                  </w:r>
                </w:p>
              </w:tc>
              <w:tc>
                <w:tcPr>
                  <w:tcW w:w="663" w:type="pct"/>
                  <w:vMerge w:val="restart"/>
                  <w:tcBorders>
                    <w:tl2br w:val="nil"/>
                    <w:tr2bl w:val="nil"/>
                  </w:tcBorders>
                  <w:vAlign w:val="center"/>
                </w:tcPr>
                <w:p>
                  <w:pPr>
                    <w:adjustRightInd w:val="0"/>
                    <w:snapToGrid w:val="0"/>
                    <w:jc w:val="center"/>
                    <w:rPr>
                      <w:rFonts w:hint="eastAsia" w:ascii="Times New Roman" w:hAnsi="Times New Roman" w:eastAsia="宋体" w:cs="Times New Roman"/>
                      <w:b/>
                      <w:color w:val="auto"/>
                      <w:kern w:val="0"/>
                      <w:highlight w:val="none"/>
                      <w:lang w:eastAsia="zh-CN"/>
                    </w:rPr>
                  </w:pPr>
                  <w:r>
                    <w:rPr>
                      <w:rFonts w:hint="eastAsia" w:cs="Times New Roman"/>
                      <w:b/>
                      <w:color w:val="auto"/>
                      <w:kern w:val="0"/>
                      <w:highlight w:val="none"/>
                      <w:lang w:eastAsia="zh-CN"/>
                    </w:rPr>
                    <w:t>权属性质</w:t>
                  </w:r>
                </w:p>
              </w:tc>
              <w:tc>
                <w:tcPr>
                  <w:tcW w:w="657" w:type="pct"/>
                  <w:vMerge w:val="restart"/>
                  <w:tcBorders>
                    <w:tl2br w:val="nil"/>
                    <w:tr2bl w:val="nil"/>
                  </w:tcBorders>
                  <w:vAlign w:val="center"/>
                </w:tcPr>
                <w:p>
                  <w:pPr>
                    <w:adjustRightInd w:val="0"/>
                    <w:snapToGrid w:val="0"/>
                    <w:jc w:val="center"/>
                    <w:rPr>
                      <w:rFonts w:hint="eastAsia" w:ascii="Times New Roman" w:hAnsi="Times New Roman" w:eastAsia="宋体" w:cs="Times New Roman"/>
                      <w:b/>
                      <w:color w:val="auto"/>
                      <w:kern w:val="0"/>
                      <w:highlight w:val="none"/>
                      <w:lang w:eastAsia="zh-CN"/>
                    </w:rPr>
                  </w:pPr>
                  <w:r>
                    <w:rPr>
                      <w:rFonts w:hint="eastAsia" w:cs="Times New Roman"/>
                      <w:b/>
                      <w:color w:val="auto"/>
                      <w:kern w:val="0"/>
                      <w:highlight w:val="none"/>
                      <w:lang w:eastAsia="zh-CN"/>
                    </w:rPr>
                    <w:t>占地性质</w:t>
                  </w:r>
                </w:p>
              </w:tc>
              <w:tc>
                <w:tcPr>
                  <w:tcW w:w="639" w:type="pct"/>
                  <w:vMerge w:val="restart"/>
                  <w:tcBorders>
                    <w:tl2br w:val="nil"/>
                    <w:tr2bl w:val="nil"/>
                  </w:tcBorders>
                  <w:vAlign w:val="center"/>
                </w:tcPr>
                <w:p>
                  <w:pPr>
                    <w:adjustRightInd w:val="0"/>
                    <w:snapToGrid w:val="0"/>
                    <w:jc w:val="center"/>
                    <w:rPr>
                      <w:rFonts w:hint="eastAsia" w:ascii="Times New Roman" w:hAnsi="Times New Roman" w:eastAsia="宋体" w:cs="Times New Roman"/>
                      <w:b/>
                      <w:color w:val="auto"/>
                      <w:kern w:val="0"/>
                      <w:highlight w:val="none"/>
                      <w:lang w:eastAsia="zh-CN"/>
                    </w:rPr>
                  </w:pPr>
                  <w:r>
                    <w:rPr>
                      <w:rFonts w:hint="eastAsia" w:cs="Times New Roman"/>
                      <w:b/>
                      <w:color w:val="auto"/>
                      <w:kern w:val="0"/>
                      <w:highlight w:val="none"/>
                      <w:lang w:val="en-US" w:eastAsia="zh-CN"/>
                    </w:rPr>
                    <w:t>用地</w:t>
                  </w:r>
                  <w:r>
                    <w:rPr>
                      <w:rFonts w:hint="eastAsia" w:cs="Times New Roman"/>
                      <w:b/>
                      <w:color w:val="auto"/>
                      <w:kern w:val="0"/>
                      <w:highlight w:val="none"/>
                      <w:lang w:eastAsia="zh-CN"/>
                    </w:rPr>
                    <w:t>面积</w:t>
                  </w:r>
                </w:p>
              </w:tc>
              <w:tc>
                <w:tcPr>
                  <w:tcW w:w="1149" w:type="pct"/>
                  <w:tcBorders>
                    <w:tl2br w:val="nil"/>
                    <w:tr2bl w:val="nil"/>
                  </w:tcBorders>
                  <w:vAlign w:val="center"/>
                </w:tcPr>
                <w:p>
                  <w:pPr>
                    <w:adjustRightInd w:val="0"/>
                    <w:snapToGrid w:val="0"/>
                    <w:jc w:val="center"/>
                    <w:rPr>
                      <w:rFonts w:hint="eastAsia" w:ascii="Times New Roman" w:hAnsi="Times New Roman" w:eastAsia="宋体" w:cs="Times New Roman"/>
                      <w:b/>
                      <w:color w:val="auto"/>
                      <w:kern w:val="0"/>
                      <w:highlight w:val="none"/>
                      <w:lang w:eastAsia="zh-CN"/>
                    </w:rPr>
                  </w:pPr>
                  <w:r>
                    <w:rPr>
                      <w:rFonts w:hint="eastAsia" w:cs="Times New Roman"/>
                      <w:b/>
                      <w:color w:val="auto"/>
                      <w:spacing w:val="-17"/>
                      <w:kern w:val="0"/>
                      <w:sz w:val="21"/>
                      <w:highlight w:val="none"/>
                      <w:lang w:eastAsia="zh-CN"/>
                    </w:rPr>
                    <w:t>现状土地类型</w:t>
                  </w:r>
                  <w:r>
                    <w:rPr>
                      <w:rFonts w:hint="eastAsia" w:cs="Times New Roman"/>
                      <w:b/>
                      <w:color w:val="auto"/>
                      <w:spacing w:val="-17"/>
                      <w:kern w:val="0"/>
                      <w:sz w:val="21"/>
                      <w:highlight w:val="none"/>
                      <w:lang w:val="en-US" w:eastAsia="zh-CN"/>
                    </w:rPr>
                    <w:t>/</w:t>
                  </w:r>
                  <w:r>
                    <w:rPr>
                      <w:rFonts w:hint="eastAsia" w:cs="Times New Roman"/>
                      <w:b/>
                      <w:color w:val="auto"/>
                      <w:spacing w:val="-17"/>
                      <w:kern w:val="0"/>
                      <w:sz w:val="21"/>
                      <w:highlight w:val="none"/>
                      <w:lang w:eastAsia="zh-CN"/>
                    </w:rPr>
                    <w:t>面积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463" w:type="pct"/>
                  <w:vMerge w:val="continue"/>
                  <w:tcBorders>
                    <w:tl2br w:val="nil"/>
                    <w:tr2bl w:val="nil"/>
                  </w:tcBorders>
                  <w:vAlign w:val="center"/>
                </w:tcPr>
                <w:p>
                  <w:pPr>
                    <w:adjustRightInd w:val="0"/>
                    <w:snapToGrid w:val="0"/>
                    <w:jc w:val="center"/>
                    <w:rPr>
                      <w:rFonts w:hint="default" w:ascii="Times New Roman" w:hAnsi="Times New Roman" w:cs="Times New Roman"/>
                      <w:color w:val="auto"/>
                      <w:kern w:val="0"/>
                      <w:highlight w:val="none"/>
                    </w:rPr>
                  </w:pPr>
                </w:p>
              </w:tc>
              <w:tc>
                <w:tcPr>
                  <w:tcW w:w="1428" w:type="pct"/>
                  <w:gridSpan w:val="2"/>
                  <w:vMerge w:val="continue"/>
                  <w:tcBorders>
                    <w:tl2br w:val="nil"/>
                    <w:tr2bl w:val="nil"/>
                  </w:tcBorders>
                  <w:vAlign w:val="center"/>
                </w:tcPr>
                <w:p>
                  <w:pPr>
                    <w:adjustRightInd w:val="0"/>
                    <w:snapToGrid w:val="0"/>
                    <w:jc w:val="center"/>
                    <w:rPr>
                      <w:rFonts w:hint="default" w:ascii="Times New Roman" w:hAnsi="Times New Roman" w:cs="Times New Roman"/>
                      <w:color w:val="auto"/>
                      <w:kern w:val="0"/>
                      <w:highlight w:val="none"/>
                    </w:rPr>
                  </w:pPr>
                </w:p>
              </w:tc>
              <w:tc>
                <w:tcPr>
                  <w:tcW w:w="663" w:type="pct"/>
                  <w:vMerge w:val="continue"/>
                  <w:tcBorders>
                    <w:tl2br w:val="nil"/>
                    <w:tr2bl w:val="nil"/>
                  </w:tcBorders>
                  <w:vAlign w:val="center"/>
                </w:tcPr>
                <w:p>
                  <w:pPr>
                    <w:adjustRightInd w:val="0"/>
                    <w:snapToGrid w:val="0"/>
                    <w:jc w:val="center"/>
                    <w:rPr>
                      <w:rFonts w:hint="default" w:ascii="Times New Roman" w:hAnsi="Times New Roman" w:cs="Times New Roman"/>
                      <w:color w:val="auto"/>
                      <w:kern w:val="0"/>
                      <w:highlight w:val="none"/>
                    </w:rPr>
                  </w:pPr>
                </w:p>
              </w:tc>
              <w:tc>
                <w:tcPr>
                  <w:tcW w:w="657" w:type="pct"/>
                  <w:vMerge w:val="continue"/>
                  <w:tcBorders>
                    <w:tl2br w:val="nil"/>
                    <w:tr2bl w:val="nil"/>
                  </w:tcBorders>
                  <w:vAlign w:val="center"/>
                </w:tcPr>
                <w:p>
                  <w:pPr>
                    <w:adjustRightInd w:val="0"/>
                    <w:snapToGrid w:val="0"/>
                    <w:jc w:val="center"/>
                    <w:rPr>
                      <w:rFonts w:hint="default" w:ascii="Times New Roman" w:hAnsi="Times New Roman" w:cs="Times New Roman"/>
                      <w:b/>
                      <w:bCs/>
                      <w:color w:val="auto"/>
                      <w:kern w:val="0"/>
                      <w:highlight w:val="none"/>
                    </w:rPr>
                  </w:pPr>
                </w:p>
              </w:tc>
              <w:tc>
                <w:tcPr>
                  <w:tcW w:w="639" w:type="pct"/>
                  <w:vMerge w:val="continue"/>
                  <w:tcBorders>
                    <w:tl2br w:val="nil"/>
                    <w:tr2bl w:val="nil"/>
                  </w:tcBorders>
                  <w:vAlign w:val="center"/>
                </w:tcPr>
                <w:p>
                  <w:pPr>
                    <w:adjustRightInd w:val="0"/>
                    <w:snapToGrid w:val="0"/>
                    <w:jc w:val="center"/>
                    <w:rPr>
                      <w:rFonts w:hint="default" w:ascii="Times New Roman" w:hAnsi="Times New Roman" w:cs="Times New Roman"/>
                      <w:b/>
                      <w:bCs/>
                      <w:color w:val="auto"/>
                      <w:kern w:val="0"/>
                      <w:highlight w:val="none"/>
                    </w:rPr>
                  </w:pPr>
                </w:p>
              </w:tc>
              <w:tc>
                <w:tcPr>
                  <w:tcW w:w="1149" w:type="pct"/>
                  <w:tcBorders>
                    <w:tl2br w:val="nil"/>
                    <w:tr2bl w:val="nil"/>
                  </w:tcBorders>
                  <w:vAlign w:val="center"/>
                </w:tcPr>
                <w:p>
                  <w:pPr>
                    <w:adjustRightInd w:val="0"/>
                    <w:snapToGrid w:val="0"/>
                    <w:jc w:val="center"/>
                    <w:rPr>
                      <w:rFonts w:hint="eastAsia" w:ascii="Times New Roman" w:hAnsi="Times New Roman" w:eastAsia="宋体" w:cs="Times New Roman"/>
                      <w:b/>
                      <w:bCs/>
                      <w:color w:val="auto"/>
                      <w:kern w:val="0"/>
                      <w:highlight w:val="none"/>
                      <w:lang w:eastAsia="zh-CN"/>
                    </w:rPr>
                  </w:pPr>
                  <w:r>
                    <w:rPr>
                      <w:rFonts w:hint="eastAsia" w:cs="Times New Roman"/>
                      <w:b/>
                      <w:bCs/>
                      <w:color w:val="auto"/>
                      <w:kern w:val="0"/>
                      <w:highlight w:val="none"/>
                      <w:lang w:val="en-US" w:eastAsia="zh-CN"/>
                    </w:rPr>
                    <w:t>草地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463" w:type="pct"/>
                  <w:vMerge w:val="continue"/>
                  <w:tcBorders>
                    <w:tl2br w:val="nil"/>
                    <w:tr2bl w:val="nil"/>
                  </w:tcBorders>
                  <w:vAlign w:val="center"/>
                </w:tcPr>
                <w:p>
                  <w:pPr>
                    <w:adjustRightInd w:val="0"/>
                    <w:snapToGrid w:val="0"/>
                    <w:jc w:val="center"/>
                    <w:rPr>
                      <w:rFonts w:hint="default" w:ascii="Times New Roman" w:hAnsi="Times New Roman" w:cs="Times New Roman"/>
                      <w:color w:val="auto"/>
                      <w:kern w:val="0"/>
                      <w:highlight w:val="none"/>
                    </w:rPr>
                  </w:pPr>
                </w:p>
              </w:tc>
              <w:tc>
                <w:tcPr>
                  <w:tcW w:w="1428" w:type="pct"/>
                  <w:gridSpan w:val="2"/>
                  <w:vMerge w:val="continue"/>
                  <w:tcBorders>
                    <w:tl2br w:val="nil"/>
                    <w:tr2bl w:val="nil"/>
                  </w:tcBorders>
                  <w:vAlign w:val="center"/>
                </w:tcPr>
                <w:p>
                  <w:pPr>
                    <w:adjustRightInd w:val="0"/>
                    <w:snapToGrid w:val="0"/>
                    <w:jc w:val="center"/>
                    <w:rPr>
                      <w:rFonts w:hint="default" w:ascii="Times New Roman" w:hAnsi="Times New Roman" w:cs="Times New Roman"/>
                      <w:color w:val="auto"/>
                      <w:kern w:val="0"/>
                      <w:highlight w:val="none"/>
                    </w:rPr>
                  </w:pPr>
                </w:p>
              </w:tc>
              <w:tc>
                <w:tcPr>
                  <w:tcW w:w="663" w:type="pct"/>
                  <w:vMerge w:val="continue"/>
                  <w:tcBorders>
                    <w:tl2br w:val="nil"/>
                    <w:tr2bl w:val="nil"/>
                  </w:tcBorders>
                  <w:vAlign w:val="center"/>
                </w:tcPr>
                <w:p>
                  <w:pPr>
                    <w:adjustRightInd w:val="0"/>
                    <w:snapToGrid w:val="0"/>
                    <w:jc w:val="center"/>
                    <w:rPr>
                      <w:rFonts w:hint="default" w:ascii="Times New Roman" w:hAnsi="Times New Roman" w:cs="Times New Roman"/>
                      <w:color w:val="auto"/>
                      <w:kern w:val="0"/>
                      <w:highlight w:val="none"/>
                    </w:rPr>
                  </w:pPr>
                </w:p>
              </w:tc>
              <w:tc>
                <w:tcPr>
                  <w:tcW w:w="657" w:type="pct"/>
                  <w:vMerge w:val="continue"/>
                  <w:tcBorders>
                    <w:tl2br w:val="nil"/>
                    <w:tr2bl w:val="nil"/>
                  </w:tcBorders>
                  <w:vAlign w:val="center"/>
                </w:tcPr>
                <w:p>
                  <w:pPr>
                    <w:adjustRightInd w:val="0"/>
                    <w:snapToGrid w:val="0"/>
                    <w:jc w:val="center"/>
                    <w:rPr>
                      <w:rFonts w:hint="default" w:ascii="Times New Roman" w:hAnsi="Times New Roman" w:cs="Times New Roman"/>
                      <w:b/>
                      <w:bCs/>
                      <w:color w:val="auto"/>
                      <w:kern w:val="0"/>
                      <w:highlight w:val="none"/>
                    </w:rPr>
                  </w:pPr>
                </w:p>
              </w:tc>
              <w:tc>
                <w:tcPr>
                  <w:tcW w:w="639" w:type="pct"/>
                  <w:vMerge w:val="continue"/>
                  <w:tcBorders>
                    <w:tl2br w:val="nil"/>
                    <w:tr2bl w:val="nil"/>
                  </w:tcBorders>
                  <w:vAlign w:val="center"/>
                </w:tcPr>
                <w:p>
                  <w:pPr>
                    <w:adjustRightInd w:val="0"/>
                    <w:snapToGrid w:val="0"/>
                    <w:jc w:val="center"/>
                    <w:rPr>
                      <w:rFonts w:hint="default" w:ascii="Times New Roman" w:hAnsi="Times New Roman" w:cs="Times New Roman"/>
                      <w:b/>
                      <w:bCs/>
                      <w:color w:val="auto"/>
                      <w:kern w:val="0"/>
                      <w:highlight w:val="none"/>
                    </w:rPr>
                  </w:pPr>
                </w:p>
              </w:tc>
              <w:tc>
                <w:tcPr>
                  <w:tcW w:w="1149" w:type="pct"/>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0"/>
                      <w:highlight w:val="none"/>
                      <w:lang w:val="en-US" w:eastAsia="zh-CN"/>
                    </w:rPr>
                  </w:pPr>
                  <w:r>
                    <w:rPr>
                      <w:rFonts w:hint="eastAsia" w:cs="Times New Roman"/>
                      <w:b/>
                      <w:bCs/>
                      <w:color w:val="auto"/>
                      <w:kern w:val="0"/>
                      <w:highlight w:val="none"/>
                      <w:lang w:val="en-US" w:eastAsia="zh-CN"/>
                    </w:rPr>
                    <w:t>天然牧草地（0401）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3" w:hRule="atLeast"/>
              </w:trPr>
              <w:tc>
                <w:tcPr>
                  <w:tcW w:w="46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cs="Times New Roman"/>
                      <w:b/>
                      <w:bCs/>
                      <w:color w:val="auto"/>
                      <w:kern w:val="0"/>
                      <w:highlight w:val="none"/>
                    </w:rPr>
                  </w:pPr>
                  <w:r>
                    <w:rPr>
                      <w:rFonts w:hint="eastAsia" w:cs="Times New Roman"/>
                      <w:b/>
                      <w:bCs/>
                      <w:color w:val="auto"/>
                      <w:kern w:val="0"/>
                      <w:highlight w:val="none"/>
                      <w:lang w:val="en-US" w:eastAsia="zh-CN"/>
                    </w:rPr>
                    <w:t>预制场</w:t>
                  </w:r>
                </w:p>
              </w:tc>
              <w:tc>
                <w:tcPr>
                  <w:tcW w:w="769" w:type="pct"/>
                  <w:tcBorders>
                    <w:tl2br w:val="nil"/>
                    <w:tr2bl w:val="nil"/>
                  </w:tcBorders>
                  <w:vAlign w:val="center"/>
                </w:tcPr>
                <w:p>
                  <w:pPr>
                    <w:adjustRightInd w:val="0"/>
                    <w:snapToGrid w:val="0"/>
                    <w:jc w:val="center"/>
                    <w:rPr>
                      <w:rFonts w:hint="eastAsia" w:ascii="Times New Roman" w:hAnsi="Times New Roman" w:eastAsia="宋体" w:cs="Times New Roman"/>
                      <w:color w:val="auto"/>
                      <w:kern w:val="0"/>
                      <w:highlight w:val="none"/>
                      <w:lang w:eastAsia="zh-CN"/>
                    </w:rPr>
                  </w:pPr>
                  <w:r>
                    <w:rPr>
                      <w:rFonts w:hint="eastAsia" w:ascii="Times New Roman" w:hAnsi="Times New Roman" w:eastAsia="宋体" w:cs="Times New Roman"/>
                      <w:color w:val="auto"/>
                      <w:kern w:val="0"/>
                      <w:highlight w:val="none"/>
                      <w:lang w:eastAsia="zh-CN"/>
                    </w:rPr>
                    <w:t>中卫市沙坡头区</w:t>
                  </w:r>
                  <w:r>
                    <w:rPr>
                      <w:rFonts w:hint="eastAsia" w:cs="Times New Roman"/>
                      <w:color w:val="auto"/>
                      <w:kern w:val="0"/>
                      <w:highlight w:val="none"/>
                      <w:lang w:val="en-US" w:eastAsia="zh-CN"/>
                    </w:rPr>
                    <w:t>东园</w:t>
                  </w:r>
                  <w:r>
                    <w:rPr>
                      <w:rFonts w:hint="eastAsia" w:cs="Times New Roman"/>
                      <w:color w:val="auto"/>
                      <w:kern w:val="0"/>
                      <w:highlight w:val="none"/>
                      <w:lang w:eastAsia="zh-CN"/>
                    </w:rPr>
                    <w:t>镇</w:t>
                  </w:r>
                </w:p>
              </w:tc>
              <w:tc>
                <w:tcPr>
                  <w:tcW w:w="658" w:type="pct"/>
                  <w:tcBorders>
                    <w:tl2br w:val="nil"/>
                    <w:tr2bl w:val="nil"/>
                  </w:tcBorders>
                  <w:vAlign w:val="center"/>
                </w:tcPr>
                <w:p>
                  <w:pPr>
                    <w:adjustRightInd w:val="0"/>
                    <w:snapToGrid w:val="0"/>
                    <w:jc w:val="center"/>
                    <w:rPr>
                      <w:rFonts w:hint="default" w:cs="Times New Roman"/>
                      <w:color w:val="auto"/>
                      <w:kern w:val="0"/>
                      <w:highlight w:val="none"/>
                      <w:lang w:val="en-US" w:eastAsia="zh-CN"/>
                    </w:rPr>
                  </w:pPr>
                  <w:r>
                    <w:rPr>
                      <w:rFonts w:hint="eastAsia" w:cs="Times New Roman"/>
                      <w:color w:val="auto"/>
                      <w:kern w:val="0"/>
                      <w:highlight w:val="none"/>
                      <w:lang w:val="en-US" w:eastAsia="zh-CN"/>
                    </w:rPr>
                    <w:t>新北山区</w:t>
                  </w:r>
                </w:p>
              </w:tc>
              <w:tc>
                <w:tcPr>
                  <w:tcW w:w="663" w:type="pct"/>
                  <w:tcBorders>
                    <w:tl2br w:val="nil"/>
                    <w:tr2bl w:val="nil"/>
                  </w:tcBorders>
                  <w:vAlign w:val="center"/>
                </w:tcPr>
                <w:p>
                  <w:pPr>
                    <w:adjustRightInd w:val="0"/>
                    <w:snapToGrid w:val="0"/>
                    <w:jc w:val="center"/>
                    <w:rPr>
                      <w:rFonts w:hint="eastAsia" w:ascii="Times New Roman" w:hAnsi="Times New Roman" w:eastAsia="宋体" w:cs="Times New Roman"/>
                      <w:color w:val="auto"/>
                      <w:kern w:val="0"/>
                      <w:highlight w:val="none"/>
                      <w:lang w:eastAsia="zh-CN"/>
                    </w:rPr>
                  </w:pPr>
                  <w:r>
                    <w:rPr>
                      <w:rFonts w:hint="eastAsia" w:cs="Times New Roman"/>
                      <w:color w:val="auto"/>
                      <w:kern w:val="0"/>
                      <w:highlight w:val="none"/>
                      <w:lang w:eastAsia="zh-CN"/>
                    </w:rPr>
                    <w:t>国有</w:t>
                  </w:r>
                </w:p>
              </w:tc>
              <w:tc>
                <w:tcPr>
                  <w:tcW w:w="65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highlight w:val="none"/>
                      <w:lang w:val="en-US" w:eastAsia="zh-CN"/>
                    </w:rPr>
                  </w:pPr>
                  <w:r>
                    <w:rPr>
                      <w:rFonts w:hint="eastAsia" w:cs="Times New Roman"/>
                      <w:color w:val="auto"/>
                      <w:kern w:val="0"/>
                      <w:highlight w:val="none"/>
                      <w:lang w:val="en-US" w:eastAsia="zh-CN"/>
                    </w:rPr>
                    <w:t>临时占地</w:t>
                  </w:r>
                </w:p>
              </w:tc>
              <w:tc>
                <w:tcPr>
                  <w:tcW w:w="639" w:type="pct"/>
                  <w:tcBorders>
                    <w:tl2br w:val="nil"/>
                    <w:tr2bl w:val="nil"/>
                  </w:tcBorders>
                  <w:vAlign w:val="center"/>
                </w:tcPr>
                <w:p>
                  <w:pPr>
                    <w:keepNext w:val="0"/>
                    <w:keepLines w:val="0"/>
                    <w:widowControl/>
                    <w:suppressLineNumbers w:val="0"/>
                    <w:jc w:val="center"/>
                    <w:rPr>
                      <w:rFonts w:hint="default" w:ascii="Times New Roman" w:hAnsi="Times New Roman" w:cs="Times New Roman"/>
                      <w:color w:val="auto"/>
                      <w:kern w:val="0"/>
                      <w:highlight w:val="none"/>
                      <w:lang w:val="en-US"/>
                    </w:rPr>
                  </w:pPr>
                  <w:r>
                    <w:rPr>
                      <w:rFonts w:hint="eastAsia" w:cs="Times New Roman"/>
                      <w:color w:val="auto"/>
                      <w:kern w:val="0"/>
                      <w:sz w:val="20"/>
                      <w:szCs w:val="20"/>
                      <w:lang w:val="en-US" w:eastAsia="zh-CN" w:bidi="ar"/>
                    </w:rPr>
                    <w:t>8.8992</w:t>
                  </w:r>
                </w:p>
              </w:tc>
              <w:tc>
                <w:tcPr>
                  <w:tcW w:w="1149" w:type="pc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highlight w:val="none"/>
                    </w:rPr>
                  </w:pPr>
                  <w:r>
                    <w:rPr>
                      <w:rFonts w:hint="eastAsia" w:cs="Times New Roman"/>
                      <w:color w:val="auto"/>
                      <w:kern w:val="0"/>
                      <w:sz w:val="20"/>
                      <w:szCs w:val="20"/>
                      <w:lang w:val="en-US" w:eastAsia="zh-CN" w:bidi="ar"/>
                    </w:rPr>
                    <w:t>8.8992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7" w:hRule="atLeast"/>
              </w:trPr>
              <w:tc>
                <w:tcPr>
                  <w:tcW w:w="3211" w:type="pct"/>
                  <w:gridSpan w:val="5"/>
                  <w:tcBorders>
                    <w:tl2br w:val="nil"/>
                    <w:tr2bl w:val="nil"/>
                  </w:tcBorders>
                  <w:vAlign w:val="center"/>
                </w:tcPr>
                <w:p>
                  <w:pPr>
                    <w:adjustRightInd w:val="0"/>
                    <w:snapToGrid w:val="0"/>
                    <w:jc w:val="center"/>
                    <w:rPr>
                      <w:rFonts w:hint="default" w:cs="Times New Roman"/>
                      <w:b/>
                      <w:bCs/>
                      <w:color w:val="auto"/>
                      <w:kern w:val="0"/>
                      <w:highlight w:val="none"/>
                      <w:lang w:val="en-US" w:eastAsia="zh-CN"/>
                    </w:rPr>
                  </w:pPr>
                  <w:r>
                    <w:rPr>
                      <w:rFonts w:hint="eastAsia" w:cs="Times New Roman"/>
                      <w:b/>
                      <w:bCs/>
                      <w:color w:val="auto"/>
                      <w:kern w:val="0"/>
                      <w:highlight w:val="none"/>
                      <w:lang w:eastAsia="zh-CN"/>
                    </w:rPr>
                    <w:t>合计</w:t>
                  </w:r>
                </w:p>
              </w:tc>
              <w:tc>
                <w:tcPr>
                  <w:tcW w:w="639" w:type="pct"/>
                  <w:tcBorders>
                    <w:tl2br w:val="nil"/>
                    <w:tr2bl w:val="nil"/>
                  </w:tcBorders>
                  <w:vAlign w:val="center"/>
                </w:tcPr>
                <w:p>
                  <w:pPr>
                    <w:keepNext w:val="0"/>
                    <w:keepLines w:val="0"/>
                    <w:widowControl/>
                    <w:suppressLineNumbers w:val="0"/>
                    <w:jc w:val="center"/>
                    <w:rPr>
                      <w:rFonts w:hint="default" w:ascii="Times New Roman" w:hAnsi="Times New Roman" w:cs="Times New Roman"/>
                      <w:b/>
                      <w:bCs/>
                      <w:color w:val="auto"/>
                      <w:kern w:val="0"/>
                      <w:highlight w:val="none"/>
                    </w:rPr>
                  </w:pPr>
                  <w:r>
                    <w:rPr>
                      <w:rFonts w:hint="eastAsia" w:cs="Times New Roman"/>
                      <w:b/>
                      <w:bCs/>
                      <w:color w:val="auto"/>
                      <w:kern w:val="0"/>
                      <w:sz w:val="20"/>
                      <w:szCs w:val="20"/>
                      <w:lang w:val="en-US" w:eastAsia="zh-CN" w:bidi="ar"/>
                    </w:rPr>
                    <w:t>8.8992</w:t>
                  </w:r>
                </w:p>
              </w:tc>
              <w:tc>
                <w:tcPr>
                  <w:tcW w:w="1149" w:type="pc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b/>
                      <w:bCs/>
                      <w:color w:val="auto"/>
                      <w:kern w:val="0"/>
                      <w:highlight w:val="none"/>
                    </w:rPr>
                  </w:pPr>
                  <w:r>
                    <w:rPr>
                      <w:rFonts w:hint="eastAsia" w:cs="Times New Roman"/>
                      <w:b/>
                      <w:bCs/>
                      <w:color w:val="auto"/>
                      <w:kern w:val="0"/>
                      <w:sz w:val="20"/>
                      <w:szCs w:val="20"/>
                      <w:lang w:val="en-US" w:eastAsia="zh-CN" w:bidi="ar"/>
                    </w:rPr>
                    <w:t>8.8992</w:t>
                  </w:r>
                </w:p>
              </w:tc>
            </w:tr>
          </w:tbl>
          <w:p>
            <w:pPr>
              <w:tabs>
                <w:tab w:val="center" w:pos="4396"/>
              </w:tabs>
              <w:adjustRightInd w:val="0"/>
              <w:snapToGrid w:val="0"/>
              <w:spacing w:line="360" w:lineRule="auto"/>
              <w:ind w:firstLine="482"/>
              <w:rPr>
                <w:rFonts w:ascii="Times New Roman" w:hAnsi="Times New Roman" w:eastAsia="宋体" w:cs="Times New Roman"/>
                <w:color w:val="auto"/>
                <w:sz w:val="24"/>
              </w:rPr>
            </w:pPr>
            <w:r>
              <w:rPr>
                <w:color w:val="auto"/>
                <w:sz w:val="24"/>
              </w:rPr>
              <w:t>厂区周边不涉及法定生态保护区域、重要</w:t>
            </w:r>
            <w:r>
              <w:rPr>
                <w:rFonts w:hint="eastAsia"/>
                <w:color w:val="auto"/>
                <w:sz w:val="24"/>
                <w:lang w:eastAsia="zh-CN"/>
              </w:rPr>
              <w:t>环</w:t>
            </w:r>
            <w:r>
              <w:rPr>
                <w:color w:val="auto"/>
                <w:sz w:val="24"/>
              </w:rPr>
              <w:t>境以及其他具有生态功能、对保护生物多样性具有重要意义的区域</w:t>
            </w:r>
            <w:r>
              <w:rPr>
                <w:rFonts w:hint="eastAsia"/>
                <w:color w:val="auto"/>
                <w:sz w:val="24"/>
                <w:lang w:eastAsia="zh-CN"/>
              </w:rPr>
              <w:t>；</w:t>
            </w:r>
            <w:r>
              <w:rPr>
                <w:color w:val="auto"/>
                <w:sz w:val="24"/>
              </w:rPr>
              <w:t>项目区周围无集中式饮用水水源（包括已建成的在用、备用、应急水源地，在建和规划的水源地）准保护区，且项目物料及混凝</w:t>
            </w:r>
            <w:r>
              <w:rPr>
                <w:rFonts w:ascii="Times New Roman" w:hAnsi="Times New Roman" w:eastAsia="宋体" w:cs="Times New Roman"/>
                <w:color w:val="auto"/>
                <w:sz w:val="24"/>
              </w:rPr>
              <w:t>土产品拉运车辆有固定运输道路，对道路两侧植被影响较小。</w:t>
            </w:r>
          </w:p>
          <w:p>
            <w:pPr>
              <w:tabs>
                <w:tab w:val="center" w:pos="4396"/>
              </w:tabs>
              <w:adjustRightInd w:val="0"/>
              <w:snapToGrid w:val="0"/>
              <w:spacing w:line="360" w:lineRule="auto"/>
              <w:ind w:firstLine="482"/>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w:t>
            </w:r>
            <w:r>
              <w:rPr>
                <w:rFonts w:ascii="Times New Roman" w:hAnsi="Times New Roman" w:eastAsia="宋体" w:cs="Times New Roman"/>
                <w:color w:val="auto"/>
                <w:sz w:val="24"/>
              </w:rPr>
              <w:t>服务</w:t>
            </w:r>
            <w:r>
              <w:rPr>
                <w:rFonts w:hint="eastAsia" w:cs="Times New Roman"/>
                <w:color w:val="auto"/>
                <w:sz w:val="24"/>
                <w:lang w:val="en-US" w:eastAsia="zh-CN"/>
              </w:rPr>
              <w:t>期满后</w:t>
            </w:r>
            <w:r>
              <w:rPr>
                <w:rFonts w:hint="default" w:ascii="Times New Roman" w:hAnsi="Times New Roman" w:eastAsia="宋体" w:cs="Times New Roman"/>
                <w:color w:val="auto"/>
                <w:sz w:val="24"/>
                <w:lang w:val="en-US" w:eastAsia="zh-CN"/>
              </w:rPr>
              <w:t>将</w:t>
            </w:r>
            <w:r>
              <w:rPr>
                <w:rFonts w:ascii="Times New Roman" w:hAnsi="Times New Roman" w:eastAsia="宋体" w:cs="Times New Roman"/>
                <w:color w:val="auto"/>
                <w:sz w:val="24"/>
              </w:rPr>
              <w:t>拆除混凝土生产线和临时建筑物设备，撤出厂区所有人员，项目退役后所剩余的原材料均可转售给其他同类型企业，项目退役后，为减少本项目对</w:t>
            </w:r>
            <w:r>
              <w:rPr>
                <w:rFonts w:hint="default" w:ascii="Times New Roman" w:hAnsi="Times New Roman" w:eastAsia="宋体" w:cs="Times New Roman"/>
                <w:color w:val="auto"/>
                <w:sz w:val="24"/>
                <w:lang w:val="en-US" w:eastAsia="zh-CN"/>
              </w:rPr>
              <w:t>沙坡头区东园镇土地</w:t>
            </w:r>
            <w:r>
              <w:rPr>
                <w:rFonts w:ascii="Times New Roman" w:hAnsi="Times New Roman" w:eastAsia="宋体" w:cs="Times New Roman"/>
                <w:color w:val="auto"/>
                <w:sz w:val="24"/>
              </w:rPr>
              <w:t>的生态破坏，建设单位在服务期结束后，应采取场地</w:t>
            </w:r>
            <w:r>
              <w:rPr>
                <w:rFonts w:hint="eastAsia" w:ascii="Times New Roman" w:hAnsi="Times New Roman" w:eastAsia="宋体" w:cs="Times New Roman"/>
                <w:color w:val="auto"/>
                <w:sz w:val="24"/>
                <w:lang w:val="en-US" w:eastAsia="zh-CN"/>
              </w:rPr>
              <w:t>土地复垦</w:t>
            </w:r>
            <w:r>
              <w:rPr>
                <w:rFonts w:hint="default" w:ascii="Times New Roman" w:hAnsi="Times New Roman" w:eastAsia="宋体" w:cs="Times New Roman"/>
                <w:color w:val="auto"/>
                <w:sz w:val="24"/>
                <w:lang w:eastAsia="zh-CN"/>
              </w:rPr>
              <w:t>措施</w:t>
            </w:r>
            <w:r>
              <w:rPr>
                <w:rFonts w:ascii="Times New Roman" w:hAnsi="Times New Roman" w:eastAsia="宋体" w:cs="Times New Roman"/>
                <w:color w:val="auto"/>
                <w:sz w:val="24"/>
              </w:rPr>
              <w:t>，确保项目区域生态环境逐步得到恢复</w:t>
            </w:r>
            <w:r>
              <w:rPr>
                <w:rFonts w:hint="eastAsia" w:ascii="Times New Roman" w:hAnsi="Times New Roman" w:eastAsia="宋体" w:cs="Times New Roman"/>
                <w:color w:val="auto"/>
                <w:sz w:val="24"/>
                <w:lang w:eastAsia="zh-CN"/>
              </w:rPr>
              <w:t>。</w:t>
            </w:r>
          </w:p>
          <w:p>
            <w:pPr>
              <w:pStyle w:val="16"/>
              <w:adjustRightInd w:val="0"/>
              <w:snapToGrid w:val="0"/>
              <w:spacing w:line="360" w:lineRule="auto"/>
              <w:ind w:firstLine="481"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2、项目拆除后占地复垦</w:t>
            </w:r>
          </w:p>
          <w:p>
            <w:pPr>
              <w:tabs>
                <w:tab w:val="center" w:pos="4396"/>
              </w:tabs>
              <w:adjustRightInd w:val="0"/>
              <w:snapToGrid w:val="0"/>
              <w:spacing w:line="360" w:lineRule="auto"/>
              <w:ind w:firstLine="480" w:firstLineChars="200"/>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本项目为</w:t>
            </w:r>
            <w:r>
              <w:rPr>
                <w:rFonts w:hint="default" w:ascii="Times New Roman" w:hAnsi="Times New Roman" w:eastAsia="宋体" w:cs="Times New Roman"/>
                <w:color w:val="auto"/>
                <w:sz w:val="24"/>
                <w:lang w:val="en-US" w:eastAsia="zh-CN"/>
              </w:rPr>
              <w:t>临时工程，项目</w:t>
            </w:r>
            <w:r>
              <w:rPr>
                <w:rFonts w:hint="default" w:ascii="Times New Roman" w:hAnsi="Times New Roman" w:eastAsia="宋体" w:cs="Times New Roman"/>
                <w:color w:val="auto"/>
                <w:sz w:val="24"/>
                <w:lang w:eastAsia="zh-CN"/>
              </w:rPr>
              <w:t>服务期满后需对占地范围内</w:t>
            </w:r>
            <w:r>
              <w:rPr>
                <w:rFonts w:hint="eastAsia" w:ascii="Times New Roman" w:hAnsi="Times New Roman" w:eastAsia="宋体" w:cs="Times New Roman"/>
                <w:color w:val="auto"/>
                <w:sz w:val="24"/>
                <w:lang w:val="en-US" w:eastAsia="zh-CN"/>
              </w:rPr>
              <w:t>拌合站现场</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项目</w:t>
            </w:r>
            <w:r>
              <w:rPr>
                <w:rFonts w:hint="eastAsia" w:ascii="Times New Roman" w:hAnsi="Times New Roman" w:eastAsia="宋体" w:cs="Times New Roman"/>
                <w:color w:val="auto"/>
                <w:sz w:val="24"/>
                <w:lang w:eastAsia="zh-CN"/>
              </w:rPr>
              <w:t>部</w:t>
            </w:r>
            <w:r>
              <w:rPr>
                <w:rFonts w:hint="default" w:ascii="Times New Roman" w:hAnsi="Times New Roman" w:eastAsia="宋体" w:cs="Times New Roman"/>
                <w:color w:val="auto"/>
                <w:sz w:val="24"/>
                <w:lang w:eastAsia="zh-CN"/>
              </w:rPr>
              <w:t>、建筑物及硬化道路进行清理，对各池体建筑拆除后进行填平，利用本土草种按复垦方案对土地进行复垦。</w:t>
            </w:r>
          </w:p>
          <w:p>
            <w:pPr>
              <w:pStyle w:val="6"/>
              <w:spacing w:after="0" w:line="360" w:lineRule="auto"/>
              <w:ind w:left="0" w:leftChars="0" w:firstLine="482"/>
              <w:rPr>
                <w:rFonts w:hint="default"/>
                <w:b/>
                <w:bCs/>
                <w:color w:val="auto"/>
              </w:rPr>
            </w:pPr>
            <w:r>
              <w:rPr>
                <w:rFonts w:hint="eastAsia"/>
                <w:b/>
                <w:bCs/>
                <w:color w:val="auto"/>
                <w:lang w:val="en-US" w:eastAsia="zh-CN"/>
              </w:rPr>
              <w:t>2.1</w:t>
            </w:r>
            <w:r>
              <w:rPr>
                <w:rFonts w:hint="eastAsia" w:cs="Times New Roman"/>
                <w:b/>
                <w:bCs/>
                <w:color w:val="auto"/>
                <w:highlight w:val="none"/>
                <w:lang w:val="en-US" w:eastAsia="zh-CN"/>
              </w:rPr>
              <w:t>复垦标准</w:t>
            </w:r>
          </w:p>
          <w:p>
            <w:pPr>
              <w:keepNext w:val="0"/>
              <w:keepLines w:val="0"/>
              <w:pageBreakBefore w:val="0"/>
              <w:tabs>
                <w:tab w:val="center" w:pos="4396"/>
              </w:tabs>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sz w:val="24"/>
                <w:lang w:eastAsia="zh-CN"/>
              </w:rPr>
            </w:pPr>
            <w:r>
              <w:rPr>
                <w:rFonts w:hint="default"/>
                <w:color w:val="auto"/>
                <w:sz w:val="24"/>
                <w:lang w:eastAsia="zh-CN"/>
              </w:rPr>
              <w:t>项目</w:t>
            </w:r>
            <w:r>
              <w:rPr>
                <w:rFonts w:hint="eastAsia"/>
                <w:color w:val="auto"/>
                <w:sz w:val="24"/>
                <w:lang w:eastAsia="zh-CN"/>
              </w:rPr>
              <w:t>占地范围现状土地类型为</w:t>
            </w:r>
            <w:r>
              <w:rPr>
                <w:rFonts w:hint="eastAsia"/>
                <w:color w:val="auto"/>
                <w:sz w:val="24"/>
                <w:lang w:val="en-US" w:eastAsia="zh-CN"/>
              </w:rPr>
              <w:t>天然牧草地</w:t>
            </w:r>
            <w:r>
              <w:rPr>
                <w:rFonts w:hint="eastAsia"/>
                <w:color w:val="auto"/>
                <w:sz w:val="24"/>
                <w:lang w:eastAsia="zh-CN"/>
              </w:rPr>
              <w:t>，</w:t>
            </w:r>
            <w:r>
              <w:rPr>
                <w:rFonts w:hint="default"/>
                <w:color w:val="auto"/>
                <w:sz w:val="24"/>
                <w:lang w:eastAsia="zh-CN"/>
              </w:rPr>
              <w:t>服务期满后</w:t>
            </w:r>
            <w:r>
              <w:rPr>
                <w:rFonts w:hint="eastAsia"/>
                <w:color w:val="auto"/>
                <w:sz w:val="24"/>
                <w:lang w:eastAsia="zh-CN"/>
              </w:rPr>
              <w:t>复垦方向为人工牧草地，复垦应</w:t>
            </w:r>
            <w:r>
              <w:rPr>
                <w:rFonts w:hint="default"/>
                <w:color w:val="auto"/>
                <w:sz w:val="24"/>
                <w:lang w:eastAsia="zh-CN"/>
              </w:rPr>
              <w:t>达到如下标准：</w:t>
            </w:r>
          </w:p>
          <w:p>
            <w:pPr>
              <w:keepNext w:val="0"/>
              <w:keepLines w:val="0"/>
              <w:pageBreakBefore w:val="0"/>
              <w:tabs>
                <w:tab w:val="center" w:pos="4396"/>
              </w:tabs>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lang w:val="en-US" w:eastAsia="zh-CN"/>
              </w:rPr>
            </w:pPr>
            <w:r>
              <w:rPr>
                <w:rFonts w:hint="eastAsia"/>
                <w:color w:val="auto"/>
                <w:sz w:val="24"/>
                <w:lang w:val="en-US" w:eastAsia="zh-CN"/>
              </w:rPr>
              <w:t>（1）施工前将表层熟土单独堆放，土地平整完成后进行表土回填；</w:t>
            </w:r>
          </w:p>
          <w:p>
            <w:pPr>
              <w:keepNext w:val="0"/>
              <w:keepLines w:val="0"/>
              <w:pageBreakBefore w:val="0"/>
              <w:tabs>
                <w:tab w:val="center" w:pos="4396"/>
              </w:tabs>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lang w:val="en-US" w:eastAsia="zh-CN"/>
              </w:rPr>
            </w:pPr>
            <w:r>
              <w:rPr>
                <w:rFonts w:hint="eastAsia"/>
                <w:color w:val="auto"/>
                <w:sz w:val="24"/>
                <w:lang w:val="en-US" w:eastAsia="zh-CN"/>
              </w:rPr>
              <w:t>（2）覆土厚度为20cm，其他林地覆土厚度为30cm；</w:t>
            </w:r>
          </w:p>
          <w:p>
            <w:pPr>
              <w:keepNext w:val="0"/>
              <w:keepLines w:val="0"/>
              <w:pageBreakBefore w:val="0"/>
              <w:tabs>
                <w:tab w:val="center" w:pos="4396"/>
              </w:tabs>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lang w:val="en-US" w:eastAsia="zh-CN"/>
              </w:rPr>
            </w:pPr>
            <w:r>
              <w:rPr>
                <w:rFonts w:hint="eastAsia"/>
                <w:color w:val="auto"/>
                <w:sz w:val="24"/>
                <w:lang w:val="en-US" w:eastAsia="zh-CN"/>
              </w:rPr>
              <w:t>（3）覆土后场地平整，地面坡度不超过15°；</w:t>
            </w:r>
          </w:p>
          <w:p>
            <w:pPr>
              <w:keepNext w:val="0"/>
              <w:keepLines w:val="0"/>
              <w:pageBreakBefore w:val="0"/>
              <w:tabs>
                <w:tab w:val="center" w:pos="4396"/>
              </w:tabs>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lang w:val="en-US" w:eastAsia="zh-CN"/>
              </w:rPr>
            </w:pPr>
            <w:r>
              <w:rPr>
                <w:rFonts w:hint="eastAsia"/>
                <w:color w:val="auto"/>
                <w:sz w:val="24"/>
                <w:lang w:val="en-US" w:eastAsia="zh-CN"/>
              </w:rPr>
              <w:t>（4）选择适宜草种、种树，尤其是适宜本地生长的乡土草种如沙蒿和冰草等，恢复其他林地按照原有树种、植物设计进行恢复。</w:t>
            </w:r>
          </w:p>
          <w:p>
            <w:pPr>
              <w:keepNext w:val="0"/>
              <w:keepLines w:val="0"/>
              <w:pageBreakBefore w:val="0"/>
              <w:tabs>
                <w:tab w:val="center" w:pos="4396"/>
              </w:tabs>
              <w:kinsoku/>
              <w:wordWrap/>
              <w:overflowPunct/>
              <w:topLinePunct w:val="0"/>
              <w:autoSpaceDE/>
              <w:autoSpaceDN/>
              <w:bidi w:val="0"/>
              <w:adjustRightInd w:val="0"/>
              <w:snapToGrid w:val="0"/>
              <w:spacing w:line="360" w:lineRule="auto"/>
              <w:ind w:firstLine="481" w:firstLineChars="200"/>
              <w:jc w:val="both"/>
              <w:textAlignment w:val="auto"/>
              <w:rPr>
                <w:rFonts w:hint="default"/>
                <w:b/>
                <w:bCs/>
                <w:color w:val="auto"/>
                <w:sz w:val="24"/>
                <w:lang w:val="en-US" w:eastAsia="zh-CN"/>
              </w:rPr>
            </w:pPr>
            <w:r>
              <w:rPr>
                <w:rFonts w:hint="eastAsia"/>
                <w:b/>
                <w:bCs/>
                <w:color w:val="auto"/>
                <w:sz w:val="24"/>
                <w:lang w:val="en-US" w:eastAsia="zh-CN"/>
              </w:rPr>
              <w:t>2.2复垦措施</w:t>
            </w:r>
          </w:p>
          <w:p>
            <w:pPr>
              <w:keepNext w:val="0"/>
              <w:keepLines w:val="0"/>
              <w:pageBreakBefore w:val="0"/>
              <w:tabs>
                <w:tab w:val="center" w:pos="4396"/>
              </w:tabs>
              <w:kinsoku/>
              <w:wordWrap/>
              <w:overflowPunct/>
              <w:topLinePunct w:val="0"/>
              <w:autoSpaceDE/>
              <w:autoSpaceDN/>
              <w:bidi w:val="0"/>
              <w:adjustRightInd w:val="0"/>
              <w:snapToGrid w:val="0"/>
              <w:spacing w:line="360" w:lineRule="auto"/>
              <w:ind w:firstLine="481" w:firstLineChars="200"/>
              <w:jc w:val="both"/>
              <w:textAlignment w:val="auto"/>
              <w:rPr>
                <w:rFonts w:hint="eastAsia"/>
                <w:color w:val="auto"/>
                <w:sz w:val="24"/>
                <w:lang w:val="en-US" w:eastAsia="zh-CN"/>
              </w:rPr>
            </w:pPr>
            <w:r>
              <w:rPr>
                <w:rFonts w:hint="eastAsia"/>
                <w:b/>
                <w:bCs/>
                <w:color w:val="auto"/>
                <w:sz w:val="24"/>
                <w:lang w:val="en-US" w:eastAsia="zh-CN"/>
              </w:rPr>
              <w:t>（1）工程技术措施</w:t>
            </w:r>
          </w:p>
          <w:p>
            <w:pPr>
              <w:keepNext w:val="0"/>
              <w:keepLines w:val="0"/>
              <w:pageBreakBefore w:val="0"/>
              <w:tabs>
                <w:tab w:val="center" w:pos="4396"/>
              </w:tabs>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lang w:val="en-US" w:eastAsia="zh-CN"/>
              </w:rPr>
            </w:pPr>
            <w:r>
              <w:rPr>
                <w:rFonts w:hint="eastAsia"/>
                <w:color w:val="auto"/>
                <w:sz w:val="24"/>
                <w:lang w:val="en-US" w:eastAsia="zh-CN"/>
              </w:rPr>
              <w:t>根据本项目施工工艺、时序，结合工程土地复垦适宜性分析，针对不同的复垦评价单元，采取不同的工程技术措施。该项目土地复垦主要采取以下措施：</w:t>
            </w:r>
          </w:p>
          <w:p>
            <w:pPr>
              <w:keepNext w:val="0"/>
              <w:keepLines w:val="0"/>
              <w:pageBreakBefore w:val="0"/>
              <w:tabs>
                <w:tab w:val="center" w:pos="4396"/>
              </w:tabs>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lang w:val="en-US" w:eastAsia="zh-CN"/>
              </w:rPr>
            </w:pPr>
            <w:r>
              <w:rPr>
                <w:rFonts w:hint="eastAsia"/>
                <w:color w:val="auto"/>
                <w:sz w:val="24"/>
                <w:lang w:val="en-US" w:eastAsia="zh-CN"/>
              </w:rPr>
              <w:fldChar w:fldCharType="begin"/>
            </w:r>
            <w:r>
              <w:rPr>
                <w:rFonts w:hint="eastAsia"/>
                <w:color w:val="auto"/>
                <w:sz w:val="24"/>
                <w:lang w:val="en-US" w:eastAsia="zh-CN"/>
              </w:rPr>
              <w:instrText xml:space="preserve"> = 1 \* GB3 \* MERGEFORMAT </w:instrText>
            </w:r>
            <w:r>
              <w:rPr>
                <w:rFonts w:hint="eastAsia"/>
                <w:color w:val="auto"/>
                <w:sz w:val="24"/>
                <w:lang w:val="en-US" w:eastAsia="zh-CN"/>
              </w:rPr>
              <w:fldChar w:fldCharType="separate"/>
            </w:r>
            <w:r>
              <w:rPr>
                <w:rFonts w:hint="eastAsia"/>
                <w:color w:val="auto"/>
                <w:sz w:val="24"/>
                <w:lang w:val="en-US" w:eastAsia="zh-CN"/>
              </w:rPr>
              <w:t>①</w:t>
            </w:r>
            <w:r>
              <w:rPr>
                <w:rFonts w:hint="eastAsia"/>
                <w:color w:val="auto"/>
                <w:sz w:val="24"/>
                <w:lang w:val="en-US" w:eastAsia="zh-CN"/>
              </w:rPr>
              <w:fldChar w:fldCharType="end"/>
            </w:r>
            <w:r>
              <w:rPr>
                <w:rFonts w:hint="eastAsia"/>
                <w:color w:val="auto"/>
                <w:sz w:val="24"/>
                <w:lang w:val="en-US" w:eastAsia="zh-CN"/>
              </w:rPr>
              <w:t>表土剥离</w:t>
            </w:r>
          </w:p>
          <w:p>
            <w:pPr>
              <w:keepNext w:val="0"/>
              <w:keepLines w:val="0"/>
              <w:pageBreakBefore w:val="0"/>
              <w:tabs>
                <w:tab w:val="center" w:pos="4396"/>
              </w:tabs>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lang w:val="en-US" w:eastAsia="zh-CN"/>
              </w:rPr>
            </w:pPr>
            <w:r>
              <w:rPr>
                <w:rFonts w:hint="eastAsia"/>
                <w:color w:val="auto"/>
                <w:sz w:val="24"/>
                <w:lang w:val="en-US" w:eastAsia="zh-CN"/>
              </w:rPr>
              <w:t>根据施工工艺，为防止因压占、占用和挖损造成对表层土壤的破坏，根据项目区各复垦单元立地条件和土层厚度，确定剥离的厚度。天然牧草地区域剥离厚度为20cm，运距按照各复垦单元位置及布置进行确定。在其他林地剥离表土前将地表乔灌木移植。表土的剥离工作采取分片剥离方式，防止一次性剥离造成地表大量的扰动而产生大量的土壤侵蚀。剥离的表土用于土地复垦时表土覆盖，存放于指定地点，不再占用其他土地，堆放高度为2m，采用塑料防尘网防护，对于土堆裸露的顶面和坡面，需要进行压实或者拍实处理，防治水土流失，待施工结束后用于表层覆土。</w:t>
            </w:r>
          </w:p>
          <w:p>
            <w:pPr>
              <w:keepNext w:val="0"/>
              <w:keepLines w:val="0"/>
              <w:pageBreakBefore w:val="0"/>
              <w:tabs>
                <w:tab w:val="center" w:pos="4396"/>
              </w:tabs>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lang w:val="en-US" w:eastAsia="zh-CN"/>
              </w:rPr>
            </w:pPr>
            <w:r>
              <w:rPr>
                <w:rFonts w:hint="eastAsia"/>
                <w:color w:val="auto"/>
                <w:sz w:val="24"/>
                <w:lang w:val="en-US" w:eastAsia="zh-CN"/>
              </w:rPr>
              <w:fldChar w:fldCharType="begin"/>
            </w:r>
            <w:r>
              <w:rPr>
                <w:rFonts w:hint="eastAsia"/>
                <w:color w:val="auto"/>
                <w:sz w:val="24"/>
                <w:lang w:val="en-US" w:eastAsia="zh-CN"/>
              </w:rPr>
              <w:instrText xml:space="preserve"> = 2 \* GB3 \* MERGEFORMAT </w:instrText>
            </w:r>
            <w:r>
              <w:rPr>
                <w:rFonts w:hint="eastAsia"/>
                <w:color w:val="auto"/>
                <w:sz w:val="24"/>
                <w:lang w:val="en-US" w:eastAsia="zh-CN"/>
              </w:rPr>
              <w:fldChar w:fldCharType="separate"/>
            </w:r>
            <w:r>
              <w:rPr>
                <w:rFonts w:hint="eastAsia"/>
                <w:color w:val="auto"/>
                <w:sz w:val="24"/>
                <w:lang w:val="en-US" w:eastAsia="zh-CN"/>
              </w:rPr>
              <w:t>②</w:t>
            </w:r>
            <w:r>
              <w:rPr>
                <w:rFonts w:hint="eastAsia"/>
                <w:color w:val="auto"/>
                <w:sz w:val="24"/>
                <w:lang w:val="en-US" w:eastAsia="zh-CN"/>
              </w:rPr>
              <w:fldChar w:fldCharType="end"/>
            </w:r>
            <w:r>
              <w:rPr>
                <w:rFonts w:hint="eastAsia"/>
                <w:color w:val="auto"/>
                <w:sz w:val="24"/>
                <w:lang w:val="en-US" w:eastAsia="zh-CN"/>
              </w:rPr>
              <w:t>迹地清理</w:t>
            </w:r>
          </w:p>
          <w:p>
            <w:pPr>
              <w:keepNext w:val="0"/>
              <w:keepLines w:val="0"/>
              <w:pageBreakBefore w:val="0"/>
              <w:tabs>
                <w:tab w:val="center" w:pos="4396"/>
              </w:tabs>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lang w:val="en-US" w:eastAsia="zh-CN"/>
              </w:rPr>
            </w:pPr>
            <w:r>
              <w:rPr>
                <w:rFonts w:hint="eastAsia"/>
                <w:color w:val="auto"/>
                <w:sz w:val="24"/>
                <w:lang w:val="en-US" w:eastAsia="zh-CN"/>
              </w:rPr>
              <w:t>建设项目在施工结束后需要对施工临时建筑物、构筑物等进行拆除，建筑垃圾的丢弃及堆放将造成土地利用率降低，需利用钩机、铲车、冲击钻等机械设备，对地表固化物进行清除。</w:t>
            </w:r>
          </w:p>
          <w:p>
            <w:pPr>
              <w:keepNext w:val="0"/>
              <w:keepLines w:val="0"/>
              <w:pageBreakBefore w:val="0"/>
              <w:tabs>
                <w:tab w:val="center" w:pos="4396"/>
              </w:tabs>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lang w:val="en-US" w:eastAsia="zh-CN"/>
              </w:rPr>
            </w:pPr>
            <w:r>
              <w:rPr>
                <w:rFonts w:hint="eastAsia"/>
                <w:color w:val="auto"/>
                <w:sz w:val="24"/>
                <w:lang w:val="en-US" w:eastAsia="zh-CN"/>
              </w:rPr>
              <w:fldChar w:fldCharType="begin"/>
            </w:r>
            <w:r>
              <w:rPr>
                <w:rFonts w:hint="eastAsia"/>
                <w:color w:val="auto"/>
                <w:sz w:val="24"/>
                <w:lang w:val="en-US" w:eastAsia="zh-CN"/>
              </w:rPr>
              <w:instrText xml:space="preserve"> = 3 \* GB3 \* MERGEFORMAT </w:instrText>
            </w:r>
            <w:r>
              <w:rPr>
                <w:rFonts w:hint="eastAsia"/>
                <w:color w:val="auto"/>
                <w:sz w:val="24"/>
                <w:lang w:val="en-US" w:eastAsia="zh-CN"/>
              </w:rPr>
              <w:fldChar w:fldCharType="separate"/>
            </w:r>
            <w:r>
              <w:rPr>
                <w:rFonts w:hint="eastAsia"/>
                <w:color w:val="auto"/>
                <w:sz w:val="24"/>
                <w:lang w:val="en-US" w:eastAsia="zh-CN"/>
              </w:rPr>
              <w:t>③</w:t>
            </w:r>
            <w:r>
              <w:rPr>
                <w:rFonts w:hint="eastAsia"/>
                <w:color w:val="auto"/>
                <w:sz w:val="24"/>
                <w:lang w:val="en-US" w:eastAsia="zh-CN"/>
              </w:rPr>
              <w:fldChar w:fldCharType="end"/>
            </w:r>
            <w:r>
              <w:rPr>
                <w:rFonts w:hint="eastAsia"/>
                <w:color w:val="auto"/>
                <w:sz w:val="24"/>
                <w:lang w:val="en-US" w:eastAsia="zh-CN"/>
              </w:rPr>
              <w:t>土地平整</w:t>
            </w:r>
          </w:p>
          <w:p>
            <w:pPr>
              <w:keepNext w:val="0"/>
              <w:keepLines w:val="0"/>
              <w:pageBreakBefore w:val="0"/>
              <w:tabs>
                <w:tab w:val="center" w:pos="4396"/>
              </w:tabs>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lang w:val="en-US" w:eastAsia="zh-CN"/>
              </w:rPr>
            </w:pPr>
            <w:r>
              <w:rPr>
                <w:rFonts w:hint="eastAsia"/>
                <w:color w:val="auto"/>
                <w:sz w:val="24"/>
                <w:lang w:val="en-US" w:eastAsia="zh-CN"/>
              </w:rPr>
              <w:t>根据土地复垦标准，平整厚度20cm，复垦为草地的损毁土地平整后，地面坡度不超过15。</w:t>
            </w:r>
          </w:p>
          <w:p>
            <w:pPr>
              <w:keepNext w:val="0"/>
              <w:keepLines w:val="0"/>
              <w:pageBreakBefore w:val="0"/>
              <w:tabs>
                <w:tab w:val="center" w:pos="4396"/>
              </w:tabs>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lang w:val="en-US" w:eastAsia="zh-CN"/>
              </w:rPr>
            </w:pPr>
            <w:r>
              <w:rPr>
                <w:rFonts w:hint="eastAsia"/>
                <w:color w:val="auto"/>
                <w:sz w:val="24"/>
                <w:lang w:val="en-US" w:eastAsia="zh-CN"/>
              </w:rPr>
              <w:fldChar w:fldCharType="begin"/>
            </w:r>
            <w:r>
              <w:rPr>
                <w:rFonts w:hint="eastAsia"/>
                <w:color w:val="auto"/>
                <w:sz w:val="24"/>
                <w:lang w:val="en-US" w:eastAsia="zh-CN"/>
              </w:rPr>
              <w:instrText xml:space="preserve"> = 4 \* GB3 \* MERGEFORMAT </w:instrText>
            </w:r>
            <w:r>
              <w:rPr>
                <w:rFonts w:hint="eastAsia"/>
                <w:color w:val="auto"/>
                <w:sz w:val="24"/>
                <w:lang w:val="en-US" w:eastAsia="zh-CN"/>
              </w:rPr>
              <w:fldChar w:fldCharType="separate"/>
            </w:r>
            <w:r>
              <w:rPr>
                <w:rFonts w:hint="eastAsia"/>
                <w:color w:val="auto"/>
                <w:sz w:val="24"/>
                <w:lang w:val="en-US" w:eastAsia="zh-CN"/>
              </w:rPr>
              <w:t>④</w:t>
            </w:r>
            <w:r>
              <w:rPr>
                <w:rFonts w:hint="eastAsia"/>
                <w:color w:val="auto"/>
                <w:sz w:val="24"/>
                <w:lang w:val="en-US" w:eastAsia="zh-CN"/>
              </w:rPr>
              <w:fldChar w:fldCharType="end"/>
            </w:r>
            <w:r>
              <w:rPr>
                <w:rFonts w:hint="eastAsia"/>
                <w:color w:val="auto"/>
                <w:sz w:val="24"/>
                <w:lang w:val="en-US" w:eastAsia="zh-CN"/>
              </w:rPr>
              <w:t>表土覆盖</w:t>
            </w:r>
          </w:p>
          <w:p>
            <w:pPr>
              <w:keepNext w:val="0"/>
              <w:keepLines w:val="0"/>
              <w:pageBreakBefore w:val="0"/>
              <w:tabs>
                <w:tab w:val="center" w:pos="4396"/>
              </w:tabs>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lang w:val="en-US" w:eastAsia="zh-CN"/>
              </w:rPr>
            </w:pPr>
            <w:r>
              <w:rPr>
                <w:rFonts w:hint="eastAsia"/>
                <w:color w:val="auto"/>
                <w:sz w:val="24"/>
                <w:lang w:val="en-US" w:eastAsia="zh-CN"/>
              </w:rPr>
              <w:t>土地平整、松翻后，要对平整后的土地进行表土覆盖，使表层土壤能够达到耕作、种植的要求，回填土来自对原有土地表层土的剥离，厚度根据复垦后土地的利用方向具体确定，以确保生物化学措施实施的有效性。</w:t>
            </w:r>
          </w:p>
          <w:p>
            <w:pPr>
              <w:keepNext w:val="0"/>
              <w:keepLines w:val="0"/>
              <w:pageBreakBefore w:val="0"/>
              <w:tabs>
                <w:tab w:val="center" w:pos="4396"/>
              </w:tabs>
              <w:kinsoku/>
              <w:wordWrap/>
              <w:overflowPunct/>
              <w:topLinePunct w:val="0"/>
              <w:autoSpaceDE/>
              <w:autoSpaceDN/>
              <w:bidi w:val="0"/>
              <w:adjustRightInd w:val="0"/>
              <w:snapToGrid w:val="0"/>
              <w:spacing w:line="360" w:lineRule="auto"/>
              <w:ind w:firstLine="481" w:firstLineChars="200"/>
              <w:jc w:val="both"/>
              <w:textAlignment w:val="auto"/>
              <w:rPr>
                <w:rFonts w:hint="eastAsia"/>
                <w:b/>
                <w:bCs/>
                <w:color w:val="auto"/>
                <w:sz w:val="24"/>
                <w:lang w:val="en-US" w:eastAsia="zh-CN"/>
              </w:rPr>
            </w:pPr>
            <w:r>
              <w:rPr>
                <w:rFonts w:hint="eastAsia"/>
                <w:b/>
                <w:bCs/>
                <w:color w:val="auto"/>
                <w:sz w:val="24"/>
                <w:lang w:val="en-US" w:eastAsia="zh-CN"/>
              </w:rPr>
              <w:t>（2）植物措施</w:t>
            </w:r>
          </w:p>
          <w:p>
            <w:pPr>
              <w:keepNext w:val="0"/>
              <w:keepLines w:val="0"/>
              <w:pageBreakBefore w:val="0"/>
              <w:tabs>
                <w:tab w:val="center" w:pos="4396"/>
              </w:tabs>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lang w:val="en-US" w:eastAsia="zh-CN"/>
              </w:rPr>
            </w:pPr>
            <w:r>
              <w:rPr>
                <w:rFonts w:hint="eastAsia"/>
                <w:color w:val="auto"/>
                <w:sz w:val="24"/>
                <w:lang w:val="en-US" w:eastAsia="zh-CN"/>
              </w:rPr>
              <w:t>植被选择本着“适地适生”的原则，结合项目所处地区的气候、土壤等特点，优先选择当地耐干旱、耐贫瘠、生物量大、生长迅速的乡土树种。经过对项目所处地区及其周边地区树种资源的实地调查，经过比选后最终确定沙蒿和冰草为本项目植物措施的植被。</w:t>
            </w:r>
          </w:p>
          <w:p>
            <w:pPr>
              <w:keepNext w:val="0"/>
              <w:keepLines w:val="0"/>
              <w:pageBreakBefore w:val="0"/>
              <w:tabs>
                <w:tab w:val="center" w:pos="4396"/>
              </w:tabs>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lang w:val="en-US" w:eastAsia="zh-CN"/>
              </w:rPr>
            </w:pPr>
            <w:r>
              <w:rPr>
                <w:rFonts w:hint="eastAsia"/>
                <w:color w:val="auto"/>
                <w:sz w:val="24"/>
                <w:lang w:val="en-US" w:eastAsia="zh-CN"/>
              </w:rPr>
              <w:t>考虑项目区自然条件恶劣，土壤保墒性差，大面积种草保存率低，草籽播量按常规设计数量的120%确定，本次设计采用沙蒿7.02kg/</w:t>
            </w:r>
            <w:r>
              <w:rPr>
                <w:rFonts w:hint="eastAsia"/>
                <w:color w:val="auto"/>
                <w:sz w:val="24"/>
                <w:lang w:eastAsia="zh-CN"/>
              </w:rPr>
              <w:t>hm</w:t>
            </w:r>
            <w:r>
              <w:rPr>
                <w:rFonts w:hint="eastAsia"/>
                <w:color w:val="auto"/>
                <w:sz w:val="24"/>
                <w:vertAlign w:val="superscript"/>
                <w:lang w:eastAsia="zh-CN"/>
              </w:rPr>
              <w:t>2</w:t>
            </w:r>
            <w:r>
              <w:rPr>
                <w:rFonts w:hint="eastAsia"/>
                <w:color w:val="auto"/>
                <w:sz w:val="24"/>
                <w:lang w:val="en-US" w:eastAsia="zh-CN"/>
              </w:rPr>
              <w:t>，冰草27.00kg/</w:t>
            </w:r>
            <w:r>
              <w:rPr>
                <w:rFonts w:hint="eastAsia"/>
                <w:color w:val="auto"/>
                <w:sz w:val="24"/>
                <w:lang w:eastAsia="zh-CN"/>
              </w:rPr>
              <w:t>hm</w:t>
            </w:r>
            <w:r>
              <w:rPr>
                <w:rFonts w:hint="eastAsia"/>
                <w:color w:val="auto"/>
                <w:sz w:val="24"/>
                <w:vertAlign w:val="superscript"/>
                <w:lang w:eastAsia="zh-CN"/>
              </w:rPr>
              <w:t>2</w:t>
            </w:r>
            <w:r>
              <w:rPr>
                <w:rFonts w:hint="eastAsia"/>
                <w:color w:val="auto"/>
                <w:sz w:val="24"/>
                <w:lang w:val="en-US" w:eastAsia="zh-CN"/>
              </w:rPr>
              <w:t>。天然牧草地复垦为人工牧草地的草种选择冰草和沙蒿混播面积比为1：1，将种子撒播方式进行种植。</w:t>
            </w:r>
          </w:p>
          <w:p>
            <w:pPr>
              <w:keepNext w:val="0"/>
              <w:keepLines w:val="0"/>
              <w:pageBreakBefore w:val="0"/>
              <w:tabs>
                <w:tab w:val="center" w:pos="4396"/>
              </w:tabs>
              <w:kinsoku/>
              <w:wordWrap/>
              <w:overflowPunct/>
              <w:topLinePunct w:val="0"/>
              <w:autoSpaceDE/>
              <w:autoSpaceDN/>
              <w:bidi w:val="0"/>
              <w:adjustRightInd w:val="0"/>
              <w:snapToGrid w:val="0"/>
              <w:spacing w:line="360" w:lineRule="auto"/>
              <w:ind w:firstLine="481" w:firstLineChars="200"/>
              <w:jc w:val="both"/>
              <w:textAlignment w:val="auto"/>
              <w:rPr>
                <w:rFonts w:hint="eastAsia"/>
                <w:b/>
                <w:bCs/>
                <w:color w:val="auto"/>
                <w:sz w:val="24"/>
                <w:lang w:val="en-US" w:eastAsia="zh-CN"/>
              </w:rPr>
            </w:pPr>
            <w:r>
              <w:rPr>
                <w:rFonts w:hint="eastAsia"/>
                <w:b/>
                <w:bCs/>
                <w:color w:val="auto"/>
                <w:sz w:val="24"/>
                <w:lang w:val="en-US" w:eastAsia="zh-CN"/>
              </w:rPr>
              <w:t>（3）管护措施</w:t>
            </w:r>
          </w:p>
          <w:p>
            <w:pPr>
              <w:keepNext w:val="0"/>
              <w:keepLines w:val="0"/>
              <w:pageBreakBefore w:val="0"/>
              <w:tabs>
                <w:tab w:val="center" w:pos="4396"/>
              </w:tabs>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lang w:val="en-US" w:eastAsia="zh-CN"/>
              </w:rPr>
            </w:pPr>
            <w:r>
              <w:rPr>
                <w:rFonts w:hint="eastAsia"/>
                <w:color w:val="auto"/>
                <w:sz w:val="24"/>
                <w:lang w:val="en-US" w:eastAsia="zh-CN"/>
              </w:rPr>
              <w:t>生产建设项目复垦土地的管护主要是针对重建植被的管护。管护人员应对复垦草地并已种上植被的土地，进行抚育护理，包括间伐、病虫害防治、防火及防止人畜践踏、毁坏和自然灾害造成的损毁修复。</w:t>
            </w:r>
          </w:p>
          <w:p>
            <w:pPr>
              <w:keepNext w:val="0"/>
              <w:keepLines w:val="0"/>
              <w:pageBreakBefore w:val="0"/>
              <w:tabs>
                <w:tab w:val="center" w:pos="4396"/>
              </w:tabs>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lang w:val="en-US" w:eastAsia="zh-CN"/>
              </w:rPr>
            </w:pPr>
            <w:r>
              <w:rPr>
                <w:rFonts w:hint="eastAsia"/>
                <w:color w:val="auto"/>
                <w:sz w:val="24"/>
                <w:lang w:val="en-US" w:eastAsia="zh-CN"/>
              </w:rPr>
              <w:t>复垦土地尚未交还土地权利人之前，其管护工作由土地复垦义务人或项目承担单位负责；复垦土地完成竣工验收并交还土地权利人之后，管护工作由土地权利人负责。</w:t>
            </w:r>
          </w:p>
          <w:p>
            <w:pPr>
              <w:keepNext w:val="0"/>
              <w:keepLines w:val="0"/>
              <w:pageBreakBefore w:val="0"/>
              <w:tabs>
                <w:tab w:val="center" w:pos="4396"/>
              </w:tabs>
              <w:kinsoku/>
              <w:wordWrap/>
              <w:overflowPunct/>
              <w:topLinePunct w:val="0"/>
              <w:autoSpaceDE/>
              <w:autoSpaceDN/>
              <w:bidi w:val="0"/>
              <w:adjustRightInd w:val="0"/>
              <w:snapToGrid w:val="0"/>
              <w:spacing w:line="360" w:lineRule="auto"/>
              <w:ind w:firstLine="480" w:firstLineChars="200"/>
              <w:jc w:val="both"/>
              <w:textAlignment w:val="auto"/>
              <w:rPr>
                <w:color w:val="auto"/>
              </w:rPr>
            </w:pPr>
            <w:r>
              <w:rPr>
                <w:rFonts w:hint="eastAsia"/>
                <w:color w:val="auto"/>
                <w:sz w:val="24"/>
                <w:lang w:val="en-US" w:eastAsia="zh-CN"/>
              </w:rPr>
              <w:t>管护年限按项目土地复垦方案服务年限后1年计算，复垦面积为8.8992</w:t>
            </w:r>
            <w:r>
              <w:rPr>
                <w:rFonts w:hint="eastAsia"/>
                <w:color w:val="auto"/>
                <w:sz w:val="24"/>
                <w:lang w:eastAsia="zh-CN"/>
              </w:rPr>
              <w:t>hm</w:t>
            </w:r>
            <w:r>
              <w:rPr>
                <w:rFonts w:hint="eastAsia"/>
                <w:color w:val="auto"/>
                <w:sz w:val="24"/>
                <w:vertAlign w:val="superscript"/>
                <w:lang w:eastAsia="zh-CN"/>
              </w:rPr>
              <w:t>2</w:t>
            </w:r>
            <w:r>
              <w:rPr>
                <w:rFonts w:hint="eastAsia"/>
                <w:color w:val="auto"/>
                <w:sz w:val="24"/>
                <w:lang w:val="en-US" w:eastAsia="zh-CN"/>
              </w:rPr>
              <w:t>，每公顷植被管护24个工日/年，强降雨或地震过后应及时巡查。</w:t>
            </w:r>
          </w:p>
          <w:p>
            <w:pPr>
              <w:keepNext w:val="0"/>
              <w:keepLines w:val="0"/>
              <w:pageBreakBefore w:val="0"/>
              <w:kinsoku/>
              <w:wordWrap/>
              <w:overflowPunct/>
              <w:topLinePunct w:val="0"/>
              <w:autoSpaceDE/>
              <w:autoSpaceDN/>
              <w:bidi w:val="0"/>
              <w:adjustRightInd w:val="0"/>
              <w:snapToGrid w:val="0"/>
              <w:spacing w:line="360" w:lineRule="auto"/>
              <w:ind w:left="420" w:leftChars="200"/>
              <w:jc w:val="both"/>
              <w:textAlignment w:val="auto"/>
              <w:rPr>
                <w:color w:val="auto"/>
                <w:sz w:val="24"/>
              </w:rPr>
            </w:pPr>
            <w:r>
              <w:rPr>
                <w:rFonts w:hint="eastAsia"/>
                <w:b/>
                <w:bCs/>
                <w:color w:val="auto"/>
                <w:sz w:val="24"/>
              </w:rPr>
              <w:t>七、</w:t>
            </w:r>
            <w:r>
              <w:rPr>
                <w:b/>
                <w:bCs/>
                <w:color w:val="auto"/>
                <w:sz w:val="24"/>
              </w:rPr>
              <w:t>环境风险</w:t>
            </w:r>
          </w:p>
          <w:p>
            <w:pPr>
              <w:widowControl/>
              <w:adjustRightInd w:val="0"/>
              <w:snapToGrid w:val="0"/>
              <w:spacing w:line="360" w:lineRule="auto"/>
              <w:ind w:firstLine="481" w:firstLineChars="200"/>
              <w:rPr>
                <w:b/>
                <w:bCs/>
                <w:color w:val="auto"/>
                <w:sz w:val="24"/>
              </w:rPr>
            </w:pPr>
            <w:r>
              <w:rPr>
                <w:rFonts w:hint="eastAsia"/>
                <w:b/>
                <w:bCs/>
                <w:color w:val="auto"/>
                <w:sz w:val="24"/>
              </w:rPr>
              <w:t>（1）风险源调查</w:t>
            </w:r>
          </w:p>
          <w:p>
            <w:pPr>
              <w:widowControl/>
              <w:adjustRightInd w:val="0"/>
              <w:snapToGrid w:val="0"/>
              <w:spacing w:line="360" w:lineRule="auto"/>
              <w:ind w:firstLine="480" w:firstLineChars="200"/>
              <w:rPr>
                <w:color w:val="auto"/>
                <w:sz w:val="24"/>
              </w:rPr>
            </w:pPr>
            <w:r>
              <w:rPr>
                <w:rFonts w:hint="eastAsia"/>
                <w:color w:val="auto"/>
                <w:sz w:val="24"/>
              </w:rPr>
              <w:t>根据《建设项目环境风险评价技术导则》（HJ169-2018）中的标准进行危险性识别，本项目所涉及到的危险物质为</w:t>
            </w:r>
            <w:r>
              <w:rPr>
                <w:rFonts w:hint="eastAsia"/>
                <w:color w:val="auto"/>
                <w:sz w:val="24"/>
                <w:lang w:val="en-US" w:eastAsia="zh-CN"/>
              </w:rPr>
              <w:t>机油</w:t>
            </w:r>
            <w:r>
              <w:rPr>
                <w:rFonts w:hint="eastAsia"/>
                <w:color w:val="auto"/>
                <w:sz w:val="24"/>
              </w:rPr>
              <w:t>。并计算涉及的突然环境事件风险物质的最大存在总量与其在附录B中对应临界量的比值Q。</w:t>
            </w:r>
          </w:p>
          <w:p>
            <w:pPr>
              <w:widowControl/>
              <w:adjustRightInd w:val="0"/>
              <w:snapToGrid w:val="0"/>
              <w:spacing w:line="360" w:lineRule="auto"/>
              <w:ind w:firstLine="480" w:firstLineChars="200"/>
              <w:rPr>
                <w:color w:val="auto"/>
                <w:sz w:val="24"/>
              </w:rPr>
            </w:pPr>
            <w:r>
              <w:rPr>
                <w:rFonts w:hint="eastAsia"/>
                <w:color w:val="auto"/>
                <w:sz w:val="24"/>
              </w:rPr>
              <w:t>当只涉及一种危险物质时，计算该物质的总量与其临界量比值，即为Q；</w:t>
            </w:r>
          </w:p>
          <w:p>
            <w:pPr>
              <w:widowControl/>
              <w:adjustRightInd w:val="0"/>
              <w:snapToGrid w:val="0"/>
              <w:spacing w:line="360" w:lineRule="auto"/>
              <w:ind w:firstLine="480" w:firstLineChars="200"/>
              <w:rPr>
                <w:color w:val="auto"/>
                <w:sz w:val="24"/>
              </w:rPr>
            </w:pPr>
            <w:r>
              <w:rPr>
                <w:rFonts w:hint="eastAsia"/>
                <w:color w:val="auto"/>
                <w:sz w:val="24"/>
              </w:rPr>
              <w:t>当存在多种危险物质时，则按下式计算物质总量与其临界量比值（Q）：</w:t>
            </w:r>
          </w:p>
          <w:p>
            <w:pPr>
              <w:widowControl/>
              <w:adjustRightInd w:val="0"/>
              <w:snapToGrid w:val="0"/>
              <w:spacing w:line="360" w:lineRule="auto"/>
              <w:jc w:val="center"/>
              <w:rPr>
                <w:color w:val="auto"/>
                <w:sz w:val="24"/>
              </w:rPr>
            </w:pPr>
            <w:r>
              <w:rPr>
                <w:rFonts w:hint="eastAsia"/>
                <w:color w:val="auto"/>
                <w:sz w:val="24"/>
              </w:rPr>
              <w:drawing>
                <wp:inline distT="0" distB="0" distL="114300" distR="114300">
                  <wp:extent cx="1701800" cy="436245"/>
                  <wp:effectExtent l="0" t="0" r="12700" b="1905"/>
                  <wp:docPr id="14" name="图片 14" descr="17258831289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1725883128971"/>
                          <pic:cNvPicPr>
                            <a:picLocks noChangeAspect="true"/>
                          </pic:cNvPicPr>
                        </pic:nvPicPr>
                        <pic:blipFill>
                          <a:blip r:embed="rId33"/>
                          <a:stretch>
                            <a:fillRect/>
                          </a:stretch>
                        </pic:blipFill>
                        <pic:spPr>
                          <a:xfrm>
                            <a:off x="0" y="0"/>
                            <a:ext cx="1701800" cy="436245"/>
                          </a:xfrm>
                          <a:prstGeom prst="rect">
                            <a:avLst/>
                          </a:prstGeom>
                        </pic:spPr>
                      </pic:pic>
                    </a:graphicData>
                  </a:graphic>
                </wp:inline>
              </w:drawing>
            </w:r>
          </w:p>
          <w:p>
            <w:pPr>
              <w:widowControl/>
              <w:adjustRightInd w:val="0"/>
              <w:snapToGrid w:val="0"/>
              <w:spacing w:line="360" w:lineRule="auto"/>
              <w:ind w:firstLine="480" w:firstLineChars="200"/>
              <w:rPr>
                <w:color w:val="auto"/>
                <w:sz w:val="24"/>
              </w:rPr>
            </w:pPr>
            <w:r>
              <w:rPr>
                <w:rFonts w:hint="eastAsia"/>
                <w:color w:val="auto"/>
                <w:sz w:val="24"/>
              </w:rPr>
              <w:t>式中：q1，q2，…，qn</w:t>
            </w:r>
            <w:r>
              <w:rPr>
                <w:rFonts w:hint="eastAsia"/>
                <w:color w:val="auto"/>
                <w:sz w:val="24"/>
                <w:lang w:eastAsia="zh-CN"/>
              </w:rPr>
              <w:t>——</w:t>
            </w:r>
            <w:r>
              <w:rPr>
                <w:rFonts w:hint="eastAsia"/>
                <w:color w:val="auto"/>
                <w:sz w:val="24"/>
              </w:rPr>
              <w:t>每种危险物质的最大存在总量，t；</w:t>
            </w:r>
          </w:p>
          <w:p>
            <w:pPr>
              <w:widowControl/>
              <w:adjustRightInd w:val="0"/>
              <w:snapToGrid w:val="0"/>
              <w:spacing w:line="360" w:lineRule="auto"/>
              <w:ind w:firstLine="480" w:firstLineChars="200"/>
              <w:rPr>
                <w:color w:val="auto"/>
                <w:sz w:val="24"/>
              </w:rPr>
            </w:pPr>
            <w:r>
              <w:rPr>
                <w:rFonts w:hint="eastAsia"/>
                <w:color w:val="auto"/>
                <w:sz w:val="24"/>
              </w:rPr>
              <w:t>Q1，Q2，…，Qn——每种危险物质的临界量，t。</w:t>
            </w:r>
          </w:p>
          <w:p>
            <w:pPr>
              <w:widowControl/>
              <w:adjustRightInd w:val="0"/>
              <w:snapToGrid w:val="0"/>
              <w:spacing w:line="360" w:lineRule="auto"/>
              <w:ind w:firstLine="480" w:firstLineChars="200"/>
              <w:rPr>
                <w:color w:val="auto"/>
                <w:sz w:val="24"/>
              </w:rPr>
            </w:pPr>
            <w:r>
              <w:rPr>
                <w:rFonts w:hint="eastAsia"/>
                <w:color w:val="auto"/>
                <w:sz w:val="24"/>
              </w:rPr>
              <w:t>当Q&lt;1时，该项目环境风险潜势为I。</w:t>
            </w:r>
          </w:p>
          <w:p>
            <w:pPr>
              <w:widowControl/>
              <w:adjustRightInd w:val="0"/>
              <w:snapToGrid w:val="0"/>
              <w:spacing w:line="360" w:lineRule="auto"/>
              <w:ind w:firstLine="480" w:firstLineChars="200"/>
              <w:rPr>
                <w:color w:val="auto"/>
                <w:sz w:val="24"/>
              </w:rPr>
            </w:pPr>
            <w:r>
              <w:rPr>
                <w:rFonts w:hint="eastAsia"/>
                <w:color w:val="auto"/>
                <w:sz w:val="24"/>
              </w:rPr>
              <w:t>当Q≥1时，将Q值划分为：(1)1≤Q&lt;10；(2)10≤Q&lt;100；(3)Q≥100。</w:t>
            </w:r>
          </w:p>
          <w:p>
            <w:pPr>
              <w:widowControl/>
              <w:adjustRightInd w:val="0"/>
              <w:snapToGrid w:val="0"/>
              <w:spacing w:line="360" w:lineRule="auto"/>
              <w:ind w:firstLine="480" w:firstLineChars="200"/>
              <w:rPr>
                <w:rFonts w:hint="eastAsia"/>
                <w:color w:val="auto"/>
                <w:sz w:val="24"/>
              </w:rPr>
            </w:pPr>
            <w:r>
              <w:rPr>
                <w:rFonts w:hint="eastAsia"/>
                <w:color w:val="auto"/>
                <w:sz w:val="24"/>
              </w:rPr>
              <w:t>根据附录A《突发环境事件风险物质及临界量清单》中所列风险物质结合本项目生产中使用到的各种原辅材料、生产的产品以及排放的“三废”污染物，本项目危险物质数量与临界量见表4-15。</w:t>
            </w:r>
          </w:p>
          <w:p>
            <w:pPr>
              <w:pStyle w:val="23"/>
              <w:widowControl/>
              <w:adjustRightInd w:val="0"/>
              <w:snapToGrid w:val="0"/>
              <w:spacing w:after="0"/>
              <w:ind w:firstLine="0" w:firstLineChars="0"/>
              <w:jc w:val="center"/>
              <w:rPr>
                <w:b/>
                <w:bCs/>
                <w:color w:val="auto"/>
                <w:sz w:val="21"/>
                <w:szCs w:val="21"/>
              </w:rPr>
            </w:pPr>
            <w:r>
              <w:rPr>
                <w:b/>
                <w:bCs/>
                <w:color w:val="auto"/>
                <w:sz w:val="21"/>
                <w:szCs w:val="21"/>
              </w:rPr>
              <w:t>表4-</w:t>
            </w:r>
            <w:r>
              <w:rPr>
                <w:rFonts w:hint="eastAsia"/>
                <w:b/>
                <w:bCs/>
                <w:color w:val="auto"/>
                <w:sz w:val="21"/>
                <w:szCs w:val="21"/>
              </w:rPr>
              <w:t>15</w:t>
            </w:r>
            <w:r>
              <w:rPr>
                <w:b/>
                <w:bCs/>
                <w:color w:val="auto"/>
                <w:sz w:val="21"/>
                <w:szCs w:val="21"/>
              </w:rPr>
              <w:t xml:space="preserve"> </w:t>
            </w:r>
            <w:r>
              <w:rPr>
                <w:rFonts w:hint="eastAsia"/>
                <w:b/>
                <w:bCs/>
                <w:color w:val="auto"/>
                <w:sz w:val="21"/>
                <w:szCs w:val="21"/>
              </w:rPr>
              <w:t xml:space="preserve"> </w:t>
            </w:r>
            <w:r>
              <w:rPr>
                <w:b/>
                <w:bCs/>
                <w:color w:val="auto"/>
                <w:sz w:val="21"/>
                <w:szCs w:val="21"/>
              </w:rPr>
              <w:t xml:space="preserve"> </w:t>
            </w:r>
            <w:r>
              <w:rPr>
                <w:rFonts w:hint="eastAsia"/>
                <w:b/>
                <w:bCs/>
                <w:color w:val="auto"/>
                <w:sz w:val="21"/>
                <w:szCs w:val="21"/>
              </w:rPr>
              <w:t>项目建成后Q值计算结果</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1"/>
              <w:gridCol w:w="1610"/>
              <w:gridCol w:w="2063"/>
              <w:gridCol w:w="1761"/>
              <w:gridCol w:w="12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pct"/>
                  <w:vAlign w:val="center"/>
                </w:tcPr>
                <w:p>
                  <w:pPr>
                    <w:pStyle w:val="23"/>
                    <w:widowControl/>
                    <w:adjustRightInd w:val="0"/>
                    <w:snapToGrid w:val="0"/>
                    <w:spacing w:after="0"/>
                    <w:ind w:firstLine="0" w:firstLineChars="0"/>
                    <w:jc w:val="center"/>
                    <w:rPr>
                      <w:b/>
                      <w:bCs/>
                      <w:color w:val="auto"/>
                      <w:sz w:val="21"/>
                      <w:szCs w:val="21"/>
                    </w:rPr>
                  </w:pPr>
                  <w:r>
                    <w:rPr>
                      <w:rFonts w:hint="eastAsia"/>
                      <w:b/>
                      <w:bCs/>
                      <w:color w:val="auto"/>
                      <w:sz w:val="21"/>
                      <w:szCs w:val="21"/>
                    </w:rPr>
                    <w:t>危险物质</w:t>
                  </w:r>
                  <w:r>
                    <w:rPr>
                      <w:b/>
                      <w:bCs/>
                      <w:color w:val="auto"/>
                      <w:sz w:val="21"/>
                      <w:szCs w:val="21"/>
                    </w:rPr>
                    <w:t>名称</w:t>
                  </w:r>
                </w:p>
              </w:tc>
              <w:tc>
                <w:tcPr>
                  <w:tcW w:w="966" w:type="pct"/>
                  <w:vAlign w:val="center"/>
                </w:tcPr>
                <w:p>
                  <w:pPr>
                    <w:pStyle w:val="23"/>
                    <w:widowControl/>
                    <w:adjustRightInd w:val="0"/>
                    <w:snapToGrid w:val="0"/>
                    <w:spacing w:after="0"/>
                    <w:ind w:firstLine="0" w:firstLineChars="0"/>
                    <w:jc w:val="center"/>
                    <w:rPr>
                      <w:b/>
                      <w:bCs/>
                      <w:color w:val="auto"/>
                      <w:sz w:val="21"/>
                      <w:szCs w:val="21"/>
                    </w:rPr>
                  </w:pPr>
                  <w:r>
                    <w:rPr>
                      <w:rFonts w:hint="eastAsia"/>
                      <w:b/>
                      <w:bCs/>
                      <w:color w:val="auto"/>
                      <w:sz w:val="21"/>
                      <w:szCs w:val="21"/>
                    </w:rPr>
                    <w:t>性质</w:t>
                  </w:r>
                </w:p>
              </w:tc>
              <w:tc>
                <w:tcPr>
                  <w:tcW w:w="1238" w:type="pct"/>
                  <w:vAlign w:val="center"/>
                </w:tcPr>
                <w:p>
                  <w:pPr>
                    <w:pStyle w:val="23"/>
                    <w:widowControl/>
                    <w:adjustRightInd w:val="0"/>
                    <w:snapToGrid w:val="0"/>
                    <w:spacing w:after="0"/>
                    <w:ind w:firstLine="0" w:firstLineChars="0"/>
                    <w:jc w:val="center"/>
                    <w:rPr>
                      <w:b/>
                      <w:bCs/>
                      <w:color w:val="auto"/>
                      <w:sz w:val="21"/>
                      <w:szCs w:val="21"/>
                    </w:rPr>
                  </w:pPr>
                  <w:r>
                    <w:rPr>
                      <w:rFonts w:hint="eastAsia"/>
                      <w:b/>
                      <w:bCs/>
                      <w:color w:val="auto"/>
                      <w:sz w:val="21"/>
                      <w:szCs w:val="21"/>
                    </w:rPr>
                    <w:t>最大储存量qn（t）</w:t>
                  </w:r>
                </w:p>
              </w:tc>
              <w:tc>
                <w:tcPr>
                  <w:tcW w:w="1057" w:type="pct"/>
                  <w:vAlign w:val="center"/>
                </w:tcPr>
                <w:p>
                  <w:pPr>
                    <w:pStyle w:val="23"/>
                    <w:widowControl/>
                    <w:adjustRightInd w:val="0"/>
                    <w:snapToGrid w:val="0"/>
                    <w:spacing w:after="0"/>
                    <w:ind w:firstLine="0" w:firstLineChars="0"/>
                    <w:jc w:val="center"/>
                    <w:rPr>
                      <w:b/>
                      <w:bCs/>
                      <w:color w:val="auto"/>
                      <w:sz w:val="21"/>
                      <w:szCs w:val="21"/>
                    </w:rPr>
                  </w:pPr>
                  <w:r>
                    <w:rPr>
                      <w:rFonts w:hint="eastAsia"/>
                      <w:b/>
                      <w:bCs/>
                      <w:color w:val="auto"/>
                      <w:sz w:val="21"/>
                      <w:szCs w:val="21"/>
                    </w:rPr>
                    <w:t>临界量Qn（t）</w:t>
                  </w:r>
                </w:p>
              </w:tc>
              <w:tc>
                <w:tcPr>
                  <w:tcW w:w="751" w:type="pct"/>
                  <w:vAlign w:val="center"/>
                </w:tcPr>
                <w:p>
                  <w:pPr>
                    <w:pStyle w:val="23"/>
                    <w:widowControl/>
                    <w:adjustRightInd w:val="0"/>
                    <w:snapToGrid w:val="0"/>
                    <w:spacing w:after="0"/>
                    <w:ind w:firstLine="0" w:firstLineChars="0"/>
                    <w:jc w:val="center"/>
                    <w:rPr>
                      <w:b/>
                      <w:bCs/>
                      <w:color w:val="auto"/>
                      <w:sz w:val="21"/>
                      <w:szCs w:val="21"/>
                    </w:rPr>
                  </w:pPr>
                  <w:r>
                    <w:rPr>
                      <w:rFonts w:hint="eastAsia"/>
                      <w:b/>
                      <w:bCs/>
                      <w:color w:val="auto"/>
                      <w:sz w:val="21"/>
                      <w:szCs w:val="21"/>
                    </w:rPr>
                    <w:t>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pct"/>
                  <w:vAlign w:val="center"/>
                </w:tcPr>
                <w:p>
                  <w:pPr>
                    <w:pStyle w:val="23"/>
                    <w:widowControl/>
                    <w:adjustRightInd w:val="0"/>
                    <w:snapToGrid w:val="0"/>
                    <w:spacing w:after="0"/>
                    <w:ind w:firstLine="0" w:firstLineChars="0"/>
                    <w:jc w:val="center"/>
                    <w:rPr>
                      <w:color w:val="auto"/>
                      <w:sz w:val="21"/>
                      <w:szCs w:val="21"/>
                    </w:rPr>
                  </w:pPr>
                  <w:r>
                    <w:rPr>
                      <w:rFonts w:hint="eastAsia"/>
                      <w:color w:val="auto"/>
                      <w:sz w:val="21"/>
                      <w:szCs w:val="21"/>
                      <w:lang w:val="en-US" w:eastAsia="zh-CN"/>
                    </w:rPr>
                    <w:t>机</w:t>
                  </w:r>
                  <w:r>
                    <w:rPr>
                      <w:rFonts w:hint="eastAsia"/>
                      <w:color w:val="auto"/>
                      <w:sz w:val="21"/>
                      <w:szCs w:val="21"/>
                    </w:rPr>
                    <w:t>油</w:t>
                  </w:r>
                </w:p>
              </w:tc>
              <w:tc>
                <w:tcPr>
                  <w:tcW w:w="966" w:type="pct"/>
                  <w:vAlign w:val="center"/>
                </w:tcPr>
                <w:p>
                  <w:pPr>
                    <w:pStyle w:val="23"/>
                    <w:widowControl/>
                    <w:adjustRightInd w:val="0"/>
                    <w:snapToGrid w:val="0"/>
                    <w:spacing w:after="0"/>
                    <w:ind w:firstLine="0" w:firstLineChars="0"/>
                    <w:jc w:val="center"/>
                    <w:rPr>
                      <w:color w:val="auto"/>
                      <w:sz w:val="21"/>
                      <w:szCs w:val="21"/>
                    </w:rPr>
                  </w:pPr>
                  <w:r>
                    <w:rPr>
                      <w:rFonts w:hint="eastAsia"/>
                      <w:color w:val="auto"/>
                      <w:sz w:val="21"/>
                      <w:szCs w:val="21"/>
                    </w:rPr>
                    <w:t>有毒有害液体</w:t>
                  </w:r>
                </w:p>
              </w:tc>
              <w:tc>
                <w:tcPr>
                  <w:tcW w:w="1238" w:type="pct"/>
                  <w:vAlign w:val="center"/>
                </w:tcPr>
                <w:p>
                  <w:pPr>
                    <w:pStyle w:val="23"/>
                    <w:widowControl/>
                    <w:adjustRightInd w:val="0"/>
                    <w:snapToGrid w:val="0"/>
                    <w:spacing w:after="0"/>
                    <w:ind w:firstLine="0" w:firstLineChars="0"/>
                    <w:jc w:val="center"/>
                    <w:rPr>
                      <w:rFonts w:hint="default" w:eastAsia="宋体"/>
                      <w:color w:val="auto"/>
                      <w:sz w:val="21"/>
                      <w:szCs w:val="21"/>
                      <w:lang w:val="en-US" w:eastAsia="zh-CN"/>
                    </w:rPr>
                  </w:pPr>
                  <w:r>
                    <w:rPr>
                      <w:rFonts w:hint="eastAsia"/>
                      <w:color w:val="auto"/>
                      <w:sz w:val="21"/>
                      <w:szCs w:val="21"/>
                      <w:lang w:val="en-US" w:eastAsia="zh-CN"/>
                    </w:rPr>
                    <w:t>0.2</w:t>
                  </w:r>
                </w:p>
              </w:tc>
              <w:tc>
                <w:tcPr>
                  <w:tcW w:w="1057" w:type="pct"/>
                  <w:vAlign w:val="center"/>
                </w:tcPr>
                <w:p>
                  <w:pPr>
                    <w:pStyle w:val="23"/>
                    <w:widowControl/>
                    <w:adjustRightInd w:val="0"/>
                    <w:snapToGrid w:val="0"/>
                    <w:spacing w:after="0"/>
                    <w:ind w:firstLine="0" w:firstLineChars="0"/>
                    <w:jc w:val="center"/>
                    <w:rPr>
                      <w:color w:val="auto"/>
                      <w:sz w:val="21"/>
                      <w:szCs w:val="21"/>
                    </w:rPr>
                  </w:pPr>
                  <w:r>
                    <w:rPr>
                      <w:rFonts w:hint="eastAsia"/>
                      <w:color w:val="auto"/>
                      <w:sz w:val="21"/>
                      <w:szCs w:val="21"/>
                    </w:rPr>
                    <w:t>2500</w:t>
                  </w:r>
                </w:p>
              </w:tc>
              <w:tc>
                <w:tcPr>
                  <w:tcW w:w="751" w:type="pct"/>
                  <w:vAlign w:val="center"/>
                </w:tcPr>
                <w:p>
                  <w:pPr>
                    <w:pStyle w:val="23"/>
                    <w:widowControl/>
                    <w:adjustRightInd w:val="0"/>
                    <w:snapToGrid w:val="0"/>
                    <w:spacing w:after="0"/>
                    <w:ind w:firstLine="0" w:firstLineChars="0"/>
                    <w:jc w:val="center"/>
                    <w:rPr>
                      <w:rFonts w:hint="eastAsia" w:eastAsia="宋体"/>
                      <w:color w:val="auto"/>
                      <w:sz w:val="21"/>
                      <w:szCs w:val="21"/>
                      <w:lang w:val="en-US" w:eastAsia="zh-CN"/>
                    </w:rPr>
                  </w:pPr>
                  <w:r>
                    <w:rPr>
                      <w:rFonts w:hint="eastAsia"/>
                      <w:color w:val="auto"/>
                      <w:sz w:val="21"/>
                      <w:szCs w:val="21"/>
                    </w:rPr>
                    <w:t>0.000</w:t>
                  </w:r>
                  <w:r>
                    <w:rPr>
                      <w:rFonts w:hint="eastAsia"/>
                      <w:color w:val="auto"/>
                      <w:sz w:val="21"/>
                      <w:szCs w:val="21"/>
                      <w:lang w:val="en-US" w:eastAsia="zh-CN"/>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5"/>
                  <w:vAlign w:val="center"/>
                </w:tcPr>
                <w:p>
                  <w:pPr>
                    <w:pStyle w:val="23"/>
                    <w:widowControl/>
                    <w:adjustRightInd w:val="0"/>
                    <w:snapToGrid w:val="0"/>
                    <w:spacing w:after="0"/>
                    <w:ind w:firstLine="0" w:firstLineChars="0"/>
                    <w:rPr>
                      <w:color w:val="auto"/>
                      <w:sz w:val="21"/>
                      <w:szCs w:val="21"/>
                    </w:rPr>
                  </w:pPr>
                  <w:r>
                    <w:rPr>
                      <w:rFonts w:hint="eastAsia"/>
                      <w:color w:val="auto"/>
                      <w:sz w:val="21"/>
                      <w:szCs w:val="21"/>
                    </w:rPr>
                    <w:t>注：上表中</w:t>
                  </w:r>
                  <w:r>
                    <w:rPr>
                      <w:rFonts w:hint="eastAsia"/>
                      <w:color w:val="auto"/>
                      <w:sz w:val="21"/>
                      <w:szCs w:val="21"/>
                      <w:lang w:val="en-US" w:eastAsia="zh-CN"/>
                    </w:rPr>
                    <w:t>机</w:t>
                  </w:r>
                  <w:r>
                    <w:rPr>
                      <w:rFonts w:hint="eastAsia"/>
                      <w:color w:val="auto"/>
                      <w:sz w:val="21"/>
                      <w:szCs w:val="21"/>
                    </w:rPr>
                    <w:t>油临界量按照《建设项目环境风险评价技术导则》（HJ169-2018）附录B表B.2中油类物质（矿物油类，如石油、汽油、柴油等；生物柴油等）临界量2500t计。</w:t>
                  </w:r>
                </w:p>
              </w:tc>
            </w:tr>
          </w:tbl>
          <w:p>
            <w:pPr>
              <w:widowControl/>
              <w:adjustRightInd w:val="0"/>
              <w:snapToGrid w:val="0"/>
              <w:spacing w:line="360" w:lineRule="auto"/>
              <w:ind w:firstLine="480" w:firstLineChars="200"/>
              <w:rPr>
                <w:color w:val="auto"/>
                <w:sz w:val="24"/>
              </w:rPr>
            </w:pPr>
            <w:r>
              <w:rPr>
                <w:rFonts w:hint="eastAsia"/>
                <w:color w:val="auto"/>
                <w:sz w:val="24"/>
              </w:rPr>
              <w:t>根据计算Q&lt;1，确定建设项目建成后全厂环境风险潜势为I，故建设项目开展环境风险简单分析。</w:t>
            </w:r>
          </w:p>
          <w:p>
            <w:pPr>
              <w:widowControl/>
              <w:adjustRightInd w:val="0"/>
              <w:snapToGrid w:val="0"/>
              <w:spacing w:line="360" w:lineRule="auto"/>
              <w:ind w:firstLine="481" w:firstLineChars="200"/>
              <w:rPr>
                <w:b/>
                <w:bCs/>
                <w:color w:val="auto"/>
                <w:sz w:val="24"/>
              </w:rPr>
            </w:pPr>
            <w:r>
              <w:rPr>
                <w:rFonts w:hint="eastAsia"/>
                <w:b/>
                <w:bCs/>
                <w:color w:val="auto"/>
                <w:sz w:val="24"/>
              </w:rPr>
              <w:t>（2）环境风险识别</w:t>
            </w:r>
          </w:p>
          <w:p>
            <w:pPr>
              <w:widowControl/>
              <w:adjustRightInd w:val="0"/>
              <w:snapToGrid w:val="0"/>
              <w:spacing w:line="360" w:lineRule="auto"/>
              <w:ind w:firstLine="480" w:firstLineChars="200"/>
              <w:rPr>
                <w:color w:val="auto"/>
                <w:sz w:val="24"/>
              </w:rPr>
            </w:pPr>
            <w:r>
              <w:rPr>
                <w:rFonts w:hint="eastAsia"/>
                <w:color w:val="auto"/>
                <w:sz w:val="24"/>
              </w:rPr>
              <w:t>本项目可能发生事故或者在非正常工况下对周边环境产生影响主要在以下方面：</w:t>
            </w:r>
          </w:p>
          <w:p>
            <w:pPr>
              <w:widowControl/>
              <w:adjustRightInd w:val="0"/>
              <w:snapToGrid w:val="0"/>
              <w:spacing w:line="360" w:lineRule="auto"/>
              <w:ind w:firstLine="480" w:firstLineChars="200"/>
              <w:rPr>
                <w:rFonts w:hint="eastAsia" w:eastAsia="宋体"/>
                <w:color w:val="auto"/>
                <w:sz w:val="24"/>
                <w:lang w:eastAsia="zh-CN"/>
              </w:rPr>
            </w:pPr>
            <w:r>
              <w:rPr>
                <w:rFonts w:hint="eastAsia"/>
                <w:color w:val="auto"/>
                <w:sz w:val="24"/>
              </w:rPr>
              <w:t>①</w:t>
            </w:r>
            <w:r>
              <w:rPr>
                <w:rFonts w:hint="eastAsia"/>
                <w:color w:val="auto"/>
                <w:sz w:val="24"/>
                <w:lang w:val="en-US" w:eastAsia="zh-CN"/>
              </w:rPr>
              <w:t>机</w:t>
            </w:r>
            <w:r>
              <w:rPr>
                <w:rFonts w:hint="eastAsia"/>
                <w:color w:val="auto"/>
                <w:sz w:val="24"/>
              </w:rPr>
              <w:t>油泄露发生火灾伴生环境事件；</w:t>
            </w:r>
            <w:r>
              <w:rPr>
                <w:rFonts w:hint="eastAsia"/>
                <w:color w:val="auto"/>
                <w:sz w:val="24"/>
                <w:lang w:val="en-US" w:eastAsia="zh-CN"/>
              </w:rPr>
              <w:t>机油包装</w:t>
            </w:r>
            <w:r>
              <w:rPr>
                <w:rFonts w:hint="eastAsia"/>
                <w:color w:val="auto"/>
                <w:sz w:val="24"/>
              </w:rPr>
              <w:t>破损油品渗漏</w:t>
            </w:r>
            <w:r>
              <w:rPr>
                <w:rFonts w:hint="eastAsia"/>
                <w:color w:val="auto"/>
                <w:sz w:val="24"/>
                <w:lang w:val="en-US" w:eastAsia="zh-CN"/>
              </w:rPr>
              <w:t>会</w:t>
            </w:r>
            <w:r>
              <w:rPr>
                <w:rFonts w:hint="eastAsia"/>
                <w:color w:val="auto"/>
                <w:sz w:val="24"/>
              </w:rPr>
              <w:t>引起土壤及地下水的污染</w:t>
            </w:r>
            <w:r>
              <w:rPr>
                <w:rFonts w:hint="eastAsia"/>
                <w:color w:val="auto"/>
                <w:sz w:val="24"/>
                <w:lang w:eastAsia="zh-CN"/>
              </w:rPr>
              <w:t>；</w:t>
            </w:r>
          </w:p>
          <w:p>
            <w:pPr>
              <w:widowControl/>
              <w:adjustRightInd w:val="0"/>
              <w:snapToGrid w:val="0"/>
              <w:spacing w:line="360" w:lineRule="auto"/>
              <w:ind w:firstLine="480" w:firstLineChars="200"/>
              <w:rPr>
                <w:color w:val="auto"/>
                <w:sz w:val="24"/>
              </w:rPr>
            </w:pPr>
            <w:r>
              <w:rPr>
                <w:rFonts w:hint="eastAsia"/>
                <w:color w:val="auto"/>
                <w:sz w:val="24"/>
              </w:rPr>
              <w:t>②危废随生活垃圾或一般固废流失出厂；</w:t>
            </w:r>
          </w:p>
          <w:p>
            <w:pPr>
              <w:widowControl/>
              <w:adjustRightInd w:val="0"/>
              <w:snapToGrid w:val="0"/>
              <w:spacing w:line="360" w:lineRule="auto"/>
              <w:ind w:firstLine="480" w:firstLineChars="200"/>
              <w:rPr>
                <w:color w:val="auto"/>
                <w:sz w:val="24"/>
              </w:rPr>
            </w:pPr>
            <w:r>
              <w:rPr>
                <w:rFonts w:hint="eastAsia"/>
                <w:color w:val="auto"/>
                <w:sz w:val="24"/>
              </w:rPr>
              <w:t>③</w:t>
            </w:r>
            <w:r>
              <w:rPr>
                <w:rFonts w:hint="eastAsia"/>
                <w:color w:val="auto"/>
                <w:sz w:val="24"/>
                <w:lang w:val="en-US" w:eastAsia="zh-CN"/>
              </w:rPr>
              <w:t>生活污水经化粪池处理后拉运途中有泄露风险</w:t>
            </w:r>
            <w:r>
              <w:rPr>
                <w:rFonts w:hint="eastAsia"/>
                <w:color w:val="auto"/>
                <w:sz w:val="24"/>
              </w:rPr>
              <w:t>。</w:t>
            </w:r>
          </w:p>
          <w:p>
            <w:pPr>
              <w:widowControl/>
              <w:adjustRightInd w:val="0"/>
              <w:snapToGrid w:val="0"/>
              <w:spacing w:line="360" w:lineRule="auto"/>
              <w:ind w:firstLine="481" w:firstLineChars="200"/>
              <w:rPr>
                <w:b/>
                <w:bCs/>
                <w:color w:val="auto"/>
                <w:sz w:val="24"/>
              </w:rPr>
            </w:pPr>
            <w:r>
              <w:rPr>
                <w:rFonts w:hint="eastAsia"/>
                <w:b/>
                <w:bCs/>
                <w:color w:val="auto"/>
                <w:sz w:val="24"/>
              </w:rPr>
              <w:t>（3）环境风险影响分析</w:t>
            </w:r>
          </w:p>
          <w:p>
            <w:pPr>
              <w:widowControl/>
              <w:adjustRightInd w:val="0"/>
              <w:snapToGrid w:val="0"/>
              <w:spacing w:line="360" w:lineRule="auto"/>
              <w:ind w:firstLine="480" w:firstLineChars="200"/>
              <w:rPr>
                <w:color w:val="auto"/>
                <w:sz w:val="24"/>
              </w:rPr>
            </w:pPr>
            <w:r>
              <w:rPr>
                <w:rFonts w:hint="eastAsia"/>
                <w:color w:val="auto"/>
                <w:sz w:val="24"/>
              </w:rPr>
              <w:t>①</w:t>
            </w:r>
            <w:r>
              <w:rPr>
                <w:rFonts w:hint="eastAsia"/>
                <w:color w:val="auto"/>
                <w:sz w:val="24"/>
                <w:lang w:val="en-US" w:eastAsia="zh-CN"/>
              </w:rPr>
              <w:t>机</w:t>
            </w:r>
            <w:r>
              <w:rPr>
                <w:rFonts w:hint="eastAsia"/>
                <w:color w:val="auto"/>
                <w:sz w:val="24"/>
              </w:rPr>
              <w:t>油存在火灾风险，燃烧后有害气体释放，含有毒有害物质的消防废水可能随雨水管网外排。物料泄漏、遇火源发生火灾；燃烧后有害气体释放，含有毒有害物质的消防废水可能</w:t>
            </w:r>
            <w:r>
              <w:rPr>
                <w:rFonts w:hint="eastAsia"/>
                <w:color w:val="auto"/>
                <w:sz w:val="24"/>
                <w:lang w:val="en-US" w:eastAsia="zh-CN"/>
              </w:rPr>
              <w:t>污染土壤和地下水</w:t>
            </w:r>
            <w:r>
              <w:rPr>
                <w:rFonts w:hint="eastAsia"/>
                <w:color w:val="auto"/>
                <w:sz w:val="24"/>
              </w:rPr>
              <w:t>。</w:t>
            </w:r>
          </w:p>
          <w:p>
            <w:pPr>
              <w:widowControl/>
              <w:adjustRightInd w:val="0"/>
              <w:snapToGrid w:val="0"/>
              <w:spacing w:line="360" w:lineRule="auto"/>
              <w:ind w:firstLine="480" w:firstLineChars="200"/>
              <w:rPr>
                <w:rFonts w:hint="eastAsia"/>
                <w:color w:val="auto"/>
                <w:sz w:val="24"/>
              </w:rPr>
            </w:pPr>
            <w:r>
              <w:rPr>
                <w:rFonts w:hint="eastAsia"/>
                <w:color w:val="auto"/>
                <w:sz w:val="24"/>
              </w:rPr>
              <w:t>②项目产生的废</w:t>
            </w:r>
            <w:r>
              <w:rPr>
                <w:rFonts w:hint="eastAsia"/>
                <w:color w:val="auto"/>
                <w:sz w:val="24"/>
                <w:lang w:val="en-US" w:eastAsia="zh-CN"/>
              </w:rPr>
              <w:t>机</w:t>
            </w:r>
            <w:r>
              <w:rPr>
                <w:rFonts w:hint="eastAsia"/>
                <w:color w:val="auto"/>
                <w:sz w:val="24"/>
              </w:rPr>
              <w:t>油等危险废物随生活垃圾或者一般固废流失出厂，直接对环境造成污染。</w:t>
            </w:r>
          </w:p>
          <w:p>
            <w:pPr>
              <w:widowControl/>
              <w:adjustRightInd w:val="0"/>
              <w:snapToGrid w:val="0"/>
              <w:spacing w:line="360" w:lineRule="auto"/>
              <w:ind w:firstLine="480" w:firstLineChars="200"/>
              <w:rPr>
                <w:rFonts w:hint="eastAsia" w:eastAsia="宋体"/>
                <w:color w:val="auto"/>
                <w:sz w:val="24"/>
                <w:lang w:val="en-US" w:eastAsia="zh-CN"/>
              </w:rPr>
            </w:pPr>
            <w:r>
              <w:rPr>
                <w:rFonts w:hint="eastAsia"/>
                <w:color w:val="auto"/>
                <w:sz w:val="24"/>
                <w:lang w:val="en-US" w:eastAsia="zh-CN"/>
              </w:rPr>
              <w:t>③生活污水经化粪池处理后拉运途中产生泄露，会直接对环境造成污染</w:t>
            </w:r>
            <w:r>
              <w:rPr>
                <w:rFonts w:hint="eastAsia"/>
                <w:color w:val="auto"/>
                <w:sz w:val="24"/>
              </w:rPr>
              <w:t>。</w:t>
            </w:r>
          </w:p>
          <w:p>
            <w:pPr>
              <w:widowControl/>
              <w:adjustRightInd w:val="0"/>
              <w:snapToGrid w:val="0"/>
              <w:spacing w:line="360" w:lineRule="auto"/>
              <w:ind w:firstLine="481" w:firstLineChars="200"/>
              <w:rPr>
                <w:b/>
                <w:bCs/>
                <w:color w:val="auto"/>
                <w:sz w:val="24"/>
              </w:rPr>
            </w:pPr>
            <w:r>
              <w:rPr>
                <w:rFonts w:hint="eastAsia"/>
                <w:b/>
                <w:bCs/>
                <w:color w:val="auto"/>
                <w:sz w:val="24"/>
              </w:rPr>
              <w:t>（4）环境风险防范措施</w:t>
            </w:r>
          </w:p>
          <w:p>
            <w:pPr>
              <w:widowControl/>
              <w:adjustRightInd w:val="0"/>
              <w:snapToGrid w:val="0"/>
              <w:spacing w:line="360" w:lineRule="auto"/>
              <w:ind w:firstLine="480" w:firstLineChars="200"/>
              <w:rPr>
                <w:color w:val="auto"/>
                <w:sz w:val="24"/>
              </w:rPr>
            </w:pPr>
            <w:r>
              <w:rPr>
                <w:rFonts w:hint="eastAsia"/>
                <w:color w:val="auto"/>
                <w:sz w:val="24"/>
              </w:rPr>
              <w:t>①总图布置应符合《工业企业总平面设计规范》(GB 50187-2012)、</w:t>
            </w:r>
            <w:r>
              <w:rPr>
                <w:rStyle w:val="30"/>
                <w:color w:val="auto"/>
                <w:sz w:val="24"/>
                <w:szCs w:val="24"/>
              </w:rPr>
              <w:t>《</w:t>
            </w:r>
            <w:r>
              <w:rPr>
                <w:rStyle w:val="30"/>
                <w:rFonts w:hint="default"/>
                <w:color w:val="auto"/>
                <w:sz w:val="24"/>
                <w:szCs w:val="24"/>
              </w:rPr>
              <w:fldChar w:fldCharType="begin"/>
            </w:r>
            <w:r>
              <w:rPr>
                <w:rStyle w:val="30"/>
                <w:rFonts w:hint="default"/>
                <w:color w:val="auto"/>
                <w:sz w:val="24"/>
                <w:szCs w:val="24"/>
              </w:rPr>
              <w:instrText xml:space="preserve"> HYPERLINK "https://baike.baidu.com/item/%E5%BB%BA%E7%AD%91%E9%98%B2%E7%81%AB%E9%80%9A%E7%94%A8%E8%A7%84%E8%8C%83/62602720?fromModule=lemma_inlink" \t "https://baike.baidu.com/item/%E5%BB%BA%E7%AD%91%E8%AE%BE%E8%AE%A1%E9%98%B2%E7%81%AB%E8%A7%84%E8%8C%83/_blank" </w:instrText>
            </w:r>
            <w:r>
              <w:rPr>
                <w:rStyle w:val="30"/>
                <w:rFonts w:hint="default"/>
                <w:color w:val="auto"/>
                <w:sz w:val="24"/>
                <w:szCs w:val="24"/>
              </w:rPr>
              <w:fldChar w:fldCharType="separate"/>
            </w:r>
            <w:r>
              <w:rPr>
                <w:rStyle w:val="30"/>
                <w:rFonts w:hint="default"/>
                <w:color w:val="auto"/>
                <w:sz w:val="24"/>
                <w:szCs w:val="24"/>
              </w:rPr>
              <w:t>建筑防火通用规范</w:t>
            </w:r>
            <w:r>
              <w:rPr>
                <w:rStyle w:val="30"/>
                <w:rFonts w:hint="default"/>
                <w:color w:val="auto"/>
                <w:sz w:val="24"/>
                <w:szCs w:val="24"/>
              </w:rPr>
              <w:fldChar w:fldCharType="end"/>
            </w:r>
            <w:r>
              <w:rPr>
                <w:rStyle w:val="30"/>
                <w:rFonts w:hint="default"/>
                <w:color w:val="auto"/>
                <w:sz w:val="24"/>
                <w:szCs w:val="24"/>
              </w:rPr>
              <w:t>》（GB 55037-2022）</w:t>
            </w:r>
            <w:r>
              <w:rPr>
                <w:rFonts w:hint="eastAsia"/>
                <w:color w:val="auto"/>
                <w:sz w:val="24"/>
              </w:rPr>
              <w:t>等有关规定，应满足生产工业要求，保证工艺流程顺畅，管线短捷，有利于生产和便于管理，同时应满足安全、卫生、环保、消防等有关标准规范的要求；</w:t>
            </w:r>
          </w:p>
          <w:p>
            <w:pPr>
              <w:widowControl/>
              <w:adjustRightInd w:val="0"/>
              <w:snapToGrid w:val="0"/>
              <w:spacing w:line="360" w:lineRule="auto"/>
              <w:ind w:firstLine="480" w:firstLineChars="200"/>
              <w:rPr>
                <w:color w:val="auto"/>
                <w:sz w:val="24"/>
              </w:rPr>
            </w:pPr>
            <w:r>
              <w:rPr>
                <w:rFonts w:hint="eastAsia"/>
                <w:color w:val="auto"/>
                <w:sz w:val="24"/>
              </w:rPr>
              <w:t>②安排专人定期检查</w:t>
            </w:r>
            <w:r>
              <w:rPr>
                <w:rFonts w:hint="eastAsia"/>
                <w:color w:val="auto"/>
                <w:sz w:val="24"/>
                <w:lang w:val="en-US" w:eastAsia="zh-CN"/>
              </w:rPr>
              <w:t>机</w:t>
            </w:r>
            <w:r>
              <w:rPr>
                <w:rFonts w:hint="eastAsia"/>
                <w:color w:val="auto"/>
                <w:sz w:val="24"/>
              </w:rPr>
              <w:t>油使用及贮存情况，定期检查危险废物贮存</w:t>
            </w:r>
            <w:r>
              <w:rPr>
                <w:rFonts w:hint="eastAsia"/>
                <w:color w:val="auto"/>
                <w:sz w:val="24"/>
                <w:lang w:val="en-US" w:eastAsia="zh-CN"/>
              </w:rPr>
              <w:t>点</w:t>
            </w:r>
            <w:r>
              <w:rPr>
                <w:rFonts w:hint="eastAsia"/>
                <w:color w:val="auto"/>
                <w:sz w:val="24"/>
              </w:rPr>
              <w:t>内危险废物出入库及贮存情况，检查人员对使用、出入库、贮存情况应记录在册，定期检查危险废物分区存放及包装容器完整情况；</w:t>
            </w:r>
          </w:p>
          <w:p>
            <w:pPr>
              <w:widowControl/>
              <w:adjustRightInd w:val="0"/>
              <w:snapToGrid w:val="0"/>
              <w:spacing w:line="360" w:lineRule="auto"/>
              <w:ind w:firstLine="480" w:firstLineChars="200"/>
              <w:rPr>
                <w:color w:val="auto"/>
                <w:sz w:val="24"/>
              </w:rPr>
            </w:pPr>
            <w:r>
              <w:rPr>
                <w:rFonts w:hint="eastAsia"/>
                <w:color w:val="auto"/>
                <w:sz w:val="24"/>
              </w:rPr>
              <w:t>③加强火源的管理，严禁烟火带入危险废物</w:t>
            </w:r>
            <w:r>
              <w:rPr>
                <w:rFonts w:hint="eastAsia"/>
                <w:color w:val="auto"/>
                <w:sz w:val="24"/>
                <w:lang w:val="en-US" w:eastAsia="zh-CN"/>
              </w:rPr>
              <w:t>贮存点</w:t>
            </w:r>
            <w:r>
              <w:rPr>
                <w:rFonts w:hint="eastAsia"/>
                <w:color w:val="auto"/>
                <w:sz w:val="24"/>
              </w:rPr>
              <w:t>内应设有明显的禁止烟火安全标志；</w:t>
            </w:r>
          </w:p>
          <w:p>
            <w:pPr>
              <w:widowControl/>
              <w:adjustRightInd w:val="0"/>
              <w:snapToGrid w:val="0"/>
              <w:spacing w:line="360" w:lineRule="auto"/>
              <w:ind w:firstLine="480" w:firstLineChars="200"/>
              <w:rPr>
                <w:rFonts w:hint="eastAsia" w:eastAsia="宋体"/>
                <w:color w:val="auto"/>
                <w:sz w:val="24"/>
                <w:lang w:eastAsia="zh-CN"/>
              </w:rPr>
            </w:pPr>
            <w:r>
              <w:rPr>
                <w:rFonts w:hint="eastAsia"/>
                <w:color w:val="auto"/>
                <w:sz w:val="24"/>
              </w:rPr>
              <w:t>④加强员工培训、制定合理操作规程，在</w:t>
            </w:r>
            <w:r>
              <w:rPr>
                <w:rFonts w:hint="eastAsia"/>
                <w:color w:val="auto"/>
                <w:sz w:val="24"/>
                <w:lang w:val="en-US" w:eastAsia="zh-CN"/>
              </w:rPr>
              <w:t>厂区内</w:t>
            </w:r>
            <w:r>
              <w:rPr>
                <w:rFonts w:hint="eastAsia"/>
                <w:color w:val="auto"/>
                <w:sz w:val="24"/>
              </w:rPr>
              <w:t>配备一定数量的消防防护服、手提式干粉灭火器、黄沙等应急物资；职工掌握安全防火技能，一旦发生事故能采取正确的应急措施</w:t>
            </w:r>
            <w:r>
              <w:rPr>
                <w:rFonts w:hint="eastAsia"/>
                <w:color w:val="auto"/>
                <w:sz w:val="24"/>
                <w:lang w:eastAsia="zh-CN"/>
              </w:rPr>
              <w:t>。</w:t>
            </w:r>
          </w:p>
          <w:p>
            <w:pPr>
              <w:widowControl/>
              <w:adjustRightInd w:val="0"/>
              <w:snapToGrid w:val="0"/>
              <w:spacing w:line="360" w:lineRule="auto"/>
              <w:ind w:firstLine="480" w:firstLineChars="200"/>
              <w:rPr>
                <w:rFonts w:hint="eastAsia"/>
                <w:color w:val="auto"/>
                <w:sz w:val="24"/>
              </w:rPr>
            </w:pPr>
            <w:r>
              <w:rPr>
                <w:rFonts w:hint="eastAsia"/>
                <w:color w:val="auto"/>
                <w:sz w:val="24"/>
                <w:lang w:val="en-US" w:eastAsia="zh-CN"/>
              </w:rPr>
              <w:t>⑤生活污水在运输过程中避免超载超速，防止沿途滴漏、污水洒落出运输车辆造成环境污染。运输车辆按规定时间、路线行驶，坚决不超载、不超高，整个运输过程应按照环境保护相关法律法规执行。</w:t>
            </w:r>
          </w:p>
          <w:p>
            <w:pPr>
              <w:widowControl/>
              <w:adjustRightInd w:val="0"/>
              <w:snapToGrid w:val="0"/>
              <w:spacing w:line="360" w:lineRule="auto"/>
              <w:ind w:firstLine="481" w:firstLineChars="200"/>
              <w:rPr>
                <w:color w:val="auto"/>
                <w:sz w:val="24"/>
              </w:rPr>
            </w:pPr>
            <w:r>
              <w:rPr>
                <w:rFonts w:hint="eastAsia"/>
                <w:b/>
                <w:bCs/>
                <w:color w:val="auto"/>
                <w:sz w:val="24"/>
              </w:rPr>
              <w:t>（</w:t>
            </w:r>
            <w:r>
              <w:rPr>
                <w:rFonts w:hint="eastAsia"/>
                <w:b/>
                <w:bCs/>
                <w:color w:val="auto"/>
                <w:sz w:val="24"/>
                <w:lang w:val="en-US" w:eastAsia="zh-CN"/>
              </w:rPr>
              <w:t>5</w:t>
            </w:r>
            <w:r>
              <w:rPr>
                <w:rFonts w:hint="eastAsia"/>
                <w:b/>
                <w:bCs/>
                <w:color w:val="auto"/>
                <w:sz w:val="24"/>
              </w:rPr>
              <w:t>）环境风险分析结论</w:t>
            </w:r>
          </w:p>
          <w:p>
            <w:pPr>
              <w:widowControl/>
              <w:adjustRightInd w:val="0"/>
              <w:snapToGrid w:val="0"/>
              <w:spacing w:line="360" w:lineRule="auto"/>
              <w:ind w:firstLine="480" w:firstLineChars="200"/>
              <w:rPr>
                <w:color w:val="auto"/>
                <w:sz w:val="24"/>
              </w:rPr>
            </w:pPr>
            <w:r>
              <w:rPr>
                <w:rFonts w:hint="eastAsia"/>
                <w:color w:val="auto"/>
                <w:sz w:val="24"/>
              </w:rPr>
              <w:t>本次评价</w:t>
            </w:r>
            <w:r>
              <w:rPr>
                <w:rFonts w:hint="eastAsia"/>
                <w:color w:val="auto"/>
                <w:sz w:val="24"/>
                <w:lang w:val="en-US" w:eastAsia="zh-CN"/>
              </w:rPr>
              <w:t>建设单位</w:t>
            </w:r>
            <w:r>
              <w:rPr>
                <w:rFonts w:hint="eastAsia"/>
                <w:color w:val="auto"/>
                <w:sz w:val="24"/>
              </w:rPr>
              <w:t>在落实一系列事故防范措施，以保证事故防范措施落实为前提，本项目发生风险事故的可能性较低，风险程度属于可接受范围。</w:t>
            </w:r>
            <w:r>
              <w:rPr>
                <w:rFonts w:hint="eastAsia"/>
                <w:color w:val="auto"/>
                <w:sz w:val="24"/>
                <w:lang w:val="en-US" w:eastAsia="zh-CN"/>
              </w:rPr>
              <w:t>如发生事故，</w:t>
            </w:r>
            <w:r>
              <w:rPr>
                <w:rFonts w:hint="eastAsia"/>
                <w:color w:val="auto"/>
                <w:sz w:val="24"/>
              </w:rPr>
              <w:t>事故的影响短暂，在事故妥善处理后，周围环境质量可以恢复原状水平。</w:t>
            </w:r>
          </w:p>
          <w:p>
            <w:pPr>
              <w:widowControl/>
              <w:adjustRightInd w:val="0"/>
              <w:snapToGrid w:val="0"/>
              <w:spacing w:line="360" w:lineRule="auto"/>
              <w:ind w:firstLine="480" w:firstLineChars="200"/>
              <w:rPr>
                <w:color w:val="auto"/>
                <w:sz w:val="24"/>
              </w:rPr>
            </w:pP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both"/>
              <w:textAlignment w:val="auto"/>
              <w:rPr>
                <w:color w:val="FF0000"/>
                <w:szCs w:val="22"/>
              </w:rPr>
            </w:pPr>
          </w:p>
        </w:tc>
      </w:tr>
    </w:tbl>
    <w:p>
      <w:pPr>
        <w:rPr>
          <w:color w:val="FF0000"/>
        </w:rPr>
        <w:sectPr>
          <w:pgSz w:w="11906" w:h="16838"/>
          <w:pgMar w:top="1587" w:right="1587" w:bottom="1587" w:left="1587" w:header="1304" w:footer="1020" w:gutter="0"/>
          <w:pgBorders>
            <w:top w:val="none" w:sz="0" w:space="0"/>
            <w:left w:val="none" w:sz="0" w:space="0"/>
            <w:bottom w:val="none" w:sz="0" w:space="0"/>
            <w:right w:val="none" w:sz="0" w:space="0"/>
          </w:pgBorders>
          <w:cols w:space="720" w:num="1"/>
          <w:docGrid w:type="lines" w:linePitch="312" w:charSpace="0"/>
        </w:sectPr>
      </w:pPr>
    </w:p>
    <w:p>
      <w:pPr>
        <w:adjustRightInd w:val="0"/>
        <w:snapToGrid w:val="0"/>
        <w:jc w:val="center"/>
        <w:outlineLvl w:val="0"/>
        <w:rPr>
          <w:rFonts w:eastAsia="黑体"/>
          <w:color w:val="auto"/>
          <w:sz w:val="30"/>
          <w:szCs w:val="30"/>
        </w:rPr>
      </w:pPr>
      <w:r>
        <w:rPr>
          <w:rFonts w:eastAsia="黑体"/>
          <w:color w:val="auto"/>
          <w:sz w:val="30"/>
          <w:szCs w:val="30"/>
        </w:rPr>
        <mc:AlternateContent>
          <mc:Choice Requires="wps">
            <w:drawing>
              <wp:anchor distT="0" distB="0" distL="114300" distR="114300" simplePos="0" relativeHeight="251661312" behindDoc="0" locked="0" layoutInCell="1" allowOverlap="1">
                <wp:simplePos x="0" y="0"/>
                <wp:positionH relativeFrom="column">
                  <wp:posOffset>-209550</wp:posOffset>
                </wp:positionH>
                <wp:positionV relativeFrom="paragraph">
                  <wp:posOffset>371475</wp:posOffset>
                </wp:positionV>
                <wp:extent cx="635" cy="10795"/>
                <wp:effectExtent l="0" t="0" r="0" b="0"/>
                <wp:wrapNone/>
                <wp:docPr id="1" name="直线 6"/>
                <wp:cNvGraphicFramePr/>
                <a:graphic xmlns:a="http://schemas.openxmlformats.org/drawingml/2006/main">
                  <a:graphicData uri="http://schemas.microsoft.com/office/word/2010/wordprocessingShape">
                    <wps:wsp>
                      <wps:cNvCnPr/>
                      <wps:spPr>
                        <a:xfrm flipV="true">
                          <a:off x="0" y="0"/>
                          <a:ext cx="635" cy="1079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6" o:spid="_x0000_s1026" o:spt="20" style="position:absolute;left:0pt;flip:y;margin-left:-16.5pt;margin-top:29.25pt;height:0.85pt;width:0.05pt;z-index:251661312;mso-width-relative:page;mso-height-relative:page;" filled="f" stroked="t" coordsize="21600,21600" o:gfxdata="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CyHbhI2AAAAAkB&#10;AAAPAAAAAAAAAAEAIAAAADgAAABkcnMvZG93bnJldi54bWxQSwECFAAUAAAACACHTuJAhEug6cwB&#10;AACOAwAADgAAAAAAAAABACAAAAA9AQAAZHJzL2Uyb0RvYy54bWxQSwUGAAAAAAYABgBZAQAAewUA&#10;AAAA&#10;">
                <v:fill on="f" focussize="0,0"/>
                <v:stroke color="#000000" joinstyle="round"/>
                <v:imagedata o:title=""/>
                <o:lock v:ext="edit" aspectratio="f"/>
              </v:line>
            </w:pict>
          </mc:Fallback>
        </mc:AlternateContent>
      </w:r>
      <w:r>
        <w:rPr>
          <w:rFonts w:eastAsia="黑体"/>
          <w:color w:val="auto"/>
          <w:sz w:val="30"/>
          <w:szCs w:val="30"/>
        </w:rPr>
        <w:t>五、</w:t>
      </w:r>
      <w:bookmarkStart w:id="3" w:name="_Hlk54167917"/>
      <w:r>
        <w:rPr>
          <w:rFonts w:eastAsia="黑体"/>
          <w:color w:val="auto"/>
          <w:sz w:val="30"/>
          <w:szCs w:val="30"/>
        </w:rPr>
        <w:t>环境保护措施监督检查清单</w:t>
      </w:r>
      <w:bookmarkEnd w:id="3"/>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08" w:type="dxa"/>
          <w:left w:w="108" w:type="dxa"/>
          <w:bottom w:w="108" w:type="dxa"/>
          <w:right w:w="108" w:type="dxa"/>
        </w:tblCellMar>
      </w:tblPr>
      <w:tblGrid>
        <w:gridCol w:w="744"/>
        <w:gridCol w:w="453"/>
        <w:gridCol w:w="1386"/>
        <w:gridCol w:w="1310"/>
        <w:gridCol w:w="3343"/>
        <w:gridCol w:w="17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08" w:type="dxa"/>
            <w:left w:w="108" w:type="dxa"/>
            <w:bottom w:w="108" w:type="dxa"/>
            <w:right w:w="108" w:type="dxa"/>
          </w:tblCellMar>
        </w:tblPrEx>
        <w:trPr>
          <w:trHeight w:val="23" w:hRule="atLeast"/>
          <w:jc w:val="center"/>
        </w:trPr>
        <w:tc>
          <w:tcPr>
            <w:tcW w:w="744" w:type="dxa"/>
            <w:vAlign w:val="center"/>
          </w:tcPr>
          <w:p>
            <w:pPr>
              <w:adjustRightInd w:val="0"/>
              <w:snapToGrid w:val="0"/>
              <w:jc w:val="center"/>
              <w:rPr>
                <w:b/>
                <w:bCs/>
                <w:color w:val="auto"/>
                <w:sz w:val="24"/>
              </w:rPr>
            </w:pPr>
            <w:r>
              <w:rPr>
                <w:b/>
                <w:bCs/>
                <w:color w:val="auto"/>
                <w:sz w:val="24"/>
              </w:rPr>
              <w:t>要素</w:t>
            </w:r>
          </w:p>
          <w:p>
            <w:pPr>
              <w:adjustRightInd w:val="0"/>
              <w:snapToGrid w:val="0"/>
              <w:jc w:val="center"/>
              <w:rPr>
                <w:b/>
                <w:bCs/>
                <w:color w:val="auto"/>
                <w:sz w:val="24"/>
              </w:rPr>
            </w:pPr>
            <w:r>
              <w:rPr>
                <w:b/>
                <w:bCs/>
                <w:color w:val="auto"/>
                <w:sz w:val="24"/>
              </w:rPr>
              <w:t>内容</w:t>
            </w:r>
          </w:p>
        </w:tc>
        <w:tc>
          <w:tcPr>
            <w:tcW w:w="1839" w:type="dxa"/>
            <w:gridSpan w:val="2"/>
            <w:vAlign w:val="center"/>
          </w:tcPr>
          <w:p>
            <w:pPr>
              <w:adjustRightInd w:val="0"/>
              <w:snapToGrid w:val="0"/>
              <w:jc w:val="center"/>
              <w:rPr>
                <w:b/>
                <w:bCs/>
                <w:color w:val="auto"/>
                <w:sz w:val="24"/>
              </w:rPr>
            </w:pPr>
            <w:r>
              <w:rPr>
                <w:b/>
                <w:bCs/>
                <w:color w:val="auto"/>
                <w:sz w:val="24"/>
              </w:rPr>
              <w:t>排放口（编号、名称）/污染源</w:t>
            </w:r>
          </w:p>
        </w:tc>
        <w:tc>
          <w:tcPr>
            <w:tcW w:w="1310" w:type="dxa"/>
            <w:vAlign w:val="center"/>
          </w:tcPr>
          <w:p>
            <w:pPr>
              <w:adjustRightInd w:val="0"/>
              <w:snapToGrid w:val="0"/>
              <w:jc w:val="center"/>
              <w:rPr>
                <w:b/>
                <w:bCs/>
                <w:color w:val="auto"/>
                <w:sz w:val="24"/>
              </w:rPr>
            </w:pPr>
            <w:r>
              <w:rPr>
                <w:b/>
                <w:bCs/>
                <w:color w:val="auto"/>
                <w:sz w:val="24"/>
              </w:rPr>
              <w:t>污染物项目</w:t>
            </w:r>
          </w:p>
        </w:tc>
        <w:tc>
          <w:tcPr>
            <w:tcW w:w="3343" w:type="dxa"/>
            <w:vAlign w:val="center"/>
          </w:tcPr>
          <w:p>
            <w:pPr>
              <w:adjustRightInd w:val="0"/>
              <w:snapToGrid w:val="0"/>
              <w:jc w:val="center"/>
              <w:rPr>
                <w:b/>
                <w:bCs/>
                <w:color w:val="auto"/>
                <w:sz w:val="24"/>
              </w:rPr>
            </w:pPr>
            <w:r>
              <w:rPr>
                <w:b/>
                <w:bCs/>
                <w:color w:val="auto"/>
                <w:sz w:val="24"/>
              </w:rPr>
              <w:t>环境保护措施</w:t>
            </w:r>
          </w:p>
        </w:tc>
        <w:tc>
          <w:tcPr>
            <w:tcW w:w="1712" w:type="dxa"/>
            <w:vAlign w:val="center"/>
          </w:tcPr>
          <w:p>
            <w:pPr>
              <w:adjustRightInd w:val="0"/>
              <w:snapToGrid w:val="0"/>
              <w:jc w:val="center"/>
              <w:rPr>
                <w:b/>
                <w:bCs/>
                <w:color w:val="auto"/>
                <w:sz w:val="24"/>
              </w:rPr>
            </w:pPr>
            <w:r>
              <w:rPr>
                <w:b/>
                <w:bCs/>
                <w:color w:val="auto"/>
                <w:sz w:val="24"/>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08" w:type="dxa"/>
            <w:left w:w="108" w:type="dxa"/>
            <w:bottom w:w="108" w:type="dxa"/>
            <w:right w:w="108" w:type="dxa"/>
          </w:tblCellMar>
        </w:tblPrEx>
        <w:trPr>
          <w:trHeight w:val="1026" w:hRule="atLeast"/>
          <w:jc w:val="center"/>
        </w:trPr>
        <w:tc>
          <w:tcPr>
            <w:tcW w:w="744" w:type="dxa"/>
            <w:vMerge w:val="restart"/>
            <w:vAlign w:val="center"/>
          </w:tcPr>
          <w:p>
            <w:pPr>
              <w:adjustRightInd w:val="0"/>
              <w:snapToGrid w:val="0"/>
              <w:jc w:val="center"/>
              <w:rPr>
                <w:b/>
                <w:bCs/>
                <w:color w:val="auto"/>
                <w:sz w:val="24"/>
              </w:rPr>
            </w:pPr>
            <w:r>
              <w:rPr>
                <w:b/>
                <w:bCs/>
                <w:color w:val="auto"/>
                <w:sz w:val="24"/>
              </w:rPr>
              <w:t>大气</w:t>
            </w:r>
          </w:p>
          <w:p>
            <w:pPr>
              <w:adjustRightInd w:val="0"/>
              <w:snapToGrid w:val="0"/>
              <w:jc w:val="center"/>
              <w:rPr>
                <w:b/>
                <w:bCs/>
                <w:color w:val="auto"/>
                <w:sz w:val="24"/>
              </w:rPr>
            </w:pPr>
            <w:r>
              <w:rPr>
                <w:b/>
                <w:bCs/>
                <w:color w:val="auto"/>
                <w:sz w:val="24"/>
              </w:rPr>
              <w:t>环境</w:t>
            </w:r>
          </w:p>
        </w:tc>
        <w:tc>
          <w:tcPr>
            <w:tcW w:w="1839" w:type="dxa"/>
            <w:gridSpan w:val="2"/>
            <w:vAlign w:val="center"/>
          </w:tcPr>
          <w:p>
            <w:pPr>
              <w:adjustRightInd w:val="0"/>
              <w:snapToGrid w:val="0"/>
              <w:jc w:val="center"/>
              <w:rPr>
                <w:color w:val="auto"/>
                <w:sz w:val="24"/>
              </w:rPr>
            </w:pPr>
            <w:r>
              <w:rPr>
                <w:color w:val="auto"/>
                <w:sz w:val="24"/>
              </w:rPr>
              <w:t>原料仓粉尘G1</w:t>
            </w:r>
          </w:p>
        </w:tc>
        <w:tc>
          <w:tcPr>
            <w:tcW w:w="1310" w:type="dxa"/>
            <w:vAlign w:val="center"/>
          </w:tcPr>
          <w:p>
            <w:pPr>
              <w:pStyle w:val="31"/>
              <w:adjustRightInd w:val="0"/>
              <w:snapToGrid w:val="0"/>
              <w:spacing w:line="240" w:lineRule="auto"/>
              <w:ind w:firstLine="0" w:firstLineChars="0"/>
              <w:jc w:val="center"/>
              <w:rPr>
                <w:color w:val="auto"/>
              </w:rPr>
            </w:pPr>
            <w:r>
              <w:rPr>
                <w:color w:val="auto"/>
              </w:rPr>
              <w:t>颗粒物</w:t>
            </w:r>
          </w:p>
        </w:tc>
        <w:tc>
          <w:tcPr>
            <w:tcW w:w="3343" w:type="dxa"/>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eastAsia" w:eastAsia="宋体"/>
                <w:color w:val="auto"/>
                <w:sz w:val="24"/>
                <w:szCs w:val="24"/>
                <w:lang w:eastAsia="zh-CN"/>
              </w:rPr>
            </w:pPr>
            <w:r>
              <w:rPr>
                <w:rFonts w:hint="eastAsia"/>
                <w:b w:val="0"/>
                <w:bCs w:val="0"/>
                <w:color w:val="auto"/>
                <w:sz w:val="24"/>
                <w:szCs w:val="24"/>
                <w:lang w:val="en-US" w:eastAsia="zh-CN"/>
              </w:rPr>
              <w:t>设置</w:t>
            </w:r>
            <w:r>
              <w:rPr>
                <w:b w:val="0"/>
                <w:bCs w:val="0"/>
                <w:color w:val="auto"/>
                <w:sz w:val="24"/>
                <w:szCs w:val="24"/>
              </w:rPr>
              <w:t>封闭式原料仓，物料全覆盖措施，</w:t>
            </w:r>
            <w:r>
              <w:rPr>
                <w:rFonts w:hint="eastAsia"/>
                <w:b w:val="0"/>
                <w:bCs w:val="0"/>
                <w:color w:val="auto"/>
                <w:sz w:val="24"/>
                <w:szCs w:val="24"/>
                <w:lang w:val="en-US" w:eastAsia="zh-CN"/>
              </w:rPr>
              <w:t>厂区</w:t>
            </w:r>
            <w:r>
              <w:rPr>
                <w:rFonts w:hint="eastAsia"/>
                <w:b w:val="0"/>
                <w:bCs w:val="0"/>
                <w:color w:val="auto"/>
                <w:sz w:val="24"/>
                <w:szCs w:val="24"/>
                <w:lang w:eastAsia="zh-CN"/>
              </w:rPr>
              <w:t>及时</w:t>
            </w:r>
            <w:r>
              <w:rPr>
                <w:b w:val="0"/>
                <w:bCs w:val="0"/>
                <w:color w:val="auto"/>
                <w:sz w:val="24"/>
                <w:szCs w:val="24"/>
              </w:rPr>
              <w:t>洒水降尘</w:t>
            </w:r>
            <w:r>
              <w:rPr>
                <w:rFonts w:hint="eastAsia"/>
                <w:b w:val="0"/>
                <w:bCs w:val="0"/>
                <w:color w:val="auto"/>
                <w:sz w:val="24"/>
                <w:szCs w:val="24"/>
                <w:lang w:eastAsia="zh-CN"/>
              </w:rPr>
              <w:t>。</w:t>
            </w:r>
          </w:p>
        </w:tc>
        <w:tc>
          <w:tcPr>
            <w:tcW w:w="1712" w:type="dxa"/>
            <w:vMerge w:val="restart"/>
            <w:vAlign w:val="center"/>
          </w:tcPr>
          <w:p>
            <w:pPr>
              <w:widowControl/>
              <w:adjustRightInd w:val="0"/>
              <w:snapToGrid w:val="0"/>
              <w:jc w:val="center"/>
              <w:rPr>
                <w:color w:val="auto"/>
                <w:sz w:val="24"/>
              </w:rPr>
            </w:pPr>
            <w:r>
              <w:rPr>
                <w:rFonts w:hint="eastAsia"/>
                <w:color w:val="auto"/>
                <w:sz w:val="24"/>
                <w:lang w:eastAsia="zh-CN"/>
              </w:rPr>
              <w:t>无组织</w:t>
            </w:r>
            <w:r>
              <w:rPr>
                <w:color w:val="auto"/>
                <w:sz w:val="24"/>
              </w:rPr>
              <w:t>粉尘执行《水泥工业大气污染物排放标准》</w:t>
            </w:r>
            <w:r>
              <w:rPr>
                <w:rFonts w:hint="eastAsia"/>
                <w:color w:val="auto"/>
                <w:sz w:val="24"/>
                <w:lang w:eastAsia="zh-CN"/>
              </w:rPr>
              <w:t>（</w:t>
            </w:r>
            <w:r>
              <w:rPr>
                <w:rFonts w:hint="eastAsia"/>
                <w:color w:val="auto"/>
                <w:sz w:val="24"/>
                <w:lang w:val="en-US" w:eastAsia="zh-CN"/>
              </w:rPr>
              <w:t>DB64/1995-2024</w:t>
            </w:r>
            <w:r>
              <w:rPr>
                <w:rFonts w:hint="eastAsia"/>
                <w:color w:val="auto"/>
                <w:sz w:val="24"/>
                <w:lang w:eastAsia="zh-CN"/>
              </w:rPr>
              <w:t>）</w:t>
            </w:r>
            <w:r>
              <w:rPr>
                <w:color w:val="auto"/>
                <w:sz w:val="24"/>
              </w:rPr>
              <w:t>表</w:t>
            </w:r>
            <w:r>
              <w:rPr>
                <w:rFonts w:hint="eastAsia"/>
                <w:color w:val="auto"/>
                <w:sz w:val="24"/>
              </w:rPr>
              <w:t>2企业边界大气污染物浓度限值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08" w:type="dxa"/>
            <w:left w:w="108" w:type="dxa"/>
            <w:bottom w:w="108" w:type="dxa"/>
            <w:right w:w="108" w:type="dxa"/>
          </w:tblCellMar>
        </w:tblPrEx>
        <w:trPr>
          <w:trHeight w:val="23" w:hRule="atLeast"/>
          <w:jc w:val="center"/>
        </w:trPr>
        <w:tc>
          <w:tcPr>
            <w:tcW w:w="744" w:type="dxa"/>
            <w:vMerge w:val="continue"/>
            <w:vAlign w:val="center"/>
          </w:tcPr>
          <w:p>
            <w:pPr>
              <w:adjustRightInd w:val="0"/>
              <w:snapToGrid w:val="0"/>
              <w:jc w:val="center"/>
              <w:rPr>
                <w:b/>
                <w:bCs/>
                <w:color w:val="auto"/>
                <w:sz w:val="24"/>
              </w:rPr>
            </w:pPr>
          </w:p>
        </w:tc>
        <w:tc>
          <w:tcPr>
            <w:tcW w:w="1839" w:type="dxa"/>
            <w:gridSpan w:val="2"/>
            <w:vAlign w:val="center"/>
          </w:tcPr>
          <w:p>
            <w:pPr>
              <w:pStyle w:val="31"/>
              <w:adjustRightInd w:val="0"/>
              <w:snapToGrid w:val="0"/>
              <w:spacing w:line="240" w:lineRule="auto"/>
              <w:ind w:firstLine="0" w:firstLineChars="0"/>
              <w:jc w:val="center"/>
              <w:rPr>
                <w:color w:val="auto"/>
              </w:rPr>
            </w:pPr>
            <w:r>
              <w:rPr>
                <w:color w:val="auto"/>
              </w:rPr>
              <w:t>石料、水洗砂由铲车送至配料机废气G2</w:t>
            </w:r>
          </w:p>
        </w:tc>
        <w:tc>
          <w:tcPr>
            <w:tcW w:w="1310" w:type="dxa"/>
            <w:vAlign w:val="center"/>
          </w:tcPr>
          <w:p>
            <w:pPr>
              <w:widowControl/>
              <w:adjustRightInd w:val="0"/>
              <w:snapToGrid w:val="0"/>
              <w:jc w:val="center"/>
              <w:rPr>
                <w:color w:val="auto"/>
                <w:sz w:val="24"/>
              </w:rPr>
            </w:pPr>
            <w:r>
              <w:rPr>
                <w:color w:val="auto"/>
                <w:sz w:val="24"/>
              </w:rPr>
              <w:t>颗粒物</w:t>
            </w:r>
          </w:p>
        </w:tc>
        <w:tc>
          <w:tcPr>
            <w:tcW w:w="3343" w:type="dxa"/>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eastAsia" w:eastAsia="宋体"/>
                <w:color w:val="auto"/>
                <w:sz w:val="24"/>
                <w:szCs w:val="24"/>
                <w:lang w:eastAsia="zh-CN"/>
              </w:rPr>
            </w:pPr>
            <w:r>
              <w:rPr>
                <w:color w:val="auto"/>
                <w:sz w:val="24"/>
                <w:szCs w:val="24"/>
              </w:rPr>
              <w:t>配料机顶部设置防静电挡尘帘</w:t>
            </w:r>
            <w:r>
              <w:rPr>
                <w:rFonts w:hint="eastAsia"/>
                <w:color w:val="auto"/>
                <w:sz w:val="24"/>
                <w:szCs w:val="24"/>
              </w:rPr>
              <w:t>，</w:t>
            </w:r>
            <w:r>
              <w:rPr>
                <w:color w:val="auto"/>
                <w:sz w:val="24"/>
                <w:szCs w:val="24"/>
              </w:rPr>
              <w:t>采取定期洒水</w:t>
            </w:r>
            <w:r>
              <w:rPr>
                <w:rFonts w:hint="eastAsia"/>
                <w:color w:val="auto"/>
                <w:sz w:val="24"/>
                <w:szCs w:val="24"/>
                <w:lang w:val="en-US" w:eastAsia="zh-CN"/>
              </w:rPr>
              <w:t>降尘</w:t>
            </w:r>
            <w:r>
              <w:rPr>
                <w:color w:val="auto"/>
                <w:sz w:val="24"/>
                <w:szCs w:val="24"/>
              </w:rPr>
              <w:t>措施</w:t>
            </w:r>
            <w:r>
              <w:rPr>
                <w:rFonts w:hint="eastAsia"/>
                <w:color w:val="auto"/>
                <w:sz w:val="24"/>
                <w:szCs w:val="24"/>
                <w:lang w:eastAsia="zh-CN"/>
              </w:rPr>
              <w:t>。</w:t>
            </w:r>
          </w:p>
        </w:tc>
        <w:tc>
          <w:tcPr>
            <w:tcW w:w="1712" w:type="dxa"/>
            <w:vMerge w:val="continue"/>
            <w:vAlign w:val="center"/>
          </w:tcPr>
          <w:p>
            <w:pPr>
              <w:widowControl/>
              <w:adjustRightInd w:val="0"/>
              <w:snapToGrid w:val="0"/>
              <w:jc w:val="center"/>
              <w:rPr>
                <w:color w:val="auto"/>
                <w:kern w:val="0"/>
                <w:sz w:val="24"/>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08" w:type="dxa"/>
            <w:left w:w="108" w:type="dxa"/>
            <w:bottom w:w="108" w:type="dxa"/>
            <w:right w:w="108" w:type="dxa"/>
          </w:tblCellMar>
        </w:tblPrEx>
        <w:trPr>
          <w:trHeight w:val="23" w:hRule="atLeast"/>
          <w:jc w:val="center"/>
        </w:trPr>
        <w:tc>
          <w:tcPr>
            <w:tcW w:w="744" w:type="dxa"/>
            <w:vMerge w:val="continue"/>
            <w:vAlign w:val="center"/>
          </w:tcPr>
          <w:p>
            <w:pPr>
              <w:adjustRightInd w:val="0"/>
              <w:snapToGrid w:val="0"/>
              <w:jc w:val="center"/>
              <w:rPr>
                <w:b/>
                <w:bCs/>
                <w:color w:val="auto"/>
                <w:sz w:val="24"/>
              </w:rPr>
            </w:pPr>
          </w:p>
        </w:tc>
        <w:tc>
          <w:tcPr>
            <w:tcW w:w="1839" w:type="dxa"/>
            <w:gridSpan w:val="2"/>
            <w:vAlign w:val="center"/>
          </w:tcPr>
          <w:p>
            <w:pPr>
              <w:adjustRightInd w:val="0"/>
              <w:snapToGrid w:val="0"/>
              <w:jc w:val="center"/>
              <w:rPr>
                <w:color w:val="auto"/>
                <w:sz w:val="24"/>
              </w:rPr>
            </w:pPr>
            <w:r>
              <w:rPr>
                <w:color w:val="auto"/>
                <w:sz w:val="24"/>
              </w:rPr>
              <w:t>石料和水洗砂由密闭</w:t>
            </w:r>
            <w:r>
              <w:rPr>
                <w:rFonts w:hint="eastAsia"/>
                <w:color w:val="auto"/>
                <w:sz w:val="24"/>
              </w:rPr>
              <w:t>皮带机</w:t>
            </w:r>
            <w:r>
              <w:rPr>
                <w:color w:val="auto"/>
                <w:sz w:val="24"/>
              </w:rPr>
              <w:t>输送至骨料中间仓G3</w:t>
            </w:r>
          </w:p>
        </w:tc>
        <w:tc>
          <w:tcPr>
            <w:tcW w:w="1310" w:type="dxa"/>
            <w:vAlign w:val="center"/>
          </w:tcPr>
          <w:p>
            <w:pPr>
              <w:widowControl/>
              <w:adjustRightInd w:val="0"/>
              <w:snapToGrid w:val="0"/>
              <w:jc w:val="center"/>
              <w:rPr>
                <w:color w:val="auto"/>
                <w:sz w:val="24"/>
              </w:rPr>
            </w:pPr>
            <w:r>
              <w:rPr>
                <w:color w:val="auto"/>
                <w:sz w:val="24"/>
              </w:rPr>
              <w:t>颗粒物</w:t>
            </w:r>
          </w:p>
        </w:tc>
        <w:tc>
          <w:tcPr>
            <w:tcW w:w="3343" w:type="dxa"/>
            <w:vAlign w:val="center"/>
          </w:tcPr>
          <w:p>
            <w:pPr>
              <w:pStyle w:val="16"/>
              <w:keepNext w:val="0"/>
              <w:keepLines w:val="0"/>
              <w:pageBreakBefore w:val="0"/>
              <w:widowControl w:val="0"/>
              <w:kinsoku/>
              <w:wordWrap/>
              <w:overflowPunct/>
              <w:topLinePunct w:val="0"/>
              <w:autoSpaceDE/>
              <w:autoSpaceDN/>
              <w:bidi w:val="0"/>
              <w:adjustRightInd w:val="0"/>
              <w:jc w:val="center"/>
              <w:textAlignment w:val="auto"/>
              <w:rPr>
                <w:rFonts w:hint="eastAsia" w:eastAsia="宋体"/>
                <w:color w:val="auto"/>
                <w:sz w:val="24"/>
                <w:szCs w:val="24"/>
                <w:lang w:eastAsia="zh-CN"/>
              </w:rPr>
            </w:pPr>
            <w:r>
              <w:rPr>
                <w:rFonts w:hint="eastAsia" w:cs="Times New Roman"/>
                <w:bCs/>
                <w:color w:val="auto"/>
                <w:kern w:val="1"/>
                <w:sz w:val="24"/>
                <w:szCs w:val="24"/>
                <w:highlight w:val="none"/>
                <w:lang w:val="en-US" w:eastAsia="zh-CN"/>
              </w:rPr>
              <w:t>颗粒物粉尘经配置的</w:t>
            </w:r>
            <w:r>
              <w:rPr>
                <w:rFonts w:ascii="Times New Roman" w:hAnsi="Times New Roman" w:eastAsia="宋体" w:cs="Times New Roman"/>
                <w:bCs/>
                <w:color w:val="auto"/>
                <w:kern w:val="1"/>
                <w:sz w:val="24"/>
                <w:szCs w:val="24"/>
                <w:highlight w:val="none"/>
              </w:rPr>
              <w:t>布袋除尘</w:t>
            </w:r>
            <w:r>
              <w:rPr>
                <w:rFonts w:hint="eastAsia" w:ascii="Times New Roman" w:hAnsi="Times New Roman" w:eastAsia="宋体" w:cs="Times New Roman"/>
                <w:bCs/>
                <w:color w:val="auto"/>
                <w:kern w:val="1"/>
                <w:sz w:val="24"/>
                <w:szCs w:val="24"/>
                <w:highlight w:val="none"/>
                <w:lang w:val="en-US" w:eastAsia="zh-CN"/>
              </w:rPr>
              <w:t>器</w:t>
            </w:r>
            <w:r>
              <w:rPr>
                <w:rFonts w:hint="eastAsia" w:cs="Times New Roman"/>
                <w:bCs/>
                <w:color w:val="auto"/>
                <w:kern w:val="1"/>
                <w:sz w:val="24"/>
                <w:szCs w:val="24"/>
                <w:highlight w:val="none"/>
                <w:lang w:val="en-US" w:eastAsia="zh-CN"/>
              </w:rPr>
              <w:t>处理后无组织排放。</w:t>
            </w:r>
          </w:p>
        </w:tc>
        <w:tc>
          <w:tcPr>
            <w:tcW w:w="1712" w:type="dxa"/>
            <w:vMerge w:val="continue"/>
            <w:vAlign w:val="center"/>
          </w:tcPr>
          <w:p>
            <w:pPr>
              <w:widowControl/>
              <w:adjustRightInd w:val="0"/>
              <w:snapToGrid w:val="0"/>
              <w:jc w:val="center"/>
              <w:rPr>
                <w:color w:val="auto"/>
                <w:kern w:val="0"/>
                <w:sz w:val="24"/>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08" w:type="dxa"/>
            <w:left w:w="108" w:type="dxa"/>
            <w:bottom w:w="108" w:type="dxa"/>
            <w:right w:w="108" w:type="dxa"/>
          </w:tblCellMar>
        </w:tblPrEx>
        <w:trPr>
          <w:trHeight w:val="23" w:hRule="atLeast"/>
          <w:jc w:val="center"/>
        </w:trPr>
        <w:tc>
          <w:tcPr>
            <w:tcW w:w="744" w:type="dxa"/>
            <w:vMerge w:val="continue"/>
            <w:vAlign w:val="center"/>
          </w:tcPr>
          <w:p>
            <w:pPr>
              <w:adjustRightInd w:val="0"/>
              <w:snapToGrid w:val="0"/>
              <w:jc w:val="center"/>
              <w:rPr>
                <w:b/>
                <w:bCs/>
                <w:color w:val="auto"/>
                <w:sz w:val="24"/>
              </w:rPr>
            </w:pPr>
          </w:p>
        </w:tc>
        <w:tc>
          <w:tcPr>
            <w:tcW w:w="1839" w:type="dxa"/>
            <w:gridSpan w:val="2"/>
            <w:vAlign w:val="center"/>
          </w:tcPr>
          <w:p>
            <w:pPr>
              <w:adjustRightInd w:val="0"/>
              <w:snapToGrid w:val="0"/>
              <w:jc w:val="center"/>
              <w:rPr>
                <w:color w:val="auto"/>
                <w:sz w:val="24"/>
              </w:rPr>
            </w:pPr>
            <w:r>
              <w:rPr>
                <w:color w:val="auto"/>
                <w:sz w:val="24"/>
              </w:rPr>
              <w:t>水泥筒仓呼吸口废气G4</w:t>
            </w:r>
          </w:p>
        </w:tc>
        <w:tc>
          <w:tcPr>
            <w:tcW w:w="1310" w:type="dxa"/>
            <w:vAlign w:val="center"/>
          </w:tcPr>
          <w:p>
            <w:pPr>
              <w:pStyle w:val="31"/>
              <w:adjustRightInd w:val="0"/>
              <w:snapToGrid w:val="0"/>
              <w:spacing w:line="240" w:lineRule="auto"/>
              <w:ind w:firstLine="0" w:firstLineChars="0"/>
              <w:jc w:val="center"/>
              <w:rPr>
                <w:color w:val="auto"/>
              </w:rPr>
            </w:pPr>
            <w:r>
              <w:rPr>
                <w:color w:val="auto"/>
              </w:rPr>
              <w:t>颗粒物</w:t>
            </w:r>
          </w:p>
        </w:tc>
        <w:tc>
          <w:tcPr>
            <w:tcW w:w="3343" w:type="dxa"/>
            <w:vAlign w:val="center"/>
          </w:tcPr>
          <w:p>
            <w:pPr>
              <w:adjustRightInd w:val="0"/>
              <w:snapToGrid w:val="0"/>
              <w:jc w:val="center"/>
              <w:rPr>
                <w:color w:val="auto"/>
                <w:sz w:val="24"/>
                <w:szCs w:val="24"/>
              </w:rPr>
            </w:pPr>
            <w:r>
              <w:rPr>
                <w:rFonts w:hint="eastAsia" w:cs="Times New Roman"/>
                <w:bCs/>
                <w:color w:val="auto"/>
                <w:kern w:val="1"/>
                <w:sz w:val="24"/>
                <w:szCs w:val="24"/>
                <w:highlight w:val="none"/>
                <w:lang w:val="en-US" w:eastAsia="zh-CN"/>
              </w:rPr>
              <w:t>颗粒物粉尘经</w:t>
            </w:r>
            <w:r>
              <w:rPr>
                <w:color w:val="auto"/>
                <w:sz w:val="24"/>
                <w:szCs w:val="24"/>
              </w:rPr>
              <w:t>筒仓仓顶配套</w:t>
            </w:r>
            <w:r>
              <w:rPr>
                <w:rFonts w:ascii="Times New Roman" w:hAnsi="Times New Roman" w:eastAsia="宋体" w:cs="Times New Roman"/>
                <w:bCs/>
                <w:color w:val="auto"/>
                <w:kern w:val="1"/>
                <w:sz w:val="24"/>
                <w:szCs w:val="24"/>
                <w:highlight w:val="none"/>
              </w:rPr>
              <w:t>布袋除尘</w:t>
            </w:r>
            <w:r>
              <w:rPr>
                <w:rFonts w:hint="eastAsia" w:ascii="Times New Roman" w:hAnsi="Times New Roman" w:eastAsia="宋体" w:cs="Times New Roman"/>
                <w:bCs/>
                <w:color w:val="auto"/>
                <w:kern w:val="1"/>
                <w:sz w:val="24"/>
                <w:szCs w:val="24"/>
                <w:highlight w:val="none"/>
                <w:lang w:val="en-US" w:eastAsia="zh-CN"/>
              </w:rPr>
              <w:t>器</w:t>
            </w:r>
            <w:r>
              <w:rPr>
                <w:rFonts w:hint="eastAsia" w:cs="Times New Roman"/>
                <w:bCs/>
                <w:color w:val="auto"/>
                <w:kern w:val="1"/>
                <w:sz w:val="24"/>
                <w:szCs w:val="24"/>
                <w:highlight w:val="none"/>
                <w:lang w:val="en-US" w:eastAsia="zh-CN"/>
              </w:rPr>
              <w:t>处理后无组织排放。</w:t>
            </w:r>
          </w:p>
        </w:tc>
        <w:tc>
          <w:tcPr>
            <w:tcW w:w="1712" w:type="dxa"/>
            <w:vMerge w:val="continue"/>
            <w:vAlign w:val="center"/>
          </w:tcPr>
          <w:p>
            <w:pPr>
              <w:widowControl/>
              <w:adjustRightInd w:val="0"/>
              <w:snapToGrid w:val="0"/>
              <w:jc w:val="center"/>
              <w:rPr>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08" w:type="dxa"/>
            <w:left w:w="108" w:type="dxa"/>
            <w:bottom w:w="108" w:type="dxa"/>
            <w:right w:w="108" w:type="dxa"/>
          </w:tblCellMar>
        </w:tblPrEx>
        <w:trPr>
          <w:trHeight w:val="23" w:hRule="atLeast"/>
          <w:jc w:val="center"/>
        </w:trPr>
        <w:tc>
          <w:tcPr>
            <w:tcW w:w="744" w:type="dxa"/>
            <w:vMerge w:val="continue"/>
            <w:vAlign w:val="center"/>
          </w:tcPr>
          <w:p>
            <w:pPr>
              <w:adjustRightInd w:val="0"/>
              <w:snapToGrid w:val="0"/>
              <w:jc w:val="center"/>
              <w:rPr>
                <w:b/>
                <w:bCs/>
                <w:color w:val="auto"/>
                <w:sz w:val="24"/>
              </w:rPr>
            </w:pPr>
          </w:p>
        </w:tc>
        <w:tc>
          <w:tcPr>
            <w:tcW w:w="1839" w:type="dxa"/>
            <w:gridSpan w:val="2"/>
            <w:vAlign w:val="center"/>
          </w:tcPr>
          <w:p>
            <w:pPr>
              <w:adjustRightInd w:val="0"/>
              <w:snapToGrid w:val="0"/>
              <w:jc w:val="center"/>
              <w:rPr>
                <w:color w:val="auto"/>
                <w:sz w:val="24"/>
              </w:rPr>
            </w:pPr>
            <w:r>
              <w:rPr>
                <w:color w:val="auto"/>
                <w:sz w:val="24"/>
              </w:rPr>
              <w:t>搅拌机搅拌废气G5</w:t>
            </w:r>
          </w:p>
        </w:tc>
        <w:tc>
          <w:tcPr>
            <w:tcW w:w="1310" w:type="dxa"/>
            <w:vAlign w:val="center"/>
          </w:tcPr>
          <w:p>
            <w:pPr>
              <w:widowControl/>
              <w:adjustRightInd w:val="0"/>
              <w:snapToGrid w:val="0"/>
              <w:jc w:val="center"/>
              <w:rPr>
                <w:color w:val="auto"/>
                <w:sz w:val="24"/>
              </w:rPr>
            </w:pPr>
            <w:r>
              <w:rPr>
                <w:color w:val="auto"/>
                <w:sz w:val="24"/>
              </w:rPr>
              <w:t>颗粒物</w:t>
            </w:r>
          </w:p>
        </w:tc>
        <w:tc>
          <w:tcPr>
            <w:tcW w:w="3343" w:type="dxa"/>
            <w:vAlign w:val="center"/>
          </w:tcPr>
          <w:p>
            <w:pPr>
              <w:adjustRightInd w:val="0"/>
              <w:snapToGrid w:val="0"/>
              <w:jc w:val="center"/>
              <w:rPr>
                <w:color w:val="auto"/>
                <w:sz w:val="24"/>
                <w:szCs w:val="24"/>
              </w:rPr>
            </w:pPr>
            <w:r>
              <w:rPr>
                <w:rFonts w:hint="eastAsia" w:cs="Times New Roman"/>
                <w:bCs/>
                <w:color w:val="auto"/>
                <w:kern w:val="1"/>
                <w:sz w:val="24"/>
                <w:szCs w:val="24"/>
                <w:highlight w:val="none"/>
                <w:lang w:val="en-US" w:eastAsia="zh-CN"/>
              </w:rPr>
              <w:t>颗粒物粉尘经</w:t>
            </w:r>
            <w:r>
              <w:rPr>
                <w:color w:val="auto"/>
                <w:sz w:val="24"/>
                <w:szCs w:val="24"/>
              </w:rPr>
              <w:t>搅拌机配套的</w:t>
            </w:r>
            <w:r>
              <w:rPr>
                <w:rFonts w:ascii="Times New Roman" w:hAnsi="Times New Roman" w:eastAsia="宋体" w:cs="Times New Roman"/>
                <w:bCs/>
                <w:color w:val="auto"/>
                <w:kern w:val="1"/>
                <w:sz w:val="24"/>
                <w:szCs w:val="24"/>
                <w:highlight w:val="none"/>
              </w:rPr>
              <w:t>布袋除尘</w:t>
            </w:r>
            <w:r>
              <w:rPr>
                <w:rFonts w:hint="eastAsia" w:ascii="Times New Roman" w:hAnsi="Times New Roman" w:eastAsia="宋体" w:cs="Times New Roman"/>
                <w:bCs/>
                <w:color w:val="auto"/>
                <w:kern w:val="1"/>
                <w:sz w:val="24"/>
                <w:szCs w:val="24"/>
                <w:highlight w:val="none"/>
                <w:lang w:val="en-US" w:eastAsia="zh-CN"/>
              </w:rPr>
              <w:t>器</w:t>
            </w:r>
            <w:r>
              <w:rPr>
                <w:rFonts w:hint="eastAsia" w:cs="Times New Roman"/>
                <w:bCs/>
                <w:color w:val="auto"/>
                <w:kern w:val="1"/>
                <w:sz w:val="24"/>
                <w:szCs w:val="24"/>
                <w:highlight w:val="none"/>
                <w:lang w:val="en-US" w:eastAsia="zh-CN"/>
              </w:rPr>
              <w:t>处理后无组织排放。</w:t>
            </w:r>
          </w:p>
        </w:tc>
        <w:tc>
          <w:tcPr>
            <w:tcW w:w="1712" w:type="dxa"/>
            <w:vMerge w:val="continue"/>
            <w:vAlign w:val="center"/>
          </w:tcPr>
          <w:p>
            <w:pPr>
              <w:widowControl/>
              <w:adjustRightInd w:val="0"/>
              <w:snapToGrid w:val="0"/>
              <w:jc w:val="center"/>
              <w:rPr>
                <w:color w:val="auto"/>
                <w:kern w:val="0"/>
                <w:sz w:val="24"/>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08" w:type="dxa"/>
            <w:left w:w="108" w:type="dxa"/>
            <w:bottom w:w="108" w:type="dxa"/>
            <w:right w:w="108" w:type="dxa"/>
          </w:tblCellMar>
        </w:tblPrEx>
        <w:trPr>
          <w:trHeight w:val="23" w:hRule="atLeast"/>
          <w:jc w:val="center"/>
        </w:trPr>
        <w:tc>
          <w:tcPr>
            <w:tcW w:w="744" w:type="dxa"/>
            <w:vMerge w:val="continue"/>
            <w:vAlign w:val="center"/>
          </w:tcPr>
          <w:p>
            <w:pPr>
              <w:adjustRightInd w:val="0"/>
              <w:snapToGrid w:val="0"/>
              <w:jc w:val="center"/>
              <w:rPr>
                <w:b/>
                <w:bCs/>
                <w:color w:val="auto"/>
                <w:sz w:val="24"/>
              </w:rPr>
            </w:pPr>
          </w:p>
        </w:tc>
        <w:tc>
          <w:tcPr>
            <w:tcW w:w="1839" w:type="dxa"/>
            <w:gridSpan w:val="2"/>
            <w:vAlign w:val="center"/>
          </w:tcPr>
          <w:p>
            <w:pPr>
              <w:pStyle w:val="31"/>
              <w:adjustRightInd w:val="0"/>
              <w:snapToGrid w:val="0"/>
              <w:spacing w:line="240" w:lineRule="auto"/>
              <w:ind w:firstLine="0" w:firstLineChars="0"/>
              <w:jc w:val="center"/>
              <w:rPr>
                <w:color w:val="auto"/>
                <w:kern w:val="0"/>
              </w:rPr>
            </w:pPr>
            <w:r>
              <w:rPr>
                <w:color w:val="auto"/>
              </w:rPr>
              <w:t>车辆运输扬尘G6</w:t>
            </w:r>
          </w:p>
        </w:tc>
        <w:tc>
          <w:tcPr>
            <w:tcW w:w="1310" w:type="dxa"/>
            <w:vAlign w:val="center"/>
          </w:tcPr>
          <w:p>
            <w:pPr>
              <w:widowControl/>
              <w:adjustRightInd w:val="0"/>
              <w:snapToGrid w:val="0"/>
              <w:jc w:val="center"/>
              <w:rPr>
                <w:color w:val="auto"/>
                <w:sz w:val="24"/>
              </w:rPr>
            </w:pPr>
            <w:r>
              <w:rPr>
                <w:color w:val="auto"/>
                <w:sz w:val="24"/>
              </w:rPr>
              <w:t>颗粒物</w:t>
            </w:r>
          </w:p>
        </w:tc>
        <w:tc>
          <w:tcPr>
            <w:tcW w:w="3343" w:type="dxa"/>
            <w:vAlign w:val="center"/>
          </w:tcPr>
          <w:p>
            <w:pPr>
              <w:adjustRightInd w:val="0"/>
              <w:snapToGrid w:val="0"/>
              <w:jc w:val="center"/>
              <w:rPr>
                <w:color w:val="auto"/>
                <w:sz w:val="24"/>
                <w:szCs w:val="24"/>
              </w:rPr>
            </w:pPr>
            <w:r>
              <w:rPr>
                <w:color w:val="auto"/>
                <w:sz w:val="24"/>
                <w:szCs w:val="24"/>
              </w:rPr>
              <w:t>厂区门口设置车辆冲洗平台，并采取定期道路洒水降尘措施。运输车辆缓慢行驶且不得超载，物料采用苫布遮挡覆盖。</w:t>
            </w:r>
          </w:p>
        </w:tc>
        <w:tc>
          <w:tcPr>
            <w:tcW w:w="1712" w:type="dxa"/>
            <w:vMerge w:val="continue"/>
            <w:vAlign w:val="center"/>
          </w:tcPr>
          <w:p>
            <w:pPr>
              <w:widowControl/>
              <w:adjustRightInd w:val="0"/>
              <w:snapToGrid w:val="0"/>
              <w:jc w:val="center"/>
              <w:rPr>
                <w:color w:val="auto"/>
                <w:kern w:val="0"/>
                <w:sz w:val="24"/>
                <w:lang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08" w:type="dxa"/>
            <w:left w:w="108" w:type="dxa"/>
            <w:bottom w:w="108" w:type="dxa"/>
            <w:right w:w="108" w:type="dxa"/>
          </w:tblCellMar>
        </w:tblPrEx>
        <w:trPr>
          <w:trHeight w:val="23" w:hRule="atLeast"/>
          <w:jc w:val="center"/>
        </w:trPr>
        <w:tc>
          <w:tcPr>
            <w:tcW w:w="744" w:type="dxa"/>
            <w:vMerge w:val="restart"/>
            <w:vAlign w:val="center"/>
          </w:tcPr>
          <w:p>
            <w:pPr>
              <w:adjustRightInd w:val="0"/>
              <w:snapToGrid w:val="0"/>
              <w:jc w:val="center"/>
              <w:rPr>
                <w:b/>
                <w:bCs/>
                <w:color w:val="auto"/>
                <w:sz w:val="24"/>
              </w:rPr>
            </w:pPr>
            <w:r>
              <w:rPr>
                <w:b/>
                <w:bCs/>
                <w:color w:val="auto"/>
                <w:sz w:val="24"/>
              </w:rPr>
              <w:t>地表水环境</w:t>
            </w:r>
          </w:p>
        </w:tc>
        <w:tc>
          <w:tcPr>
            <w:tcW w:w="1839" w:type="dxa"/>
            <w:gridSpan w:val="2"/>
            <w:vAlign w:val="center"/>
          </w:tcPr>
          <w:p>
            <w:pPr>
              <w:adjustRightInd w:val="0"/>
              <w:snapToGrid w:val="0"/>
              <w:jc w:val="center"/>
              <w:rPr>
                <w:color w:val="auto"/>
                <w:sz w:val="24"/>
              </w:rPr>
            </w:pPr>
            <w:r>
              <w:rPr>
                <w:color w:val="auto"/>
                <w:sz w:val="24"/>
              </w:rPr>
              <w:t>生活污水</w:t>
            </w:r>
          </w:p>
        </w:tc>
        <w:tc>
          <w:tcPr>
            <w:tcW w:w="1310" w:type="dxa"/>
            <w:vAlign w:val="center"/>
          </w:tcPr>
          <w:p>
            <w:pPr>
              <w:adjustRightInd w:val="0"/>
              <w:snapToGrid w:val="0"/>
              <w:jc w:val="center"/>
              <w:rPr>
                <w:color w:val="auto"/>
                <w:sz w:val="24"/>
              </w:rPr>
            </w:pPr>
            <w:r>
              <w:rPr>
                <w:bCs/>
                <w:color w:val="auto"/>
                <w:sz w:val="24"/>
              </w:rPr>
              <w:t>SS、COD、BOD、氨氮</w:t>
            </w:r>
          </w:p>
        </w:tc>
        <w:tc>
          <w:tcPr>
            <w:tcW w:w="3343" w:type="dxa"/>
            <w:vAlign w:val="center"/>
          </w:tcPr>
          <w:p>
            <w:pPr>
              <w:adjustRightInd w:val="0"/>
              <w:snapToGrid w:val="0"/>
              <w:jc w:val="center"/>
              <w:rPr>
                <w:rFonts w:hint="eastAsia" w:eastAsia="宋体"/>
                <w:color w:val="auto"/>
                <w:sz w:val="24"/>
                <w:lang w:eastAsia="zh-CN"/>
              </w:rPr>
            </w:pPr>
            <w:r>
              <w:rPr>
                <w:color w:val="auto"/>
                <w:kern w:val="0"/>
                <w:sz w:val="24"/>
                <w:lang w:bidi="ar"/>
              </w:rPr>
              <w:t>经厂区</w:t>
            </w:r>
            <w:r>
              <w:rPr>
                <w:rFonts w:hint="eastAsia"/>
                <w:color w:val="auto"/>
                <w:kern w:val="0"/>
                <w:sz w:val="24"/>
                <w:lang w:val="en-US" w:eastAsia="zh-CN" w:bidi="ar"/>
              </w:rPr>
              <w:t>化粪池（3m</w:t>
            </w:r>
            <w:r>
              <w:rPr>
                <w:rFonts w:hint="eastAsia"/>
                <w:color w:val="auto"/>
                <w:kern w:val="0"/>
                <w:sz w:val="24"/>
                <w:vertAlign w:val="superscript"/>
                <w:lang w:val="en-US" w:eastAsia="zh-CN" w:bidi="ar"/>
              </w:rPr>
              <w:t>3</w:t>
            </w:r>
            <w:r>
              <w:rPr>
                <w:rFonts w:hint="eastAsia"/>
                <w:color w:val="auto"/>
                <w:kern w:val="0"/>
                <w:sz w:val="24"/>
                <w:lang w:val="en-US" w:eastAsia="zh-CN" w:bidi="ar"/>
              </w:rPr>
              <w:t>）</w:t>
            </w:r>
            <w:r>
              <w:rPr>
                <w:rFonts w:hint="eastAsia"/>
                <w:color w:val="auto"/>
                <w:kern w:val="0"/>
                <w:sz w:val="24"/>
                <w:lang w:bidi="ar"/>
              </w:rPr>
              <w:t>处理后定期</w:t>
            </w:r>
            <w:r>
              <w:rPr>
                <w:rFonts w:hint="eastAsia"/>
                <w:color w:val="auto"/>
                <w:kern w:val="0"/>
                <w:sz w:val="24"/>
                <w:lang w:val="en-US" w:eastAsia="zh-CN" w:bidi="ar"/>
              </w:rPr>
              <w:t>清运至中卫市第一污水处理厂。</w:t>
            </w:r>
          </w:p>
        </w:tc>
        <w:tc>
          <w:tcPr>
            <w:tcW w:w="1712" w:type="dxa"/>
            <w:vAlign w:val="center"/>
          </w:tcPr>
          <w:p>
            <w:pPr>
              <w:adjustRightInd w:val="0"/>
              <w:snapToGrid w:val="0"/>
              <w:jc w:val="center"/>
              <w:rPr>
                <w:color w:val="auto"/>
                <w:sz w:val="24"/>
              </w:rPr>
            </w:pPr>
            <w:r>
              <w:rPr>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08" w:type="dxa"/>
            <w:left w:w="108" w:type="dxa"/>
            <w:bottom w:w="108" w:type="dxa"/>
            <w:right w:w="108" w:type="dxa"/>
          </w:tblCellMar>
        </w:tblPrEx>
        <w:trPr>
          <w:trHeight w:val="23" w:hRule="atLeast"/>
          <w:jc w:val="center"/>
        </w:trPr>
        <w:tc>
          <w:tcPr>
            <w:tcW w:w="744" w:type="dxa"/>
            <w:vMerge w:val="continue"/>
            <w:vAlign w:val="center"/>
          </w:tcPr>
          <w:p>
            <w:pPr>
              <w:adjustRightInd w:val="0"/>
              <w:snapToGrid w:val="0"/>
              <w:jc w:val="center"/>
              <w:rPr>
                <w:color w:val="auto"/>
                <w:sz w:val="24"/>
              </w:rPr>
            </w:pPr>
          </w:p>
        </w:tc>
        <w:tc>
          <w:tcPr>
            <w:tcW w:w="453" w:type="dxa"/>
            <w:vMerge w:val="restart"/>
            <w:vAlign w:val="center"/>
          </w:tcPr>
          <w:p>
            <w:pPr>
              <w:adjustRightInd w:val="0"/>
              <w:snapToGrid w:val="0"/>
              <w:jc w:val="center"/>
              <w:rPr>
                <w:color w:val="auto"/>
                <w:sz w:val="24"/>
              </w:rPr>
            </w:pPr>
            <w:r>
              <w:rPr>
                <w:color w:val="auto"/>
                <w:sz w:val="24"/>
              </w:rPr>
              <w:t>生产废水</w:t>
            </w:r>
          </w:p>
        </w:tc>
        <w:tc>
          <w:tcPr>
            <w:tcW w:w="1386" w:type="dxa"/>
            <w:vAlign w:val="center"/>
          </w:tcPr>
          <w:p>
            <w:pPr>
              <w:adjustRightInd w:val="0"/>
              <w:snapToGrid w:val="0"/>
              <w:jc w:val="center"/>
              <w:rPr>
                <w:color w:val="auto"/>
                <w:sz w:val="24"/>
              </w:rPr>
            </w:pPr>
            <w:r>
              <w:rPr>
                <w:color w:val="auto"/>
                <w:sz w:val="24"/>
              </w:rPr>
              <w:t>车辆冲洗用水</w:t>
            </w:r>
          </w:p>
        </w:tc>
        <w:tc>
          <w:tcPr>
            <w:tcW w:w="1310" w:type="dxa"/>
            <w:vMerge w:val="restart"/>
            <w:vAlign w:val="center"/>
          </w:tcPr>
          <w:p>
            <w:pPr>
              <w:adjustRightInd w:val="0"/>
              <w:snapToGrid w:val="0"/>
              <w:jc w:val="center"/>
              <w:rPr>
                <w:color w:val="auto"/>
                <w:sz w:val="24"/>
              </w:rPr>
            </w:pPr>
            <w:r>
              <w:rPr>
                <w:color w:val="auto"/>
                <w:sz w:val="24"/>
              </w:rPr>
              <w:t>SS</w:t>
            </w:r>
          </w:p>
        </w:tc>
        <w:tc>
          <w:tcPr>
            <w:tcW w:w="3343" w:type="dxa"/>
            <w:vMerge w:val="restart"/>
            <w:vAlign w:val="center"/>
          </w:tcPr>
          <w:p>
            <w:pPr>
              <w:adjustRightInd w:val="0"/>
              <w:snapToGrid w:val="0"/>
              <w:jc w:val="center"/>
              <w:rPr>
                <w:rFonts w:hint="eastAsia" w:eastAsia="宋体"/>
                <w:color w:val="auto"/>
                <w:sz w:val="24"/>
                <w:lang w:eastAsia="zh-CN"/>
              </w:rPr>
            </w:pPr>
            <w:r>
              <w:rPr>
                <w:rFonts w:hint="eastAsia"/>
                <w:color w:val="auto"/>
                <w:sz w:val="24"/>
              </w:rPr>
              <w:t>设</w:t>
            </w:r>
            <w:r>
              <w:rPr>
                <w:color w:val="auto"/>
                <w:sz w:val="24"/>
              </w:rPr>
              <w:t>临时沉淀池，沉淀后回用于道路洒水降尘</w:t>
            </w:r>
            <w:r>
              <w:rPr>
                <w:rFonts w:hint="eastAsia"/>
                <w:color w:val="auto"/>
                <w:sz w:val="24"/>
                <w:lang w:eastAsia="zh-CN"/>
              </w:rPr>
              <w:t>。</w:t>
            </w:r>
          </w:p>
        </w:tc>
        <w:tc>
          <w:tcPr>
            <w:tcW w:w="1712" w:type="dxa"/>
            <w:vMerge w:val="restart"/>
            <w:vAlign w:val="center"/>
          </w:tcPr>
          <w:p>
            <w:pPr>
              <w:adjustRightInd w:val="0"/>
              <w:snapToGrid w:val="0"/>
              <w:jc w:val="center"/>
              <w:rPr>
                <w:color w:val="auto"/>
                <w:sz w:val="24"/>
              </w:rPr>
            </w:pPr>
            <w:r>
              <w:rPr>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08" w:type="dxa"/>
            <w:left w:w="108" w:type="dxa"/>
            <w:bottom w:w="108" w:type="dxa"/>
            <w:right w:w="108" w:type="dxa"/>
          </w:tblCellMar>
        </w:tblPrEx>
        <w:trPr>
          <w:trHeight w:val="23" w:hRule="atLeast"/>
          <w:jc w:val="center"/>
        </w:trPr>
        <w:tc>
          <w:tcPr>
            <w:tcW w:w="744" w:type="dxa"/>
            <w:vMerge w:val="continue"/>
            <w:vAlign w:val="center"/>
          </w:tcPr>
          <w:p>
            <w:pPr>
              <w:adjustRightInd w:val="0"/>
              <w:snapToGrid w:val="0"/>
              <w:jc w:val="center"/>
              <w:rPr>
                <w:color w:val="auto"/>
                <w:sz w:val="24"/>
              </w:rPr>
            </w:pPr>
          </w:p>
        </w:tc>
        <w:tc>
          <w:tcPr>
            <w:tcW w:w="453" w:type="dxa"/>
            <w:vMerge w:val="continue"/>
            <w:vAlign w:val="center"/>
          </w:tcPr>
          <w:p>
            <w:pPr>
              <w:adjustRightInd w:val="0"/>
              <w:snapToGrid w:val="0"/>
              <w:jc w:val="center"/>
              <w:rPr>
                <w:color w:val="auto"/>
                <w:sz w:val="24"/>
              </w:rPr>
            </w:pPr>
          </w:p>
        </w:tc>
        <w:tc>
          <w:tcPr>
            <w:tcW w:w="1386" w:type="dxa"/>
            <w:vAlign w:val="center"/>
          </w:tcPr>
          <w:p>
            <w:pPr>
              <w:adjustRightInd w:val="0"/>
              <w:snapToGrid w:val="0"/>
              <w:jc w:val="center"/>
              <w:rPr>
                <w:color w:val="auto"/>
                <w:sz w:val="24"/>
              </w:rPr>
            </w:pPr>
            <w:r>
              <w:rPr>
                <w:color w:val="auto"/>
                <w:sz w:val="24"/>
              </w:rPr>
              <w:t>搅拌机清洗废水</w:t>
            </w:r>
          </w:p>
        </w:tc>
        <w:tc>
          <w:tcPr>
            <w:tcW w:w="1310" w:type="dxa"/>
            <w:vMerge w:val="continue"/>
            <w:vAlign w:val="center"/>
          </w:tcPr>
          <w:p>
            <w:pPr>
              <w:adjustRightInd w:val="0"/>
              <w:snapToGrid w:val="0"/>
              <w:jc w:val="center"/>
              <w:rPr>
                <w:color w:val="auto"/>
                <w:sz w:val="24"/>
              </w:rPr>
            </w:pPr>
          </w:p>
        </w:tc>
        <w:tc>
          <w:tcPr>
            <w:tcW w:w="3343" w:type="dxa"/>
            <w:vMerge w:val="continue"/>
            <w:vAlign w:val="center"/>
          </w:tcPr>
          <w:p>
            <w:pPr>
              <w:adjustRightInd w:val="0"/>
              <w:snapToGrid w:val="0"/>
              <w:jc w:val="center"/>
              <w:rPr>
                <w:color w:val="auto"/>
                <w:sz w:val="24"/>
              </w:rPr>
            </w:pPr>
          </w:p>
        </w:tc>
        <w:tc>
          <w:tcPr>
            <w:tcW w:w="1712" w:type="dxa"/>
            <w:vMerge w:val="continue"/>
            <w:vAlign w:val="center"/>
          </w:tcPr>
          <w:p>
            <w:pPr>
              <w:adjustRightInd w:val="0"/>
              <w:snapToGrid w:val="0"/>
              <w:jc w:val="center"/>
              <w:rPr>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08" w:type="dxa"/>
            <w:left w:w="108" w:type="dxa"/>
            <w:bottom w:w="108" w:type="dxa"/>
            <w:right w:w="108" w:type="dxa"/>
          </w:tblCellMar>
        </w:tblPrEx>
        <w:trPr>
          <w:trHeight w:val="23" w:hRule="atLeast"/>
          <w:jc w:val="center"/>
        </w:trPr>
        <w:tc>
          <w:tcPr>
            <w:tcW w:w="744" w:type="dxa"/>
            <w:vAlign w:val="center"/>
          </w:tcPr>
          <w:p>
            <w:pPr>
              <w:adjustRightInd w:val="0"/>
              <w:snapToGrid w:val="0"/>
              <w:jc w:val="center"/>
              <w:rPr>
                <w:b/>
                <w:bCs/>
                <w:color w:val="auto"/>
                <w:sz w:val="24"/>
              </w:rPr>
            </w:pPr>
            <w:r>
              <w:rPr>
                <w:b/>
                <w:bCs/>
                <w:color w:val="auto"/>
                <w:sz w:val="24"/>
              </w:rPr>
              <w:t>声环境</w:t>
            </w:r>
          </w:p>
        </w:tc>
        <w:tc>
          <w:tcPr>
            <w:tcW w:w="1839" w:type="dxa"/>
            <w:gridSpan w:val="2"/>
            <w:vAlign w:val="center"/>
          </w:tcPr>
          <w:p>
            <w:pPr>
              <w:adjustRightInd w:val="0"/>
              <w:snapToGrid w:val="0"/>
              <w:jc w:val="center"/>
              <w:rPr>
                <w:color w:val="auto"/>
                <w:sz w:val="24"/>
              </w:rPr>
            </w:pPr>
            <w:r>
              <w:rPr>
                <w:color w:val="auto"/>
                <w:sz w:val="24"/>
              </w:rPr>
              <w:t>设备噪声</w:t>
            </w:r>
          </w:p>
        </w:tc>
        <w:tc>
          <w:tcPr>
            <w:tcW w:w="1310" w:type="dxa"/>
            <w:vAlign w:val="center"/>
          </w:tcPr>
          <w:p>
            <w:pPr>
              <w:adjustRightInd w:val="0"/>
              <w:snapToGrid w:val="0"/>
              <w:jc w:val="center"/>
              <w:rPr>
                <w:color w:val="auto"/>
                <w:sz w:val="24"/>
              </w:rPr>
            </w:pPr>
            <w:r>
              <w:rPr>
                <w:rFonts w:hint="eastAsia"/>
                <w:color w:val="auto"/>
                <w:sz w:val="24"/>
              </w:rPr>
              <w:t>/</w:t>
            </w:r>
          </w:p>
        </w:tc>
        <w:tc>
          <w:tcPr>
            <w:tcW w:w="3343" w:type="dxa"/>
            <w:vAlign w:val="center"/>
          </w:tcPr>
          <w:p>
            <w:pPr>
              <w:adjustRightInd w:val="0"/>
              <w:snapToGrid w:val="0"/>
              <w:jc w:val="center"/>
              <w:rPr>
                <w:color w:val="auto"/>
                <w:sz w:val="24"/>
              </w:rPr>
            </w:pPr>
            <w:r>
              <w:rPr>
                <w:color w:val="auto"/>
                <w:sz w:val="24"/>
              </w:rPr>
              <w:t>选择低噪声设备，采取隔声、基础减振等措施。</w:t>
            </w:r>
          </w:p>
        </w:tc>
        <w:tc>
          <w:tcPr>
            <w:tcW w:w="1712" w:type="dxa"/>
            <w:vAlign w:val="center"/>
          </w:tcPr>
          <w:p>
            <w:pPr>
              <w:adjustRightInd w:val="0"/>
              <w:snapToGrid w:val="0"/>
              <w:jc w:val="center"/>
              <w:rPr>
                <w:color w:val="auto"/>
                <w:sz w:val="24"/>
              </w:rPr>
            </w:pPr>
            <w:r>
              <w:rPr>
                <w:color w:val="auto"/>
                <w:sz w:val="24"/>
              </w:rPr>
              <w:t>《工业企业厂界环境噪声排放标准》（GB 12348-2008）中</w:t>
            </w:r>
            <w:r>
              <w:rPr>
                <w:rFonts w:hint="eastAsia"/>
                <w:color w:val="auto"/>
                <w:sz w:val="24"/>
                <w:lang w:val="en-US" w:eastAsia="zh-CN"/>
              </w:rPr>
              <w:t>2</w:t>
            </w:r>
            <w:r>
              <w:rPr>
                <w:color w:val="auto"/>
                <w:sz w:val="24"/>
              </w:rPr>
              <w:t>类区标准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08" w:type="dxa"/>
            <w:left w:w="108" w:type="dxa"/>
            <w:bottom w:w="108" w:type="dxa"/>
            <w:right w:w="108" w:type="dxa"/>
          </w:tblCellMar>
        </w:tblPrEx>
        <w:trPr>
          <w:trHeight w:val="919" w:hRule="atLeast"/>
          <w:jc w:val="center"/>
        </w:trPr>
        <w:tc>
          <w:tcPr>
            <w:tcW w:w="744" w:type="dxa"/>
            <w:vAlign w:val="center"/>
          </w:tcPr>
          <w:p>
            <w:pPr>
              <w:adjustRightInd w:val="0"/>
              <w:snapToGrid w:val="0"/>
              <w:jc w:val="center"/>
              <w:rPr>
                <w:b/>
                <w:bCs/>
                <w:color w:val="auto"/>
                <w:sz w:val="24"/>
              </w:rPr>
            </w:pPr>
            <w:r>
              <w:rPr>
                <w:b/>
                <w:bCs/>
                <w:color w:val="auto"/>
                <w:sz w:val="24"/>
              </w:rPr>
              <w:t>电磁</w:t>
            </w:r>
          </w:p>
          <w:p>
            <w:pPr>
              <w:adjustRightInd w:val="0"/>
              <w:snapToGrid w:val="0"/>
              <w:jc w:val="center"/>
              <w:rPr>
                <w:b/>
                <w:bCs/>
                <w:color w:val="auto"/>
                <w:sz w:val="24"/>
              </w:rPr>
            </w:pPr>
            <w:r>
              <w:rPr>
                <w:b/>
                <w:bCs/>
                <w:color w:val="auto"/>
                <w:sz w:val="24"/>
              </w:rPr>
              <w:t>辐射</w:t>
            </w:r>
          </w:p>
        </w:tc>
        <w:tc>
          <w:tcPr>
            <w:tcW w:w="8204" w:type="dxa"/>
            <w:gridSpan w:val="5"/>
            <w:vAlign w:val="center"/>
          </w:tcPr>
          <w:p>
            <w:pPr>
              <w:adjustRightInd w:val="0"/>
              <w:snapToGrid w:val="0"/>
              <w:jc w:val="center"/>
              <w:rPr>
                <w:color w:val="auto"/>
                <w:sz w:val="24"/>
              </w:rPr>
            </w:pPr>
            <w:r>
              <w:rPr>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08" w:type="dxa"/>
            <w:left w:w="108" w:type="dxa"/>
            <w:bottom w:w="108" w:type="dxa"/>
            <w:right w:w="108" w:type="dxa"/>
          </w:tblCellMar>
        </w:tblPrEx>
        <w:trPr>
          <w:trHeight w:val="23" w:hRule="atLeast"/>
          <w:jc w:val="center"/>
        </w:trPr>
        <w:tc>
          <w:tcPr>
            <w:tcW w:w="744" w:type="dxa"/>
            <w:vAlign w:val="center"/>
          </w:tcPr>
          <w:p>
            <w:pPr>
              <w:adjustRightInd w:val="0"/>
              <w:snapToGrid w:val="0"/>
              <w:jc w:val="center"/>
              <w:rPr>
                <w:b/>
                <w:bCs/>
                <w:color w:val="auto"/>
                <w:sz w:val="24"/>
              </w:rPr>
            </w:pPr>
            <w:r>
              <w:rPr>
                <w:b/>
                <w:bCs/>
                <w:color w:val="auto"/>
                <w:sz w:val="24"/>
              </w:rPr>
              <w:t>固体</w:t>
            </w:r>
          </w:p>
          <w:p>
            <w:pPr>
              <w:adjustRightInd w:val="0"/>
              <w:snapToGrid w:val="0"/>
              <w:jc w:val="center"/>
              <w:rPr>
                <w:b/>
                <w:bCs/>
                <w:color w:val="auto"/>
                <w:sz w:val="24"/>
              </w:rPr>
            </w:pPr>
            <w:r>
              <w:rPr>
                <w:b/>
                <w:bCs/>
                <w:color w:val="auto"/>
                <w:sz w:val="24"/>
              </w:rPr>
              <w:t>废物</w:t>
            </w:r>
          </w:p>
        </w:tc>
        <w:tc>
          <w:tcPr>
            <w:tcW w:w="8204" w:type="dxa"/>
            <w:gridSpan w:val="5"/>
            <w:vAlign w:val="center"/>
          </w:tcPr>
          <w:p>
            <w:pPr>
              <w:widowControl/>
              <w:adjustRightInd w:val="0"/>
              <w:snapToGrid w:val="0"/>
              <w:spacing w:line="360" w:lineRule="auto"/>
              <w:ind w:firstLine="480" w:firstLineChars="200"/>
              <w:jc w:val="left"/>
              <w:rPr>
                <w:color w:val="auto"/>
                <w:sz w:val="24"/>
              </w:rPr>
            </w:pPr>
            <w:r>
              <w:rPr>
                <w:color w:val="auto"/>
                <w:sz w:val="24"/>
              </w:rPr>
              <w:t>①废石料暂存</w:t>
            </w:r>
            <w:r>
              <w:rPr>
                <w:rFonts w:hint="eastAsia"/>
                <w:color w:val="auto"/>
                <w:sz w:val="24"/>
              </w:rPr>
              <w:t>于</w:t>
            </w:r>
            <w:r>
              <w:rPr>
                <w:color w:val="auto"/>
                <w:sz w:val="24"/>
              </w:rPr>
              <w:t>原料仓，由生产厂家回收；</w:t>
            </w:r>
          </w:p>
          <w:p>
            <w:pPr>
              <w:widowControl/>
              <w:adjustRightInd w:val="0"/>
              <w:snapToGrid w:val="0"/>
              <w:spacing w:line="360" w:lineRule="auto"/>
              <w:ind w:firstLine="480" w:firstLineChars="200"/>
              <w:jc w:val="left"/>
              <w:rPr>
                <w:rFonts w:hint="eastAsia" w:eastAsia="宋体"/>
                <w:color w:val="auto"/>
                <w:sz w:val="24"/>
                <w:lang w:eastAsia="zh-CN"/>
              </w:rPr>
            </w:pPr>
            <w:r>
              <w:rPr>
                <w:color w:val="auto"/>
                <w:sz w:val="24"/>
              </w:rPr>
              <w:t>②</w:t>
            </w:r>
            <w:r>
              <w:rPr>
                <w:color w:val="auto"/>
                <w:kern w:val="0"/>
                <w:sz w:val="24"/>
                <w:lang w:bidi="ar"/>
              </w:rPr>
              <w:t>废水沉淀沉渣送至政府指定地点处置</w:t>
            </w:r>
            <w:r>
              <w:rPr>
                <w:rFonts w:hint="eastAsia"/>
                <w:color w:val="auto"/>
                <w:kern w:val="0"/>
                <w:sz w:val="24"/>
                <w:lang w:eastAsia="zh-CN" w:bidi="ar"/>
              </w:rPr>
              <w:t>；</w:t>
            </w:r>
          </w:p>
          <w:p>
            <w:pPr>
              <w:widowControl/>
              <w:adjustRightInd w:val="0"/>
              <w:snapToGrid w:val="0"/>
              <w:spacing w:line="360" w:lineRule="auto"/>
              <w:ind w:firstLine="480" w:firstLineChars="200"/>
              <w:jc w:val="left"/>
              <w:rPr>
                <w:rFonts w:hint="eastAsia" w:eastAsia="宋体"/>
                <w:color w:val="auto"/>
                <w:kern w:val="0"/>
                <w:sz w:val="24"/>
                <w:lang w:eastAsia="zh-CN" w:bidi="ar"/>
              </w:rPr>
            </w:pPr>
            <w:r>
              <w:rPr>
                <w:color w:val="auto"/>
                <w:sz w:val="24"/>
              </w:rPr>
              <w:t>③</w:t>
            </w:r>
            <w:r>
              <w:rPr>
                <w:color w:val="auto"/>
                <w:kern w:val="0"/>
                <w:sz w:val="24"/>
                <w:lang w:bidi="ar"/>
              </w:rPr>
              <w:t>员工</w:t>
            </w:r>
            <w:r>
              <w:rPr>
                <w:rFonts w:hint="eastAsia"/>
                <w:color w:val="auto"/>
                <w:kern w:val="0"/>
                <w:sz w:val="24"/>
                <w:lang w:val="en-US" w:eastAsia="zh-CN" w:bidi="ar"/>
              </w:rPr>
              <w:t>生产作业过程中产生的</w:t>
            </w:r>
            <w:r>
              <w:rPr>
                <w:color w:val="auto"/>
                <w:kern w:val="0"/>
                <w:sz w:val="24"/>
                <w:lang w:bidi="ar"/>
              </w:rPr>
              <w:t>生活垃圾</w:t>
            </w:r>
            <w:r>
              <w:rPr>
                <w:color w:val="auto"/>
                <w:sz w:val="24"/>
              </w:rPr>
              <w:t>设置垃圾桶收集，运至附近的垃圾转运点处理</w:t>
            </w:r>
            <w:r>
              <w:rPr>
                <w:rFonts w:hint="eastAsia"/>
                <w:color w:val="auto"/>
                <w:sz w:val="24"/>
                <w:lang w:eastAsia="zh-CN"/>
              </w:rPr>
              <w:t>；</w:t>
            </w:r>
          </w:p>
          <w:p>
            <w:pPr>
              <w:widowControl/>
              <w:adjustRightInd w:val="0"/>
              <w:snapToGrid w:val="0"/>
              <w:spacing w:line="360" w:lineRule="auto"/>
              <w:ind w:firstLine="480" w:firstLineChars="200"/>
              <w:jc w:val="left"/>
              <w:rPr>
                <w:rFonts w:hint="eastAsia"/>
                <w:color w:val="auto"/>
                <w:kern w:val="0"/>
                <w:sz w:val="24"/>
                <w:lang w:eastAsia="zh-CN" w:bidi="ar"/>
              </w:rPr>
            </w:pPr>
            <w:r>
              <w:rPr>
                <w:color w:val="auto"/>
                <w:sz w:val="24"/>
              </w:rPr>
              <w:t>④</w:t>
            </w:r>
            <w:r>
              <w:rPr>
                <w:rFonts w:hint="eastAsia"/>
                <w:color w:val="auto"/>
                <w:kern w:val="0"/>
                <w:sz w:val="24"/>
                <w:lang w:val="en-US" w:eastAsia="zh-CN" w:bidi="ar"/>
              </w:rPr>
              <w:t>拌合</w:t>
            </w:r>
            <w:r>
              <w:rPr>
                <w:rFonts w:hint="eastAsia"/>
                <w:color w:val="auto"/>
                <w:kern w:val="0"/>
                <w:sz w:val="24"/>
                <w:lang w:bidi="ar"/>
              </w:rPr>
              <w:t>站拆除后的建筑垃圾</w:t>
            </w:r>
            <w:r>
              <w:rPr>
                <w:color w:val="auto"/>
                <w:kern w:val="0"/>
                <w:sz w:val="24"/>
                <w:lang w:bidi="ar"/>
              </w:rPr>
              <w:t>送至政府指定地点处置</w:t>
            </w:r>
            <w:r>
              <w:rPr>
                <w:rFonts w:hint="eastAsia"/>
                <w:color w:val="auto"/>
                <w:kern w:val="0"/>
                <w:sz w:val="24"/>
                <w:lang w:eastAsia="zh-CN" w:bidi="ar"/>
              </w:rPr>
              <w:t>；</w:t>
            </w:r>
          </w:p>
          <w:p>
            <w:pPr>
              <w:widowControl/>
              <w:adjustRightInd w:val="0"/>
              <w:snapToGrid w:val="0"/>
              <w:spacing w:line="360" w:lineRule="auto"/>
              <w:ind w:firstLine="480" w:firstLineChars="200"/>
              <w:jc w:val="left"/>
              <w:rPr>
                <w:rFonts w:hint="default"/>
                <w:color w:val="auto"/>
                <w:lang w:val="en-US" w:eastAsia="zh-CN"/>
              </w:rPr>
            </w:pPr>
            <w:r>
              <w:rPr>
                <w:rFonts w:hint="eastAsia"/>
                <w:color w:val="auto"/>
                <w:kern w:val="0"/>
                <w:sz w:val="24"/>
                <w:lang w:val="en-US" w:eastAsia="zh-CN" w:bidi="ar"/>
              </w:rPr>
              <w:t>⑤项目运营过程中产生的废机油、废机油桶和废沾油抹布及手套应按要求暂存于危险废物贮存点，定期交由相关资质单位处置。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08" w:type="dxa"/>
            <w:left w:w="108" w:type="dxa"/>
            <w:bottom w:w="108" w:type="dxa"/>
            <w:right w:w="108" w:type="dxa"/>
          </w:tblCellMar>
        </w:tblPrEx>
        <w:trPr>
          <w:trHeight w:val="23" w:hRule="atLeast"/>
          <w:jc w:val="center"/>
        </w:trPr>
        <w:tc>
          <w:tcPr>
            <w:tcW w:w="744" w:type="dxa"/>
            <w:vAlign w:val="center"/>
          </w:tcPr>
          <w:p>
            <w:pPr>
              <w:adjustRightInd w:val="0"/>
              <w:snapToGrid w:val="0"/>
              <w:jc w:val="center"/>
              <w:rPr>
                <w:b/>
                <w:bCs/>
                <w:color w:val="auto"/>
                <w:sz w:val="24"/>
              </w:rPr>
            </w:pPr>
            <w:r>
              <w:rPr>
                <w:b/>
                <w:bCs/>
                <w:color w:val="auto"/>
                <w:sz w:val="24"/>
              </w:rPr>
              <w:t>土壤及地下水污染防治措施</w:t>
            </w:r>
          </w:p>
        </w:tc>
        <w:tc>
          <w:tcPr>
            <w:tcW w:w="8204" w:type="dxa"/>
            <w:gridSpan w:val="5"/>
            <w:vAlign w:val="center"/>
          </w:tcPr>
          <w:p>
            <w:pPr>
              <w:pStyle w:val="6"/>
              <w:adjustRightInd w:val="0"/>
              <w:snapToGrid w:val="0"/>
              <w:spacing w:after="0" w:line="360" w:lineRule="auto"/>
              <w:ind w:left="0" w:leftChars="0" w:firstLine="480"/>
              <w:rPr>
                <w:color w:val="auto"/>
                <w:kern w:val="2"/>
                <w:szCs w:val="24"/>
              </w:rPr>
            </w:pPr>
            <w:r>
              <w:rPr>
                <w:color w:val="auto"/>
                <w:kern w:val="2"/>
                <w:szCs w:val="24"/>
              </w:rPr>
              <w:t>①厂区地面采用碎石铺设，</w:t>
            </w:r>
            <w:r>
              <w:rPr>
                <w:rFonts w:hint="eastAsia"/>
                <w:color w:val="auto"/>
                <w:kern w:val="2"/>
                <w:szCs w:val="24"/>
              </w:rPr>
              <w:t>外加剂罐</w:t>
            </w:r>
            <w:r>
              <w:rPr>
                <w:rFonts w:hint="eastAsia"/>
                <w:color w:val="auto"/>
                <w:kern w:val="2"/>
                <w:szCs w:val="24"/>
                <w:lang w:eastAsia="zh-CN"/>
              </w:rPr>
              <w:t>、</w:t>
            </w:r>
            <w:r>
              <w:rPr>
                <w:color w:val="auto"/>
                <w:kern w:val="2"/>
                <w:szCs w:val="24"/>
              </w:rPr>
              <w:t>沉淀池</w:t>
            </w:r>
            <w:r>
              <w:rPr>
                <w:rFonts w:hint="eastAsia"/>
                <w:color w:val="auto"/>
                <w:kern w:val="2"/>
                <w:szCs w:val="24"/>
                <w:lang w:val="en-US" w:eastAsia="zh-CN"/>
              </w:rPr>
              <w:t>及化粪池进行一般防渗，防渗层的采用不低于1.5m厚渗透系数为1.0×10</w:t>
            </w:r>
            <w:r>
              <w:rPr>
                <w:rFonts w:hint="eastAsia"/>
                <w:color w:val="auto"/>
                <w:kern w:val="2"/>
                <w:szCs w:val="24"/>
                <w:vertAlign w:val="superscript"/>
                <w:lang w:val="en-US" w:eastAsia="zh-CN"/>
              </w:rPr>
              <w:t>-7</w:t>
            </w:r>
            <w:r>
              <w:rPr>
                <w:rFonts w:hint="eastAsia"/>
                <w:color w:val="auto"/>
                <w:kern w:val="2"/>
                <w:szCs w:val="24"/>
                <w:lang w:val="en-US" w:eastAsia="zh-CN"/>
              </w:rPr>
              <w:t>cm/s的黏土层进行</w:t>
            </w:r>
            <w:r>
              <w:rPr>
                <w:color w:val="auto"/>
                <w:kern w:val="2"/>
                <w:szCs w:val="24"/>
              </w:rPr>
              <w:t>防渗处理；</w:t>
            </w:r>
            <w:r>
              <w:rPr>
                <w:rFonts w:hint="eastAsia" w:eastAsiaTheme="minorEastAsia"/>
                <w:color w:val="auto"/>
                <w:kern w:val="0"/>
                <w:sz w:val="24"/>
                <w:lang w:val="en-US" w:eastAsia="zh-CN" w:bidi="ar"/>
              </w:rPr>
              <w:t>危险废物贮存点应设置</w:t>
            </w:r>
            <w:r>
              <w:rPr>
                <w:rFonts w:hint="eastAsia" w:eastAsiaTheme="minorEastAsia"/>
                <w:color w:val="auto"/>
                <w:sz w:val="24"/>
                <w:lang w:val="en-US" w:eastAsia="zh-CN"/>
              </w:rPr>
              <w:t>防渗层为至少1m厚黏土层（渗透系数不大于10</w:t>
            </w:r>
            <w:r>
              <w:rPr>
                <w:rFonts w:hint="eastAsia" w:eastAsiaTheme="minorEastAsia"/>
                <w:color w:val="auto"/>
                <w:sz w:val="24"/>
                <w:vertAlign w:val="superscript"/>
                <w:lang w:val="en-US" w:eastAsia="zh-CN"/>
              </w:rPr>
              <w:t>-7</w:t>
            </w:r>
            <w:r>
              <w:rPr>
                <w:rFonts w:hint="eastAsia" w:eastAsiaTheme="minorEastAsia"/>
                <w:color w:val="auto"/>
                <w:sz w:val="24"/>
                <w:lang w:val="en-US" w:eastAsia="zh-CN"/>
              </w:rPr>
              <w:t>cm/s），或至少2mm厚高密度聚乙烯膜等人工防渗材料（渗透系数不大于10</w:t>
            </w:r>
            <w:r>
              <w:rPr>
                <w:rFonts w:hint="eastAsia" w:eastAsiaTheme="minorEastAsia"/>
                <w:color w:val="auto"/>
                <w:sz w:val="24"/>
                <w:vertAlign w:val="superscript"/>
                <w:lang w:val="en-US" w:eastAsia="zh-CN"/>
              </w:rPr>
              <w:t>-10</w:t>
            </w:r>
            <w:r>
              <w:rPr>
                <w:rFonts w:hint="eastAsia" w:eastAsiaTheme="minorEastAsia"/>
                <w:color w:val="auto"/>
                <w:sz w:val="24"/>
                <w:lang w:val="en-US" w:eastAsia="zh-CN"/>
              </w:rPr>
              <w:t>cm/s），或其他防渗性能等效的材料。</w:t>
            </w:r>
          </w:p>
          <w:p>
            <w:pPr>
              <w:adjustRightInd w:val="0"/>
              <w:snapToGrid w:val="0"/>
              <w:spacing w:line="360" w:lineRule="auto"/>
              <w:ind w:firstLine="480" w:firstLineChars="200"/>
              <w:rPr>
                <w:color w:val="auto"/>
                <w:sz w:val="24"/>
              </w:rPr>
            </w:pPr>
            <w:r>
              <w:rPr>
                <w:color w:val="auto"/>
                <w:sz w:val="24"/>
              </w:rPr>
              <w:t>②厂区周边种植具有较强吸附能力的植物；</w:t>
            </w:r>
          </w:p>
          <w:p>
            <w:pPr>
              <w:widowControl/>
              <w:adjustRightInd w:val="0"/>
              <w:snapToGrid w:val="0"/>
              <w:spacing w:line="360" w:lineRule="auto"/>
              <w:ind w:firstLine="480" w:firstLineChars="200"/>
              <w:rPr>
                <w:color w:val="auto"/>
                <w:sz w:val="24"/>
              </w:rPr>
            </w:pPr>
            <w:r>
              <w:rPr>
                <w:color w:val="auto"/>
                <w:sz w:val="24"/>
              </w:rPr>
              <w:t>③定期清扫厂区，做好设备维护工作。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08" w:type="dxa"/>
            <w:left w:w="108" w:type="dxa"/>
            <w:bottom w:w="108" w:type="dxa"/>
            <w:right w:w="108" w:type="dxa"/>
          </w:tblCellMar>
        </w:tblPrEx>
        <w:trPr>
          <w:trHeight w:val="23" w:hRule="atLeast"/>
          <w:jc w:val="center"/>
        </w:trPr>
        <w:tc>
          <w:tcPr>
            <w:tcW w:w="744" w:type="dxa"/>
            <w:vAlign w:val="center"/>
          </w:tcPr>
          <w:p>
            <w:pPr>
              <w:adjustRightInd w:val="0"/>
              <w:snapToGrid w:val="0"/>
              <w:jc w:val="center"/>
              <w:rPr>
                <w:b/>
                <w:bCs/>
                <w:color w:val="auto"/>
                <w:sz w:val="24"/>
              </w:rPr>
            </w:pPr>
            <w:r>
              <w:rPr>
                <w:b/>
                <w:bCs/>
                <w:color w:val="auto"/>
                <w:sz w:val="24"/>
              </w:rPr>
              <w:t>生态保护措施</w:t>
            </w:r>
          </w:p>
        </w:tc>
        <w:tc>
          <w:tcPr>
            <w:tcW w:w="8204" w:type="dxa"/>
            <w:gridSpan w:val="5"/>
            <w:vAlign w:val="center"/>
          </w:tcPr>
          <w:p>
            <w:pPr>
              <w:adjustRightInd w:val="0"/>
              <w:snapToGrid w:val="0"/>
              <w:spacing w:line="360" w:lineRule="auto"/>
              <w:ind w:firstLine="480" w:firstLineChars="200"/>
              <w:rPr>
                <w:color w:val="auto"/>
                <w:sz w:val="24"/>
              </w:rPr>
            </w:pPr>
            <w:r>
              <w:rPr>
                <w:color w:val="auto"/>
                <w:sz w:val="24"/>
              </w:rPr>
              <w:t>①项目服务期满后，停止生产，生产设备及原材料合理处置；</w:t>
            </w:r>
          </w:p>
          <w:p>
            <w:pPr>
              <w:adjustRightInd w:val="0"/>
              <w:snapToGrid w:val="0"/>
              <w:spacing w:line="360" w:lineRule="auto"/>
              <w:ind w:firstLine="480" w:firstLineChars="200"/>
              <w:rPr>
                <w:color w:val="auto"/>
                <w:sz w:val="24"/>
              </w:rPr>
            </w:pPr>
            <w:r>
              <w:rPr>
                <w:color w:val="auto"/>
                <w:sz w:val="24"/>
              </w:rPr>
              <w:t>②采取场地</w:t>
            </w:r>
            <w:r>
              <w:rPr>
                <w:rFonts w:hint="eastAsia"/>
                <w:color w:val="auto"/>
                <w:sz w:val="24"/>
                <w:lang w:val="en-US" w:eastAsia="zh-CN"/>
              </w:rPr>
              <w:t>复垦</w:t>
            </w:r>
            <w:r>
              <w:rPr>
                <w:rFonts w:hint="eastAsia"/>
                <w:color w:val="auto"/>
                <w:sz w:val="24"/>
                <w:lang w:eastAsia="zh-CN"/>
              </w:rPr>
              <w:t>措施</w:t>
            </w:r>
            <w:r>
              <w:rPr>
                <w:color w:val="auto"/>
                <w:sz w:val="24"/>
              </w:rPr>
              <w:t>，确保项目区域生态环境逐步得到恢复。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08" w:type="dxa"/>
            <w:left w:w="108" w:type="dxa"/>
            <w:bottom w:w="108" w:type="dxa"/>
            <w:right w:w="108" w:type="dxa"/>
          </w:tblCellMar>
        </w:tblPrEx>
        <w:trPr>
          <w:trHeight w:val="23" w:hRule="atLeast"/>
          <w:jc w:val="center"/>
        </w:trPr>
        <w:tc>
          <w:tcPr>
            <w:tcW w:w="744" w:type="dxa"/>
            <w:vAlign w:val="center"/>
          </w:tcPr>
          <w:p>
            <w:pPr>
              <w:adjustRightInd w:val="0"/>
              <w:snapToGrid w:val="0"/>
              <w:jc w:val="center"/>
              <w:rPr>
                <w:b/>
                <w:bCs/>
                <w:color w:val="auto"/>
                <w:spacing w:val="-8"/>
                <w:sz w:val="24"/>
              </w:rPr>
            </w:pPr>
            <w:r>
              <w:rPr>
                <w:b/>
                <w:bCs/>
                <w:color w:val="auto"/>
                <w:spacing w:val="-8"/>
                <w:sz w:val="24"/>
              </w:rPr>
              <w:t>其他</w:t>
            </w:r>
          </w:p>
          <w:p>
            <w:pPr>
              <w:adjustRightInd w:val="0"/>
              <w:snapToGrid w:val="0"/>
              <w:jc w:val="center"/>
              <w:rPr>
                <w:b/>
                <w:bCs/>
                <w:color w:val="auto"/>
                <w:spacing w:val="-8"/>
                <w:sz w:val="24"/>
              </w:rPr>
            </w:pPr>
            <w:r>
              <w:rPr>
                <w:b/>
                <w:bCs/>
                <w:color w:val="auto"/>
                <w:spacing w:val="-8"/>
                <w:sz w:val="24"/>
              </w:rPr>
              <w:t>环境</w:t>
            </w:r>
          </w:p>
          <w:p>
            <w:pPr>
              <w:adjustRightInd w:val="0"/>
              <w:snapToGrid w:val="0"/>
              <w:jc w:val="center"/>
              <w:rPr>
                <w:b/>
                <w:bCs/>
                <w:color w:val="auto"/>
                <w:spacing w:val="-8"/>
                <w:sz w:val="24"/>
              </w:rPr>
            </w:pPr>
            <w:r>
              <w:rPr>
                <w:b/>
                <w:bCs/>
                <w:color w:val="auto"/>
                <w:spacing w:val="-8"/>
                <w:sz w:val="24"/>
              </w:rPr>
              <w:t>管理</w:t>
            </w:r>
          </w:p>
          <w:p>
            <w:pPr>
              <w:adjustRightInd w:val="0"/>
              <w:snapToGrid w:val="0"/>
              <w:jc w:val="center"/>
              <w:rPr>
                <w:b/>
                <w:bCs/>
                <w:color w:val="auto"/>
                <w:spacing w:val="-8"/>
                <w:sz w:val="24"/>
              </w:rPr>
            </w:pPr>
            <w:r>
              <w:rPr>
                <w:b/>
                <w:bCs/>
                <w:color w:val="auto"/>
                <w:spacing w:val="-8"/>
                <w:sz w:val="24"/>
              </w:rPr>
              <w:t>要求</w:t>
            </w:r>
          </w:p>
        </w:tc>
        <w:tc>
          <w:tcPr>
            <w:tcW w:w="8204" w:type="dxa"/>
            <w:gridSpan w:val="5"/>
            <w:vAlign w:val="center"/>
          </w:tcPr>
          <w:p>
            <w:pPr>
              <w:adjustRightInd w:val="0"/>
              <w:snapToGrid w:val="0"/>
              <w:spacing w:line="360" w:lineRule="auto"/>
              <w:ind w:firstLine="481" w:firstLineChars="200"/>
              <w:rPr>
                <w:b/>
                <w:bCs/>
                <w:color w:val="auto"/>
                <w:sz w:val="24"/>
              </w:rPr>
            </w:pPr>
            <w:r>
              <w:rPr>
                <w:b/>
                <w:bCs/>
                <w:color w:val="auto"/>
                <w:sz w:val="24"/>
              </w:rPr>
              <w:t>1、环境管理</w:t>
            </w:r>
          </w:p>
          <w:p>
            <w:pPr>
              <w:adjustRightInd w:val="0"/>
              <w:snapToGrid w:val="0"/>
              <w:spacing w:line="360" w:lineRule="auto"/>
              <w:ind w:firstLine="480" w:firstLineChars="200"/>
              <w:rPr>
                <w:color w:val="auto"/>
                <w:sz w:val="24"/>
              </w:rPr>
            </w:pPr>
            <w:r>
              <w:rPr>
                <w:color w:val="auto"/>
                <w:sz w:val="24"/>
              </w:rPr>
              <w:t>安排1名安环专员完成本项目的环境管理及各项环保设施正常运行的监督管理工作。企业应加强环境管理及监测，建立全员责任制的环境管理体系，环境管理人员应更好地利用经济、技术、行政和教育手段，对损害环境质量的生产活动加以限制，协调好发展经济与环境保护的关系。</w:t>
            </w:r>
          </w:p>
          <w:p>
            <w:pPr>
              <w:numPr>
                <w:ilvl w:val="0"/>
                <w:numId w:val="14"/>
              </w:numPr>
              <w:adjustRightInd w:val="0"/>
              <w:snapToGrid w:val="0"/>
              <w:spacing w:line="360" w:lineRule="auto"/>
              <w:ind w:firstLine="481" w:firstLineChars="200"/>
              <w:rPr>
                <w:b/>
                <w:bCs/>
                <w:color w:val="auto"/>
                <w:sz w:val="24"/>
              </w:rPr>
            </w:pPr>
            <w:r>
              <w:rPr>
                <w:b/>
                <w:bCs/>
                <w:color w:val="auto"/>
                <w:sz w:val="24"/>
              </w:rPr>
              <w:t>竣工环保验收</w:t>
            </w:r>
          </w:p>
          <w:p>
            <w:pPr>
              <w:widowControl/>
              <w:adjustRightInd w:val="0"/>
              <w:snapToGrid w:val="0"/>
              <w:spacing w:line="360" w:lineRule="auto"/>
              <w:ind w:firstLine="480" w:firstLineChars="200"/>
              <w:rPr>
                <w:color w:val="auto"/>
                <w:sz w:val="24"/>
              </w:rPr>
            </w:pPr>
            <w:r>
              <w:rPr>
                <w:color w:val="auto"/>
                <w:kern w:val="0"/>
                <w:sz w:val="24"/>
                <w:lang w:bidi="ar"/>
              </w:rPr>
              <w:t>根据《建设项目环境保护管理条例》（中华人民共和国国务院令第682号）、《建设项目竣工环境保护验收暂行办法》（国环规环评</w:t>
            </w:r>
            <w:r>
              <w:rPr>
                <w:color w:val="auto"/>
                <w:sz w:val="24"/>
              </w:rPr>
              <w:t>〔2017〕</w:t>
            </w:r>
            <w:r>
              <w:rPr>
                <w:color w:val="auto"/>
                <w:kern w:val="0"/>
                <w:sz w:val="24"/>
                <w:lang w:bidi="ar"/>
              </w:rPr>
              <w:t>4号）等文件中的管理要求，建设项目竣工后，建设单位应当按照国务院环境保护行政主管部门规定的标准和程序，对配套建设的环境保护设施进行验收，编制竣工环境保护验收监测报告。</w:t>
            </w:r>
          </w:p>
          <w:p>
            <w:pPr>
              <w:numPr>
                <w:ilvl w:val="0"/>
                <w:numId w:val="14"/>
              </w:numPr>
              <w:adjustRightInd w:val="0"/>
              <w:snapToGrid w:val="0"/>
              <w:spacing w:line="360" w:lineRule="auto"/>
              <w:ind w:firstLine="481" w:firstLineChars="200"/>
              <w:rPr>
                <w:b/>
                <w:bCs/>
                <w:color w:val="auto"/>
                <w:sz w:val="24"/>
              </w:rPr>
            </w:pPr>
            <w:r>
              <w:rPr>
                <w:b/>
                <w:bCs/>
                <w:color w:val="auto"/>
                <w:sz w:val="24"/>
              </w:rPr>
              <w:t>污染源监测管理要求</w:t>
            </w:r>
          </w:p>
          <w:p>
            <w:pPr>
              <w:adjustRightInd w:val="0"/>
              <w:snapToGrid w:val="0"/>
              <w:spacing w:line="360" w:lineRule="auto"/>
              <w:ind w:firstLine="480" w:firstLineChars="200"/>
              <w:rPr>
                <w:color w:val="auto"/>
                <w:sz w:val="24"/>
              </w:rPr>
            </w:pPr>
            <w:r>
              <w:rPr>
                <w:color w:val="auto"/>
                <w:sz w:val="24"/>
              </w:rPr>
              <w:t>项目建成投运后，建设单位应制定自行监测计划，</w:t>
            </w:r>
            <w:r>
              <w:rPr>
                <w:rFonts w:hint="eastAsia"/>
                <w:color w:val="auto"/>
                <w:sz w:val="24"/>
                <w:lang w:val="en-US" w:eastAsia="zh-CN"/>
              </w:rPr>
              <w:t>对</w:t>
            </w:r>
            <w:r>
              <w:rPr>
                <w:color w:val="auto"/>
                <w:sz w:val="24"/>
              </w:rPr>
              <w:t>有关废气、噪声等例行监测工作</w:t>
            </w:r>
            <w:r>
              <w:rPr>
                <w:rFonts w:hint="eastAsia"/>
                <w:color w:val="auto"/>
                <w:sz w:val="24"/>
                <w:lang w:val="en-US" w:eastAsia="zh-CN"/>
              </w:rPr>
              <w:t>进行</w:t>
            </w:r>
            <w:r>
              <w:rPr>
                <w:color w:val="auto"/>
                <w:sz w:val="24"/>
              </w:rPr>
              <w:t>落实，监测报告记录留档并按要求公示。</w:t>
            </w:r>
          </w:p>
          <w:p>
            <w:pPr>
              <w:numPr>
                <w:ilvl w:val="0"/>
                <w:numId w:val="14"/>
              </w:numPr>
              <w:adjustRightInd w:val="0"/>
              <w:snapToGrid w:val="0"/>
              <w:spacing w:line="360" w:lineRule="auto"/>
              <w:ind w:firstLine="481" w:firstLineChars="200"/>
              <w:rPr>
                <w:b/>
                <w:bCs/>
                <w:color w:val="auto"/>
                <w:sz w:val="24"/>
              </w:rPr>
            </w:pPr>
            <w:r>
              <w:rPr>
                <w:b/>
                <w:bCs/>
                <w:color w:val="auto"/>
                <w:sz w:val="24"/>
              </w:rPr>
              <w:t>加强工业企业环保设备设施安全生产工作</w:t>
            </w:r>
          </w:p>
          <w:p>
            <w:pPr>
              <w:pStyle w:val="16"/>
              <w:adjustRightInd w:val="0"/>
              <w:spacing w:line="360" w:lineRule="auto"/>
              <w:ind w:firstLine="480" w:firstLineChars="200"/>
              <w:jc w:val="both"/>
              <w:rPr>
                <w:color w:val="auto"/>
                <w:sz w:val="24"/>
                <w:szCs w:val="24"/>
              </w:rPr>
            </w:pPr>
            <w:r>
              <w:rPr>
                <w:color w:val="auto"/>
                <w:sz w:val="24"/>
                <w:szCs w:val="24"/>
              </w:rPr>
              <w:t>按照《关于加强工业企业环保设备设施安全生产工作的通知》（宁环办发〔2023〕1号）和《环境污染防治设施安全隐患排查规范》（T/JSSES 20-2022）中要求，落实环保设施安全生产要求。</w:t>
            </w:r>
          </w:p>
          <w:p>
            <w:pPr>
              <w:pStyle w:val="16"/>
              <w:adjustRightInd w:val="0"/>
              <w:spacing w:line="360" w:lineRule="auto"/>
              <w:ind w:firstLine="480" w:firstLineChars="200"/>
              <w:jc w:val="both"/>
              <w:rPr>
                <w:color w:val="auto"/>
                <w:sz w:val="24"/>
                <w:szCs w:val="24"/>
              </w:rPr>
            </w:pPr>
            <w:r>
              <w:rPr>
                <w:color w:val="auto"/>
                <w:sz w:val="24"/>
                <w:szCs w:val="24"/>
              </w:rPr>
              <w:t>①</w:t>
            </w:r>
            <w:r>
              <w:rPr>
                <w:color w:val="auto"/>
                <w:kern w:val="0"/>
                <w:sz w:val="24"/>
                <w:lang w:bidi="ar"/>
              </w:rPr>
              <w:t>严格落实涉环保设备设施新、改、扩建项目环保和安全“三同时”要求，在选用污染防治技术时充分考虑安全因素；</w:t>
            </w:r>
          </w:p>
          <w:p>
            <w:pPr>
              <w:widowControl/>
              <w:adjustRightInd w:val="0"/>
              <w:snapToGrid w:val="0"/>
              <w:spacing w:line="360" w:lineRule="auto"/>
              <w:ind w:firstLine="480" w:firstLineChars="200"/>
              <w:rPr>
                <w:color w:val="auto"/>
                <w:kern w:val="0"/>
                <w:sz w:val="24"/>
                <w:lang w:bidi="ar"/>
              </w:rPr>
            </w:pPr>
            <w:r>
              <w:rPr>
                <w:color w:val="auto"/>
                <w:sz w:val="24"/>
              </w:rPr>
              <w:t>②</w:t>
            </w:r>
            <w:r>
              <w:rPr>
                <w:color w:val="auto"/>
                <w:kern w:val="0"/>
                <w:sz w:val="24"/>
                <w:lang w:bidi="ar"/>
              </w:rPr>
              <w:t>定期排查布袋除尘器安全是否符合《工贸企业粉尘防爆安全规定》，预防和减少粉尘爆炸事故；</w:t>
            </w:r>
          </w:p>
          <w:p>
            <w:pPr>
              <w:widowControl/>
              <w:adjustRightInd w:val="0"/>
              <w:snapToGrid w:val="0"/>
              <w:spacing w:line="360" w:lineRule="auto"/>
              <w:ind w:firstLine="480" w:firstLineChars="200"/>
              <w:rPr>
                <w:color w:val="auto"/>
                <w:kern w:val="0"/>
                <w:sz w:val="24"/>
                <w:lang w:bidi="ar"/>
              </w:rPr>
            </w:pPr>
            <w:r>
              <w:rPr>
                <w:color w:val="auto"/>
                <w:kern w:val="0"/>
                <w:sz w:val="24"/>
                <w:lang w:bidi="ar"/>
              </w:rPr>
              <w:t>③建立健全环保设施台账和维护管理制度，对环保设施操作、危险作业等相关岗位人员开展安全操作规程、风险管控专项安全培训教育</w:t>
            </w:r>
            <w:r>
              <w:rPr>
                <w:rFonts w:hint="eastAsia"/>
                <w:color w:val="auto"/>
                <w:kern w:val="0"/>
                <w:sz w:val="24"/>
                <w:lang w:eastAsia="zh-CN" w:bidi="ar"/>
              </w:rPr>
              <w:t>；</w:t>
            </w:r>
          </w:p>
          <w:p>
            <w:pPr>
              <w:widowControl/>
              <w:adjustRightInd w:val="0"/>
              <w:snapToGrid w:val="0"/>
              <w:spacing w:line="360" w:lineRule="auto"/>
              <w:ind w:firstLine="480" w:firstLineChars="200"/>
              <w:rPr>
                <w:color w:val="auto"/>
                <w:kern w:val="0"/>
                <w:sz w:val="24"/>
                <w:lang w:bidi="ar"/>
              </w:rPr>
            </w:pPr>
            <w:r>
              <w:rPr>
                <w:color w:val="auto"/>
                <w:kern w:val="0"/>
                <w:sz w:val="24"/>
                <w:lang w:bidi="ar"/>
              </w:rPr>
              <w:t>④依法依规开展环保设施安全风险辨识管控和隐患排查治理，确保环保设施安全、稳定、有效运行。</w:t>
            </w:r>
          </w:p>
          <w:p>
            <w:pPr>
              <w:numPr>
                <w:ilvl w:val="0"/>
                <w:numId w:val="14"/>
              </w:numPr>
              <w:adjustRightInd w:val="0"/>
              <w:snapToGrid w:val="0"/>
              <w:spacing w:line="360" w:lineRule="auto"/>
              <w:ind w:firstLine="481" w:firstLineChars="200"/>
              <w:rPr>
                <w:b/>
                <w:bCs/>
                <w:color w:val="auto"/>
                <w:sz w:val="24"/>
              </w:rPr>
            </w:pPr>
            <w:r>
              <w:rPr>
                <w:b/>
                <w:bCs/>
                <w:color w:val="auto"/>
                <w:sz w:val="24"/>
              </w:rPr>
              <w:t>服务期结束后场地恢复管理</w:t>
            </w:r>
          </w:p>
          <w:p>
            <w:pPr>
              <w:pStyle w:val="48"/>
              <w:framePr w:hSpace="0" w:wrap="auto" w:vAnchor="margin" w:hAnchor="text" w:xAlign="left" w:yAlign="inline"/>
              <w:adjustRightInd w:val="0"/>
              <w:snapToGrid w:val="0"/>
              <w:ind w:firstLine="480"/>
              <w:rPr>
                <w:color w:val="auto"/>
                <w:szCs w:val="24"/>
              </w:rPr>
            </w:pPr>
            <w:r>
              <w:rPr>
                <w:color w:val="auto"/>
                <w:szCs w:val="24"/>
              </w:rPr>
              <w:t>本项目为临时项目，项目用地恢复原状，暂定运营期为</w:t>
            </w:r>
            <w:r>
              <w:rPr>
                <w:rFonts w:hint="eastAsia"/>
                <w:color w:val="auto"/>
                <w:szCs w:val="24"/>
                <w:lang w:val="en-US" w:eastAsia="zh-CN"/>
              </w:rPr>
              <w:t>3个月</w:t>
            </w:r>
            <w:r>
              <w:rPr>
                <w:color w:val="auto"/>
                <w:szCs w:val="24"/>
              </w:rPr>
              <w:t>。本项目退场后，不再产生废气、废水、噪声和固废，但由项目建设引起的生态环境影响需采取必要的生态保护措施进行恢复。</w:t>
            </w:r>
          </w:p>
          <w:p>
            <w:pPr>
              <w:pStyle w:val="48"/>
              <w:framePr w:hSpace="0" w:wrap="auto" w:vAnchor="margin" w:hAnchor="text" w:xAlign="left" w:yAlign="inline"/>
              <w:adjustRightInd w:val="0"/>
              <w:snapToGrid w:val="0"/>
              <w:ind w:firstLine="480"/>
              <w:rPr>
                <w:color w:val="auto"/>
                <w:szCs w:val="24"/>
              </w:rPr>
            </w:pPr>
            <w:r>
              <w:rPr>
                <w:color w:val="auto"/>
                <w:szCs w:val="24"/>
              </w:rPr>
              <w:t>必须落实污染防治和生态恢复计划，经环保部门和其他有关主管部门审核后，按照有关规定办理相关手续。本项目所占用的土地恢复原有使用功能；对本项目的各种构筑物和设备设施清理完毕后确定无安全和环境污染遗留问题后，可与有关部门协商处理场地</w:t>
            </w:r>
            <w:r>
              <w:rPr>
                <w:rFonts w:hint="eastAsia"/>
                <w:color w:val="auto"/>
                <w:szCs w:val="24"/>
                <w:lang w:val="en-US" w:eastAsia="zh-CN"/>
              </w:rPr>
              <w:t>恢复</w:t>
            </w:r>
            <w:r>
              <w:rPr>
                <w:color w:val="auto"/>
                <w:szCs w:val="24"/>
              </w:rPr>
              <w:t>问题。按照“谁破坏、谁恢复、谁保护”的原则，建设单位为生态恢复责任主体，建设单位应采取生态恢复措施，防止造成生态破坏。</w:t>
            </w:r>
          </w:p>
          <w:p>
            <w:pPr>
              <w:pStyle w:val="48"/>
              <w:framePr w:hSpace="0" w:wrap="auto" w:vAnchor="margin" w:hAnchor="text" w:xAlign="left" w:yAlign="inline"/>
              <w:adjustRightInd w:val="0"/>
              <w:snapToGrid w:val="0"/>
              <w:ind w:firstLine="480"/>
              <w:rPr>
                <w:color w:val="auto"/>
              </w:rPr>
            </w:pPr>
            <w:r>
              <w:rPr>
                <w:color w:val="auto"/>
                <w:szCs w:val="24"/>
              </w:rPr>
              <w:t>企业严格按照国土部门关于项目用地租赁合同中的相关要求执行；严格按照国家相关法律法规和政策使用土地，不得改变土地使用性质，严格履行临时用地合同，在临时用地期</w:t>
            </w:r>
            <w:r>
              <w:rPr>
                <w:rFonts w:hint="eastAsia"/>
                <w:color w:val="auto"/>
                <w:szCs w:val="24"/>
                <w:lang w:val="en-US" w:eastAsia="zh-CN"/>
              </w:rPr>
              <w:t>届</w:t>
            </w:r>
            <w:r>
              <w:rPr>
                <w:color w:val="auto"/>
                <w:szCs w:val="24"/>
              </w:rPr>
              <w:t>满后</w:t>
            </w:r>
            <w:r>
              <w:rPr>
                <w:rFonts w:hint="eastAsia"/>
                <w:color w:val="auto"/>
                <w:szCs w:val="24"/>
                <w:lang w:val="en-US" w:eastAsia="zh-CN"/>
              </w:rPr>
              <w:t>恢复草原植被</w:t>
            </w:r>
            <w:r>
              <w:rPr>
                <w:color w:val="auto"/>
                <w:szCs w:val="24"/>
              </w:rPr>
              <w:t>，并经过国土等有关部门验收合格后交还。</w:t>
            </w:r>
          </w:p>
        </w:tc>
      </w:tr>
    </w:tbl>
    <w:p>
      <w:pPr>
        <w:adjustRightInd w:val="0"/>
        <w:snapToGrid w:val="0"/>
        <w:jc w:val="center"/>
        <w:outlineLvl w:val="0"/>
        <w:rPr>
          <w:rFonts w:eastAsia="黑体"/>
          <w:color w:val="auto"/>
          <w:sz w:val="30"/>
          <w:szCs w:val="30"/>
        </w:rPr>
      </w:pPr>
      <w:r>
        <w:rPr>
          <w:rFonts w:eastAsia="黑体"/>
          <w:color w:val="FF0000"/>
          <w:sz w:val="30"/>
          <w:szCs w:val="30"/>
        </w:rPr>
        <w:br w:type="page"/>
      </w:r>
      <w:r>
        <w:rPr>
          <w:rFonts w:eastAsia="黑体"/>
          <w:color w:val="auto"/>
          <w:sz w:val="30"/>
          <w:szCs w:val="30"/>
        </w:rPr>
        <w:t>六、结论</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05" w:hRule="atLeast"/>
          <w:jc w:val="center"/>
        </w:trPr>
        <w:tc>
          <w:tcPr>
            <w:tcW w:w="8865" w:type="dxa"/>
            <w:vAlign w:val="center"/>
          </w:tcPr>
          <w:p>
            <w:pPr>
              <w:adjustRightInd w:val="0"/>
              <w:snapToGrid w:val="0"/>
              <w:spacing w:line="360" w:lineRule="auto"/>
              <w:ind w:firstLine="480" w:firstLineChars="200"/>
              <w:rPr>
                <w:rFonts w:hint="eastAsia"/>
                <w:color w:val="auto"/>
                <w:sz w:val="24"/>
              </w:rPr>
            </w:pPr>
            <w:r>
              <w:rPr>
                <w:rFonts w:hint="eastAsia"/>
                <w:color w:val="auto"/>
                <w:sz w:val="24"/>
              </w:rPr>
              <w:t>综上所述，本项目的建设符合国家和地方产业政策要求，选址合理可行，项目各项污染物经采取切实可行的污染防治措施后，均能实现达标排放。</w:t>
            </w:r>
          </w:p>
          <w:p>
            <w:pPr>
              <w:adjustRightInd w:val="0"/>
              <w:snapToGrid w:val="0"/>
              <w:spacing w:line="360" w:lineRule="auto"/>
              <w:ind w:firstLine="480" w:firstLineChars="200"/>
              <w:rPr>
                <w:color w:val="FF0000"/>
                <w:sz w:val="24"/>
              </w:rPr>
            </w:pPr>
            <w:r>
              <w:rPr>
                <w:rFonts w:hint="eastAsia"/>
                <w:color w:val="auto"/>
                <w:sz w:val="24"/>
              </w:rPr>
              <w:t>建设单位须落实环境影响报告表中提出的各项污染防治措施和环境管理要求，严格执行建设项目环境保护“三同时”制度</w:t>
            </w:r>
            <w:r>
              <w:rPr>
                <w:rFonts w:hint="eastAsia"/>
                <w:color w:val="auto"/>
                <w:sz w:val="24"/>
                <w:lang w:eastAsia="zh-CN"/>
              </w:rPr>
              <w:t>。</w:t>
            </w:r>
            <w:r>
              <w:rPr>
                <w:rFonts w:hint="eastAsia"/>
                <w:color w:val="auto"/>
                <w:sz w:val="24"/>
              </w:rPr>
              <w:t>从环境保护的角度考虑，在确保各项污染物达标排放的前提下，本项目的建设是可行的。</w:t>
            </w:r>
          </w:p>
        </w:tc>
      </w:tr>
    </w:tbl>
    <w:p>
      <w:pPr>
        <w:rPr>
          <w:color w:val="FF0000"/>
        </w:rPr>
        <w:sectPr>
          <w:pgSz w:w="11906" w:h="16838"/>
          <w:pgMar w:top="1587" w:right="1587" w:bottom="1587" w:left="1587" w:header="1304" w:footer="1020" w:gutter="0"/>
          <w:pgBorders>
            <w:top w:val="none" w:sz="0" w:space="0"/>
            <w:left w:val="none" w:sz="0" w:space="0"/>
            <w:bottom w:val="none" w:sz="0" w:space="0"/>
            <w:right w:val="none" w:sz="0" w:space="0"/>
          </w:pgBorders>
          <w:cols w:space="720" w:num="1"/>
          <w:docGrid w:type="lines" w:linePitch="312" w:charSpace="0"/>
        </w:sectPr>
      </w:pPr>
    </w:p>
    <w:p>
      <w:pPr>
        <w:adjustRightInd w:val="0"/>
        <w:snapToGrid w:val="0"/>
        <w:ind w:firstLine="600" w:firstLineChars="200"/>
        <w:jc w:val="center"/>
        <w:rPr>
          <w:rFonts w:eastAsia="黑体"/>
          <w:color w:val="auto"/>
          <w:sz w:val="30"/>
          <w:szCs w:val="30"/>
        </w:rPr>
      </w:pPr>
      <w:r>
        <w:rPr>
          <w:rFonts w:eastAsia="黑体"/>
          <w:color w:val="auto"/>
          <w:sz w:val="30"/>
          <w:szCs w:val="30"/>
        </w:rPr>
        <w:t>建设项目污染物排放量汇总表</w:t>
      </w:r>
    </w:p>
    <w:tbl>
      <w:tblPr>
        <w:tblStyle w:val="24"/>
        <w:tblW w:w="141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934"/>
        <w:gridCol w:w="1665"/>
        <w:gridCol w:w="1365"/>
        <w:gridCol w:w="1680"/>
        <w:gridCol w:w="1620"/>
        <w:gridCol w:w="1665"/>
        <w:gridCol w:w="1845"/>
        <w:gridCol w:w="10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82" w:type="dxa"/>
            <w:tcBorders>
              <w:tl2br w:val="nil"/>
              <w:tr2bl w:val="nil"/>
            </w:tcBorders>
            <w:tcMar>
              <w:left w:w="28" w:type="dxa"/>
              <w:right w:w="28" w:type="dxa"/>
            </w:tcMar>
            <w:vAlign w:val="center"/>
          </w:tcPr>
          <w:p>
            <w:pPr>
              <w:pStyle w:val="38"/>
              <w:spacing w:beforeLines="0" w:afterLines="0" w:line="240" w:lineRule="auto"/>
              <w:ind w:firstLine="0"/>
              <w:rPr>
                <w:rFonts w:hint="default" w:ascii="Times New Roman" w:hAnsi="Times New Roman" w:eastAsia="宋体" w:cs="Times New Roman"/>
                <w:b/>
                <w:bCs/>
                <w:snapToGrid w:val="0"/>
                <w:color w:val="auto"/>
                <w:spacing w:val="-6"/>
                <w:kern w:val="21"/>
                <w:szCs w:val="21"/>
              </w:rPr>
            </w:pPr>
            <w:r>
              <w:rPr>
                <w:rFonts w:hint="default" w:ascii="Times New Roman" w:hAnsi="Times New Roman" w:eastAsia="宋体" w:cs="Times New Roman"/>
                <w:b/>
                <w:bCs/>
                <w:snapToGrid w:val="0"/>
                <w:color w:val="auto"/>
                <w:spacing w:val="-6"/>
                <w:kern w:val="21"/>
                <w:szCs w:val="21"/>
              </w:rPr>
              <w:t>项目</w:t>
            </w:r>
          </w:p>
          <w:p>
            <w:pPr>
              <w:pStyle w:val="38"/>
              <w:spacing w:beforeLines="0" w:afterLines="0" w:line="240" w:lineRule="auto"/>
              <w:ind w:firstLine="0"/>
              <w:rPr>
                <w:rFonts w:hint="default" w:ascii="Times New Roman" w:hAnsi="Times New Roman" w:eastAsia="宋体" w:cs="Times New Roman"/>
                <w:b/>
                <w:bCs/>
                <w:snapToGrid w:val="0"/>
                <w:color w:val="auto"/>
                <w:spacing w:val="-6"/>
                <w:kern w:val="21"/>
                <w:szCs w:val="21"/>
              </w:rPr>
            </w:pPr>
            <w:r>
              <w:rPr>
                <w:rFonts w:hint="default" w:ascii="Times New Roman" w:hAnsi="Times New Roman" w:eastAsia="宋体" w:cs="Times New Roman"/>
                <w:b/>
                <w:bCs/>
                <w:snapToGrid w:val="0"/>
                <w:color w:val="auto"/>
                <w:spacing w:val="-6"/>
                <w:kern w:val="21"/>
                <w:szCs w:val="21"/>
              </w:rPr>
              <w:t>分类</w:t>
            </w:r>
          </w:p>
        </w:tc>
        <w:tc>
          <w:tcPr>
            <w:tcW w:w="1934" w:type="dxa"/>
            <w:tcBorders>
              <w:tl2br w:val="nil"/>
              <w:tr2bl w:val="nil"/>
            </w:tcBorders>
            <w:tcMar>
              <w:left w:w="28" w:type="dxa"/>
              <w:right w:w="28" w:type="dxa"/>
            </w:tcMar>
            <w:vAlign w:val="center"/>
          </w:tcPr>
          <w:p>
            <w:pPr>
              <w:pStyle w:val="38"/>
              <w:spacing w:beforeLines="0" w:afterLines="0" w:line="240" w:lineRule="auto"/>
              <w:ind w:firstLine="0"/>
              <w:rPr>
                <w:rFonts w:hint="default" w:ascii="Times New Roman" w:hAnsi="Times New Roman" w:eastAsia="宋体" w:cs="Times New Roman"/>
                <w:b/>
                <w:bCs/>
                <w:snapToGrid w:val="0"/>
                <w:color w:val="auto"/>
                <w:spacing w:val="-6"/>
                <w:kern w:val="21"/>
                <w:szCs w:val="21"/>
              </w:rPr>
            </w:pPr>
            <w:r>
              <w:rPr>
                <w:rFonts w:hint="default" w:ascii="Times New Roman" w:hAnsi="Times New Roman" w:eastAsia="宋体" w:cs="Times New Roman"/>
                <w:b/>
                <w:bCs/>
                <w:snapToGrid w:val="0"/>
                <w:color w:val="auto"/>
                <w:spacing w:val="-6"/>
                <w:kern w:val="21"/>
                <w:szCs w:val="21"/>
              </w:rPr>
              <w:t>污染物名称</w:t>
            </w:r>
          </w:p>
        </w:tc>
        <w:tc>
          <w:tcPr>
            <w:tcW w:w="1665" w:type="dxa"/>
            <w:tcBorders>
              <w:tl2br w:val="nil"/>
              <w:tr2bl w:val="nil"/>
            </w:tcBorders>
            <w:tcMar>
              <w:left w:w="28" w:type="dxa"/>
              <w:right w:w="28" w:type="dxa"/>
            </w:tcMar>
            <w:vAlign w:val="center"/>
          </w:tcPr>
          <w:p>
            <w:pPr>
              <w:pStyle w:val="38"/>
              <w:spacing w:beforeLines="0" w:afterLines="0" w:line="240" w:lineRule="auto"/>
              <w:ind w:firstLine="0"/>
              <w:rPr>
                <w:rFonts w:hint="default" w:ascii="Times New Roman" w:hAnsi="Times New Roman" w:eastAsia="宋体" w:cs="Times New Roman"/>
                <w:b/>
                <w:bCs/>
                <w:snapToGrid w:val="0"/>
                <w:color w:val="auto"/>
                <w:spacing w:val="-6"/>
                <w:kern w:val="21"/>
                <w:szCs w:val="21"/>
              </w:rPr>
            </w:pPr>
            <w:r>
              <w:rPr>
                <w:rFonts w:hint="default" w:ascii="Times New Roman" w:hAnsi="Times New Roman" w:eastAsia="宋体" w:cs="Times New Roman"/>
                <w:b/>
                <w:bCs/>
                <w:snapToGrid w:val="0"/>
                <w:color w:val="auto"/>
                <w:spacing w:val="-6"/>
                <w:kern w:val="21"/>
                <w:szCs w:val="21"/>
              </w:rPr>
              <w:t>现有工程</w:t>
            </w:r>
          </w:p>
          <w:p>
            <w:pPr>
              <w:pStyle w:val="38"/>
              <w:spacing w:beforeLines="0" w:afterLines="0" w:line="240" w:lineRule="auto"/>
              <w:ind w:firstLine="0"/>
              <w:rPr>
                <w:rFonts w:hint="default" w:ascii="Times New Roman" w:hAnsi="Times New Roman" w:eastAsia="宋体" w:cs="Times New Roman"/>
                <w:b/>
                <w:bCs/>
                <w:snapToGrid w:val="0"/>
                <w:color w:val="auto"/>
                <w:spacing w:val="-6"/>
                <w:kern w:val="21"/>
                <w:szCs w:val="21"/>
              </w:rPr>
            </w:pPr>
            <w:r>
              <w:rPr>
                <w:rFonts w:hint="default" w:ascii="Times New Roman" w:hAnsi="Times New Roman" w:eastAsia="宋体" w:cs="Times New Roman"/>
                <w:b/>
                <w:bCs/>
                <w:snapToGrid w:val="0"/>
                <w:color w:val="auto"/>
                <w:spacing w:val="-6"/>
                <w:kern w:val="21"/>
                <w:szCs w:val="21"/>
              </w:rPr>
              <w:t>排放量（固体废物产生量）</w:t>
            </w:r>
            <w:r>
              <w:rPr>
                <w:rFonts w:hint="default" w:ascii="Times New Roman" w:hAnsi="Times New Roman" w:eastAsia="宋体" w:cs="Times New Roman"/>
                <w:b/>
                <w:bCs/>
                <w:snapToGrid w:val="0"/>
                <w:color w:val="auto"/>
                <w:spacing w:val="-6"/>
                <w:kern w:val="21"/>
                <w:szCs w:val="21"/>
              </w:rPr>
              <w:fldChar w:fldCharType="begin"/>
            </w:r>
            <w:r>
              <w:rPr>
                <w:rFonts w:hint="default" w:ascii="Times New Roman" w:hAnsi="Times New Roman" w:eastAsia="宋体" w:cs="Times New Roman"/>
                <w:b/>
                <w:bCs/>
                <w:snapToGrid w:val="0"/>
                <w:color w:val="auto"/>
                <w:spacing w:val="-6"/>
                <w:kern w:val="21"/>
                <w:szCs w:val="21"/>
              </w:rPr>
              <w:instrText xml:space="preserve"> = 1 \* GB3 \* MERGEFORMAT </w:instrText>
            </w:r>
            <w:r>
              <w:rPr>
                <w:rFonts w:hint="default" w:ascii="Times New Roman" w:hAnsi="Times New Roman" w:eastAsia="宋体" w:cs="Times New Roman"/>
                <w:b/>
                <w:bCs/>
                <w:snapToGrid w:val="0"/>
                <w:color w:val="auto"/>
                <w:spacing w:val="-6"/>
                <w:kern w:val="21"/>
                <w:szCs w:val="21"/>
              </w:rPr>
              <w:fldChar w:fldCharType="separate"/>
            </w:r>
            <w:r>
              <w:rPr>
                <w:rFonts w:hint="default" w:ascii="Times New Roman" w:hAnsi="Times New Roman" w:eastAsia="宋体" w:cs="Times New Roman"/>
                <w:b/>
                <w:bCs/>
                <w:color w:val="auto"/>
                <w:kern w:val="2"/>
                <w:szCs w:val="21"/>
              </w:rPr>
              <w:t>①</w:t>
            </w:r>
            <w:r>
              <w:rPr>
                <w:rFonts w:hint="default" w:ascii="Times New Roman" w:hAnsi="Times New Roman" w:eastAsia="宋体" w:cs="Times New Roman"/>
                <w:b/>
                <w:bCs/>
                <w:snapToGrid w:val="0"/>
                <w:color w:val="auto"/>
                <w:spacing w:val="-6"/>
                <w:kern w:val="21"/>
                <w:szCs w:val="21"/>
              </w:rPr>
              <w:fldChar w:fldCharType="end"/>
            </w:r>
          </w:p>
        </w:tc>
        <w:tc>
          <w:tcPr>
            <w:tcW w:w="1365" w:type="dxa"/>
            <w:tcBorders>
              <w:tl2br w:val="nil"/>
              <w:tr2bl w:val="nil"/>
            </w:tcBorders>
            <w:tcMar>
              <w:left w:w="28" w:type="dxa"/>
              <w:right w:w="28" w:type="dxa"/>
            </w:tcMar>
            <w:vAlign w:val="center"/>
          </w:tcPr>
          <w:p>
            <w:pPr>
              <w:pStyle w:val="38"/>
              <w:spacing w:beforeLines="0" w:afterLines="0" w:line="240" w:lineRule="auto"/>
              <w:ind w:firstLine="0"/>
              <w:rPr>
                <w:rFonts w:hint="default" w:ascii="Times New Roman" w:hAnsi="Times New Roman" w:eastAsia="宋体" w:cs="Times New Roman"/>
                <w:b/>
                <w:bCs/>
                <w:snapToGrid w:val="0"/>
                <w:color w:val="auto"/>
                <w:spacing w:val="-6"/>
                <w:kern w:val="21"/>
                <w:szCs w:val="21"/>
              </w:rPr>
            </w:pPr>
            <w:r>
              <w:rPr>
                <w:rFonts w:hint="default" w:ascii="Times New Roman" w:hAnsi="Times New Roman" w:eastAsia="宋体" w:cs="Times New Roman"/>
                <w:b/>
                <w:bCs/>
                <w:snapToGrid w:val="0"/>
                <w:color w:val="auto"/>
                <w:spacing w:val="-6"/>
                <w:kern w:val="21"/>
                <w:szCs w:val="21"/>
              </w:rPr>
              <w:t>现有工程</w:t>
            </w:r>
          </w:p>
          <w:p>
            <w:pPr>
              <w:pStyle w:val="38"/>
              <w:spacing w:beforeLines="0" w:afterLines="0" w:line="240" w:lineRule="auto"/>
              <w:ind w:firstLine="0"/>
              <w:rPr>
                <w:rFonts w:hint="default" w:ascii="Times New Roman" w:hAnsi="Times New Roman" w:eastAsia="宋体" w:cs="Times New Roman"/>
                <w:b/>
                <w:bCs/>
                <w:snapToGrid w:val="0"/>
                <w:color w:val="auto"/>
                <w:spacing w:val="-6"/>
                <w:kern w:val="21"/>
                <w:szCs w:val="21"/>
              </w:rPr>
            </w:pPr>
            <w:r>
              <w:rPr>
                <w:rFonts w:hint="default" w:ascii="Times New Roman" w:hAnsi="Times New Roman" w:eastAsia="宋体" w:cs="Times New Roman"/>
                <w:b/>
                <w:bCs/>
                <w:snapToGrid w:val="0"/>
                <w:color w:val="auto"/>
                <w:spacing w:val="-6"/>
                <w:kern w:val="21"/>
                <w:szCs w:val="21"/>
              </w:rPr>
              <w:t>许可排放量</w:t>
            </w:r>
            <w:r>
              <w:rPr>
                <w:rFonts w:hint="default" w:ascii="Times New Roman" w:hAnsi="Times New Roman" w:eastAsia="宋体" w:cs="Times New Roman"/>
                <w:b/>
                <w:bCs/>
                <w:snapToGrid w:val="0"/>
                <w:color w:val="auto"/>
                <w:spacing w:val="-6"/>
                <w:kern w:val="21"/>
                <w:szCs w:val="21"/>
              </w:rPr>
              <w:fldChar w:fldCharType="begin"/>
            </w:r>
            <w:r>
              <w:rPr>
                <w:rFonts w:hint="default" w:ascii="Times New Roman" w:hAnsi="Times New Roman" w:eastAsia="宋体" w:cs="Times New Roman"/>
                <w:b/>
                <w:bCs/>
                <w:snapToGrid w:val="0"/>
                <w:color w:val="auto"/>
                <w:spacing w:val="-6"/>
                <w:kern w:val="21"/>
                <w:szCs w:val="21"/>
              </w:rPr>
              <w:instrText xml:space="preserve"> = 2 \* GB3 \* MERGEFORMAT </w:instrText>
            </w:r>
            <w:r>
              <w:rPr>
                <w:rFonts w:hint="default" w:ascii="Times New Roman" w:hAnsi="Times New Roman" w:eastAsia="宋体" w:cs="Times New Roman"/>
                <w:b/>
                <w:bCs/>
                <w:snapToGrid w:val="0"/>
                <w:color w:val="auto"/>
                <w:spacing w:val="-6"/>
                <w:kern w:val="21"/>
                <w:szCs w:val="21"/>
              </w:rPr>
              <w:fldChar w:fldCharType="separate"/>
            </w:r>
            <w:r>
              <w:rPr>
                <w:rFonts w:hint="default" w:ascii="Times New Roman" w:hAnsi="Times New Roman" w:eastAsia="宋体" w:cs="Times New Roman"/>
                <w:b/>
                <w:bCs/>
                <w:snapToGrid w:val="0"/>
                <w:color w:val="auto"/>
                <w:spacing w:val="-6"/>
                <w:kern w:val="21"/>
                <w:szCs w:val="21"/>
              </w:rPr>
              <w:t>②</w:t>
            </w:r>
            <w:r>
              <w:rPr>
                <w:rFonts w:hint="default" w:ascii="Times New Roman" w:hAnsi="Times New Roman" w:eastAsia="宋体" w:cs="Times New Roman"/>
                <w:b/>
                <w:bCs/>
                <w:snapToGrid w:val="0"/>
                <w:color w:val="auto"/>
                <w:spacing w:val="-6"/>
                <w:kern w:val="21"/>
                <w:szCs w:val="21"/>
              </w:rPr>
              <w:fldChar w:fldCharType="end"/>
            </w:r>
          </w:p>
        </w:tc>
        <w:tc>
          <w:tcPr>
            <w:tcW w:w="1680" w:type="dxa"/>
            <w:tcBorders>
              <w:tl2br w:val="nil"/>
              <w:tr2bl w:val="nil"/>
            </w:tcBorders>
            <w:tcMar>
              <w:left w:w="28" w:type="dxa"/>
              <w:right w:w="28" w:type="dxa"/>
            </w:tcMar>
            <w:vAlign w:val="center"/>
          </w:tcPr>
          <w:p>
            <w:pPr>
              <w:pStyle w:val="38"/>
              <w:spacing w:beforeLines="0" w:afterLines="0" w:line="240" w:lineRule="auto"/>
              <w:ind w:firstLine="0"/>
              <w:rPr>
                <w:rFonts w:hint="default" w:ascii="Times New Roman" w:hAnsi="Times New Roman" w:eastAsia="宋体" w:cs="Times New Roman"/>
                <w:b/>
                <w:bCs/>
                <w:snapToGrid w:val="0"/>
                <w:color w:val="auto"/>
                <w:spacing w:val="-6"/>
                <w:kern w:val="21"/>
                <w:szCs w:val="21"/>
              </w:rPr>
            </w:pPr>
            <w:r>
              <w:rPr>
                <w:rFonts w:hint="default" w:ascii="Times New Roman" w:hAnsi="Times New Roman" w:eastAsia="宋体" w:cs="Times New Roman"/>
                <w:b/>
                <w:bCs/>
                <w:snapToGrid w:val="0"/>
                <w:color w:val="auto"/>
                <w:spacing w:val="-6"/>
                <w:kern w:val="21"/>
                <w:szCs w:val="21"/>
              </w:rPr>
              <w:t>在建工程</w:t>
            </w:r>
          </w:p>
          <w:p>
            <w:pPr>
              <w:pStyle w:val="38"/>
              <w:spacing w:beforeLines="0" w:afterLines="0" w:line="240" w:lineRule="auto"/>
              <w:ind w:firstLine="0"/>
              <w:rPr>
                <w:rFonts w:hint="default" w:ascii="Times New Roman" w:hAnsi="Times New Roman" w:eastAsia="宋体" w:cs="Times New Roman"/>
                <w:b/>
                <w:bCs/>
                <w:snapToGrid w:val="0"/>
                <w:color w:val="auto"/>
                <w:spacing w:val="-6"/>
                <w:kern w:val="21"/>
                <w:szCs w:val="21"/>
              </w:rPr>
            </w:pPr>
            <w:r>
              <w:rPr>
                <w:rFonts w:hint="default" w:ascii="Times New Roman" w:hAnsi="Times New Roman" w:eastAsia="宋体" w:cs="Times New Roman"/>
                <w:b/>
                <w:bCs/>
                <w:snapToGrid w:val="0"/>
                <w:color w:val="auto"/>
                <w:spacing w:val="-6"/>
                <w:kern w:val="21"/>
                <w:szCs w:val="21"/>
              </w:rPr>
              <w:t>排放量（固体废物产生量）</w:t>
            </w:r>
            <w:r>
              <w:rPr>
                <w:rFonts w:hint="default" w:ascii="Times New Roman" w:hAnsi="Times New Roman" w:eastAsia="宋体" w:cs="Times New Roman"/>
                <w:b/>
                <w:bCs/>
                <w:snapToGrid w:val="0"/>
                <w:color w:val="auto"/>
                <w:spacing w:val="-6"/>
                <w:kern w:val="21"/>
                <w:szCs w:val="21"/>
              </w:rPr>
              <w:fldChar w:fldCharType="begin"/>
            </w:r>
            <w:r>
              <w:rPr>
                <w:rFonts w:hint="default" w:ascii="Times New Roman" w:hAnsi="Times New Roman" w:eastAsia="宋体" w:cs="Times New Roman"/>
                <w:b/>
                <w:bCs/>
                <w:snapToGrid w:val="0"/>
                <w:color w:val="auto"/>
                <w:spacing w:val="-6"/>
                <w:kern w:val="21"/>
                <w:szCs w:val="21"/>
              </w:rPr>
              <w:instrText xml:space="preserve"> = 3 \* GB3 \* MERGEFORMAT </w:instrText>
            </w:r>
            <w:r>
              <w:rPr>
                <w:rFonts w:hint="default" w:ascii="Times New Roman" w:hAnsi="Times New Roman" w:eastAsia="宋体" w:cs="Times New Roman"/>
                <w:b/>
                <w:bCs/>
                <w:snapToGrid w:val="0"/>
                <w:color w:val="auto"/>
                <w:spacing w:val="-6"/>
                <w:kern w:val="21"/>
                <w:szCs w:val="21"/>
              </w:rPr>
              <w:fldChar w:fldCharType="separate"/>
            </w:r>
            <w:r>
              <w:rPr>
                <w:rFonts w:hint="default" w:ascii="Times New Roman" w:hAnsi="Times New Roman" w:eastAsia="宋体" w:cs="Times New Roman"/>
                <w:b/>
                <w:bCs/>
                <w:color w:val="auto"/>
                <w:kern w:val="2"/>
                <w:szCs w:val="21"/>
              </w:rPr>
              <w:t>③</w:t>
            </w:r>
            <w:r>
              <w:rPr>
                <w:rFonts w:hint="default" w:ascii="Times New Roman" w:hAnsi="Times New Roman" w:eastAsia="宋体" w:cs="Times New Roman"/>
                <w:b/>
                <w:bCs/>
                <w:snapToGrid w:val="0"/>
                <w:color w:val="auto"/>
                <w:spacing w:val="-6"/>
                <w:kern w:val="21"/>
                <w:szCs w:val="21"/>
              </w:rPr>
              <w:fldChar w:fldCharType="end"/>
            </w:r>
          </w:p>
        </w:tc>
        <w:tc>
          <w:tcPr>
            <w:tcW w:w="1620" w:type="dxa"/>
            <w:tcBorders>
              <w:tl2br w:val="nil"/>
              <w:tr2bl w:val="nil"/>
            </w:tcBorders>
            <w:tcMar>
              <w:left w:w="28" w:type="dxa"/>
              <w:right w:w="28" w:type="dxa"/>
            </w:tcMar>
            <w:vAlign w:val="center"/>
          </w:tcPr>
          <w:p>
            <w:pPr>
              <w:pStyle w:val="38"/>
              <w:spacing w:beforeLines="0" w:afterLines="0" w:line="240" w:lineRule="auto"/>
              <w:ind w:firstLine="0"/>
              <w:rPr>
                <w:rFonts w:hint="default" w:ascii="Times New Roman" w:hAnsi="Times New Roman" w:eastAsia="宋体" w:cs="Times New Roman"/>
                <w:b/>
                <w:bCs/>
                <w:snapToGrid w:val="0"/>
                <w:color w:val="auto"/>
                <w:spacing w:val="-6"/>
                <w:kern w:val="21"/>
                <w:szCs w:val="21"/>
              </w:rPr>
            </w:pPr>
            <w:r>
              <w:rPr>
                <w:rFonts w:hint="default" w:ascii="Times New Roman" w:hAnsi="Times New Roman" w:eastAsia="宋体" w:cs="Times New Roman"/>
                <w:b/>
                <w:bCs/>
                <w:snapToGrid w:val="0"/>
                <w:color w:val="auto"/>
                <w:spacing w:val="-6"/>
                <w:kern w:val="21"/>
                <w:szCs w:val="21"/>
              </w:rPr>
              <w:t>本项目排放量（固体废物产生量）</w:t>
            </w:r>
            <w:r>
              <w:rPr>
                <w:rFonts w:hint="default" w:ascii="Times New Roman" w:hAnsi="Times New Roman" w:eastAsia="宋体" w:cs="Times New Roman"/>
                <w:b/>
                <w:bCs/>
                <w:snapToGrid w:val="0"/>
                <w:color w:val="auto"/>
                <w:spacing w:val="-6"/>
                <w:kern w:val="21"/>
                <w:szCs w:val="21"/>
              </w:rPr>
              <w:fldChar w:fldCharType="begin"/>
            </w:r>
            <w:r>
              <w:rPr>
                <w:rFonts w:hint="default" w:ascii="Times New Roman" w:hAnsi="Times New Roman" w:eastAsia="宋体" w:cs="Times New Roman"/>
                <w:b/>
                <w:bCs/>
                <w:snapToGrid w:val="0"/>
                <w:color w:val="auto"/>
                <w:spacing w:val="-6"/>
                <w:kern w:val="21"/>
                <w:szCs w:val="21"/>
              </w:rPr>
              <w:instrText xml:space="preserve"> = 4 \* GB3 \* MERGEFORMAT </w:instrText>
            </w:r>
            <w:r>
              <w:rPr>
                <w:rFonts w:hint="default" w:ascii="Times New Roman" w:hAnsi="Times New Roman" w:eastAsia="宋体" w:cs="Times New Roman"/>
                <w:b/>
                <w:bCs/>
                <w:snapToGrid w:val="0"/>
                <w:color w:val="auto"/>
                <w:spacing w:val="-6"/>
                <w:kern w:val="21"/>
                <w:szCs w:val="21"/>
              </w:rPr>
              <w:fldChar w:fldCharType="separate"/>
            </w:r>
            <w:r>
              <w:rPr>
                <w:rFonts w:hint="default" w:ascii="Times New Roman" w:hAnsi="Times New Roman" w:eastAsia="宋体" w:cs="Times New Roman"/>
                <w:b/>
                <w:bCs/>
                <w:color w:val="auto"/>
                <w:kern w:val="2"/>
                <w:szCs w:val="21"/>
              </w:rPr>
              <w:t>④</w:t>
            </w:r>
            <w:r>
              <w:rPr>
                <w:rFonts w:hint="default" w:ascii="Times New Roman" w:hAnsi="Times New Roman" w:eastAsia="宋体" w:cs="Times New Roman"/>
                <w:b/>
                <w:bCs/>
                <w:snapToGrid w:val="0"/>
                <w:color w:val="auto"/>
                <w:spacing w:val="-6"/>
                <w:kern w:val="21"/>
                <w:szCs w:val="21"/>
              </w:rPr>
              <w:fldChar w:fldCharType="end"/>
            </w:r>
          </w:p>
        </w:tc>
        <w:tc>
          <w:tcPr>
            <w:tcW w:w="1665" w:type="dxa"/>
            <w:tcBorders>
              <w:tl2br w:val="nil"/>
              <w:tr2bl w:val="nil"/>
            </w:tcBorders>
            <w:tcMar>
              <w:left w:w="28" w:type="dxa"/>
              <w:right w:w="28" w:type="dxa"/>
            </w:tcMar>
            <w:vAlign w:val="center"/>
          </w:tcPr>
          <w:p>
            <w:pPr>
              <w:pStyle w:val="38"/>
              <w:spacing w:beforeLines="0" w:afterLines="0" w:line="240" w:lineRule="auto"/>
              <w:ind w:firstLine="0"/>
              <w:rPr>
                <w:rFonts w:hint="default" w:ascii="Times New Roman" w:hAnsi="Times New Roman" w:eastAsia="宋体" w:cs="Times New Roman"/>
                <w:b/>
                <w:bCs/>
                <w:snapToGrid w:val="0"/>
                <w:color w:val="auto"/>
                <w:spacing w:val="-16"/>
                <w:kern w:val="21"/>
                <w:szCs w:val="21"/>
              </w:rPr>
            </w:pPr>
            <w:r>
              <w:rPr>
                <w:rFonts w:hint="default" w:ascii="Times New Roman" w:hAnsi="Times New Roman" w:eastAsia="宋体" w:cs="Times New Roman"/>
                <w:b/>
                <w:bCs/>
                <w:snapToGrid w:val="0"/>
                <w:color w:val="auto"/>
                <w:spacing w:val="-16"/>
                <w:kern w:val="21"/>
                <w:szCs w:val="21"/>
              </w:rPr>
              <w:t>以新带老削减量</w:t>
            </w:r>
          </w:p>
          <w:p>
            <w:pPr>
              <w:pStyle w:val="38"/>
              <w:spacing w:beforeLines="0" w:afterLines="0" w:line="240" w:lineRule="auto"/>
              <w:ind w:firstLine="0"/>
              <w:rPr>
                <w:rFonts w:hint="default" w:ascii="Times New Roman" w:hAnsi="Times New Roman" w:eastAsia="宋体" w:cs="Times New Roman"/>
                <w:b/>
                <w:bCs/>
                <w:snapToGrid w:val="0"/>
                <w:color w:val="auto"/>
                <w:spacing w:val="-16"/>
                <w:kern w:val="21"/>
                <w:szCs w:val="21"/>
              </w:rPr>
            </w:pPr>
            <w:r>
              <w:rPr>
                <w:rFonts w:hint="default" w:ascii="Times New Roman" w:hAnsi="Times New Roman" w:eastAsia="宋体" w:cs="Times New Roman"/>
                <w:b/>
                <w:bCs/>
                <w:snapToGrid w:val="0"/>
                <w:color w:val="auto"/>
                <w:spacing w:val="-16"/>
                <w:kern w:val="21"/>
                <w:szCs w:val="21"/>
              </w:rPr>
              <w:t>（新建项目不填）</w:t>
            </w:r>
            <w:r>
              <w:rPr>
                <w:rFonts w:hint="default" w:ascii="Times New Roman" w:hAnsi="Times New Roman" w:eastAsia="宋体" w:cs="Times New Roman"/>
                <w:b/>
                <w:bCs/>
                <w:snapToGrid w:val="0"/>
                <w:color w:val="auto"/>
                <w:spacing w:val="-16"/>
                <w:kern w:val="21"/>
                <w:szCs w:val="21"/>
              </w:rPr>
              <w:fldChar w:fldCharType="begin"/>
            </w:r>
            <w:r>
              <w:rPr>
                <w:rFonts w:hint="default" w:ascii="Times New Roman" w:hAnsi="Times New Roman" w:eastAsia="宋体" w:cs="Times New Roman"/>
                <w:b/>
                <w:bCs/>
                <w:snapToGrid w:val="0"/>
                <w:color w:val="auto"/>
                <w:spacing w:val="-16"/>
                <w:kern w:val="21"/>
                <w:szCs w:val="21"/>
              </w:rPr>
              <w:instrText xml:space="preserve"> = 5 \* GB3 \* MERGEFORMAT </w:instrText>
            </w:r>
            <w:r>
              <w:rPr>
                <w:rFonts w:hint="default" w:ascii="Times New Roman" w:hAnsi="Times New Roman" w:eastAsia="宋体" w:cs="Times New Roman"/>
                <w:b/>
                <w:bCs/>
                <w:snapToGrid w:val="0"/>
                <w:color w:val="auto"/>
                <w:spacing w:val="-16"/>
                <w:kern w:val="21"/>
                <w:szCs w:val="21"/>
              </w:rPr>
              <w:fldChar w:fldCharType="separate"/>
            </w:r>
            <w:r>
              <w:rPr>
                <w:rFonts w:hint="default" w:ascii="Times New Roman" w:hAnsi="Times New Roman" w:eastAsia="宋体" w:cs="Times New Roman"/>
                <w:b/>
                <w:bCs/>
                <w:color w:val="auto"/>
                <w:kern w:val="2"/>
                <w:szCs w:val="21"/>
              </w:rPr>
              <w:t>⑤</w:t>
            </w:r>
            <w:r>
              <w:rPr>
                <w:rFonts w:hint="default" w:ascii="Times New Roman" w:hAnsi="Times New Roman" w:eastAsia="宋体" w:cs="Times New Roman"/>
                <w:b/>
                <w:bCs/>
                <w:snapToGrid w:val="0"/>
                <w:color w:val="auto"/>
                <w:spacing w:val="-16"/>
                <w:kern w:val="21"/>
                <w:szCs w:val="21"/>
              </w:rPr>
              <w:fldChar w:fldCharType="end"/>
            </w:r>
          </w:p>
        </w:tc>
        <w:tc>
          <w:tcPr>
            <w:tcW w:w="1845" w:type="dxa"/>
            <w:tcBorders>
              <w:tl2br w:val="nil"/>
              <w:tr2bl w:val="nil"/>
            </w:tcBorders>
            <w:tcMar>
              <w:left w:w="28" w:type="dxa"/>
              <w:right w:w="28" w:type="dxa"/>
            </w:tcMar>
            <w:vAlign w:val="center"/>
          </w:tcPr>
          <w:p>
            <w:pPr>
              <w:pStyle w:val="38"/>
              <w:spacing w:beforeLines="0" w:afterLines="0" w:line="240" w:lineRule="auto"/>
              <w:ind w:firstLine="0"/>
              <w:rPr>
                <w:rFonts w:hint="default" w:ascii="Times New Roman" w:hAnsi="Times New Roman" w:eastAsia="宋体" w:cs="Times New Roman"/>
                <w:b/>
                <w:bCs/>
                <w:snapToGrid w:val="0"/>
                <w:color w:val="auto"/>
                <w:spacing w:val="-16"/>
                <w:kern w:val="21"/>
                <w:szCs w:val="21"/>
              </w:rPr>
            </w:pPr>
            <w:r>
              <w:rPr>
                <w:rFonts w:hint="default" w:ascii="Times New Roman" w:hAnsi="Times New Roman" w:eastAsia="宋体" w:cs="Times New Roman"/>
                <w:b/>
                <w:bCs/>
                <w:snapToGrid w:val="0"/>
                <w:color w:val="auto"/>
                <w:spacing w:val="-16"/>
                <w:kern w:val="21"/>
                <w:szCs w:val="21"/>
              </w:rPr>
              <w:t>本项目建成后</w:t>
            </w:r>
          </w:p>
          <w:p>
            <w:pPr>
              <w:pStyle w:val="38"/>
              <w:spacing w:beforeLines="0" w:afterLines="0" w:line="240" w:lineRule="auto"/>
              <w:ind w:firstLine="0"/>
              <w:rPr>
                <w:rFonts w:hint="default" w:ascii="Times New Roman" w:hAnsi="Times New Roman" w:eastAsia="宋体" w:cs="Times New Roman"/>
                <w:b/>
                <w:bCs/>
                <w:snapToGrid w:val="0"/>
                <w:color w:val="auto"/>
                <w:spacing w:val="-16"/>
                <w:kern w:val="21"/>
                <w:szCs w:val="21"/>
              </w:rPr>
            </w:pPr>
            <w:r>
              <w:rPr>
                <w:rFonts w:hint="default" w:ascii="Times New Roman" w:hAnsi="Times New Roman" w:eastAsia="宋体" w:cs="Times New Roman"/>
                <w:b/>
                <w:bCs/>
                <w:snapToGrid w:val="0"/>
                <w:color w:val="auto"/>
                <w:spacing w:val="-16"/>
                <w:kern w:val="21"/>
                <w:szCs w:val="21"/>
              </w:rPr>
              <w:t>全厂排放量（固体废物产生量）</w:t>
            </w:r>
            <w:r>
              <w:rPr>
                <w:rFonts w:hint="default" w:ascii="Times New Roman" w:hAnsi="Times New Roman" w:eastAsia="宋体" w:cs="Times New Roman"/>
                <w:b/>
                <w:bCs/>
                <w:snapToGrid w:val="0"/>
                <w:color w:val="auto"/>
                <w:spacing w:val="-16"/>
                <w:kern w:val="21"/>
                <w:szCs w:val="21"/>
              </w:rPr>
              <w:fldChar w:fldCharType="begin"/>
            </w:r>
            <w:r>
              <w:rPr>
                <w:rFonts w:hint="default" w:ascii="Times New Roman" w:hAnsi="Times New Roman" w:eastAsia="宋体" w:cs="Times New Roman"/>
                <w:b/>
                <w:bCs/>
                <w:snapToGrid w:val="0"/>
                <w:color w:val="auto"/>
                <w:spacing w:val="-16"/>
                <w:kern w:val="21"/>
                <w:szCs w:val="21"/>
              </w:rPr>
              <w:instrText xml:space="preserve"> = 6 \* GB3 \* MERGEFORMAT </w:instrText>
            </w:r>
            <w:r>
              <w:rPr>
                <w:rFonts w:hint="default" w:ascii="Times New Roman" w:hAnsi="Times New Roman" w:eastAsia="宋体" w:cs="Times New Roman"/>
                <w:b/>
                <w:bCs/>
                <w:snapToGrid w:val="0"/>
                <w:color w:val="auto"/>
                <w:spacing w:val="-16"/>
                <w:kern w:val="21"/>
                <w:szCs w:val="21"/>
              </w:rPr>
              <w:fldChar w:fldCharType="separate"/>
            </w:r>
            <w:r>
              <w:rPr>
                <w:rFonts w:hint="default" w:ascii="Times New Roman" w:hAnsi="Times New Roman" w:eastAsia="宋体" w:cs="Times New Roman"/>
                <w:b/>
                <w:bCs/>
                <w:color w:val="auto"/>
                <w:kern w:val="2"/>
                <w:szCs w:val="21"/>
              </w:rPr>
              <w:t>⑥</w:t>
            </w:r>
            <w:r>
              <w:rPr>
                <w:rFonts w:hint="default" w:ascii="Times New Roman" w:hAnsi="Times New Roman" w:eastAsia="宋体" w:cs="Times New Roman"/>
                <w:b/>
                <w:bCs/>
                <w:snapToGrid w:val="0"/>
                <w:color w:val="auto"/>
                <w:spacing w:val="-16"/>
                <w:kern w:val="21"/>
                <w:szCs w:val="21"/>
              </w:rPr>
              <w:fldChar w:fldCharType="end"/>
            </w:r>
          </w:p>
        </w:tc>
        <w:tc>
          <w:tcPr>
            <w:tcW w:w="1017" w:type="dxa"/>
            <w:tcBorders>
              <w:tl2br w:val="nil"/>
              <w:tr2bl w:val="nil"/>
            </w:tcBorders>
            <w:tcMar>
              <w:left w:w="28" w:type="dxa"/>
              <w:right w:w="28" w:type="dxa"/>
            </w:tcMar>
            <w:vAlign w:val="center"/>
          </w:tcPr>
          <w:p>
            <w:pPr>
              <w:pStyle w:val="38"/>
              <w:spacing w:beforeLines="0" w:afterLines="0" w:line="240" w:lineRule="auto"/>
              <w:ind w:firstLine="0"/>
              <w:rPr>
                <w:rFonts w:hint="default" w:ascii="Times New Roman" w:hAnsi="Times New Roman" w:eastAsia="宋体" w:cs="Times New Roman"/>
                <w:b/>
                <w:bCs/>
                <w:snapToGrid w:val="0"/>
                <w:color w:val="auto"/>
                <w:spacing w:val="-6"/>
                <w:kern w:val="21"/>
                <w:szCs w:val="21"/>
              </w:rPr>
            </w:pPr>
            <w:r>
              <w:rPr>
                <w:rFonts w:hint="default" w:ascii="Times New Roman" w:hAnsi="Times New Roman" w:eastAsia="宋体" w:cs="Times New Roman"/>
                <w:b/>
                <w:bCs/>
                <w:snapToGrid w:val="0"/>
                <w:color w:val="auto"/>
                <w:spacing w:val="-6"/>
                <w:kern w:val="21"/>
                <w:szCs w:val="21"/>
              </w:rPr>
              <w:t>变化量</w:t>
            </w:r>
          </w:p>
          <w:p>
            <w:pPr>
              <w:pStyle w:val="38"/>
              <w:spacing w:beforeLines="0" w:afterLines="0" w:line="240" w:lineRule="auto"/>
              <w:ind w:firstLine="0"/>
              <w:rPr>
                <w:rFonts w:hint="default" w:ascii="Times New Roman" w:hAnsi="Times New Roman" w:eastAsia="宋体" w:cs="Times New Roman"/>
                <w:b/>
                <w:bCs/>
                <w:snapToGrid w:val="0"/>
                <w:color w:val="auto"/>
                <w:spacing w:val="-6"/>
                <w:kern w:val="21"/>
                <w:szCs w:val="21"/>
              </w:rPr>
            </w:pPr>
            <w:r>
              <w:rPr>
                <w:rFonts w:hint="default" w:ascii="Times New Roman" w:hAnsi="Times New Roman" w:eastAsia="宋体" w:cs="Times New Roman"/>
                <w:b/>
                <w:bCs/>
                <w:snapToGrid w:val="0"/>
                <w:color w:val="auto"/>
                <w:spacing w:val="-6"/>
                <w:kern w:val="21"/>
                <w:szCs w:val="21"/>
              </w:rPr>
              <w:fldChar w:fldCharType="begin"/>
            </w:r>
            <w:r>
              <w:rPr>
                <w:rFonts w:hint="default" w:ascii="Times New Roman" w:hAnsi="Times New Roman" w:eastAsia="宋体" w:cs="Times New Roman"/>
                <w:b/>
                <w:bCs/>
                <w:snapToGrid w:val="0"/>
                <w:color w:val="auto"/>
                <w:spacing w:val="-6"/>
                <w:kern w:val="21"/>
                <w:szCs w:val="21"/>
              </w:rPr>
              <w:instrText xml:space="preserve"> = 7 \* GB3 \* MERGEFORMAT </w:instrText>
            </w:r>
            <w:r>
              <w:rPr>
                <w:rFonts w:hint="default" w:ascii="Times New Roman" w:hAnsi="Times New Roman" w:eastAsia="宋体" w:cs="Times New Roman"/>
                <w:b/>
                <w:bCs/>
                <w:snapToGrid w:val="0"/>
                <w:color w:val="auto"/>
                <w:spacing w:val="-6"/>
                <w:kern w:val="21"/>
                <w:szCs w:val="21"/>
              </w:rPr>
              <w:fldChar w:fldCharType="separate"/>
            </w:r>
            <w:r>
              <w:rPr>
                <w:rFonts w:hint="default" w:ascii="Times New Roman" w:hAnsi="Times New Roman" w:eastAsia="宋体" w:cs="Times New Roman"/>
                <w:b/>
                <w:bCs/>
                <w:color w:val="auto"/>
                <w:kern w:val="2"/>
                <w:szCs w:val="21"/>
              </w:rPr>
              <w:t>⑦</w:t>
            </w:r>
            <w:r>
              <w:rPr>
                <w:rFonts w:hint="default" w:ascii="Times New Roman" w:hAnsi="Times New Roman" w:eastAsia="宋体" w:cs="Times New Roman"/>
                <w:b/>
                <w:bCs/>
                <w:snapToGrid w:val="0"/>
                <w:color w:val="auto"/>
                <w:spacing w:val="-6"/>
                <w:kern w:val="21"/>
                <w:szCs w:val="21"/>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2" w:type="dxa"/>
            <w:tcBorders>
              <w:tl2br w:val="nil"/>
              <w:tr2bl w:val="nil"/>
            </w:tcBorders>
            <w:vAlign w:val="center"/>
          </w:tcPr>
          <w:p>
            <w:pPr>
              <w:pStyle w:val="38"/>
              <w:spacing w:beforeLines="0" w:afterLines="0" w:line="240" w:lineRule="auto"/>
              <w:ind w:firstLine="0"/>
              <w:rPr>
                <w:rFonts w:hint="default" w:ascii="Times New Roman" w:hAnsi="Times New Roman" w:eastAsia="宋体" w:cs="Times New Roman"/>
                <w:b/>
                <w:bCs/>
                <w:snapToGrid w:val="0"/>
                <w:color w:val="auto"/>
                <w:kern w:val="21"/>
                <w:szCs w:val="21"/>
              </w:rPr>
            </w:pPr>
            <w:r>
              <w:rPr>
                <w:rFonts w:hint="default" w:ascii="Times New Roman" w:hAnsi="Times New Roman" w:eastAsia="宋体" w:cs="Times New Roman"/>
                <w:b/>
                <w:bCs/>
                <w:snapToGrid w:val="0"/>
                <w:color w:val="auto"/>
                <w:kern w:val="21"/>
                <w:szCs w:val="21"/>
              </w:rPr>
              <w:t>废气</w:t>
            </w:r>
          </w:p>
        </w:tc>
        <w:tc>
          <w:tcPr>
            <w:tcW w:w="1934" w:type="dxa"/>
            <w:tcBorders>
              <w:tl2br w:val="nil"/>
              <w:tr2bl w:val="nil"/>
            </w:tcBorders>
            <w:vAlign w:val="center"/>
          </w:tcPr>
          <w:p>
            <w:pPr>
              <w:pStyle w:val="38"/>
              <w:spacing w:beforeLines="0" w:afterLines="0" w:line="240" w:lineRule="auto"/>
              <w:ind w:firstLine="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颗粒物（t/</w:t>
            </w:r>
            <w:r>
              <w:rPr>
                <w:rFonts w:hint="default" w:ascii="Times New Roman" w:hAnsi="Times New Roman" w:eastAsia="宋体" w:cs="Times New Roman"/>
                <w:snapToGrid w:val="0"/>
                <w:color w:val="auto"/>
                <w:kern w:val="21"/>
                <w:szCs w:val="21"/>
                <w:lang w:val="en-US" w:eastAsia="zh-CN"/>
              </w:rPr>
              <w:t>周期</w:t>
            </w:r>
            <w:r>
              <w:rPr>
                <w:rFonts w:hint="default" w:ascii="Times New Roman" w:hAnsi="Times New Roman" w:eastAsia="宋体" w:cs="Times New Roman"/>
                <w:snapToGrid w:val="0"/>
                <w:color w:val="auto"/>
                <w:kern w:val="21"/>
                <w:szCs w:val="21"/>
              </w:rPr>
              <w:t>）</w:t>
            </w:r>
          </w:p>
        </w:tc>
        <w:tc>
          <w:tcPr>
            <w:tcW w:w="1665" w:type="dxa"/>
            <w:tcBorders>
              <w:tl2br w:val="nil"/>
              <w:tr2bl w:val="nil"/>
            </w:tcBorders>
            <w:vAlign w:val="center"/>
          </w:tcPr>
          <w:p>
            <w:pPr>
              <w:pStyle w:val="38"/>
              <w:spacing w:beforeLines="0" w:afterLines="0" w:line="240" w:lineRule="auto"/>
              <w:ind w:firstLine="0"/>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365"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680"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620" w:type="dxa"/>
            <w:tcBorders>
              <w:tl2br w:val="nil"/>
              <w:tr2bl w:val="nil"/>
            </w:tcBorders>
            <w:vAlign w:val="center"/>
          </w:tcPr>
          <w:p>
            <w:pPr>
              <w:pStyle w:val="38"/>
              <w:spacing w:beforeLines="0" w:afterLines="0" w:line="240" w:lineRule="auto"/>
              <w:ind w:firstLine="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lang w:val="en-US" w:eastAsia="zh-CN"/>
              </w:rPr>
              <w:t>1.60</w:t>
            </w:r>
          </w:p>
        </w:tc>
        <w:tc>
          <w:tcPr>
            <w:tcW w:w="1665" w:type="dxa"/>
            <w:tcBorders>
              <w:tl2br w:val="nil"/>
              <w:tr2bl w:val="nil"/>
            </w:tcBorders>
            <w:vAlign w:val="center"/>
          </w:tcPr>
          <w:p>
            <w:pPr>
              <w:pStyle w:val="38"/>
              <w:spacing w:beforeLines="0" w:afterLines="0" w:line="240" w:lineRule="auto"/>
              <w:ind w:firstLine="0"/>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845" w:type="dxa"/>
            <w:tcBorders>
              <w:tl2br w:val="nil"/>
              <w:tr2bl w:val="nil"/>
            </w:tcBorders>
            <w:vAlign w:val="center"/>
          </w:tcPr>
          <w:p>
            <w:pPr>
              <w:pStyle w:val="38"/>
              <w:spacing w:beforeLines="0" w:afterLines="0" w:line="240" w:lineRule="auto"/>
              <w:ind w:firstLine="0" w:firstLineChars="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lang w:val="en-US" w:eastAsia="zh-CN"/>
              </w:rPr>
              <w:t>1.60</w:t>
            </w:r>
          </w:p>
        </w:tc>
        <w:tc>
          <w:tcPr>
            <w:tcW w:w="1017" w:type="dxa"/>
            <w:tcBorders>
              <w:tl2br w:val="nil"/>
              <w:tr2bl w:val="nil"/>
            </w:tcBorders>
            <w:vAlign w:val="center"/>
          </w:tcPr>
          <w:p>
            <w:pPr>
              <w:pStyle w:val="38"/>
              <w:spacing w:beforeLines="0" w:afterLines="0" w:line="240" w:lineRule="auto"/>
              <w:ind w:firstLine="0" w:firstLineChars="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lang w:val="en-US" w:eastAsia="zh-CN"/>
              </w:rPr>
              <w:t>+1.60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82" w:type="dxa"/>
            <w:vMerge w:val="restart"/>
            <w:tcBorders>
              <w:tl2br w:val="nil"/>
              <w:tr2bl w:val="nil"/>
            </w:tcBorders>
            <w:vAlign w:val="center"/>
          </w:tcPr>
          <w:p>
            <w:pPr>
              <w:pStyle w:val="38"/>
              <w:spacing w:beforeLines="0" w:afterLines="0" w:line="240" w:lineRule="auto"/>
              <w:ind w:firstLine="0"/>
              <w:rPr>
                <w:rFonts w:hint="default" w:ascii="Times New Roman" w:hAnsi="Times New Roman" w:eastAsia="宋体" w:cs="Times New Roman"/>
                <w:b/>
                <w:bCs/>
                <w:snapToGrid w:val="0"/>
                <w:color w:val="auto"/>
                <w:kern w:val="21"/>
                <w:szCs w:val="21"/>
              </w:rPr>
            </w:pPr>
            <w:r>
              <w:rPr>
                <w:rFonts w:hint="default" w:ascii="Times New Roman" w:hAnsi="Times New Roman" w:eastAsia="宋体" w:cs="Times New Roman"/>
                <w:b/>
                <w:bCs/>
                <w:snapToGrid w:val="0"/>
                <w:color w:val="auto"/>
                <w:kern w:val="21"/>
                <w:szCs w:val="21"/>
              </w:rPr>
              <w:t>一般工业</w:t>
            </w:r>
          </w:p>
          <w:p>
            <w:pPr>
              <w:pStyle w:val="38"/>
              <w:spacing w:beforeLines="0" w:afterLines="0" w:line="240" w:lineRule="auto"/>
              <w:ind w:firstLine="0"/>
              <w:rPr>
                <w:rFonts w:hint="default" w:ascii="Times New Roman" w:hAnsi="Times New Roman" w:eastAsia="宋体" w:cs="Times New Roman"/>
                <w:b/>
                <w:bCs/>
                <w:snapToGrid w:val="0"/>
                <w:color w:val="auto"/>
                <w:kern w:val="21"/>
                <w:szCs w:val="21"/>
              </w:rPr>
            </w:pPr>
            <w:r>
              <w:rPr>
                <w:rFonts w:hint="default" w:ascii="Times New Roman" w:hAnsi="Times New Roman" w:eastAsia="宋体" w:cs="Times New Roman"/>
                <w:b/>
                <w:bCs/>
                <w:snapToGrid w:val="0"/>
                <w:color w:val="auto"/>
                <w:kern w:val="21"/>
                <w:szCs w:val="21"/>
              </w:rPr>
              <w:t>固体废物</w:t>
            </w:r>
          </w:p>
        </w:tc>
        <w:tc>
          <w:tcPr>
            <w:tcW w:w="1934" w:type="dxa"/>
            <w:tcBorders>
              <w:tl2br w:val="nil"/>
              <w:tr2bl w:val="nil"/>
            </w:tcBorders>
            <w:vAlign w:val="center"/>
          </w:tcPr>
          <w:p>
            <w:pPr>
              <w:pStyle w:val="38"/>
              <w:spacing w:beforeLines="0" w:afterLines="0" w:line="240" w:lineRule="auto"/>
              <w:ind w:firstLine="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废石料（t/</w:t>
            </w:r>
            <w:r>
              <w:rPr>
                <w:rFonts w:hint="default" w:ascii="Times New Roman" w:hAnsi="Times New Roman" w:eastAsia="宋体" w:cs="Times New Roman"/>
                <w:snapToGrid w:val="0"/>
                <w:color w:val="auto"/>
                <w:kern w:val="21"/>
                <w:szCs w:val="21"/>
                <w:lang w:val="en-US" w:eastAsia="zh-CN"/>
              </w:rPr>
              <w:t>周期</w:t>
            </w:r>
            <w:r>
              <w:rPr>
                <w:rFonts w:hint="default" w:ascii="Times New Roman" w:hAnsi="Times New Roman" w:eastAsia="宋体" w:cs="Times New Roman"/>
                <w:snapToGrid w:val="0"/>
                <w:color w:val="auto"/>
                <w:kern w:val="21"/>
                <w:szCs w:val="21"/>
              </w:rPr>
              <w:t>）</w:t>
            </w:r>
          </w:p>
        </w:tc>
        <w:tc>
          <w:tcPr>
            <w:tcW w:w="1665" w:type="dxa"/>
            <w:tcBorders>
              <w:tl2br w:val="nil"/>
              <w:tr2bl w:val="nil"/>
            </w:tcBorders>
            <w:vAlign w:val="center"/>
          </w:tcPr>
          <w:p>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365" w:type="dxa"/>
            <w:tcBorders>
              <w:tl2br w:val="nil"/>
              <w:tr2bl w:val="nil"/>
            </w:tcBorders>
            <w:vAlign w:val="center"/>
          </w:tcPr>
          <w:p>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680"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620" w:type="dxa"/>
            <w:tcBorders>
              <w:tl2br w:val="nil"/>
              <w:tr2bl w:val="nil"/>
            </w:tcBorders>
            <w:vAlign w:val="center"/>
          </w:tcPr>
          <w:p>
            <w:pPr>
              <w:pStyle w:val="38"/>
              <w:spacing w:beforeLines="0" w:afterLines="0" w:line="240" w:lineRule="auto"/>
              <w:ind w:firstLine="0"/>
              <w:rPr>
                <w:rFonts w:hint="default" w:ascii="Times New Roman" w:hAnsi="Times New Roman" w:eastAsia="宋体" w:cs="Times New Roman"/>
                <w:color w:val="auto"/>
                <w:szCs w:val="21"/>
                <w:lang w:val="en-US"/>
              </w:rPr>
            </w:pPr>
            <w:r>
              <w:rPr>
                <w:rFonts w:hint="default" w:ascii="Times New Roman" w:hAnsi="Times New Roman" w:eastAsia="宋体" w:cs="Times New Roman"/>
                <w:b w:val="0"/>
                <w:bCs/>
                <w:color w:val="auto"/>
                <w:kern w:val="2"/>
                <w:sz w:val="21"/>
                <w:szCs w:val="21"/>
                <w:highlight w:val="none"/>
                <w:vertAlign w:val="baseline"/>
                <w:lang w:val="en-US" w:eastAsia="zh-CN" w:bidi="ar-SA"/>
              </w:rPr>
              <w:t>65.50</w:t>
            </w:r>
          </w:p>
        </w:tc>
        <w:tc>
          <w:tcPr>
            <w:tcW w:w="1665"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snapToGrid w:val="0"/>
                <w:color w:val="auto"/>
                <w:kern w:val="21"/>
                <w:szCs w:val="21"/>
              </w:rPr>
              <w:t>/</w:t>
            </w:r>
          </w:p>
        </w:tc>
        <w:tc>
          <w:tcPr>
            <w:tcW w:w="1845" w:type="dxa"/>
            <w:tcBorders>
              <w:tl2br w:val="nil"/>
              <w:tr2bl w:val="nil"/>
            </w:tcBorders>
            <w:vAlign w:val="center"/>
          </w:tcPr>
          <w:p>
            <w:pPr>
              <w:pStyle w:val="38"/>
              <w:spacing w:beforeLines="0" w:afterLines="0" w:line="240" w:lineRule="auto"/>
              <w:ind w:firstLine="0" w:firstLineChars="0"/>
              <w:rPr>
                <w:rFonts w:hint="default" w:ascii="Times New Roman" w:hAnsi="Times New Roman" w:eastAsia="宋体" w:cs="Times New Roman"/>
                <w:color w:val="auto"/>
                <w:szCs w:val="21"/>
                <w:lang w:val="en-US"/>
              </w:rPr>
            </w:pPr>
            <w:r>
              <w:rPr>
                <w:rFonts w:hint="default" w:ascii="Times New Roman" w:hAnsi="Times New Roman" w:eastAsia="宋体" w:cs="Times New Roman"/>
                <w:b w:val="0"/>
                <w:bCs/>
                <w:color w:val="auto"/>
                <w:kern w:val="2"/>
                <w:sz w:val="21"/>
                <w:szCs w:val="21"/>
                <w:highlight w:val="none"/>
                <w:vertAlign w:val="baseline"/>
                <w:lang w:val="en-US" w:eastAsia="zh-CN" w:bidi="ar-SA"/>
              </w:rPr>
              <w:t>65.50</w:t>
            </w:r>
          </w:p>
        </w:tc>
        <w:tc>
          <w:tcPr>
            <w:tcW w:w="1017" w:type="dxa"/>
            <w:tcBorders>
              <w:tl2br w:val="nil"/>
              <w:tr2bl w:val="nil"/>
            </w:tcBorders>
            <w:vAlign w:val="center"/>
          </w:tcPr>
          <w:p>
            <w:pPr>
              <w:pStyle w:val="38"/>
              <w:spacing w:beforeLines="0" w:afterLines="0" w:line="240" w:lineRule="auto"/>
              <w:ind w:firstLine="0" w:firstLineChars="0"/>
              <w:rPr>
                <w:rFonts w:hint="default" w:ascii="Times New Roman" w:hAnsi="Times New Roman" w:eastAsia="宋体" w:cs="Times New Roman"/>
                <w:color w:val="auto"/>
                <w:szCs w:val="21"/>
                <w:lang w:val="en-US"/>
              </w:rPr>
            </w:pPr>
            <w:r>
              <w:rPr>
                <w:rFonts w:hint="default" w:ascii="Times New Roman" w:hAnsi="Times New Roman" w:eastAsia="宋体" w:cs="Times New Roman"/>
                <w:b w:val="0"/>
                <w:bCs/>
                <w:color w:val="auto"/>
                <w:kern w:val="2"/>
                <w:sz w:val="21"/>
                <w:szCs w:val="21"/>
                <w:highlight w:val="none"/>
                <w:vertAlign w:val="baseline"/>
                <w:lang w:val="en-US" w:eastAsia="zh-CN" w:bidi="ar-SA"/>
              </w:rPr>
              <w:t>+65.50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82" w:type="dxa"/>
            <w:vMerge w:val="continue"/>
            <w:tcBorders>
              <w:tl2br w:val="nil"/>
              <w:tr2bl w:val="nil"/>
            </w:tcBorders>
            <w:vAlign w:val="center"/>
          </w:tcPr>
          <w:p>
            <w:pPr>
              <w:pStyle w:val="38"/>
              <w:spacing w:beforeLines="0" w:afterLines="0" w:line="240" w:lineRule="auto"/>
              <w:ind w:firstLine="0"/>
              <w:rPr>
                <w:rFonts w:hint="default" w:ascii="Times New Roman" w:hAnsi="Times New Roman" w:eastAsia="宋体" w:cs="Times New Roman"/>
                <w:b/>
                <w:bCs/>
                <w:snapToGrid w:val="0"/>
                <w:color w:val="auto"/>
                <w:kern w:val="21"/>
                <w:szCs w:val="21"/>
              </w:rPr>
            </w:pPr>
          </w:p>
        </w:tc>
        <w:tc>
          <w:tcPr>
            <w:tcW w:w="1934" w:type="dxa"/>
            <w:tcBorders>
              <w:tl2br w:val="nil"/>
              <w:tr2bl w:val="nil"/>
            </w:tcBorders>
            <w:vAlign w:val="center"/>
          </w:tcPr>
          <w:p>
            <w:pPr>
              <w:pStyle w:val="38"/>
              <w:spacing w:beforeLines="0" w:afterLines="0" w:line="240" w:lineRule="auto"/>
              <w:ind w:firstLine="0"/>
              <w:jc w:val="center"/>
              <w:rPr>
                <w:rFonts w:hint="default" w:ascii="Times New Roman" w:hAnsi="Times New Roman" w:eastAsia="宋体" w:cs="Times New Roman"/>
                <w:color w:val="auto"/>
                <w:szCs w:val="21"/>
                <w:lang w:bidi="ar"/>
              </w:rPr>
            </w:pPr>
            <w:r>
              <w:rPr>
                <w:rFonts w:hint="default" w:ascii="Times New Roman" w:hAnsi="Times New Roman" w:eastAsia="宋体" w:cs="Times New Roman"/>
                <w:color w:val="auto"/>
                <w:szCs w:val="21"/>
                <w:lang w:bidi="ar"/>
              </w:rPr>
              <w:t>废水沉淀沉渣</w:t>
            </w:r>
          </w:p>
          <w:p>
            <w:pPr>
              <w:pStyle w:val="38"/>
              <w:spacing w:beforeLines="0" w:afterLines="0" w:line="240" w:lineRule="auto"/>
              <w:ind w:firstLine="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（t/</w:t>
            </w:r>
            <w:r>
              <w:rPr>
                <w:rFonts w:hint="default" w:ascii="Times New Roman" w:hAnsi="Times New Roman" w:eastAsia="宋体" w:cs="Times New Roman"/>
                <w:snapToGrid w:val="0"/>
                <w:color w:val="auto"/>
                <w:kern w:val="21"/>
                <w:szCs w:val="21"/>
                <w:lang w:val="en-US" w:eastAsia="zh-CN"/>
              </w:rPr>
              <w:t>周期</w:t>
            </w:r>
            <w:r>
              <w:rPr>
                <w:rFonts w:hint="default" w:ascii="Times New Roman" w:hAnsi="Times New Roman" w:eastAsia="宋体" w:cs="Times New Roman"/>
                <w:snapToGrid w:val="0"/>
                <w:color w:val="auto"/>
                <w:kern w:val="21"/>
                <w:szCs w:val="21"/>
              </w:rPr>
              <w:t>）</w:t>
            </w:r>
          </w:p>
        </w:tc>
        <w:tc>
          <w:tcPr>
            <w:tcW w:w="1665" w:type="dxa"/>
            <w:tcBorders>
              <w:tl2br w:val="nil"/>
              <w:tr2bl w:val="nil"/>
            </w:tcBorders>
            <w:vAlign w:val="center"/>
          </w:tcPr>
          <w:p>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365" w:type="dxa"/>
            <w:tcBorders>
              <w:tl2br w:val="nil"/>
              <w:tr2bl w:val="nil"/>
            </w:tcBorders>
            <w:vAlign w:val="center"/>
          </w:tcPr>
          <w:p>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680"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620" w:type="dxa"/>
            <w:tcBorders>
              <w:tl2br w:val="nil"/>
              <w:tr2bl w:val="nil"/>
            </w:tcBorders>
            <w:vAlign w:val="center"/>
          </w:tcPr>
          <w:p>
            <w:pPr>
              <w:pStyle w:val="38"/>
              <w:spacing w:beforeLines="0" w:afterLines="0" w:line="240" w:lineRule="auto"/>
              <w:ind w:firstLine="0"/>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color w:val="auto"/>
                <w:szCs w:val="21"/>
                <w:lang w:val="en-US" w:eastAsia="zh-CN"/>
              </w:rPr>
              <w:t>2.30</w:t>
            </w:r>
          </w:p>
        </w:tc>
        <w:tc>
          <w:tcPr>
            <w:tcW w:w="1665" w:type="dxa"/>
            <w:tcBorders>
              <w:tl2br w:val="nil"/>
              <w:tr2bl w:val="nil"/>
            </w:tcBorders>
            <w:vAlign w:val="center"/>
          </w:tcPr>
          <w:p>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845" w:type="dxa"/>
            <w:tcBorders>
              <w:tl2br w:val="nil"/>
              <w:tr2bl w:val="nil"/>
            </w:tcBorders>
            <w:vAlign w:val="center"/>
          </w:tcPr>
          <w:p>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lang w:val="en-US"/>
              </w:rPr>
            </w:pPr>
            <w:r>
              <w:rPr>
                <w:rFonts w:hint="default" w:ascii="Times New Roman" w:hAnsi="Times New Roman" w:eastAsia="宋体" w:cs="Times New Roman"/>
                <w:color w:val="auto"/>
                <w:szCs w:val="21"/>
                <w:lang w:val="en-US" w:eastAsia="zh-CN"/>
              </w:rPr>
              <w:t>2.30</w:t>
            </w:r>
          </w:p>
        </w:tc>
        <w:tc>
          <w:tcPr>
            <w:tcW w:w="1017" w:type="dxa"/>
            <w:tcBorders>
              <w:tl2br w:val="nil"/>
              <w:tr2bl w:val="nil"/>
            </w:tcBorders>
            <w:vAlign w:val="center"/>
          </w:tcPr>
          <w:p>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lang w:val="en-US"/>
              </w:rPr>
            </w:pPr>
            <w:r>
              <w:rPr>
                <w:rFonts w:hint="default" w:ascii="Times New Roman" w:hAnsi="Times New Roman" w:eastAsia="宋体" w:cs="Times New Roman"/>
                <w:color w:val="auto"/>
                <w:szCs w:val="21"/>
                <w:lang w:val="en-US" w:eastAsia="zh-CN"/>
              </w:rPr>
              <w:t>+2.30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82" w:type="dxa"/>
            <w:vMerge w:val="continue"/>
            <w:tcBorders>
              <w:tl2br w:val="nil"/>
              <w:tr2bl w:val="nil"/>
            </w:tcBorders>
            <w:vAlign w:val="center"/>
          </w:tcPr>
          <w:p>
            <w:pPr>
              <w:pStyle w:val="38"/>
              <w:spacing w:beforeLines="0" w:afterLines="0" w:line="240" w:lineRule="auto"/>
              <w:ind w:firstLine="0"/>
              <w:rPr>
                <w:rFonts w:hint="default" w:ascii="Times New Roman" w:hAnsi="Times New Roman" w:eastAsia="宋体" w:cs="Times New Roman"/>
                <w:b/>
                <w:bCs/>
                <w:color w:val="auto"/>
                <w:szCs w:val="21"/>
              </w:rPr>
            </w:pPr>
          </w:p>
        </w:tc>
        <w:tc>
          <w:tcPr>
            <w:tcW w:w="1934" w:type="dxa"/>
            <w:tcBorders>
              <w:tl2br w:val="nil"/>
              <w:tr2bl w:val="nil"/>
            </w:tcBorders>
            <w:vAlign w:val="center"/>
          </w:tcPr>
          <w:p>
            <w:pPr>
              <w:pStyle w:val="38"/>
              <w:spacing w:beforeLines="0" w:afterLines="0" w:line="240" w:lineRule="auto"/>
              <w:ind w:firstLine="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生活垃圾（t/</w:t>
            </w:r>
            <w:r>
              <w:rPr>
                <w:rFonts w:hint="default" w:ascii="Times New Roman" w:hAnsi="Times New Roman" w:eastAsia="宋体" w:cs="Times New Roman"/>
                <w:snapToGrid w:val="0"/>
                <w:color w:val="auto"/>
                <w:kern w:val="21"/>
                <w:szCs w:val="21"/>
                <w:lang w:val="en-US" w:eastAsia="zh-CN"/>
              </w:rPr>
              <w:t>周期</w:t>
            </w:r>
            <w:r>
              <w:rPr>
                <w:rFonts w:hint="default" w:ascii="Times New Roman" w:hAnsi="Times New Roman" w:eastAsia="宋体" w:cs="Times New Roman"/>
                <w:snapToGrid w:val="0"/>
                <w:color w:val="auto"/>
                <w:kern w:val="21"/>
                <w:szCs w:val="21"/>
              </w:rPr>
              <w:t>）</w:t>
            </w:r>
          </w:p>
        </w:tc>
        <w:tc>
          <w:tcPr>
            <w:tcW w:w="1665" w:type="dxa"/>
            <w:tcBorders>
              <w:tl2br w:val="nil"/>
              <w:tr2bl w:val="nil"/>
            </w:tcBorders>
            <w:vAlign w:val="center"/>
          </w:tcPr>
          <w:p>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365" w:type="dxa"/>
            <w:tcBorders>
              <w:tl2br w:val="nil"/>
              <w:tr2bl w:val="nil"/>
            </w:tcBorders>
            <w:vAlign w:val="center"/>
          </w:tcPr>
          <w:p>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680" w:type="dxa"/>
            <w:tcBorders>
              <w:tl2br w:val="nil"/>
              <w:tr2bl w:val="nil"/>
            </w:tcBorders>
            <w:vAlign w:val="center"/>
          </w:tcPr>
          <w:p>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620" w:type="dxa"/>
            <w:tcBorders>
              <w:tl2br w:val="nil"/>
              <w:tr2bl w:val="nil"/>
            </w:tcBorders>
            <w:vAlign w:val="center"/>
          </w:tcPr>
          <w:p>
            <w:pPr>
              <w:pStyle w:val="38"/>
              <w:spacing w:beforeLines="0" w:afterLines="0" w:line="240" w:lineRule="auto"/>
              <w:ind w:firstLine="0"/>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color w:val="auto"/>
                <w:szCs w:val="21"/>
                <w:lang w:val="en-US" w:eastAsia="zh-CN"/>
              </w:rPr>
              <w:t>1.38</w:t>
            </w:r>
          </w:p>
        </w:tc>
        <w:tc>
          <w:tcPr>
            <w:tcW w:w="1665" w:type="dxa"/>
            <w:tcBorders>
              <w:tl2br w:val="nil"/>
              <w:tr2bl w:val="nil"/>
            </w:tcBorders>
            <w:vAlign w:val="center"/>
          </w:tcPr>
          <w:p>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845" w:type="dxa"/>
            <w:tcBorders>
              <w:tl2br w:val="nil"/>
              <w:tr2bl w:val="nil"/>
            </w:tcBorders>
            <w:vAlign w:val="center"/>
          </w:tcPr>
          <w:p>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color w:val="auto"/>
                <w:szCs w:val="21"/>
                <w:lang w:val="en-US" w:eastAsia="zh-CN"/>
              </w:rPr>
              <w:t>1.38</w:t>
            </w:r>
          </w:p>
        </w:tc>
        <w:tc>
          <w:tcPr>
            <w:tcW w:w="1017" w:type="dxa"/>
            <w:tcBorders>
              <w:tl2br w:val="nil"/>
              <w:tr2bl w:val="nil"/>
            </w:tcBorders>
            <w:vAlign w:val="center"/>
          </w:tcPr>
          <w:p>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color w:val="auto"/>
                <w:szCs w:val="21"/>
                <w:lang w:val="en-US" w:eastAsia="zh-CN"/>
              </w:rPr>
              <w:t>+1.38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82" w:type="dxa"/>
            <w:vMerge w:val="continue"/>
            <w:tcBorders>
              <w:tl2br w:val="nil"/>
              <w:tr2bl w:val="nil"/>
            </w:tcBorders>
            <w:vAlign w:val="center"/>
          </w:tcPr>
          <w:p>
            <w:pPr>
              <w:pStyle w:val="38"/>
              <w:spacing w:beforeLines="0" w:afterLines="0" w:line="240" w:lineRule="auto"/>
              <w:ind w:firstLine="0"/>
              <w:rPr>
                <w:rFonts w:hint="default" w:ascii="Times New Roman" w:hAnsi="Times New Roman" w:eastAsia="宋体" w:cs="Times New Roman"/>
                <w:b/>
                <w:bCs/>
                <w:color w:val="auto"/>
                <w:szCs w:val="21"/>
              </w:rPr>
            </w:pPr>
          </w:p>
        </w:tc>
        <w:tc>
          <w:tcPr>
            <w:tcW w:w="1934" w:type="dxa"/>
            <w:tcBorders>
              <w:tl2br w:val="nil"/>
              <w:tr2bl w:val="nil"/>
            </w:tcBorders>
            <w:vAlign w:val="center"/>
          </w:tcPr>
          <w:p>
            <w:pPr>
              <w:pStyle w:val="38"/>
              <w:spacing w:beforeLines="0" w:afterLines="0" w:line="240" w:lineRule="auto"/>
              <w:ind w:firstLine="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建筑垃圾（t/</w:t>
            </w:r>
            <w:r>
              <w:rPr>
                <w:rFonts w:hint="default" w:ascii="Times New Roman" w:hAnsi="Times New Roman" w:eastAsia="宋体" w:cs="Times New Roman"/>
                <w:snapToGrid w:val="0"/>
                <w:color w:val="auto"/>
                <w:kern w:val="21"/>
                <w:szCs w:val="21"/>
                <w:lang w:val="en-US" w:eastAsia="zh-CN"/>
              </w:rPr>
              <w:t>周期</w:t>
            </w:r>
            <w:r>
              <w:rPr>
                <w:rFonts w:hint="default" w:ascii="Times New Roman" w:hAnsi="Times New Roman" w:eastAsia="宋体" w:cs="Times New Roman"/>
                <w:snapToGrid w:val="0"/>
                <w:color w:val="auto"/>
                <w:kern w:val="21"/>
                <w:szCs w:val="21"/>
              </w:rPr>
              <w:t>）</w:t>
            </w:r>
          </w:p>
        </w:tc>
        <w:tc>
          <w:tcPr>
            <w:tcW w:w="1665" w:type="dxa"/>
            <w:tcBorders>
              <w:tl2br w:val="nil"/>
              <w:tr2bl w:val="nil"/>
            </w:tcBorders>
            <w:vAlign w:val="center"/>
          </w:tcPr>
          <w:p>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365" w:type="dxa"/>
            <w:tcBorders>
              <w:tl2br w:val="nil"/>
              <w:tr2bl w:val="nil"/>
            </w:tcBorders>
            <w:vAlign w:val="center"/>
          </w:tcPr>
          <w:p>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680" w:type="dxa"/>
            <w:tcBorders>
              <w:tl2br w:val="nil"/>
              <w:tr2bl w:val="nil"/>
            </w:tcBorders>
            <w:vAlign w:val="center"/>
          </w:tcPr>
          <w:p>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620" w:type="dxa"/>
            <w:tcBorders>
              <w:tl2br w:val="nil"/>
              <w:tr2bl w:val="nil"/>
            </w:tcBorders>
            <w:vAlign w:val="center"/>
          </w:tcPr>
          <w:p>
            <w:pPr>
              <w:pStyle w:val="38"/>
              <w:spacing w:beforeLines="0" w:afterLines="0" w:line="240" w:lineRule="auto"/>
              <w:ind w:firstLine="0"/>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color w:val="auto"/>
                <w:szCs w:val="21"/>
                <w:lang w:val="en-US" w:eastAsia="zh-CN"/>
              </w:rPr>
              <w:t>3.00</w:t>
            </w:r>
          </w:p>
        </w:tc>
        <w:tc>
          <w:tcPr>
            <w:tcW w:w="1665" w:type="dxa"/>
            <w:tcBorders>
              <w:tl2br w:val="nil"/>
              <w:tr2bl w:val="nil"/>
            </w:tcBorders>
            <w:vAlign w:val="center"/>
          </w:tcPr>
          <w:p>
            <w:pPr>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w:t>
            </w:r>
          </w:p>
        </w:tc>
        <w:tc>
          <w:tcPr>
            <w:tcW w:w="1845" w:type="dxa"/>
            <w:tcBorders>
              <w:tl2br w:val="nil"/>
              <w:tr2bl w:val="nil"/>
            </w:tcBorders>
            <w:vAlign w:val="center"/>
          </w:tcPr>
          <w:p>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lang w:val="en-US"/>
              </w:rPr>
            </w:pPr>
            <w:r>
              <w:rPr>
                <w:rFonts w:hint="default" w:ascii="Times New Roman" w:hAnsi="Times New Roman" w:eastAsia="宋体" w:cs="Times New Roman"/>
                <w:color w:val="auto"/>
                <w:szCs w:val="21"/>
                <w:lang w:val="en-US" w:eastAsia="zh-CN"/>
              </w:rPr>
              <w:t>3.00</w:t>
            </w:r>
          </w:p>
        </w:tc>
        <w:tc>
          <w:tcPr>
            <w:tcW w:w="1017" w:type="dxa"/>
            <w:tcBorders>
              <w:tl2br w:val="nil"/>
              <w:tr2bl w:val="nil"/>
            </w:tcBorders>
            <w:vAlign w:val="center"/>
          </w:tcPr>
          <w:p>
            <w:pPr>
              <w:pStyle w:val="38"/>
              <w:spacing w:beforeLines="0" w:afterLines="0" w:line="240" w:lineRule="auto"/>
              <w:ind w:firstLine="0" w:firstLineChars="0"/>
              <w:rPr>
                <w:rFonts w:hint="default" w:ascii="Times New Roman" w:hAnsi="Times New Roman" w:eastAsia="宋体" w:cs="Times New Roman"/>
                <w:snapToGrid w:val="0"/>
                <w:color w:val="auto"/>
                <w:kern w:val="21"/>
                <w:szCs w:val="21"/>
                <w:lang w:val="en-US"/>
              </w:rPr>
            </w:pPr>
            <w:r>
              <w:rPr>
                <w:rFonts w:hint="default" w:ascii="Times New Roman" w:hAnsi="Times New Roman" w:eastAsia="宋体" w:cs="Times New Roman"/>
                <w:color w:val="auto"/>
                <w:szCs w:val="21"/>
                <w:lang w:val="en-US" w:eastAsia="zh-CN"/>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82" w:type="dxa"/>
            <w:vMerge w:val="restart"/>
            <w:tcBorders>
              <w:tl2br w:val="nil"/>
              <w:tr2bl w:val="nil"/>
            </w:tcBorders>
            <w:vAlign w:val="center"/>
          </w:tcPr>
          <w:p>
            <w:pPr>
              <w:pStyle w:val="38"/>
              <w:spacing w:beforeLines="0" w:afterLines="0" w:line="240" w:lineRule="auto"/>
              <w:ind w:firstLine="0"/>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危险废物</w:t>
            </w:r>
          </w:p>
        </w:tc>
        <w:tc>
          <w:tcPr>
            <w:tcW w:w="1934" w:type="dxa"/>
            <w:tcBorders>
              <w:tl2br w:val="nil"/>
              <w:tr2bl w:val="nil"/>
            </w:tcBorders>
            <w:vAlign w:val="center"/>
          </w:tcPr>
          <w:p>
            <w:pPr>
              <w:pStyle w:val="38"/>
              <w:spacing w:beforeLines="0" w:afterLines="0" w:line="240" w:lineRule="auto"/>
              <w:ind w:firstLine="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废机油</w:t>
            </w:r>
            <w:r>
              <w:rPr>
                <w:rFonts w:hint="default" w:ascii="Times New Roman" w:hAnsi="Times New Roman" w:eastAsia="宋体" w:cs="Times New Roman"/>
                <w:snapToGrid w:val="0"/>
                <w:color w:val="auto"/>
                <w:kern w:val="21"/>
                <w:szCs w:val="21"/>
              </w:rPr>
              <w:t>（t/</w:t>
            </w:r>
            <w:r>
              <w:rPr>
                <w:rFonts w:hint="default" w:ascii="Times New Roman" w:hAnsi="Times New Roman" w:eastAsia="宋体" w:cs="Times New Roman"/>
                <w:snapToGrid w:val="0"/>
                <w:color w:val="auto"/>
                <w:kern w:val="21"/>
                <w:szCs w:val="21"/>
                <w:lang w:val="en-US" w:eastAsia="zh-CN"/>
              </w:rPr>
              <w:t>周期</w:t>
            </w:r>
            <w:r>
              <w:rPr>
                <w:rFonts w:hint="default" w:ascii="Times New Roman" w:hAnsi="Times New Roman" w:eastAsia="宋体" w:cs="Times New Roman"/>
                <w:snapToGrid w:val="0"/>
                <w:color w:val="auto"/>
                <w:kern w:val="21"/>
                <w:szCs w:val="21"/>
              </w:rPr>
              <w:t>）</w:t>
            </w:r>
          </w:p>
        </w:tc>
        <w:tc>
          <w:tcPr>
            <w:tcW w:w="1665" w:type="dxa"/>
            <w:tcBorders>
              <w:tl2br w:val="nil"/>
              <w:tr2bl w:val="nil"/>
            </w:tcBorders>
            <w:shd w:val="clear" w:color="auto" w:fill="auto"/>
            <w:vAlign w:val="center"/>
          </w:tcPr>
          <w:p>
            <w:pPr>
              <w:pStyle w:val="38"/>
              <w:spacing w:beforeLines="0" w:afterLines="0" w:line="240" w:lineRule="auto"/>
              <w:ind w:firstLine="0" w:firstLineChars="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rPr>
              <w:t>/</w:t>
            </w:r>
          </w:p>
        </w:tc>
        <w:tc>
          <w:tcPr>
            <w:tcW w:w="1365" w:type="dxa"/>
            <w:tcBorders>
              <w:tl2br w:val="nil"/>
              <w:tr2bl w:val="nil"/>
            </w:tcBorders>
            <w:shd w:val="clear" w:color="auto" w:fill="auto"/>
            <w:vAlign w:val="center"/>
          </w:tcPr>
          <w:p>
            <w:pPr>
              <w:pStyle w:val="38"/>
              <w:spacing w:beforeLines="0" w:afterLines="0" w:line="240" w:lineRule="auto"/>
              <w:ind w:firstLine="0" w:firstLineChars="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rPr>
              <w:t>/</w:t>
            </w:r>
          </w:p>
        </w:tc>
        <w:tc>
          <w:tcPr>
            <w:tcW w:w="1680" w:type="dxa"/>
            <w:tcBorders>
              <w:tl2br w:val="nil"/>
              <w:tr2bl w:val="nil"/>
            </w:tcBorders>
            <w:shd w:val="clear" w:color="auto" w:fill="auto"/>
            <w:vAlign w:val="center"/>
          </w:tcPr>
          <w:p>
            <w:pPr>
              <w:pStyle w:val="38"/>
              <w:spacing w:beforeLines="0" w:afterLines="0" w:line="240" w:lineRule="auto"/>
              <w:ind w:firstLine="0" w:firstLineChars="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rPr>
              <w:t>/</w:t>
            </w:r>
          </w:p>
        </w:tc>
        <w:tc>
          <w:tcPr>
            <w:tcW w:w="1620" w:type="dxa"/>
            <w:tcBorders>
              <w:tl2br w:val="nil"/>
              <w:tr2bl w:val="nil"/>
            </w:tcBorders>
            <w:vAlign w:val="center"/>
          </w:tcPr>
          <w:p>
            <w:pPr>
              <w:pStyle w:val="38"/>
              <w:spacing w:beforeLines="0" w:afterLines="0" w:line="240" w:lineRule="auto"/>
              <w:ind w:firstLine="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0.01</w:t>
            </w:r>
          </w:p>
        </w:tc>
        <w:tc>
          <w:tcPr>
            <w:tcW w:w="1665" w:type="dxa"/>
            <w:tcBorders>
              <w:tl2br w:val="nil"/>
              <w:tr2bl w:val="nil"/>
            </w:tcBorders>
            <w:shd w:val="clear" w:color="auto" w:fill="auto"/>
            <w:vAlign w:val="center"/>
          </w:tcPr>
          <w:p>
            <w:pPr>
              <w:pStyle w:val="38"/>
              <w:spacing w:beforeLines="0" w:afterLines="0" w:line="240" w:lineRule="auto"/>
              <w:ind w:firstLine="0" w:firstLineChars="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rPr>
              <w:t>/</w:t>
            </w:r>
          </w:p>
        </w:tc>
        <w:tc>
          <w:tcPr>
            <w:tcW w:w="1845" w:type="dxa"/>
            <w:tcBorders>
              <w:tl2br w:val="nil"/>
              <w:tr2bl w:val="nil"/>
            </w:tcBorders>
            <w:shd w:val="clear" w:color="auto" w:fill="auto"/>
            <w:vAlign w:val="center"/>
          </w:tcPr>
          <w:p>
            <w:pPr>
              <w:pStyle w:val="38"/>
              <w:spacing w:beforeLines="0" w:afterLines="0" w:line="240" w:lineRule="auto"/>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Cs w:val="21"/>
                <w:lang w:val="en-US" w:eastAsia="zh-CN"/>
              </w:rPr>
              <w:t>0.01</w:t>
            </w:r>
          </w:p>
        </w:tc>
        <w:tc>
          <w:tcPr>
            <w:tcW w:w="1017" w:type="dxa"/>
            <w:tcBorders>
              <w:tl2br w:val="nil"/>
              <w:tr2bl w:val="nil"/>
            </w:tcBorders>
            <w:shd w:val="clear" w:color="auto" w:fill="auto"/>
            <w:vAlign w:val="center"/>
          </w:tcPr>
          <w:p>
            <w:pPr>
              <w:pStyle w:val="38"/>
              <w:spacing w:beforeLines="0" w:afterLines="0" w:line="240" w:lineRule="auto"/>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Cs w:val="21"/>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82" w:type="dxa"/>
            <w:vMerge w:val="continue"/>
            <w:tcBorders>
              <w:tl2br w:val="nil"/>
              <w:tr2bl w:val="nil"/>
            </w:tcBorders>
            <w:vAlign w:val="center"/>
          </w:tcPr>
          <w:p>
            <w:pPr>
              <w:pStyle w:val="38"/>
              <w:spacing w:beforeLines="0" w:afterLines="0" w:line="240" w:lineRule="auto"/>
              <w:ind w:firstLine="0"/>
              <w:rPr>
                <w:rFonts w:hint="default" w:ascii="Times New Roman" w:hAnsi="Times New Roman" w:eastAsia="宋体" w:cs="Times New Roman"/>
                <w:color w:val="auto"/>
                <w:szCs w:val="21"/>
              </w:rPr>
            </w:pPr>
          </w:p>
        </w:tc>
        <w:tc>
          <w:tcPr>
            <w:tcW w:w="1934" w:type="dxa"/>
            <w:tcBorders>
              <w:tl2br w:val="nil"/>
              <w:tr2bl w:val="nil"/>
            </w:tcBorders>
            <w:vAlign w:val="center"/>
          </w:tcPr>
          <w:p>
            <w:pPr>
              <w:pStyle w:val="38"/>
              <w:spacing w:beforeLines="0" w:afterLines="0" w:line="240" w:lineRule="auto"/>
              <w:ind w:firstLine="0"/>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废机油桶</w:t>
            </w:r>
            <w:r>
              <w:rPr>
                <w:rFonts w:hint="default" w:ascii="Times New Roman" w:hAnsi="Times New Roman" w:eastAsia="宋体" w:cs="Times New Roman"/>
                <w:snapToGrid w:val="0"/>
                <w:color w:val="auto"/>
                <w:kern w:val="21"/>
                <w:szCs w:val="21"/>
              </w:rPr>
              <w:t>（t/</w:t>
            </w:r>
            <w:r>
              <w:rPr>
                <w:rFonts w:hint="default" w:ascii="Times New Roman" w:hAnsi="Times New Roman" w:eastAsia="宋体" w:cs="Times New Roman"/>
                <w:snapToGrid w:val="0"/>
                <w:color w:val="auto"/>
                <w:kern w:val="21"/>
                <w:szCs w:val="21"/>
                <w:lang w:val="en-US" w:eastAsia="zh-CN"/>
              </w:rPr>
              <w:t>周期</w:t>
            </w:r>
            <w:r>
              <w:rPr>
                <w:rFonts w:hint="default" w:ascii="Times New Roman" w:hAnsi="Times New Roman" w:eastAsia="宋体" w:cs="Times New Roman"/>
                <w:snapToGrid w:val="0"/>
                <w:color w:val="auto"/>
                <w:kern w:val="21"/>
                <w:szCs w:val="21"/>
              </w:rPr>
              <w:t>）</w:t>
            </w:r>
          </w:p>
        </w:tc>
        <w:tc>
          <w:tcPr>
            <w:tcW w:w="1665" w:type="dxa"/>
            <w:tcBorders>
              <w:tl2br w:val="nil"/>
              <w:tr2bl w:val="nil"/>
            </w:tcBorders>
            <w:shd w:val="clear" w:color="auto" w:fill="auto"/>
            <w:vAlign w:val="center"/>
          </w:tcPr>
          <w:p>
            <w:pPr>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rPr>
              <w:t>/</w:t>
            </w:r>
          </w:p>
        </w:tc>
        <w:tc>
          <w:tcPr>
            <w:tcW w:w="1365" w:type="dxa"/>
            <w:tcBorders>
              <w:tl2br w:val="nil"/>
              <w:tr2bl w:val="nil"/>
            </w:tcBorders>
            <w:shd w:val="clear" w:color="auto" w:fill="auto"/>
            <w:vAlign w:val="center"/>
          </w:tcPr>
          <w:p>
            <w:pPr>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rPr>
              <w:t>/</w:t>
            </w:r>
          </w:p>
        </w:tc>
        <w:tc>
          <w:tcPr>
            <w:tcW w:w="1680" w:type="dxa"/>
            <w:tcBorders>
              <w:tl2br w:val="nil"/>
              <w:tr2bl w:val="nil"/>
            </w:tcBorders>
            <w:shd w:val="clear" w:color="auto" w:fill="auto"/>
            <w:vAlign w:val="center"/>
          </w:tcPr>
          <w:p>
            <w:pPr>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rPr>
              <w:t>/</w:t>
            </w:r>
          </w:p>
        </w:tc>
        <w:tc>
          <w:tcPr>
            <w:tcW w:w="1620" w:type="dxa"/>
            <w:tcBorders>
              <w:tl2br w:val="nil"/>
              <w:tr2bl w:val="nil"/>
            </w:tcBorders>
            <w:vAlign w:val="center"/>
          </w:tcPr>
          <w:p>
            <w:pPr>
              <w:pStyle w:val="38"/>
              <w:spacing w:beforeLines="0" w:afterLines="0" w:line="240" w:lineRule="auto"/>
              <w:ind w:firstLine="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0.01</w:t>
            </w:r>
          </w:p>
        </w:tc>
        <w:tc>
          <w:tcPr>
            <w:tcW w:w="1665" w:type="dxa"/>
            <w:tcBorders>
              <w:tl2br w:val="nil"/>
              <w:tr2bl w:val="nil"/>
            </w:tcBorders>
            <w:shd w:val="clear" w:color="auto" w:fill="auto"/>
            <w:vAlign w:val="center"/>
          </w:tcPr>
          <w:p>
            <w:pPr>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rPr>
              <w:t>/</w:t>
            </w:r>
          </w:p>
        </w:tc>
        <w:tc>
          <w:tcPr>
            <w:tcW w:w="1845" w:type="dxa"/>
            <w:tcBorders>
              <w:tl2br w:val="nil"/>
              <w:tr2bl w:val="nil"/>
            </w:tcBorders>
            <w:shd w:val="clear" w:color="auto" w:fill="auto"/>
            <w:vAlign w:val="center"/>
          </w:tcPr>
          <w:p>
            <w:pPr>
              <w:pStyle w:val="38"/>
              <w:spacing w:beforeLines="0" w:afterLines="0" w:line="240" w:lineRule="auto"/>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Cs w:val="21"/>
                <w:lang w:val="en-US" w:eastAsia="zh-CN"/>
              </w:rPr>
              <w:t>0.01</w:t>
            </w:r>
          </w:p>
        </w:tc>
        <w:tc>
          <w:tcPr>
            <w:tcW w:w="1017" w:type="dxa"/>
            <w:tcBorders>
              <w:tl2br w:val="nil"/>
              <w:tr2bl w:val="nil"/>
            </w:tcBorders>
            <w:shd w:val="clear" w:color="auto" w:fill="auto"/>
            <w:vAlign w:val="center"/>
          </w:tcPr>
          <w:p>
            <w:pPr>
              <w:pStyle w:val="38"/>
              <w:spacing w:beforeLines="0" w:afterLines="0" w:line="240" w:lineRule="auto"/>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Cs w:val="21"/>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82" w:type="dxa"/>
            <w:vMerge w:val="continue"/>
            <w:tcBorders>
              <w:tl2br w:val="nil"/>
              <w:tr2bl w:val="nil"/>
            </w:tcBorders>
            <w:vAlign w:val="center"/>
          </w:tcPr>
          <w:p>
            <w:pPr>
              <w:pStyle w:val="38"/>
              <w:spacing w:beforeLines="0" w:afterLines="0" w:line="240" w:lineRule="auto"/>
              <w:ind w:firstLine="0"/>
              <w:rPr>
                <w:rFonts w:hint="default" w:ascii="Times New Roman" w:hAnsi="Times New Roman" w:eastAsia="宋体" w:cs="Times New Roman"/>
                <w:color w:val="auto"/>
                <w:szCs w:val="21"/>
              </w:rPr>
            </w:pPr>
          </w:p>
        </w:tc>
        <w:tc>
          <w:tcPr>
            <w:tcW w:w="1934" w:type="dxa"/>
            <w:tcBorders>
              <w:tl2br w:val="nil"/>
              <w:tr2bl w:val="nil"/>
            </w:tcBorders>
            <w:vAlign w:val="center"/>
          </w:tcPr>
          <w:p>
            <w:pPr>
              <w:pStyle w:val="38"/>
              <w:spacing w:beforeLines="0" w:afterLines="0" w:line="240" w:lineRule="auto"/>
              <w:ind w:firstLine="0"/>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废沾油抹布及手套</w:t>
            </w:r>
            <w:r>
              <w:rPr>
                <w:rFonts w:hint="default" w:ascii="Times New Roman" w:hAnsi="Times New Roman" w:eastAsia="宋体" w:cs="Times New Roman"/>
                <w:snapToGrid w:val="0"/>
                <w:color w:val="auto"/>
                <w:kern w:val="21"/>
                <w:szCs w:val="21"/>
              </w:rPr>
              <w:t>（t/</w:t>
            </w:r>
            <w:r>
              <w:rPr>
                <w:rFonts w:hint="default" w:ascii="Times New Roman" w:hAnsi="Times New Roman" w:eastAsia="宋体" w:cs="Times New Roman"/>
                <w:snapToGrid w:val="0"/>
                <w:color w:val="auto"/>
                <w:kern w:val="21"/>
                <w:szCs w:val="21"/>
                <w:lang w:val="en-US" w:eastAsia="zh-CN"/>
              </w:rPr>
              <w:t>周期</w:t>
            </w:r>
            <w:r>
              <w:rPr>
                <w:rFonts w:hint="default" w:ascii="Times New Roman" w:hAnsi="Times New Roman" w:eastAsia="宋体" w:cs="Times New Roman"/>
                <w:snapToGrid w:val="0"/>
                <w:color w:val="auto"/>
                <w:kern w:val="21"/>
                <w:szCs w:val="21"/>
              </w:rPr>
              <w:t>）</w:t>
            </w:r>
          </w:p>
        </w:tc>
        <w:tc>
          <w:tcPr>
            <w:tcW w:w="1665" w:type="dxa"/>
            <w:tcBorders>
              <w:tl2br w:val="nil"/>
              <w:tr2bl w:val="nil"/>
            </w:tcBorders>
            <w:shd w:val="clear" w:color="auto" w:fill="auto"/>
            <w:vAlign w:val="center"/>
          </w:tcPr>
          <w:p>
            <w:pPr>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rPr>
              <w:t>/</w:t>
            </w:r>
          </w:p>
        </w:tc>
        <w:tc>
          <w:tcPr>
            <w:tcW w:w="1365" w:type="dxa"/>
            <w:tcBorders>
              <w:tl2br w:val="nil"/>
              <w:tr2bl w:val="nil"/>
            </w:tcBorders>
            <w:shd w:val="clear" w:color="auto" w:fill="auto"/>
            <w:vAlign w:val="center"/>
          </w:tcPr>
          <w:p>
            <w:pPr>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rPr>
              <w:t>/</w:t>
            </w:r>
          </w:p>
        </w:tc>
        <w:tc>
          <w:tcPr>
            <w:tcW w:w="1680" w:type="dxa"/>
            <w:tcBorders>
              <w:tl2br w:val="nil"/>
              <w:tr2bl w:val="nil"/>
            </w:tcBorders>
            <w:shd w:val="clear" w:color="auto" w:fill="auto"/>
            <w:vAlign w:val="center"/>
          </w:tcPr>
          <w:p>
            <w:pPr>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rPr>
              <w:t>/</w:t>
            </w:r>
          </w:p>
        </w:tc>
        <w:tc>
          <w:tcPr>
            <w:tcW w:w="1620" w:type="dxa"/>
            <w:tcBorders>
              <w:tl2br w:val="nil"/>
              <w:tr2bl w:val="nil"/>
            </w:tcBorders>
            <w:vAlign w:val="center"/>
          </w:tcPr>
          <w:p>
            <w:pPr>
              <w:pStyle w:val="38"/>
              <w:spacing w:beforeLines="0" w:afterLines="0" w:line="240" w:lineRule="auto"/>
              <w:ind w:firstLine="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0.005</w:t>
            </w:r>
          </w:p>
        </w:tc>
        <w:tc>
          <w:tcPr>
            <w:tcW w:w="1665" w:type="dxa"/>
            <w:tcBorders>
              <w:tl2br w:val="nil"/>
              <w:tr2bl w:val="nil"/>
            </w:tcBorders>
            <w:shd w:val="clear" w:color="auto" w:fill="auto"/>
            <w:vAlign w:val="center"/>
          </w:tcPr>
          <w:p>
            <w:pPr>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rPr>
              <w:t>/</w:t>
            </w:r>
          </w:p>
        </w:tc>
        <w:tc>
          <w:tcPr>
            <w:tcW w:w="1845" w:type="dxa"/>
            <w:tcBorders>
              <w:tl2br w:val="nil"/>
              <w:tr2bl w:val="nil"/>
            </w:tcBorders>
            <w:shd w:val="clear" w:color="auto" w:fill="auto"/>
            <w:vAlign w:val="center"/>
          </w:tcPr>
          <w:p>
            <w:pPr>
              <w:pStyle w:val="38"/>
              <w:spacing w:beforeLines="0" w:afterLines="0" w:line="240" w:lineRule="auto"/>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Cs w:val="21"/>
                <w:lang w:val="en-US" w:eastAsia="zh-CN"/>
              </w:rPr>
              <w:t>0.005</w:t>
            </w:r>
          </w:p>
        </w:tc>
        <w:tc>
          <w:tcPr>
            <w:tcW w:w="1017" w:type="dxa"/>
            <w:tcBorders>
              <w:tl2br w:val="nil"/>
              <w:tr2bl w:val="nil"/>
            </w:tcBorders>
            <w:shd w:val="clear" w:color="auto" w:fill="auto"/>
            <w:vAlign w:val="center"/>
          </w:tcPr>
          <w:p>
            <w:pPr>
              <w:pStyle w:val="38"/>
              <w:spacing w:beforeLines="0" w:afterLines="0" w:line="240" w:lineRule="auto"/>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Cs w:val="21"/>
                <w:lang w:val="en-US" w:eastAsia="zh-CN"/>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4173" w:type="dxa"/>
            <w:gridSpan w:val="9"/>
            <w:tcBorders>
              <w:tl2br w:val="nil"/>
              <w:tr2bl w:val="nil"/>
            </w:tcBorders>
            <w:vAlign w:val="center"/>
          </w:tcPr>
          <w:p>
            <w:pPr>
              <w:pStyle w:val="38"/>
              <w:spacing w:beforeLines="0" w:afterLines="0" w:line="240" w:lineRule="auto"/>
              <w:ind w:firstLine="0" w:firstLineChars="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lang w:val="en-US" w:eastAsia="zh-CN"/>
              </w:rPr>
              <w:t>注：本项目运行工期为3个月，项目污染物排放情况均以3个月的周期核算。</w:t>
            </w:r>
          </w:p>
        </w:tc>
      </w:tr>
    </w:tbl>
    <w:p>
      <w:pPr>
        <w:pStyle w:val="38"/>
        <w:spacing w:before="249" w:beforeLines="80" w:after="31"/>
        <w:ind w:firstLineChars="200"/>
        <w:jc w:val="left"/>
        <w:rPr>
          <w:color w:val="auto"/>
        </w:rPr>
        <w:sectPr>
          <w:footerReference r:id="rId6" w:type="default"/>
          <w:pgSz w:w="16838" w:h="11906" w:orient="landscape"/>
          <w:pgMar w:top="1440" w:right="1080" w:bottom="1440" w:left="1080" w:header="1304" w:footer="1020" w:gutter="0"/>
          <w:pgBorders>
            <w:top w:val="none" w:sz="0" w:space="0"/>
            <w:left w:val="none" w:sz="0" w:space="0"/>
            <w:bottom w:val="none" w:sz="0" w:space="0"/>
            <w:right w:val="none" w:sz="0" w:space="0"/>
          </w:pgBorders>
          <w:cols w:space="720" w:num="1"/>
          <w:docGrid w:type="lines" w:linePitch="312" w:charSpace="0"/>
        </w:sect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p>
    <w:p>
      <w:pPr>
        <w:adjustRightInd w:val="0"/>
        <w:snapToGrid w:val="0"/>
        <w:rPr>
          <w:b/>
          <w:bCs/>
          <w:color w:val="FF0000"/>
          <w:szCs w:val="21"/>
        </w:rPr>
      </w:pPr>
    </w:p>
    <w:sectPr>
      <w:footerReference r:id="rId7" w:type="default"/>
      <w:pgSz w:w="11906" w:h="16838"/>
      <w:pgMar w:top="1587" w:right="1587" w:bottom="1587" w:left="1587"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1"/>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Arial Unicode MS">
    <w:altName w:val="Nimbus Roman No9 L"/>
    <w:panose1 w:val="020B0604020202020204"/>
    <w:charset w:val="86"/>
    <w:family w:val="swiss"/>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MingLiU">
    <w:altName w:val="Droid Sans Japanese"/>
    <w:panose1 w:val="02020509000000000000"/>
    <w:charset w:val="88"/>
    <w:family w:val="modern"/>
    <w:pitch w:val="default"/>
    <w:sig w:usb0="00000000" w:usb1="00000000" w:usb2="00000016" w:usb3="00000000" w:csb0="00100001" w:csb1="00000000"/>
  </w:font>
  <w:font w:name="仿宋">
    <w:panose1 w:val="02010609060101010101"/>
    <w:charset w:val="86"/>
    <w:family w:val="modern"/>
    <w:pitch w:val="default"/>
    <w:sig w:usb0="800002BF" w:usb1="38CF7CFA" w:usb2="00000016" w:usb3="00000000" w:csb0="00040001" w:csb1="00000000"/>
  </w:font>
  <w:font w:name="方正小标宋_GBK">
    <w:panose1 w:val="02000000000000000000"/>
    <w:charset w:val="86"/>
    <w:family w:val="script"/>
    <w:pitch w:val="default"/>
    <w:sig w:usb0="00000001" w:usb1="08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 w:name="Droid Sans Japanese">
    <w:panose1 w:val="020B0502000000000001"/>
    <w:charset w:val="00"/>
    <w:family w:val="auto"/>
    <w:pitch w:val="default"/>
    <w:sig w:usb0="80000000" w:usb1="08070000" w:usb2="00000010" w:usb3="00000000" w:csb0="00000001"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6"/>
                            <w:jc w:val="both"/>
                            <w:rPr>
                              <w:rStyle w:val="28"/>
                              <w:rFonts w:ascii="宋体" w:hAnsi="宋体"/>
                              <w:sz w:val="21"/>
                              <w:szCs w:val="21"/>
                            </w:rPr>
                          </w:pPr>
                          <w:r>
                            <w:rPr>
                              <w:rStyle w:val="28"/>
                              <w:rFonts w:hint="eastAsia" w:ascii="宋体" w:hAnsi="宋体"/>
                              <w:sz w:val="21"/>
                              <w:szCs w:val="21"/>
                            </w:rPr>
                            <w:t xml:space="preserve">— </w:t>
                          </w:r>
                          <w:r>
                            <w:rPr>
                              <w:rStyle w:val="28"/>
                              <w:sz w:val="21"/>
                              <w:szCs w:val="21"/>
                            </w:rPr>
                            <w:t xml:space="preserve"> </w:t>
                          </w:r>
                          <w:r>
                            <w:rPr>
                              <w:sz w:val="21"/>
                              <w:szCs w:val="21"/>
                            </w:rPr>
                            <w:fldChar w:fldCharType="begin"/>
                          </w:r>
                          <w:r>
                            <w:rPr>
                              <w:rStyle w:val="28"/>
                              <w:sz w:val="21"/>
                              <w:szCs w:val="21"/>
                            </w:rPr>
                            <w:instrText xml:space="preserve">PAGE  </w:instrText>
                          </w:r>
                          <w:r>
                            <w:rPr>
                              <w:sz w:val="21"/>
                              <w:szCs w:val="21"/>
                            </w:rPr>
                            <w:fldChar w:fldCharType="separate"/>
                          </w:r>
                          <w:r>
                            <w:rPr>
                              <w:rStyle w:val="28"/>
                              <w:sz w:val="21"/>
                              <w:szCs w:val="21"/>
                            </w:rPr>
                            <w:t>31</w:t>
                          </w:r>
                          <w:r>
                            <w:rPr>
                              <w:sz w:val="21"/>
                              <w:szCs w:val="21"/>
                            </w:rPr>
                            <w:fldChar w:fldCharType="end"/>
                          </w:r>
                          <w:r>
                            <w:rPr>
                              <w:rStyle w:val="28"/>
                              <w:rFonts w:hint="eastAsia" w:ascii="宋体" w:hAnsi="宋体"/>
                              <w:sz w:val="21"/>
                              <w:szCs w:val="21"/>
                            </w:rPr>
                            <w:t xml:space="preserve"> —</w:t>
                          </w:r>
                        </w:p>
                      </w:txbxContent>
                    </wps:txbx>
                    <wps:bodyPr vert="horz" wrap="none" lIns="0" tIns="0" rIns="0" bIns="0" anchor="t" anchorCtr="false">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FgAAAGRycy9QSwECFAAUAAAACACHTuJAzql5uc8AAAAFAQAADwAAAAAAAAABACAAAAA4AAAA&#10;ZHJzL2Rvd25yZXYueG1sUEsBAhQAFAAAAAgAh07iQJHAur/BAQAAawMAAA4AAAAAAAAAAQAgAAAA&#10;NAEAAGRycy9lMm9Eb2MueG1sUEsFBgAAAAAGAAYAWQEAAGcFAAAAAA==&#10;">
              <v:fill on="f" focussize="0,0"/>
              <v:stroke on="f"/>
              <v:imagedata o:title=""/>
              <o:lock v:ext="edit" aspectratio="f"/>
              <v:textbox inset="0mm,0mm,0mm,0mm" style="mso-fit-shape-to-text:t;">
                <w:txbxContent>
                  <w:p>
                    <w:pPr>
                      <w:pStyle w:val="16"/>
                      <w:jc w:val="both"/>
                      <w:rPr>
                        <w:rStyle w:val="28"/>
                        <w:rFonts w:ascii="宋体" w:hAnsi="宋体"/>
                        <w:sz w:val="21"/>
                        <w:szCs w:val="21"/>
                      </w:rPr>
                    </w:pPr>
                    <w:r>
                      <w:rPr>
                        <w:rStyle w:val="28"/>
                        <w:rFonts w:hint="eastAsia" w:ascii="宋体" w:hAnsi="宋体"/>
                        <w:sz w:val="21"/>
                        <w:szCs w:val="21"/>
                      </w:rPr>
                      <w:t xml:space="preserve">— </w:t>
                    </w:r>
                    <w:r>
                      <w:rPr>
                        <w:rStyle w:val="28"/>
                        <w:sz w:val="21"/>
                        <w:szCs w:val="21"/>
                      </w:rPr>
                      <w:t xml:space="preserve"> </w:t>
                    </w:r>
                    <w:r>
                      <w:rPr>
                        <w:sz w:val="21"/>
                        <w:szCs w:val="21"/>
                      </w:rPr>
                      <w:fldChar w:fldCharType="begin"/>
                    </w:r>
                    <w:r>
                      <w:rPr>
                        <w:rStyle w:val="28"/>
                        <w:sz w:val="21"/>
                        <w:szCs w:val="21"/>
                      </w:rPr>
                      <w:instrText xml:space="preserve">PAGE  </w:instrText>
                    </w:r>
                    <w:r>
                      <w:rPr>
                        <w:sz w:val="21"/>
                        <w:szCs w:val="21"/>
                      </w:rPr>
                      <w:fldChar w:fldCharType="separate"/>
                    </w:r>
                    <w:r>
                      <w:rPr>
                        <w:rStyle w:val="28"/>
                        <w:sz w:val="21"/>
                        <w:szCs w:val="21"/>
                      </w:rPr>
                      <w:t>31</w:t>
                    </w:r>
                    <w:r>
                      <w:rPr>
                        <w:sz w:val="21"/>
                        <w:szCs w:val="21"/>
                      </w:rPr>
                      <w:fldChar w:fldCharType="end"/>
                    </w:r>
                    <w:r>
                      <w:rPr>
                        <w:rStyle w:val="28"/>
                        <w:rFonts w:hint="eastAsia" w:ascii="宋体" w:hAnsi="宋体"/>
                        <w:sz w:val="21"/>
                        <w:szCs w:val="21"/>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9F72"/>
    <w:multiLevelType w:val="singleLevel"/>
    <w:tmpl w:val="8B6D9F72"/>
    <w:lvl w:ilvl="0" w:tentative="0">
      <w:start w:val="1"/>
      <w:numFmt w:val="decimal"/>
      <w:suff w:val="nothing"/>
      <w:lvlText w:val="%1、"/>
      <w:lvlJc w:val="left"/>
      <w:rPr>
        <w:rFonts w:hint="default"/>
        <w:b/>
        <w:bCs/>
      </w:rPr>
    </w:lvl>
  </w:abstractNum>
  <w:abstractNum w:abstractNumId="1">
    <w:nsid w:val="A136AF9D"/>
    <w:multiLevelType w:val="singleLevel"/>
    <w:tmpl w:val="A136AF9D"/>
    <w:lvl w:ilvl="0" w:tentative="0">
      <w:start w:val="2"/>
      <w:numFmt w:val="chineseCounting"/>
      <w:suff w:val="nothing"/>
      <w:lvlText w:val="%1、"/>
      <w:lvlJc w:val="left"/>
      <w:rPr>
        <w:rFonts w:hint="eastAsia"/>
      </w:rPr>
    </w:lvl>
  </w:abstractNum>
  <w:abstractNum w:abstractNumId="2">
    <w:nsid w:val="B5EF8B5C"/>
    <w:multiLevelType w:val="singleLevel"/>
    <w:tmpl w:val="B5EF8B5C"/>
    <w:lvl w:ilvl="0" w:tentative="0">
      <w:start w:val="2"/>
      <w:numFmt w:val="decimal"/>
      <w:suff w:val="nothing"/>
      <w:lvlText w:val="%1、"/>
      <w:lvlJc w:val="left"/>
    </w:lvl>
  </w:abstractNum>
  <w:abstractNum w:abstractNumId="3">
    <w:nsid w:val="C2BC756E"/>
    <w:multiLevelType w:val="singleLevel"/>
    <w:tmpl w:val="C2BC756E"/>
    <w:lvl w:ilvl="0" w:tentative="0">
      <w:start w:val="1"/>
      <w:numFmt w:val="decimal"/>
      <w:suff w:val="nothing"/>
      <w:lvlText w:val="（%1）"/>
      <w:lvlJc w:val="left"/>
    </w:lvl>
  </w:abstractNum>
  <w:abstractNum w:abstractNumId="4">
    <w:nsid w:val="CE5D2256"/>
    <w:multiLevelType w:val="singleLevel"/>
    <w:tmpl w:val="CE5D2256"/>
    <w:lvl w:ilvl="0" w:tentative="0">
      <w:start w:val="1"/>
      <w:numFmt w:val="decimal"/>
      <w:suff w:val="nothing"/>
      <w:lvlText w:val="（%1）"/>
      <w:lvlJc w:val="left"/>
    </w:lvl>
  </w:abstractNum>
  <w:abstractNum w:abstractNumId="5">
    <w:nsid w:val="D133B500"/>
    <w:multiLevelType w:val="singleLevel"/>
    <w:tmpl w:val="D133B500"/>
    <w:lvl w:ilvl="0" w:tentative="0">
      <w:start w:val="1"/>
      <w:numFmt w:val="chineseCounting"/>
      <w:suff w:val="nothing"/>
      <w:lvlText w:val="%1、"/>
      <w:lvlJc w:val="left"/>
      <w:rPr>
        <w:rFonts w:hint="eastAsia"/>
        <w:b/>
        <w:bCs/>
      </w:rPr>
    </w:lvl>
  </w:abstractNum>
  <w:abstractNum w:abstractNumId="6">
    <w:nsid w:val="ECE3793C"/>
    <w:multiLevelType w:val="singleLevel"/>
    <w:tmpl w:val="ECE3793C"/>
    <w:lvl w:ilvl="0" w:tentative="0">
      <w:start w:val="1"/>
      <w:numFmt w:val="decimal"/>
      <w:suff w:val="nothing"/>
      <w:lvlText w:val="%1、"/>
      <w:lvlJc w:val="left"/>
    </w:lvl>
  </w:abstractNum>
  <w:abstractNum w:abstractNumId="7">
    <w:nsid w:val="167A9907"/>
    <w:multiLevelType w:val="singleLevel"/>
    <w:tmpl w:val="167A9907"/>
    <w:lvl w:ilvl="0" w:tentative="0">
      <w:start w:val="1"/>
      <w:numFmt w:val="decimal"/>
      <w:suff w:val="nothing"/>
      <w:lvlText w:val="（%1）"/>
      <w:lvlJc w:val="left"/>
    </w:lvl>
  </w:abstractNum>
  <w:abstractNum w:abstractNumId="8">
    <w:nsid w:val="1BC830CE"/>
    <w:multiLevelType w:val="singleLevel"/>
    <w:tmpl w:val="1BC830CE"/>
    <w:lvl w:ilvl="0" w:tentative="0">
      <w:start w:val="1"/>
      <w:numFmt w:val="decimal"/>
      <w:suff w:val="nothing"/>
      <w:lvlText w:val="（%1）"/>
      <w:lvlJc w:val="left"/>
    </w:lvl>
  </w:abstractNum>
  <w:abstractNum w:abstractNumId="9">
    <w:nsid w:val="234A4224"/>
    <w:multiLevelType w:val="singleLevel"/>
    <w:tmpl w:val="234A4224"/>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10">
    <w:nsid w:val="30D33086"/>
    <w:multiLevelType w:val="singleLevel"/>
    <w:tmpl w:val="30D33086"/>
    <w:lvl w:ilvl="0" w:tentative="0">
      <w:start w:val="6"/>
      <w:numFmt w:val="decimal"/>
      <w:suff w:val="nothing"/>
      <w:lvlText w:val="%1、"/>
      <w:lvlJc w:val="left"/>
    </w:lvl>
  </w:abstractNum>
  <w:abstractNum w:abstractNumId="11">
    <w:nsid w:val="30E1CC2A"/>
    <w:multiLevelType w:val="singleLevel"/>
    <w:tmpl w:val="30E1CC2A"/>
    <w:lvl w:ilvl="0" w:tentative="0">
      <w:start w:val="1"/>
      <w:numFmt w:val="decimal"/>
      <w:suff w:val="nothing"/>
      <w:lvlText w:val="（%1）"/>
      <w:lvlJc w:val="left"/>
    </w:lvl>
  </w:abstractNum>
  <w:abstractNum w:abstractNumId="12">
    <w:nsid w:val="4E4F0B45"/>
    <w:multiLevelType w:val="singleLevel"/>
    <w:tmpl w:val="4E4F0B45"/>
    <w:lvl w:ilvl="0" w:tentative="0">
      <w:start w:val="2"/>
      <w:numFmt w:val="decimal"/>
      <w:suff w:val="nothing"/>
      <w:lvlText w:val="（%1）"/>
      <w:lvlJc w:val="left"/>
    </w:lvl>
  </w:abstractNum>
  <w:abstractNum w:abstractNumId="13">
    <w:nsid w:val="78D53007"/>
    <w:multiLevelType w:val="singleLevel"/>
    <w:tmpl w:val="78D53007"/>
    <w:lvl w:ilvl="0" w:tentative="0">
      <w:start w:val="2"/>
      <w:numFmt w:val="decimal"/>
      <w:suff w:val="nothing"/>
      <w:lvlText w:val="%1、"/>
      <w:lvlJc w:val="left"/>
    </w:lvl>
  </w:abstractNum>
  <w:num w:numId="1">
    <w:abstractNumId w:val="9"/>
  </w:num>
  <w:num w:numId="2">
    <w:abstractNumId w:val="13"/>
  </w:num>
  <w:num w:numId="3">
    <w:abstractNumId w:val="12"/>
  </w:num>
  <w:num w:numId="4">
    <w:abstractNumId w:val="0"/>
  </w:num>
  <w:num w:numId="5">
    <w:abstractNumId w:val="10"/>
  </w:num>
  <w:num w:numId="6">
    <w:abstractNumId w:val="8"/>
  </w:num>
  <w:num w:numId="7">
    <w:abstractNumId w:val="6"/>
  </w:num>
  <w:num w:numId="8">
    <w:abstractNumId w:val="4"/>
  </w:num>
  <w:num w:numId="9">
    <w:abstractNumId w:val="7"/>
  </w:num>
  <w:num w:numId="10">
    <w:abstractNumId w:val="1"/>
  </w:num>
  <w:num w:numId="11">
    <w:abstractNumId w:val="5"/>
  </w:num>
  <w:num w:numId="12">
    <w:abstractNumId w:val="3"/>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5MGFlNTdlZjkzNjdlYzUyMzQ3OTY0OTRlZmU5N2IifQ=="/>
  </w:docVars>
  <w:rsids>
    <w:rsidRoot w:val="00172A27"/>
    <w:rsid w:val="000B6281"/>
    <w:rsid w:val="00156D39"/>
    <w:rsid w:val="00172A27"/>
    <w:rsid w:val="002E2145"/>
    <w:rsid w:val="0039021D"/>
    <w:rsid w:val="004117C1"/>
    <w:rsid w:val="00535ED7"/>
    <w:rsid w:val="00673609"/>
    <w:rsid w:val="00676596"/>
    <w:rsid w:val="006A02CD"/>
    <w:rsid w:val="006D2A98"/>
    <w:rsid w:val="007A343D"/>
    <w:rsid w:val="00843175"/>
    <w:rsid w:val="008745B2"/>
    <w:rsid w:val="009A360F"/>
    <w:rsid w:val="00AA5FF9"/>
    <w:rsid w:val="00B47A19"/>
    <w:rsid w:val="00B76970"/>
    <w:rsid w:val="00BA4D39"/>
    <w:rsid w:val="00BC209E"/>
    <w:rsid w:val="00BC57CD"/>
    <w:rsid w:val="00C97765"/>
    <w:rsid w:val="00E30FAC"/>
    <w:rsid w:val="00E666A6"/>
    <w:rsid w:val="00FF56BA"/>
    <w:rsid w:val="011136EA"/>
    <w:rsid w:val="01432A53"/>
    <w:rsid w:val="014746DA"/>
    <w:rsid w:val="014E5068"/>
    <w:rsid w:val="0167720E"/>
    <w:rsid w:val="016A78FD"/>
    <w:rsid w:val="017041E0"/>
    <w:rsid w:val="01AA2A2A"/>
    <w:rsid w:val="01B5047C"/>
    <w:rsid w:val="01E4322D"/>
    <w:rsid w:val="02084A49"/>
    <w:rsid w:val="02145195"/>
    <w:rsid w:val="022E22C9"/>
    <w:rsid w:val="02754146"/>
    <w:rsid w:val="02C62369"/>
    <w:rsid w:val="02DF57A3"/>
    <w:rsid w:val="02EF1E8A"/>
    <w:rsid w:val="031A67DB"/>
    <w:rsid w:val="031D0AB1"/>
    <w:rsid w:val="03237688"/>
    <w:rsid w:val="033013AF"/>
    <w:rsid w:val="035A2C4F"/>
    <w:rsid w:val="037E7460"/>
    <w:rsid w:val="03AD7315"/>
    <w:rsid w:val="04536263"/>
    <w:rsid w:val="04791C10"/>
    <w:rsid w:val="047D5273"/>
    <w:rsid w:val="048C3708"/>
    <w:rsid w:val="049738FA"/>
    <w:rsid w:val="04D60456"/>
    <w:rsid w:val="04DD5D12"/>
    <w:rsid w:val="04E56FAB"/>
    <w:rsid w:val="04EE0B72"/>
    <w:rsid w:val="0534048E"/>
    <w:rsid w:val="05404C1F"/>
    <w:rsid w:val="054E7068"/>
    <w:rsid w:val="05676873"/>
    <w:rsid w:val="059277AC"/>
    <w:rsid w:val="059712AC"/>
    <w:rsid w:val="05C13E91"/>
    <w:rsid w:val="05CF0BD3"/>
    <w:rsid w:val="05EF6F96"/>
    <w:rsid w:val="0607573C"/>
    <w:rsid w:val="06142634"/>
    <w:rsid w:val="061F6062"/>
    <w:rsid w:val="062621EC"/>
    <w:rsid w:val="069E791A"/>
    <w:rsid w:val="06D2060C"/>
    <w:rsid w:val="06D976A1"/>
    <w:rsid w:val="06E0372B"/>
    <w:rsid w:val="06F35CC1"/>
    <w:rsid w:val="07474833"/>
    <w:rsid w:val="07703AF0"/>
    <w:rsid w:val="07802CD1"/>
    <w:rsid w:val="07897BE4"/>
    <w:rsid w:val="07A80859"/>
    <w:rsid w:val="07A82607"/>
    <w:rsid w:val="07B4136A"/>
    <w:rsid w:val="07C50B67"/>
    <w:rsid w:val="07E66D6A"/>
    <w:rsid w:val="07EC6998"/>
    <w:rsid w:val="07F85CB5"/>
    <w:rsid w:val="080229E4"/>
    <w:rsid w:val="081401B7"/>
    <w:rsid w:val="08144D37"/>
    <w:rsid w:val="08221FB8"/>
    <w:rsid w:val="083E2D53"/>
    <w:rsid w:val="085D0DC9"/>
    <w:rsid w:val="085D7C16"/>
    <w:rsid w:val="087C41AE"/>
    <w:rsid w:val="08987A83"/>
    <w:rsid w:val="08D12032"/>
    <w:rsid w:val="08DD1BB3"/>
    <w:rsid w:val="08F17AC4"/>
    <w:rsid w:val="0901569E"/>
    <w:rsid w:val="090603F8"/>
    <w:rsid w:val="092F2DE8"/>
    <w:rsid w:val="093C2121"/>
    <w:rsid w:val="093C56FD"/>
    <w:rsid w:val="093D6DEA"/>
    <w:rsid w:val="095C188C"/>
    <w:rsid w:val="095C39B1"/>
    <w:rsid w:val="095E38C5"/>
    <w:rsid w:val="09776735"/>
    <w:rsid w:val="09A521FC"/>
    <w:rsid w:val="09F04DB6"/>
    <w:rsid w:val="0A150992"/>
    <w:rsid w:val="0A46681E"/>
    <w:rsid w:val="0A475102"/>
    <w:rsid w:val="0A535402"/>
    <w:rsid w:val="0A5B1387"/>
    <w:rsid w:val="0A646C4C"/>
    <w:rsid w:val="0A670558"/>
    <w:rsid w:val="0ABB4D47"/>
    <w:rsid w:val="0AC51722"/>
    <w:rsid w:val="0B185CF6"/>
    <w:rsid w:val="0B2823DD"/>
    <w:rsid w:val="0B3C3447"/>
    <w:rsid w:val="0C022F4C"/>
    <w:rsid w:val="0C057EC4"/>
    <w:rsid w:val="0C5114BF"/>
    <w:rsid w:val="0C6642D6"/>
    <w:rsid w:val="0C864064"/>
    <w:rsid w:val="0C9870EE"/>
    <w:rsid w:val="0CA267B8"/>
    <w:rsid w:val="0CAA6E21"/>
    <w:rsid w:val="0D081076"/>
    <w:rsid w:val="0D197B03"/>
    <w:rsid w:val="0D1A6EA2"/>
    <w:rsid w:val="0D371FAE"/>
    <w:rsid w:val="0D4B5661"/>
    <w:rsid w:val="0D5D49D6"/>
    <w:rsid w:val="0DA05CD0"/>
    <w:rsid w:val="0DA15ED0"/>
    <w:rsid w:val="0DA57DAF"/>
    <w:rsid w:val="0DF13B36"/>
    <w:rsid w:val="0DFB5F29"/>
    <w:rsid w:val="0E2A0612"/>
    <w:rsid w:val="0E383484"/>
    <w:rsid w:val="0E5F0530"/>
    <w:rsid w:val="0E623FB2"/>
    <w:rsid w:val="0E8211A4"/>
    <w:rsid w:val="0E912047"/>
    <w:rsid w:val="0EA22D36"/>
    <w:rsid w:val="0EB23C00"/>
    <w:rsid w:val="0EC96337"/>
    <w:rsid w:val="0EDA3549"/>
    <w:rsid w:val="0EE54141"/>
    <w:rsid w:val="0EEF4A2F"/>
    <w:rsid w:val="0F046C64"/>
    <w:rsid w:val="0F1022AD"/>
    <w:rsid w:val="0F3D7DED"/>
    <w:rsid w:val="0F4C2412"/>
    <w:rsid w:val="0F8120BC"/>
    <w:rsid w:val="0F8C046B"/>
    <w:rsid w:val="0FA6264D"/>
    <w:rsid w:val="0FBF0B78"/>
    <w:rsid w:val="100C1D4F"/>
    <w:rsid w:val="10545F74"/>
    <w:rsid w:val="1086277C"/>
    <w:rsid w:val="10952FD9"/>
    <w:rsid w:val="10CB62A1"/>
    <w:rsid w:val="10D26947"/>
    <w:rsid w:val="11286567"/>
    <w:rsid w:val="11340EF0"/>
    <w:rsid w:val="114060EA"/>
    <w:rsid w:val="1158509E"/>
    <w:rsid w:val="115B06EA"/>
    <w:rsid w:val="11787636"/>
    <w:rsid w:val="118F156F"/>
    <w:rsid w:val="118F7CA5"/>
    <w:rsid w:val="11941CAE"/>
    <w:rsid w:val="11B17552"/>
    <w:rsid w:val="11CA487D"/>
    <w:rsid w:val="11CA5199"/>
    <w:rsid w:val="11CB54E8"/>
    <w:rsid w:val="11D848DB"/>
    <w:rsid w:val="11DB4D53"/>
    <w:rsid w:val="11E46026"/>
    <w:rsid w:val="11F24C29"/>
    <w:rsid w:val="11F7261E"/>
    <w:rsid w:val="12236E9E"/>
    <w:rsid w:val="122A14A2"/>
    <w:rsid w:val="125E2627"/>
    <w:rsid w:val="12A003F1"/>
    <w:rsid w:val="12A41E4A"/>
    <w:rsid w:val="12CD5AFC"/>
    <w:rsid w:val="12D83D41"/>
    <w:rsid w:val="12DF69F7"/>
    <w:rsid w:val="1300269F"/>
    <w:rsid w:val="131B103E"/>
    <w:rsid w:val="132C2260"/>
    <w:rsid w:val="1344681D"/>
    <w:rsid w:val="134B634C"/>
    <w:rsid w:val="138B5993"/>
    <w:rsid w:val="13B13B50"/>
    <w:rsid w:val="140D5ACB"/>
    <w:rsid w:val="14157276"/>
    <w:rsid w:val="141E3827"/>
    <w:rsid w:val="142D315A"/>
    <w:rsid w:val="144D4C62"/>
    <w:rsid w:val="14CA41D4"/>
    <w:rsid w:val="14E83F6B"/>
    <w:rsid w:val="15311E8E"/>
    <w:rsid w:val="154F67B8"/>
    <w:rsid w:val="155B4CE9"/>
    <w:rsid w:val="158F2621"/>
    <w:rsid w:val="15B231EF"/>
    <w:rsid w:val="15BD5E17"/>
    <w:rsid w:val="15D750C6"/>
    <w:rsid w:val="15D97942"/>
    <w:rsid w:val="161D4FEB"/>
    <w:rsid w:val="163F7085"/>
    <w:rsid w:val="16522353"/>
    <w:rsid w:val="16883445"/>
    <w:rsid w:val="16AF5488"/>
    <w:rsid w:val="16F92E7F"/>
    <w:rsid w:val="171C0D51"/>
    <w:rsid w:val="171C4DC0"/>
    <w:rsid w:val="172A128B"/>
    <w:rsid w:val="17565D0C"/>
    <w:rsid w:val="17A67219"/>
    <w:rsid w:val="17A8719E"/>
    <w:rsid w:val="17F57F70"/>
    <w:rsid w:val="18102FB8"/>
    <w:rsid w:val="182E7D1F"/>
    <w:rsid w:val="18333A1E"/>
    <w:rsid w:val="183B1275"/>
    <w:rsid w:val="18503F02"/>
    <w:rsid w:val="18AC0AC9"/>
    <w:rsid w:val="18DF6AE8"/>
    <w:rsid w:val="1907220E"/>
    <w:rsid w:val="19100375"/>
    <w:rsid w:val="191968D0"/>
    <w:rsid w:val="194927FE"/>
    <w:rsid w:val="19527414"/>
    <w:rsid w:val="19564584"/>
    <w:rsid w:val="195E54F8"/>
    <w:rsid w:val="195F5D19"/>
    <w:rsid w:val="19831126"/>
    <w:rsid w:val="198E25A5"/>
    <w:rsid w:val="19AC0CB4"/>
    <w:rsid w:val="19AF75C3"/>
    <w:rsid w:val="19C91A98"/>
    <w:rsid w:val="19CD1DE1"/>
    <w:rsid w:val="1A011840"/>
    <w:rsid w:val="1A0F29BA"/>
    <w:rsid w:val="1A4C7C03"/>
    <w:rsid w:val="1A89276C"/>
    <w:rsid w:val="1A98475D"/>
    <w:rsid w:val="1A9D1D74"/>
    <w:rsid w:val="1AB135BD"/>
    <w:rsid w:val="1ACC4114"/>
    <w:rsid w:val="1AD339E7"/>
    <w:rsid w:val="1ADF2C8F"/>
    <w:rsid w:val="1B1B26AB"/>
    <w:rsid w:val="1B934370"/>
    <w:rsid w:val="1BA535D6"/>
    <w:rsid w:val="1BAE20D0"/>
    <w:rsid w:val="1C0F69C2"/>
    <w:rsid w:val="1C9122A7"/>
    <w:rsid w:val="1CA67605"/>
    <w:rsid w:val="1CC94D45"/>
    <w:rsid w:val="1CEA33EA"/>
    <w:rsid w:val="1D0D498F"/>
    <w:rsid w:val="1D47530C"/>
    <w:rsid w:val="1D4E37F9"/>
    <w:rsid w:val="1D5D0FFF"/>
    <w:rsid w:val="1D7B79EB"/>
    <w:rsid w:val="1D7C1EFF"/>
    <w:rsid w:val="1D7F18A0"/>
    <w:rsid w:val="1D805312"/>
    <w:rsid w:val="1D9800C1"/>
    <w:rsid w:val="1DE27A34"/>
    <w:rsid w:val="1DF148B0"/>
    <w:rsid w:val="1E000204"/>
    <w:rsid w:val="1E107ADD"/>
    <w:rsid w:val="1E6F1C79"/>
    <w:rsid w:val="1EAF7D54"/>
    <w:rsid w:val="1EB11208"/>
    <w:rsid w:val="1EB23704"/>
    <w:rsid w:val="1EF07330"/>
    <w:rsid w:val="1EF71344"/>
    <w:rsid w:val="1F6E53CE"/>
    <w:rsid w:val="1F916EFA"/>
    <w:rsid w:val="1F9C59C3"/>
    <w:rsid w:val="1FB87FE4"/>
    <w:rsid w:val="1FB95466"/>
    <w:rsid w:val="1FD004F5"/>
    <w:rsid w:val="20077EBC"/>
    <w:rsid w:val="205479C0"/>
    <w:rsid w:val="205D3A77"/>
    <w:rsid w:val="20684BD2"/>
    <w:rsid w:val="206A6B9C"/>
    <w:rsid w:val="2079160F"/>
    <w:rsid w:val="20903A0F"/>
    <w:rsid w:val="20B9542D"/>
    <w:rsid w:val="20B969E4"/>
    <w:rsid w:val="20BD34A1"/>
    <w:rsid w:val="20DC2AA9"/>
    <w:rsid w:val="20FF510D"/>
    <w:rsid w:val="210174D5"/>
    <w:rsid w:val="210B4696"/>
    <w:rsid w:val="2125389E"/>
    <w:rsid w:val="212925B3"/>
    <w:rsid w:val="21537C7F"/>
    <w:rsid w:val="21835A00"/>
    <w:rsid w:val="218579D6"/>
    <w:rsid w:val="218A38D3"/>
    <w:rsid w:val="21A053CB"/>
    <w:rsid w:val="21B4116F"/>
    <w:rsid w:val="21B96374"/>
    <w:rsid w:val="21BE719F"/>
    <w:rsid w:val="21D35257"/>
    <w:rsid w:val="21E16C45"/>
    <w:rsid w:val="21E32CB1"/>
    <w:rsid w:val="21F52BDC"/>
    <w:rsid w:val="21FB60D3"/>
    <w:rsid w:val="21FD645A"/>
    <w:rsid w:val="223B434C"/>
    <w:rsid w:val="225F094E"/>
    <w:rsid w:val="22696380"/>
    <w:rsid w:val="226A4C31"/>
    <w:rsid w:val="2282403D"/>
    <w:rsid w:val="229138A9"/>
    <w:rsid w:val="22AD4B1E"/>
    <w:rsid w:val="22E84E0E"/>
    <w:rsid w:val="230609BD"/>
    <w:rsid w:val="235B7BA7"/>
    <w:rsid w:val="239F3B54"/>
    <w:rsid w:val="23CA7C2F"/>
    <w:rsid w:val="23D90B53"/>
    <w:rsid w:val="23EC5BBE"/>
    <w:rsid w:val="2402179C"/>
    <w:rsid w:val="24085FF8"/>
    <w:rsid w:val="241A5C0D"/>
    <w:rsid w:val="241A7654"/>
    <w:rsid w:val="241F4129"/>
    <w:rsid w:val="247C5407"/>
    <w:rsid w:val="24843A84"/>
    <w:rsid w:val="24AB32DF"/>
    <w:rsid w:val="24CD14A7"/>
    <w:rsid w:val="24E011DB"/>
    <w:rsid w:val="24FD27A6"/>
    <w:rsid w:val="253F58E7"/>
    <w:rsid w:val="254554E2"/>
    <w:rsid w:val="25535E50"/>
    <w:rsid w:val="25743246"/>
    <w:rsid w:val="257D3EC7"/>
    <w:rsid w:val="25D074A1"/>
    <w:rsid w:val="260C3DAE"/>
    <w:rsid w:val="260E26DC"/>
    <w:rsid w:val="268C261C"/>
    <w:rsid w:val="26E70C53"/>
    <w:rsid w:val="26FB2A9E"/>
    <w:rsid w:val="2709306D"/>
    <w:rsid w:val="270F0823"/>
    <w:rsid w:val="2714160F"/>
    <w:rsid w:val="27205B15"/>
    <w:rsid w:val="2731118B"/>
    <w:rsid w:val="275E34DA"/>
    <w:rsid w:val="27725D6F"/>
    <w:rsid w:val="278F2E6F"/>
    <w:rsid w:val="279544FE"/>
    <w:rsid w:val="279D1CD9"/>
    <w:rsid w:val="279D3215"/>
    <w:rsid w:val="27A6670B"/>
    <w:rsid w:val="27FC155E"/>
    <w:rsid w:val="27FE23C8"/>
    <w:rsid w:val="280451E0"/>
    <w:rsid w:val="28052EE7"/>
    <w:rsid w:val="28133675"/>
    <w:rsid w:val="28235979"/>
    <w:rsid w:val="283F6204"/>
    <w:rsid w:val="285A33D7"/>
    <w:rsid w:val="2867676F"/>
    <w:rsid w:val="286C08B6"/>
    <w:rsid w:val="28792521"/>
    <w:rsid w:val="287E4F92"/>
    <w:rsid w:val="288B1869"/>
    <w:rsid w:val="28932156"/>
    <w:rsid w:val="28A65B6C"/>
    <w:rsid w:val="28B66E1A"/>
    <w:rsid w:val="28B704A4"/>
    <w:rsid w:val="28B7285C"/>
    <w:rsid w:val="28C72DDD"/>
    <w:rsid w:val="28DA492B"/>
    <w:rsid w:val="29057462"/>
    <w:rsid w:val="299406F2"/>
    <w:rsid w:val="299627B0"/>
    <w:rsid w:val="29A84583"/>
    <w:rsid w:val="2A107C73"/>
    <w:rsid w:val="2A8D770F"/>
    <w:rsid w:val="2A9D794E"/>
    <w:rsid w:val="2A9F56A0"/>
    <w:rsid w:val="2AB73855"/>
    <w:rsid w:val="2AC412D1"/>
    <w:rsid w:val="2B063459"/>
    <w:rsid w:val="2B0A1862"/>
    <w:rsid w:val="2B2A3594"/>
    <w:rsid w:val="2B545BC4"/>
    <w:rsid w:val="2B5C7036"/>
    <w:rsid w:val="2B92562E"/>
    <w:rsid w:val="2BE20D5E"/>
    <w:rsid w:val="2BE23904"/>
    <w:rsid w:val="2BE8246A"/>
    <w:rsid w:val="2C245E51"/>
    <w:rsid w:val="2C5104F2"/>
    <w:rsid w:val="2C6541C2"/>
    <w:rsid w:val="2C82234B"/>
    <w:rsid w:val="2C872639"/>
    <w:rsid w:val="2C8C39F6"/>
    <w:rsid w:val="2C92401F"/>
    <w:rsid w:val="2CB54B9C"/>
    <w:rsid w:val="2D011FAC"/>
    <w:rsid w:val="2D2307FE"/>
    <w:rsid w:val="2D9B65E7"/>
    <w:rsid w:val="2DA72349"/>
    <w:rsid w:val="2DC122E1"/>
    <w:rsid w:val="2DF31065"/>
    <w:rsid w:val="2E113FA9"/>
    <w:rsid w:val="2E121F49"/>
    <w:rsid w:val="2E170CB0"/>
    <w:rsid w:val="2E1F572E"/>
    <w:rsid w:val="2E2F6D2F"/>
    <w:rsid w:val="2E5F315B"/>
    <w:rsid w:val="2E9D1979"/>
    <w:rsid w:val="2ED34F37"/>
    <w:rsid w:val="2EEF5447"/>
    <w:rsid w:val="2EFC3748"/>
    <w:rsid w:val="2F1C42A3"/>
    <w:rsid w:val="2F37085D"/>
    <w:rsid w:val="2F421B5B"/>
    <w:rsid w:val="2F561C30"/>
    <w:rsid w:val="2F6B0188"/>
    <w:rsid w:val="2FBC4D4D"/>
    <w:rsid w:val="2FCA0DCF"/>
    <w:rsid w:val="2FF517B4"/>
    <w:rsid w:val="301713D4"/>
    <w:rsid w:val="30192860"/>
    <w:rsid w:val="30234671"/>
    <w:rsid w:val="3029612C"/>
    <w:rsid w:val="302F3016"/>
    <w:rsid w:val="30302262"/>
    <w:rsid w:val="30496D38"/>
    <w:rsid w:val="305B6683"/>
    <w:rsid w:val="309061AB"/>
    <w:rsid w:val="309E55E0"/>
    <w:rsid w:val="30AA3BFA"/>
    <w:rsid w:val="30B33C47"/>
    <w:rsid w:val="30B70A77"/>
    <w:rsid w:val="30D00355"/>
    <w:rsid w:val="30FD3114"/>
    <w:rsid w:val="310D3D57"/>
    <w:rsid w:val="31391165"/>
    <w:rsid w:val="315C42DF"/>
    <w:rsid w:val="319A30F6"/>
    <w:rsid w:val="31C205E6"/>
    <w:rsid w:val="31D20A02"/>
    <w:rsid w:val="31D4446A"/>
    <w:rsid w:val="32230959"/>
    <w:rsid w:val="3251196A"/>
    <w:rsid w:val="32601BAD"/>
    <w:rsid w:val="327F3327"/>
    <w:rsid w:val="32991967"/>
    <w:rsid w:val="32B13550"/>
    <w:rsid w:val="32BD6FFF"/>
    <w:rsid w:val="33226E62"/>
    <w:rsid w:val="335308BF"/>
    <w:rsid w:val="33563502"/>
    <w:rsid w:val="336A62ED"/>
    <w:rsid w:val="33850E4E"/>
    <w:rsid w:val="338C236E"/>
    <w:rsid w:val="338F44F8"/>
    <w:rsid w:val="33A02EF0"/>
    <w:rsid w:val="33A72236"/>
    <w:rsid w:val="34240476"/>
    <w:rsid w:val="342918C3"/>
    <w:rsid w:val="344D5D0D"/>
    <w:rsid w:val="34763C83"/>
    <w:rsid w:val="349E1CAA"/>
    <w:rsid w:val="34BF0E0C"/>
    <w:rsid w:val="34C14B30"/>
    <w:rsid w:val="34D219AF"/>
    <w:rsid w:val="34D85D40"/>
    <w:rsid w:val="34DF35F2"/>
    <w:rsid w:val="35301A76"/>
    <w:rsid w:val="35347698"/>
    <w:rsid w:val="353F2306"/>
    <w:rsid w:val="35457D22"/>
    <w:rsid w:val="35563FD8"/>
    <w:rsid w:val="355A28E3"/>
    <w:rsid w:val="355D3CC5"/>
    <w:rsid w:val="356E1C14"/>
    <w:rsid w:val="35916532"/>
    <w:rsid w:val="35E53A69"/>
    <w:rsid w:val="35E85BBF"/>
    <w:rsid w:val="35EC254E"/>
    <w:rsid w:val="360D5BA8"/>
    <w:rsid w:val="36226C5B"/>
    <w:rsid w:val="36595D22"/>
    <w:rsid w:val="36741A6F"/>
    <w:rsid w:val="369562F3"/>
    <w:rsid w:val="36AE3BFD"/>
    <w:rsid w:val="36D3537A"/>
    <w:rsid w:val="36F823B4"/>
    <w:rsid w:val="371774E9"/>
    <w:rsid w:val="37392302"/>
    <w:rsid w:val="3753756E"/>
    <w:rsid w:val="376E70A4"/>
    <w:rsid w:val="37872C98"/>
    <w:rsid w:val="379245B6"/>
    <w:rsid w:val="37B962A2"/>
    <w:rsid w:val="37BE4787"/>
    <w:rsid w:val="37FC2378"/>
    <w:rsid w:val="38305420"/>
    <w:rsid w:val="38465F6E"/>
    <w:rsid w:val="385E6B8E"/>
    <w:rsid w:val="38726701"/>
    <w:rsid w:val="38986974"/>
    <w:rsid w:val="38A90AA1"/>
    <w:rsid w:val="38C552F2"/>
    <w:rsid w:val="38C557AF"/>
    <w:rsid w:val="38DC64B8"/>
    <w:rsid w:val="390A100B"/>
    <w:rsid w:val="392A45BB"/>
    <w:rsid w:val="393943BB"/>
    <w:rsid w:val="394467C6"/>
    <w:rsid w:val="397D200E"/>
    <w:rsid w:val="39842625"/>
    <w:rsid w:val="398A4717"/>
    <w:rsid w:val="39CB349D"/>
    <w:rsid w:val="39D30EB6"/>
    <w:rsid w:val="39D821FF"/>
    <w:rsid w:val="39FA28E7"/>
    <w:rsid w:val="3A231490"/>
    <w:rsid w:val="3A3234A8"/>
    <w:rsid w:val="3A3D6816"/>
    <w:rsid w:val="3A52627F"/>
    <w:rsid w:val="3A865F28"/>
    <w:rsid w:val="3A891403"/>
    <w:rsid w:val="3A8D4DF0"/>
    <w:rsid w:val="3A8E75D9"/>
    <w:rsid w:val="3A8F47A6"/>
    <w:rsid w:val="3AEC207C"/>
    <w:rsid w:val="3B467DC1"/>
    <w:rsid w:val="3B6B7DBE"/>
    <w:rsid w:val="3B6E636D"/>
    <w:rsid w:val="3B7772BF"/>
    <w:rsid w:val="3B82673D"/>
    <w:rsid w:val="3BAD3189"/>
    <w:rsid w:val="3BB014AF"/>
    <w:rsid w:val="3BF26946"/>
    <w:rsid w:val="3BFC7D26"/>
    <w:rsid w:val="3C472531"/>
    <w:rsid w:val="3C926818"/>
    <w:rsid w:val="3C9E0F0C"/>
    <w:rsid w:val="3CF6A2D3"/>
    <w:rsid w:val="3CF9394B"/>
    <w:rsid w:val="3D3324AB"/>
    <w:rsid w:val="3D34414A"/>
    <w:rsid w:val="3D356814"/>
    <w:rsid w:val="3D6577DF"/>
    <w:rsid w:val="3D707816"/>
    <w:rsid w:val="3D8E5117"/>
    <w:rsid w:val="3DBB1BA6"/>
    <w:rsid w:val="3DBC589C"/>
    <w:rsid w:val="3DBF00CF"/>
    <w:rsid w:val="3DD45DDC"/>
    <w:rsid w:val="3DD47A3F"/>
    <w:rsid w:val="3DF24001"/>
    <w:rsid w:val="3E261EFC"/>
    <w:rsid w:val="3E2919ED"/>
    <w:rsid w:val="3E375EB7"/>
    <w:rsid w:val="3E5325C6"/>
    <w:rsid w:val="3E5E3A25"/>
    <w:rsid w:val="3E5E5F20"/>
    <w:rsid w:val="3EE62F19"/>
    <w:rsid w:val="3EE76244"/>
    <w:rsid w:val="3EF1250A"/>
    <w:rsid w:val="3F0C50A2"/>
    <w:rsid w:val="3F1D3BAA"/>
    <w:rsid w:val="3F5E0C76"/>
    <w:rsid w:val="3F763E1F"/>
    <w:rsid w:val="3F94502A"/>
    <w:rsid w:val="3F973246"/>
    <w:rsid w:val="3F9B2DCE"/>
    <w:rsid w:val="3FF61F46"/>
    <w:rsid w:val="3FF73B50"/>
    <w:rsid w:val="400024F9"/>
    <w:rsid w:val="4011165D"/>
    <w:rsid w:val="401B06CB"/>
    <w:rsid w:val="40537C33"/>
    <w:rsid w:val="40726279"/>
    <w:rsid w:val="409D5D7A"/>
    <w:rsid w:val="40A6350F"/>
    <w:rsid w:val="40BA692C"/>
    <w:rsid w:val="40CC17E9"/>
    <w:rsid w:val="40F804CC"/>
    <w:rsid w:val="40F93A22"/>
    <w:rsid w:val="40FA4A09"/>
    <w:rsid w:val="41063842"/>
    <w:rsid w:val="412F0F7D"/>
    <w:rsid w:val="41563B29"/>
    <w:rsid w:val="415B02A6"/>
    <w:rsid w:val="41911D83"/>
    <w:rsid w:val="41D02A92"/>
    <w:rsid w:val="41EA1EA0"/>
    <w:rsid w:val="41EB46D8"/>
    <w:rsid w:val="41F1466F"/>
    <w:rsid w:val="42072045"/>
    <w:rsid w:val="42442203"/>
    <w:rsid w:val="4254355A"/>
    <w:rsid w:val="426254CD"/>
    <w:rsid w:val="426971DD"/>
    <w:rsid w:val="42707BEA"/>
    <w:rsid w:val="428404DF"/>
    <w:rsid w:val="42D50621"/>
    <w:rsid w:val="42E43FEA"/>
    <w:rsid w:val="42E5606D"/>
    <w:rsid w:val="42EA51B1"/>
    <w:rsid w:val="42EF7DFF"/>
    <w:rsid w:val="430D3E24"/>
    <w:rsid w:val="431D4906"/>
    <w:rsid w:val="436B54A0"/>
    <w:rsid w:val="43764E5A"/>
    <w:rsid w:val="43863194"/>
    <w:rsid w:val="439C5485"/>
    <w:rsid w:val="43A56164"/>
    <w:rsid w:val="43AF6D8A"/>
    <w:rsid w:val="43B21688"/>
    <w:rsid w:val="43B458B4"/>
    <w:rsid w:val="43D83C99"/>
    <w:rsid w:val="441938CE"/>
    <w:rsid w:val="443913AE"/>
    <w:rsid w:val="44693019"/>
    <w:rsid w:val="44696AE3"/>
    <w:rsid w:val="44852659"/>
    <w:rsid w:val="44927CED"/>
    <w:rsid w:val="44D73612"/>
    <w:rsid w:val="44E65F41"/>
    <w:rsid w:val="44F167BC"/>
    <w:rsid w:val="44FA5AB4"/>
    <w:rsid w:val="451F3201"/>
    <w:rsid w:val="454172E8"/>
    <w:rsid w:val="454806F3"/>
    <w:rsid w:val="45994BA8"/>
    <w:rsid w:val="459A3C5C"/>
    <w:rsid w:val="46126858"/>
    <w:rsid w:val="462F56C6"/>
    <w:rsid w:val="463F26DC"/>
    <w:rsid w:val="464E3D9E"/>
    <w:rsid w:val="46753A21"/>
    <w:rsid w:val="468273E7"/>
    <w:rsid w:val="46A216CB"/>
    <w:rsid w:val="46AA2C63"/>
    <w:rsid w:val="46B63573"/>
    <w:rsid w:val="46E8503C"/>
    <w:rsid w:val="46EB5A91"/>
    <w:rsid w:val="4703023F"/>
    <w:rsid w:val="4743546C"/>
    <w:rsid w:val="474E19D5"/>
    <w:rsid w:val="47731241"/>
    <w:rsid w:val="47B25935"/>
    <w:rsid w:val="47C929D3"/>
    <w:rsid w:val="47ED4C2E"/>
    <w:rsid w:val="48006E83"/>
    <w:rsid w:val="4844759A"/>
    <w:rsid w:val="484E5937"/>
    <w:rsid w:val="484E5E5B"/>
    <w:rsid w:val="48592B87"/>
    <w:rsid w:val="48966D20"/>
    <w:rsid w:val="48AF414A"/>
    <w:rsid w:val="48D53D2F"/>
    <w:rsid w:val="48D57861"/>
    <w:rsid w:val="48EF04F5"/>
    <w:rsid w:val="48FD3F73"/>
    <w:rsid w:val="49066C33"/>
    <w:rsid w:val="49296250"/>
    <w:rsid w:val="495125C0"/>
    <w:rsid w:val="495C26B9"/>
    <w:rsid w:val="49624B8C"/>
    <w:rsid w:val="498452A6"/>
    <w:rsid w:val="49851C32"/>
    <w:rsid w:val="4992368D"/>
    <w:rsid w:val="49B27819"/>
    <w:rsid w:val="49BF6517"/>
    <w:rsid w:val="49D30D32"/>
    <w:rsid w:val="49D7251E"/>
    <w:rsid w:val="49F42B9D"/>
    <w:rsid w:val="4A233794"/>
    <w:rsid w:val="4A39575C"/>
    <w:rsid w:val="4A3E4A9F"/>
    <w:rsid w:val="4A406F19"/>
    <w:rsid w:val="4A573E87"/>
    <w:rsid w:val="4A8A611D"/>
    <w:rsid w:val="4A906886"/>
    <w:rsid w:val="4AB60164"/>
    <w:rsid w:val="4AB915D4"/>
    <w:rsid w:val="4ADC5DBC"/>
    <w:rsid w:val="4AF263F9"/>
    <w:rsid w:val="4AF528F5"/>
    <w:rsid w:val="4B1068A6"/>
    <w:rsid w:val="4B261957"/>
    <w:rsid w:val="4B2E0642"/>
    <w:rsid w:val="4B361528"/>
    <w:rsid w:val="4B4C2876"/>
    <w:rsid w:val="4B9A5CD8"/>
    <w:rsid w:val="4BA574B0"/>
    <w:rsid w:val="4BFA0BF0"/>
    <w:rsid w:val="4C194E4E"/>
    <w:rsid w:val="4C1A71C0"/>
    <w:rsid w:val="4C1E3B3B"/>
    <w:rsid w:val="4C3F770A"/>
    <w:rsid w:val="4C90254F"/>
    <w:rsid w:val="4D231477"/>
    <w:rsid w:val="4D2A1444"/>
    <w:rsid w:val="4D7D5429"/>
    <w:rsid w:val="4DD95881"/>
    <w:rsid w:val="4DDC1DE3"/>
    <w:rsid w:val="4DE85BF1"/>
    <w:rsid w:val="4DEA2600"/>
    <w:rsid w:val="4E165AE9"/>
    <w:rsid w:val="4E224E6D"/>
    <w:rsid w:val="4E3C5889"/>
    <w:rsid w:val="4E4B0A23"/>
    <w:rsid w:val="4E5E669C"/>
    <w:rsid w:val="4EEF1EC7"/>
    <w:rsid w:val="4EFD0A57"/>
    <w:rsid w:val="4F000A03"/>
    <w:rsid w:val="4F2307EC"/>
    <w:rsid w:val="4F4D5FC8"/>
    <w:rsid w:val="4F5C6769"/>
    <w:rsid w:val="4F72024C"/>
    <w:rsid w:val="4F847F58"/>
    <w:rsid w:val="4FB55D3C"/>
    <w:rsid w:val="4FC26F6B"/>
    <w:rsid w:val="4FD7309C"/>
    <w:rsid w:val="501A4269"/>
    <w:rsid w:val="5038005E"/>
    <w:rsid w:val="507E7976"/>
    <w:rsid w:val="50A05479"/>
    <w:rsid w:val="5112118E"/>
    <w:rsid w:val="51185D9D"/>
    <w:rsid w:val="51256476"/>
    <w:rsid w:val="51375377"/>
    <w:rsid w:val="51537640"/>
    <w:rsid w:val="518A10D0"/>
    <w:rsid w:val="51A72EFC"/>
    <w:rsid w:val="51C615D4"/>
    <w:rsid w:val="51E8587A"/>
    <w:rsid w:val="51EA07B0"/>
    <w:rsid w:val="523D4267"/>
    <w:rsid w:val="523F299D"/>
    <w:rsid w:val="52563AD2"/>
    <w:rsid w:val="5264494A"/>
    <w:rsid w:val="52727066"/>
    <w:rsid w:val="528A752C"/>
    <w:rsid w:val="52A94558"/>
    <w:rsid w:val="52BC2EC6"/>
    <w:rsid w:val="52C7085C"/>
    <w:rsid w:val="52D0202D"/>
    <w:rsid w:val="52D347CD"/>
    <w:rsid w:val="52E548E8"/>
    <w:rsid w:val="52EF6159"/>
    <w:rsid w:val="52F82B96"/>
    <w:rsid w:val="53721D3B"/>
    <w:rsid w:val="53A4068D"/>
    <w:rsid w:val="53E7795C"/>
    <w:rsid w:val="54217499"/>
    <w:rsid w:val="542319C7"/>
    <w:rsid w:val="54441195"/>
    <w:rsid w:val="5472078A"/>
    <w:rsid w:val="54751FDF"/>
    <w:rsid w:val="547B795A"/>
    <w:rsid w:val="54866880"/>
    <w:rsid w:val="54BA0727"/>
    <w:rsid w:val="54F27A2F"/>
    <w:rsid w:val="55032DA2"/>
    <w:rsid w:val="55277C17"/>
    <w:rsid w:val="559B789D"/>
    <w:rsid w:val="55BE5255"/>
    <w:rsid w:val="55C7060C"/>
    <w:rsid w:val="55FD758F"/>
    <w:rsid w:val="560D161F"/>
    <w:rsid w:val="56116B96"/>
    <w:rsid w:val="564B20A8"/>
    <w:rsid w:val="56690780"/>
    <w:rsid w:val="566B0E73"/>
    <w:rsid w:val="56A37175"/>
    <w:rsid w:val="56DC73C0"/>
    <w:rsid w:val="56EC58F1"/>
    <w:rsid w:val="56FC7AC4"/>
    <w:rsid w:val="5717642E"/>
    <w:rsid w:val="57267199"/>
    <w:rsid w:val="57364EEE"/>
    <w:rsid w:val="57617012"/>
    <w:rsid w:val="57727A42"/>
    <w:rsid w:val="57B155BA"/>
    <w:rsid w:val="57C40364"/>
    <w:rsid w:val="57C46850"/>
    <w:rsid w:val="57D12A81"/>
    <w:rsid w:val="57E72D99"/>
    <w:rsid w:val="57F03113"/>
    <w:rsid w:val="581E3DE2"/>
    <w:rsid w:val="583354EA"/>
    <w:rsid w:val="58607961"/>
    <w:rsid w:val="58632013"/>
    <w:rsid w:val="58655FC1"/>
    <w:rsid w:val="586B6F6A"/>
    <w:rsid w:val="58A052EE"/>
    <w:rsid w:val="58A9755A"/>
    <w:rsid w:val="58BD6BED"/>
    <w:rsid w:val="58D138E7"/>
    <w:rsid w:val="59070E63"/>
    <w:rsid w:val="59146152"/>
    <w:rsid w:val="591D38ED"/>
    <w:rsid w:val="59271254"/>
    <w:rsid w:val="592E7F72"/>
    <w:rsid w:val="59430347"/>
    <w:rsid w:val="597907BB"/>
    <w:rsid w:val="598E57BD"/>
    <w:rsid w:val="598F4A10"/>
    <w:rsid w:val="5991080B"/>
    <w:rsid w:val="5999137D"/>
    <w:rsid w:val="599B528A"/>
    <w:rsid w:val="599F5A86"/>
    <w:rsid w:val="59D9393C"/>
    <w:rsid w:val="59DC0ED9"/>
    <w:rsid w:val="59DD36DB"/>
    <w:rsid w:val="5A3C0FB8"/>
    <w:rsid w:val="5A4A33C9"/>
    <w:rsid w:val="5A6532E5"/>
    <w:rsid w:val="5A6E0454"/>
    <w:rsid w:val="5AC9642C"/>
    <w:rsid w:val="5B174C4F"/>
    <w:rsid w:val="5B397DDD"/>
    <w:rsid w:val="5B3C11E5"/>
    <w:rsid w:val="5B654864"/>
    <w:rsid w:val="5B6B27FF"/>
    <w:rsid w:val="5B880C09"/>
    <w:rsid w:val="5BB93D58"/>
    <w:rsid w:val="5BBF7E0A"/>
    <w:rsid w:val="5BC07095"/>
    <w:rsid w:val="5BC55001"/>
    <w:rsid w:val="5BCF6212"/>
    <w:rsid w:val="5BD36EB8"/>
    <w:rsid w:val="5BF527DC"/>
    <w:rsid w:val="5C3F37B7"/>
    <w:rsid w:val="5C444548"/>
    <w:rsid w:val="5CE7219D"/>
    <w:rsid w:val="5D0011B4"/>
    <w:rsid w:val="5D04461F"/>
    <w:rsid w:val="5D045E66"/>
    <w:rsid w:val="5D2418A5"/>
    <w:rsid w:val="5D2B6790"/>
    <w:rsid w:val="5D532A69"/>
    <w:rsid w:val="5D660F42"/>
    <w:rsid w:val="5D72174A"/>
    <w:rsid w:val="5D8026ED"/>
    <w:rsid w:val="5D840CE3"/>
    <w:rsid w:val="5D9D4F1C"/>
    <w:rsid w:val="5DA90924"/>
    <w:rsid w:val="5DB20C5F"/>
    <w:rsid w:val="5E131B37"/>
    <w:rsid w:val="5E397211"/>
    <w:rsid w:val="5E7E5774"/>
    <w:rsid w:val="5E7E6D93"/>
    <w:rsid w:val="5EC046BC"/>
    <w:rsid w:val="5ED421C0"/>
    <w:rsid w:val="5F31766E"/>
    <w:rsid w:val="5F3330A6"/>
    <w:rsid w:val="5F564316"/>
    <w:rsid w:val="5F7D7AA9"/>
    <w:rsid w:val="5F824661"/>
    <w:rsid w:val="5FA82AE6"/>
    <w:rsid w:val="5FAA65A0"/>
    <w:rsid w:val="5FC4131F"/>
    <w:rsid w:val="5FDB59F9"/>
    <w:rsid w:val="5FDC6467"/>
    <w:rsid w:val="600F690F"/>
    <w:rsid w:val="60192B7D"/>
    <w:rsid w:val="6035417E"/>
    <w:rsid w:val="604E119E"/>
    <w:rsid w:val="6054424F"/>
    <w:rsid w:val="605556C0"/>
    <w:rsid w:val="60737D86"/>
    <w:rsid w:val="60806E3B"/>
    <w:rsid w:val="608D49A9"/>
    <w:rsid w:val="60CA3499"/>
    <w:rsid w:val="60F42B85"/>
    <w:rsid w:val="60F6512F"/>
    <w:rsid w:val="610D2EA9"/>
    <w:rsid w:val="610E7639"/>
    <w:rsid w:val="613D088A"/>
    <w:rsid w:val="618A0755"/>
    <w:rsid w:val="61B2747F"/>
    <w:rsid w:val="61C80A51"/>
    <w:rsid w:val="61CB3F29"/>
    <w:rsid w:val="61D7235C"/>
    <w:rsid w:val="61F14216"/>
    <w:rsid w:val="620E2DC5"/>
    <w:rsid w:val="621D42E1"/>
    <w:rsid w:val="6249622F"/>
    <w:rsid w:val="627220BB"/>
    <w:rsid w:val="62846332"/>
    <w:rsid w:val="62A56E5A"/>
    <w:rsid w:val="62A63B7B"/>
    <w:rsid w:val="62A90F6C"/>
    <w:rsid w:val="62B81F78"/>
    <w:rsid w:val="62BC7E8A"/>
    <w:rsid w:val="62C36CCC"/>
    <w:rsid w:val="62E95123"/>
    <w:rsid w:val="62FA7950"/>
    <w:rsid w:val="63384459"/>
    <w:rsid w:val="63691349"/>
    <w:rsid w:val="637349EC"/>
    <w:rsid w:val="637E6767"/>
    <w:rsid w:val="63877BBB"/>
    <w:rsid w:val="63BA0096"/>
    <w:rsid w:val="63C2201C"/>
    <w:rsid w:val="63D3192F"/>
    <w:rsid w:val="63E9158C"/>
    <w:rsid w:val="64171FAE"/>
    <w:rsid w:val="64293188"/>
    <w:rsid w:val="646B3A0A"/>
    <w:rsid w:val="6495660B"/>
    <w:rsid w:val="64983408"/>
    <w:rsid w:val="64C84559"/>
    <w:rsid w:val="64EB16D3"/>
    <w:rsid w:val="64F47258"/>
    <w:rsid w:val="65223047"/>
    <w:rsid w:val="65476A2F"/>
    <w:rsid w:val="655F347A"/>
    <w:rsid w:val="656960A7"/>
    <w:rsid w:val="656E5DB3"/>
    <w:rsid w:val="65750EF0"/>
    <w:rsid w:val="65803457"/>
    <w:rsid w:val="65846750"/>
    <w:rsid w:val="65915677"/>
    <w:rsid w:val="65966BFC"/>
    <w:rsid w:val="65A84293"/>
    <w:rsid w:val="65D50FE0"/>
    <w:rsid w:val="66125B11"/>
    <w:rsid w:val="66243F64"/>
    <w:rsid w:val="662C2D47"/>
    <w:rsid w:val="663C4F24"/>
    <w:rsid w:val="664E6AF4"/>
    <w:rsid w:val="665B077B"/>
    <w:rsid w:val="669668E3"/>
    <w:rsid w:val="669F7DC2"/>
    <w:rsid w:val="66D24C12"/>
    <w:rsid w:val="66D529C2"/>
    <w:rsid w:val="66D6776C"/>
    <w:rsid w:val="66DA46D0"/>
    <w:rsid w:val="66DA56D2"/>
    <w:rsid w:val="67017401"/>
    <w:rsid w:val="671604B0"/>
    <w:rsid w:val="671958AB"/>
    <w:rsid w:val="67235885"/>
    <w:rsid w:val="6747626A"/>
    <w:rsid w:val="674F47BC"/>
    <w:rsid w:val="6793436E"/>
    <w:rsid w:val="67A87CE4"/>
    <w:rsid w:val="67B1320D"/>
    <w:rsid w:val="67B802D2"/>
    <w:rsid w:val="67C93D3B"/>
    <w:rsid w:val="682F64A8"/>
    <w:rsid w:val="683A6D76"/>
    <w:rsid w:val="684D3B04"/>
    <w:rsid w:val="689A5997"/>
    <w:rsid w:val="68A070E6"/>
    <w:rsid w:val="68A328BF"/>
    <w:rsid w:val="68BD6578"/>
    <w:rsid w:val="68D8137E"/>
    <w:rsid w:val="68F55EA4"/>
    <w:rsid w:val="6907678F"/>
    <w:rsid w:val="691C0829"/>
    <w:rsid w:val="694B7554"/>
    <w:rsid w:val="696E0D0F"/>
    <w:rsid w:val="69803E30"/>
    <w:rsid w:val="69843021"/>
    <w:rsid w:val="69887F4A"/>
    <w:rsid w:val="69A135A8"/>
    <w:rsid w:val="69D82C50"/>
    <w:rsid w:val="69DD52B6"/>
    <w:rsid w:val="69E92433"/>
    <w:rsid w:val="69FB51B1"/>
    <w:rsid w:val="6A014FDB"/>
    <w:rsid w:val="6A165C15"/>
    <w:rsid w:val="6A350C4E"/>
    <w:rsid w:val="6A5D32F8"/>
    <w:rsid w:val="6A6D7D4E"/>
    <w:rsid w:val="6A7625D7"/>
    <w:rsid w:val="6A883BF2"/>
    <w:rsid w:val="6A8B3277"/>
    <w:rsid w:val="6AB72C58"/>
    <w:rsid w:val="6AC975E8"/>
    <w:rsid w:val="6AEC3747"/>
    <w:rsid w:val="6AEF1111"/>
    <w:rsid w:val="6B0A09B6"/>
    <w:rsid w:val="6B1035EF"/>
    <w:rsid w:val="6B314128"/>
    <w:rsid w:val="6B38327E"/>
    <w:rsid w:val="6B447FF8"/>
    <w:rsid w:val="6B6D2F9B"/>
    <w:rsid w:val="6B854548"/>
    <w:rsid w:val="6BA240C1"/>
    <w:rsid w:val="6BD344C2"/>
    <w:rsid w:val="6BEA5A68"/>
    <w:rsid w:val="6BF877D4"/>
    <w:rsid w:val="6C07661A"/>
    <w:rsid w:val="6C4569F8"/>
    <w:rsid w:val="6C5014EE"/>
    <w:rsid w:val="6C625DD2"/>
    <w:rsid w:val="6C6450DD"/>
    <w:rsid w:val="6C723C75"/>
    <w:rsid w:val="6C746F84"/>
    <w:rsid w:val="6C874CA5"/>
    <w:rsid w:val="6CF26837"/>
    <w:rsid w:val="6CFE648C"/>
    <w:rsid w:val="6CFF5543"/>
    <w:rsid w:val="6D1E3661"/>
    <w:rsid w:val="6D494FEB"/>
    <w:rsid w:val="6D533178"/>
    <w:rsid w:val="6DAF32CC"/>
    <w:rsid w:val="6DB814AF"/>
    <w:rsid w:val="6DC81078"/>
    <w:rsid w:val="6DF45701"/>
    <w:rsid w:val="6DFC60F3"/>
    <w:rsid w:val="6E0826A6"/>
    <w:rsid w:val="6E0A574E"/>
    <w:rsid w:val="6E317F9B"/>
    <w:rsid w:val="6E9207CE"/>
    <w:rsid w:val="6E99388E"/>
    <w:rsid w:val="6EA6211A"/>
    <w:rsid w:val="6EF70BC7"/>
    <w:rsid w:val="6F24510F"/>
    <w:rsid w:val="6F95746A"/>
    <w:rsid w:val="6FD97A1B"/>
    <w:rsid w:val="6FEF29EC"/>
    <w:rsid w:val="6FFA4879"/>
    <w:rsid w:val="70127584"/>
    <w:rsid w:val="70307295"/>
    <w:rsid w:val="70375AA4"/>
    <w:rsid w:val="70405BD1"/>
    <w:rsid w:val="70432DA3"/>
    <w:rsid w:val="70525652"/>
    <w:rsid w:val="70541799"/>
    <w:rsid w:val="707149AA"/>
    <w:rsid w:val="708E7C10"/>
    <w:rsid w:val="7090731F"/>
    <w:rsid w:val="70A92D35"/>
    <w:rsid w:val="70F80EC1"/>
    <w:rsid w:val="70F97A42"/>
    <w:rsid w:val="71021853"/>
    <w:rsid w:val="71160A9C"/>
    <w:rsid w:val="71234A29"/>
    <w:rsid w:val="716B5A48"/>
    <w:rsid w:val="717F1DB7"/>
    <w:rsid w:val="71915DBC"/>
    <w:rsid w:val="71973F9C"/>
    <w:rsid w:val="71B81AFE"/>
    <w:rsid w:val="71C331FF"/>
    <w:rsid w:val="71D041A1"/>
    <w:rsid w:val="72055E18"/>
    <w:rsid w:val="721F6602"/>
    <w:rsid w:val="72903C5A"/>
    <w:rsid w:val="72C139C6"/>
    <w:rsid w:val="72C7270A"/>
    <w:rsid w:val="72E30D9C"/>
    <w:rsid w:val="72E640EC"/>
    <w:rsid w:val="730274C4"/>
    <w:rsid w:val="731C3962"/>
    <w:rsid w:val="73205E42"/>
    <w:rsid w:val="73430839"/>
    <w:rsid w:val="73695525"/>
    <w:rsid w:val="739856E8"/>
    <w:rsid w:val="73A929B9"/>
    <w:rsid w:val="73C37364"/>
    <w:rsid w:val="73DC7692"/>
    <w:rsid w:val="741E1F7B"/>
    <w:rsid w:val="74341F76"/>
    <w:rsid w:val="745028EB"/>
    <w:rsid w:val="745148D6"/>
    <w:rsid w:val="745D438C"/>
    <w:rsid w:val="74623C1E"/>
    <w:rsid w:val="74776F67"/>
    <w:rsid w:val="74A35392"/>
    <w:rsid w:val="74B7602D"/>
    <w:rsid w:val="74B90999"/>
    <w:rsid w:val="74F131D6"/>
    <w:rsid w:val="753A35BC"/>
    <w:rsid w:val="753A3608"/>
    <w:rsid w:val="754226B0"/>
    <w:rsid w:val="7543257F"/>
    <w:rsid w:val="75464211"/>
    <w:rsid w:val="756920F3"/>
    <w:rsid w:val="757E6538"/>
    <w:rsid w:val="758F28B6"/>
    <w:rsid w:val="75916E90"/>
    <w:rsid w:val="75A60C51"/>
    <w:rsid w:val="75A70285"/>
    <w:rsid w:val="75C90C99"/>
    <w:rsid w:val="75E75628"/>
    <w:rsid w:val="75ED4550"/>
    <w:rsid w:val="760761F4"/>
    <w:rsid w:val="764E3E47"/>
    <w:rsid w:val="765E646D"/>
    <w:rsid w:val="766E6FAE"/>
    <w:rsid w:val="76746E0D"/>
    <w:rsid w:val="767E684B"/>
    <w:rsid w:val="76896E99"/>
    <w:rsid w:val="76D0242A"/>
    <w:rsid w:val="76F74DB3"/>
    <w:rsid w:val="770E155C"/>
    <w:rsid w:val="772D6306"/>
    <w:rsid w:val="774D356D"/>
    <w:rsid w:val="776F6829"/>
    <w:rsid w:val="77753BEE"/>
    <w:rsid w:val="778A22C8"/>
    <w:rsid w:val="77BD342B"/>
    <w:rsid w:val="77C938B3"/>
    <w:rsid w:val="77D562DE"/>
    <w:rsid w:val="77E30945"/>
    <w:rsid w:val="77F02638"/>
    <w:rsid w:val="77FA5285"/>
    <w:rsid w:val="78056103"/>
    <w:rsid w:val="78267E28"/>
    <w:rsid w:val="784B5AE0"/>
    <w:rsid w:val="7868065A"/>
    <w:rsid w:val="78713799"/>
    <w:rsid w:val="787D62A2"/>
    <w:rsid w:val="788C0F3B"/>
    <w:rsid w:val="788D6747"/>
    <w:rsid w:val="788E570A"/>
    <w:rsid w:val="78A626EC"/>
    <w:rsid w:val="78BF4978"/>
    <w:rsid w:val="78E17C6F"/>
    <w:rsid w:val="78EF4847"/>
    <w:rsid w:val="79206F6D"/>
    <w:rsid w:val="794B3FEA"/>
    <w:rsid w:val="797C1EA2"/>
    <w:rsid w:val="799742DB"/>
    <w:rsid w:val="79D07D2B"/>
    <w:rsid w:val="7A112B06"/>
    <w:rsid w:val="7A156933"/>
    <w:rsid w:val="7A162ACD"/>
    <w:rsid w:val="7A196807"/>
    <w:rsid w:val="7A4238DF"/>
    <w:rsid w:val="7A434835"/>
    <w:rsid w:val="7AAE4CD2"/>
    <w:rsid w:val="7ACE443C"/>
    <w:rsid w:val="7ADD211D"/>
    <w:rsid w:val="7AE0369A"/>
    <w:rsid w:val="7B400651"/>
    <w:rsid w:val="7B4A003B"/>
    <w:rsid w:val="7B51340D"/>
    <w:rsid w:val="7B5353D8"/>
    <w:rsid w:val="7B9379CC"/>
    <w:rsid w:val="7BA07EF1"/>
    <w:rsid w:val="7BCC43D1"/>
    <w:rsid w:val="7C2E0ECB"/>
    <w:rsid w:val="7C98105E"/>
    <w:rsid w:val="7CB20889"/>
    <w:rsid w:val="7D0821F2"/>
    <w:rsid w:val="7D4A0A5C"/>
    <w:rsid w:val="7D581E2F"/>
    <w:rsid w:val="7D5A13F9"/>
    <w:rsid w:val="7D6A72F2"/>
    <w:rsid w:val="7D9163B8"/>
    <w:rsid w:val="7D9B72E8"/>
    <w:rsid w:val="7DDD16F3"/>
    <w:rsid w:val="7DF31C12"/>
    <w:rsid w:val="7DF86F37"/>
    <w:rsid w:val="7E28621F"/>
    <w:rsid w:val="7E4234E1"/>
    <w:rsid w:val="7E6B1322"/>
    <w:rsid w:val="7E77762F"/>
    <w:rsid w:val="7E88438E"/>
    <w:rsid w:val="7ED326B8"/>
    <w:rsid w:val="7F1607EC"/>
    <w:rsid w:val="7F26287C"/>
    <w:rsid w:val="7F2B7DEA"/>
    <w:rsid w:val="7F361894"/>
    <w:rsid w:val="7F4A6B4E"/>
    <w:rsid w:val="7F4F235A"/>
    <w:rsid w:val="7F596A0E"/>
    <w:rsid w:val="7F6F2A9A"/>
    <w:rsid w:val="7F97097E"/>
    <w:rsid w:val="7FA563DA"/>
    <w:rsid w:val="DFFDC2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qFormat/>
    <w:uiPriority w:val="0"/>
    <w:pPr>
      <w:keepNext/>
      <w:keepLines/>
      <w:adjustRightInd w:val="0"/>
      <w:snapToGrid w:val="0"/>
      <w:outlineLvl w:val="2"/>
    </w:pPr>
    <w:rPr>
      <w:b/>
      <w:bCs/>
      <w:sz w:val="24"/>
      <w:szCs w:val="32"/>
    </w:rPr>
  </w:style>
  <w:style w:type="paragraph" w:styleId="4">
    <w:name w:val="heading 4"/>
    <w:basedOn w:val="1"/>
    <w:next w:val="1"/>
    <w:qFormat/>
    <w:uiPriority w:val="0"/>
    <w:pPr>
      <w:keepNext/>
      <w:keepLines/>
      <w:spacing w:before="280" w:after="290" w:line="376" w:lineRule="auto"/>
      <w:outlineLvl w:val="3"/>
    </w:pPr>
    <w:rPr>
      <w:rFonts w:ascii="Arial" w:hAnsi="Arial" w:eastAsia="黑体"/>
      <w:b/>
      <w:sz w:val="28"/>
      <w:szCs w:val="20"/>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qFormat/>
    <w:uiPriority w:val="0"/>
    <w:pPr>
      <w:ind w:firstLine="420"/>
    </w:pPr>
    <w:rPr>
      <w:szCs w:val="20"/>
    </w:rPr>
  </w:style>
  <w:style w:type="paragraph" w:styleId="6">
    <w:name w:val="Body Text First Indent 2"/>
    <w:basedOn w:val="7"/>
    <w:qFormat/>
    <w:uiPriority w:val="0"/>
    <w:pPr>
      <w:ind w:firstLine="420" w:firstLineChars="200"/>
    </w:pPr>
  </w:style>
  <w:style w:type="paragraph" w:styleId="7">
    <w:name w:val="Body Text Indent"/>
    <w:basedOn w:val="1"/>
    <w:qFormat/>
    <w:uiPriority w:val="0"/>
    <w:pPr>
      <w:spacing w:after="120"/>
      <w:ind w:left="420" w:leftChars="200"/>
    </w:pPr>
    <w:rPr>
      <w:kern w:val="0"/>
      <w:sz w:val="24"/>
      <w:szCs w:val="20"/>
    </w:rPr>
  </w:style>
  <w:style w:type="paragraph" w:styleId="8">
    <w:name w:val="index 5"/>
    <w:basedOn w:val="1"/>
    <w:next w:val="1"/>
    <w:qFormat/>
    <w:uiPriority w:val="99"/>
    <w:pPr>
      <w:ind w:left="1680"/>
    </w:pPr>
  </w:style>
  <w:style w:type="paragraph" w:styleId="9">
    <w:name w:val="annotation text"/>
    <w:basedOn w:val="1"/>
    <w:link w:val="61"/>
    <w:qFormat/>
    <w:uiPriority w:val="0"/>
    <w:pPr>
      <w:jc w:val="left"/>
    </w:pPr>
  </w:style>
  <w:style w:type="paragraph" w:styleId="10">
    <w:name w:val="index 6"/>
    <w:basedOn w:val="1"/>
    <w:next w:val="1"/>
    <w:qFormat/>
    <w:uiPriority w:val="0"/>
    <w:pPr>
      <w:ind w:left="2100"/>
    </w:pPr>
  </w:style>
  <w:style w:type="paragraph" w:styleId="11">
    <w:name w:val="Body Text"/>
    <w:basedOn w:val="1"/>
    <w:next w:val="12"/>
    <w:qFormat/>
    <w:uiPriority w:val="0"/>
    <w:pPr>
      <w:widowControl/>
      <w:snapToGrid w:val="0"/>
      <w:spacing w:before="60" w:after="160" w:line="259" w:lineRule="auto"/>
      <w:ind w:right="113"/>
    </w:pPr>
    <w:rPr>
      <w:kern w:val="0"/>
      <w:sz w:val="18"/>
      <w:szCs w:val="20"/>
    </w:rPr>
  </w:style>
  <w:style w:type="paragraph" w:customStyle="1" w:styleId="12">
    <w:name w:val="Date1"/>
    <w:basedOn w:val="1"/>
    <w:next w:val="1"/>
    <w:qFormat/>
    <w:uiPriority w:val="99"/>
    <w:pPr>
      <w:adjustRightInd w:val="0"/>
      <w:jc w:val="left"/>
      <w:textAlignment w:val="baseline"/>
    </w:pPr>
    <w:rPr>
      <w:rFonts w:ascii="宋体" w:hAnsi="宋体"/>
      <w:sz w:val="28"/>
    </w:rPr>
  </w:style>
  <w:style w:type="paragraph" w:styleId="13">
    <w:name w:val="Plain Text"/>
    <w:basedOn w:val="1"/>
    <w:qFormat/>
    <w:uiPriority w:val="0"/>
    <w:pPr>
      <w:spacing w:line="360" w:lineRule="auto"/>
      <w:ind w:firstLine="600" w:firstLineChars="200"/>
    </w:pPr>
    <w:rPr>
      <w:rFonts w:ascii="宋体" w:hAnsi="Courier New"/>
      <w:kern w:val="0"/>
      <w:sz w:val="24"/>
      <w:szCs w:val="21"/>
    </w:rPr>
  </w:style>
  <w:style w:type="paragraph" w:styleId="14">
    <w:name w:val="List Bullet 5"/>
    <w:basedOn w:val="1"/>
    <w:qFormat/>
    <w:uiPriority w:val="0"/>
    <w:pPr>
      <w:numPr>
        <w:ilvl w:val="0"/>
        <w:numId w:val="1"/>
      </w:numPr>
    </w:pPr>
  </w:style>
  <w:style w:type="paragraph" w:styleId="15">
    <w:name w:val="Body Text Indent 2"/>
    <w:basedOn w:val="1"/>
    <w:qFormat/>
    <w:uiPriority w:val="0"/>
    <w:pPr>
      <w:ind w:firstLine="555"/>
      <w:jc w:val="left"/>
    </w:pPr>
    <w:rPr>
      <w:rFonts w:hint="eastAsia"/>
      <w:spacing w:val="20"/>
      <w:kern w:val="0"/>
      <w:sz w:val="20"/>
    </w:rPr>
  </w:style>
  <w:style w:type="paragraph" w:styleId="16">
    <w:name w:val="footer"/>
    <w:basedOn w:val="1"/>
    <w:qFormat/>
    <w:uiPriority w:val="99"/>
    <w:pPr>
      <w:tabs>
        <w:tab w:val="center" w:pos="4153"/>
        <w:tab w:val="right" w:pos="8306"/>
      </w:tabs>
      <w:snapToGrid w:val="0"/>
      <w:jc w:val="left"/>
    </w:pPr>
    <w:rPr>
      <w:kern w:val="0"/>
      <w:sz w:val="18"/>
      <w:szCs w:val="20"/>
    </w:rPr>
  </w:style>
  <w:style w:type="paragraph" w:styleId="17">
    <w:name w:val="header"/>
    <w:basedOn w:val="1"/>
    <w:next w:val="1"/>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List"/>
    <w:basedOn w:val="1"/>
    <w:qFormat/>
    <w:uiPriority w:val="0"/>
    <w:pPr>
      <w:spacing w:line="360" w:lineRule="exact"/>
      <w:jc w:val="center"/>
    </w:pPr>
    <w:rPr>
      <w:rFonts w:ascii="宋体"/>
      <w:kern w:val="0"/>
      <w:sz w:val="20"/>
      <w:szCs w:val="20"/>
    </w:rPr>
  </w:style>
  <w:style w:type="paragraph" w:styleId="19">
    <w:name w:val="Body Text 2"/>
    <w:basedOn w:val="1"/>
    <w:qFormat/>
    <w:uiPriority w:val="0"/>
    <w:pPr>
      <w:spacing w:after="120" w:line="480" w:lineRule="auto"/>
    </w:pPr>
  </w:style>
  <w:style w:type="paragraph" w:styleId="20">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1">
    <w:name w:val="index 1"/>
    <w:basedOn w:val="1"/>
    <w:next w:val="1"/>
    <w:qFormat/>
    <w:uiPriority w:val="0"/>
    <w:pPr>
      <w:spacing w:line="360" w:lineRule="auto"/>
      <w:jc w:val="center"/>
    </w:pPr>
  </w:style>
  <w:style w:type="paragraph" w:styleId="22">
    <w:name w:val="annotation subject"/>
    <w:basedOn w:val="9"/>
    <w:next w:val="9"/>
    <w:link w:val="62"/>
    <w:qFormat/>
    <w:uiPriority w:val="0"/>
    <w:rPr>
      <w:b/>
      <w:bCs/>
    </w:rPr>
  </w:style>
  <w:style w:type="paragraph" w:styleId="23">
    <w:name w:val="Body Text First Indent"/>
    <w:basedOn w:val="11"/>
    <w:next w:val="1"/>
    <w:qFormat/>
    <w:uiPriority w:val="0"/>
    <w:pPr>
      <w:spacing w:after="120"/>
      <w:ind w:firstLine="420" w:firstLineChars="100"/>
    </w:pPr>
    <w:rPr>
      <w:szCs w:val="20"/>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page number"/>
    <w:basedOn w:val="26"/>
    <w:qFormat/>
    <w:uiPriority w:val="0"/>
  </w:style>
  <w:style w:type="character" w:styleId="29">
    <w:name w:val="Hyperlink"/>
    <w:basedOn w:val="26"/>
    <w:qFormat/>
    <w:uiPriority w:val="0"/>
    <w:rPr>
      <w:color w:val="0000FF"/>
      <w:u w:val="single"/>
    </w:rPr>
  </w:style>
  <w:style w:type="character" w:styleId="30">
    <w:name w:val="annotation reference"/>
    <w:basedOn w:val="26"/>
    <w:semiHidden/>
    <w:qFormat/>
    <w:uiPriority w:val="0"/>
    <w:rPr>
      <w:sz w:val="21"/>
      <w:szCs w:val="21"/>
    </w:rPr>
  </w:style>
  <w:style w:type="paragraph" w:customStyle="1" w:styleId="31">
    <w:name w:val="正文（缩进）"/>
    <w:basedOn w:val="32"/>
    <w:next w:val="1"/>
    <w:qFormat/>
    <w:uiPriority w:val="99"/>
    <w:pPr>
      <w:ind w:firstLine="480" w:firstLineChars="200"/>
    </w:pPr>
    <w:rPr>
      <w:rFonts w:ascii="Times New Roman" w:hAnsi="Times New Roman"/>
      <w:sz w:val="24"/>
    </w:rPr>
  </w:style>
  <w:style w:type="paragraph" w:customStyle="1" w:styleId="32">
    <w:name w:val="正文(首行缩进)"/>
    <w:basedOn w:val="1"/>
    <w:qFormat/>
    <w:uiPriority w:val="0"/>
    <w:pPr>
      <w:widowControl/>
      <w:spacing w:line="360" w:lineRule="auto"/>
      <w:jc w:val="left"/>
    </w:pPr>
    <w:rPr>
      <w:rFonts w:ascii="Calibri" w:hAnsi="Calibri"/>
    </w:rPr>
  </w:style>
  <w:style w:type="paragraph" w:customStyle="1" w:styleId="33">
    <w:name w:val="正文1"/>
    <w:basedOn w:val="1"/>
    <w:next w:val="1"/>
    <w:qFormat/>
    <w:uiPriority w:val="0"/>
    <w:pPr>
      <w:spacing w:line="360" w:lineRule="auto"/>
      <w:ind w:firstLine="560" w:firstLineChars="200"/>
    </w:pPr>
    <w:rPr>
      <w:rFonts w:ascii="仿宋_GB2312" w:eastAsia="仿宋_GB2312"/>
      <w:sz w:val="28"/>
      <w:szCs w:val="28"/>
    </w:rPr>
  </w:style>
  <w:style w:type="paragraph" w:customStyle="1" w:styleId="34">
    <w:name w:val="xl27"/>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35">
    <w:name w:val="表头"/>
    <w:basedOn w:val="18"/>
    <w:next w:val="1"/>
    <w:qFormat/>
    <w:locked/>
    <w:uiPriority w:val="0"/>
    <w:pPr>
      <w:spacing w:line="360" w:lineRule="auto"/>
    </w:pPr>
    <w:rPr>
      <w:rFonts w:hAnsi="Arial" w:eastAsia="Times New Roman"/>
      <w:b/>
      <w:sz w:val="24"/>
      <w:szCs w:val="24"/>
    </w:rPr>
  </w:style>
  <w:style w:type="paragraph" w:customStyle="1" w:styleId="36">
    <w:name w:val="Default"/>
    <w:next w:val="19"/>
    <w:qFormat/>
    <w:uiPriority w:val="0"/>
    <w:pPr>
      <w:widowControl w:val="0"/>
      <w:autoSpaceDE w:val="0"/>
      <w:autoSpaceDN w:val="0"/>
      <w:jc w:val="center"/>
    </w:pPr>
    <w:rPr>
      <w:rFonts w:ascii="楷体" w:hAnsi="楷体" w:cs="楷体" w:eastAsiaTheme="minorEastAsia"/>
      <w:color w:val="000000"/>
      <w:sz w:val="21"/>
      <w:szCs w:val="24"/>
      <w:lang w:val="en-US" w:eastAsia="zh-CN" w:bidi="ar-SA"/>
    </w:rPr>
  </w:style>
  <w:style w:type="paragraph" w:customStyle="1" w:styleId="37">
    <w:name w:val="正文文本1"/>
    <w:basedOn w:val="1"/>
    <w:qFormat/>
    <w:uiPriority w:val="0"/>
    <w:pPr>
      <w:shd w:val="clear" w:color="auto" w:fill="FFFFFF"/>
      <w:spacing w:before="360" w:line="466" w:lineRule="exact"/>
      <w:jc w:val="distribute"/>
    </w:pPr>
    <w:rPr>
      <w:rFonts w:ascii="MingLiU" w:hAnsi="MingLiU" w:eastAsia="MingLiU" w:cs="MingLiU"/>
      <w:spacing w:val="20"/>
      <w:szCs w:val="21"/>
    </w:rPr>
  </w:style>
  <w:style w:type="paragraph" w:customStyle="1" w:styleId="38">
    <w:name w:val="表格"/>
    <w:basedOn w:val="5"/>
    <w:next w:val="1"/>
    <w:qFormat/>
    <w:uiPriority w:val="0"/>
    <w:pPr>
      <w:adjustRightInd w:val="0"/>
      <w:snapToGrid w:val="0"/>
      <w:spacing w:beforeLines="10" w:afterLines="10" w:line="259" w:lineRule="auto"/>
      <w:jc w:val="center"/>
    </w:pPr>
    <w:rPr>
      <w:rFonts w:ascii="宋体"/>
      <w:kern w:val="0"/>
    </w:rPr>
  </w:style>
  <w:style w:type="paragraph" w:customStyle="1" w:styleId="39">
    <w:name w:val="报告正文"/>
    <w:basedOn w:val="40"/>
    <w:next w:val="1"/>
    <w:qFormat/>
    <w:uiPriority w:val="0"/>
    <w:pPr>
      <w:adjustRightInd w:val="0"/>
      <w:snapToGrid w:val="0"/>
      <w:ind w:firstLine="200"/>
    </w:pPr>
    <w:rPr>
      <w:rFonts w:ascii="Times New Roman"/>
    </w:rPr>
  </w:style>
  <w:style w:type="paragraph" w:customStyle="1" w:styleId="40">
    <w:name w:val="环评正文"/>
    <w:basedOn w:val="1"/>
    <w:next w:val="1"/>
    <w:qFormat/>
    <w:uiPriority w:val="0"/>
    <w:pPr>
      <w:spacing w:line="360" w:lineRule="auto"/>
      <w:ind w:firstLine="480" w:firstLineChars="200"/>
    </w:pPr>
    <w:rPr>
      <w:rFonts w:ascii="仿宋_GB2312" w:hAnsi="仿宋_GB2312" w:eastAsia="仿宋_GB2312"/>
      <w:sz w:val="24"/>
      <w:szCs w:val="20"/>
    </w:rPr>
  </w:style>
  <w:style w:type="paragraph" w:styleId="41">
    <w:name w:val="No Spacing"/>
    <w:qFormat/>
    <w:uiPriority w:val="0"/>
    <w:pPr>
      <w:widowControl w:val="0"/>
      <w:jc w:val="center"/>
      <w:textAlignment w:val="center"/>
    </w:pPr>
    <w:rPr>
      <w:rFonts w:ascii="Times New Roman" w:hAnsi="Times New Roman" w:eastAsia="宋体" w:cs="Times New Roman"/>
      <w:kern w:val="2"/>
      <w:sz w:val="21"/>
      <w:szCs w:val="22"/>
      <w:lang w:val="en-US" w:eastAsia="zh-CN" w:bidi="ar-SA"/>
    </w:rPr>
  </w:style>
  <w:style w:type="paragraph" w:customStyle="1" w:styleId="42">
    <w:name w:val="表格内容"/>
    <w:basedOn w:val="1"/>
    <w:qFormat/>
    <w:uiPriority w:val="0"/>
    <w:pPr>
      <w:widowControl/>
      <w:jc w:val="center"/>
    </w:pPr>
    <w:rPr>
      <w:kern w:val="0"/>
      <w:szCs w:val="21"/>
    </w:rPr>
  </w:style>
  <w:style w:type="paragraph" w:customStyle="1" w:styleId="43">
    <w:name w:val="【正文】"/>
    <w:basedOn w:val="1"/>
    <w:qFormat/>
    <w:uiPriority w:val="0"/>
    <w:pPr>
      <w:spacing w:line="440" w:lineRule="exact"/>
      <w:ind w:firstLine="544" w:firstLineChars="200"/>
    </w:pPr>
    <w:rPr>
      <w:rFonts w:eastAsia="仿宋"/>
      <w:szCs w:val="20"/>
    </w:rPr>
  </w:style>
  <w:style w:type="character" w:customStyle="1" w:styleId="44">
    <w:name w:val="font71"/>
    <w:qFormat/>
    <w:uiPriority w:val="0"/>
    <w:rPr>
      <w:rFonts w:hint="default" w:ascii="Times New Roman" w:hAnsi="Times New Roman" w:cs="Times New Roman"/>
      <w:color w:val="000000"/>
      <w:sz w:val="14"/>
      <w:szCs w:val="14"/>
      <w:u w:val="none"/>
    </w:rPr>
  </w:style>
  <w:style w:type="character" w:customStyle="1" w:styleId="45">
    <w:name w:val="font101"/>
    <w:basedOn w:val="26"/>
    <w:qFormat/>
    <w:uiPriority w:val="0"/>
    <w:rPr>
      <w:rFonts w:hint="default" w:ascii="Times New Roman" w:hAnsi="Times New Roman" w:cs="Times New Roman"/>
      <w:color w:val="000000"/>
      <w:sz w:val="13"/>
      <w:szCs w:val="13"/>
      <w:u w:val="none"/>
    </w:rPr>
  </w:style>
  <w:style w:type="character" w:customStyle="1" w:styleId="46">
    <w:name w:val="font91"/>
    <w:qFormat/>
    <w:uiPriority w:val="0"/>
    <w:rPr>
      <w:rFonts w:hint="default" w:ascii="Times New Roman" w:hAnsi="Times New Roman" w:cs="Times New Roman"/>
      <w:color w:val="000000"/>
      <w:sz w:val="20"/>
      <w:szCs w:val="20"/>
      <w:u w:val="none"/>
    </w:rPr>
  </w:style>
  <w:style w:type="character" w:customStyle="1" w:styleId="47">
    <w:name w:val="font61"/>
    <w:qFormat/>
    <w:uiPriority w:val="0"/>
    <w:rPr>
      <w:rFonts w:hint="default" w:ascii="Times New Roman" w:hAnsi="Times New Roman" w:cs="Times New Roman"/>
      <w:color w:val="000000"/>
      <w:sz w:val="21"/>
      <w:szCs w:val="21"/>
      <w:u w:val="none"/>
    </w:rPr>
  </w:style>
  <w:style w:type="paragraph" w:customStyle="1" w:styleId="48">
    <w:name w:val="正文x"/>
    <w:basedOn w:val="1"/>
    <w:qFormat/>
    <w:uiPriority w:val="0"/>
    <w:pPr>
      <w:framePr w:hSpace="180" w:wrap="around" w:vAnchor="text" w:hAnchor="text" w:xAlign="center" w:y="1"/>
      <w:spacing w:line="360" w:lineRule="auto"/>
      <w:ind w:firstLine="200" w:firstLineChars="200"/>
    </w:pPr>
    <w:rPr>
      <w:kern w:val="0"/>
      <w:sz w:val="24"/>
      <w:szCs w:val="20"/>
    </w:rPr>
  </w:style>
  <w:style w:type="paragraph" w:customStyle="1" w:styleId="49">
    <w:name w:val="表内文字"/>
    <w:basedOn w:val="1"/>
    <w:qFormat/>
    <w:uiPriority w:val="0"/>
    <w:pPr>
      <w:tabs>
        <w:tab w:val="center" w:pos="4153"/>
        <w:tab w:val="right" w:pos="8306"/>
      </w:tabs>
      <w:snapToGrid w:val="0"/>
      <w:jc w:val="center"/>
    </w:pPr>
    <w:rPr>
      <w:szCs w:val="18"/>
    </w:rPr>
  </w:style>
  <w:style w:type="paragraph" w:customStyle="1" w:styleId="50">
    <w:name w:val="cucd-0"/>
    <w:qFormat/>
    <w:uiPriority w:val="0"/>
    <w:pPr>
      <w:spacing w:line="360" w:lineRule="auto"/>
      <w:ind w:firstLine="480" w:firstLineChars="200"/>
    </w:pPr>
    <w:rPr>
      <w:rFonts w:ascii="Times New Roman" w:hAnsi="Times New Roman" w:eastAsia="Times New Roman" w:cs="Times New Roman"/>
      <w:kern w:val="2"/>
      <w:sz w:val="24"/>
      <w:szCs w:val="24"/>
      <w:lang w:val="en-US" w:eastAsia="zh-CN" w:bidi="ar-SA"/>
    </w:rPr>
  </w:style>
  <w:style w:type="paragraph" w:customStyle="1" w:styleId="51">
    <w:name w:val="样式1"/>
    <w:basedOn w:val="1"/>
    <w:qFormat/>
    <w:uiPriority w:val="0"/>
    <w:pPr>
      <w:spacing w:line="360" w:lineRule="auto"/>
      <w:ind w:firstLine="510"/>
    </w:pPr>
    <w:rPr>
      <w:sz w:val="24"/>
      <w:szCs w:val="20"/>
    </w:rPr>
  </w:style>
  <w:style w:type="paragraph" w:customStyle="1" w:styleId="52">
    <w:name w:val="0正文中9.8新"/>
    <w:basedOn w:val="53"/>
    <w:qFormat/>
    <w:uiPriority w:val="0"/>
    <w:pPr>
      <w:spacing w:line="360" w:lineRule="auto"/>
      <w:ind w:firstLine="200"/>
    </w:pPr>
    <w:rPr>
      <w:rFonts w:eastAsia="仿宋_GB2312"/>
      <w:sz w:val="24"/>
    </w:rPr>
  </w:style>
  <w:style w:type="paragraph" w:customStyle="1" w:styleId="53">
    <w:name w:val="正文中"/>
    <w:basedOn w:val="54"/>
    <w:unhideWhenUsed/>
    <w:qFormat/>
    <w:uiPriority w:val="99"/>
    <w:pPr>
      <w:jc w:val="center"/>
    </w:pPr>
  </w:style>
  <w:style w:type="paragraph" w:customStyle="1" w:styleId="54">
    <w:name w:val="0正文缩进"/>
    <w:basedOn w:val="5"/>
    <w:unhideWhenUsed/>
    <w:qFormat/>
    <w:uiPriority w:val="99"/>
    <w:pPr>
      <w:spacing w:line="480" w:lineRule="exact"/>
      <w:ind w:firstLine="560" w:firstLineChars="200"/>
      <w:jc w:val="left"/>
    </w:pPr>
    <w:rPr>
      <w:rFonts w:hint="eastAsia" w:ascii="宋体" w:hAnsi="宋体" w:eastAsia="Arial Unicode MS"/>
      <w:kern w:val="0"/>
      <w:sz w:val="28"/>
    </w:rPr>
  </w:style>
  <w:style w:type="character" w:customStyle="1" w:styleId="55">
    <w:name w:val="环评正文 Char Char"/>
    <w:qFormat/>
    <w:uiPriority w:val="0"/>
    <w:rPr>
      <w:rFonts w:ascii="Times New Roman" w:hAnsi="Times New Roman" w:eastAsia="仿宋_GB2312" w:cs="宋体"/>
      <w:snapToGrid w:val="0"/>
      <w:spacing w:val="1"/>
      <w:position w:val="-3"/>
      <w:sz w:val="24"/>
      <w:lang w:val="en-US" w:eastAsia="zh-CN" w:bidi="ar-SA"/>
    </w:rPr>
  </w:style>
  <w:style w:type="paragraph" w:customStyle="1" w:styleId="56">
    <w:name w:val="biaoge"/>
    <w:basedOn w:val="13"/>
    <w:next w:val="13"/>
    <w:qFormat/>
    <w:uiPriority w:val="0"/>
    <w:pPr>
      <w:framePr w:hSpace="180" w:wrap="around" w:vAnchor="text" w:hAnchor="text" w:xAlign="center" w:y="1"/>
      <w:spacing w:line="276" w:lineRule="auto"/>
      <w:ind w:firstLine="0" w:firstLineChars="0"/>
      <w:jc w:val="center"/>
    </w:pPr>
    <w:rPr>
      <w:rFonts w:ascii="Times New Roman" w:hAnsi="Times New Roman"/>
    </w:rPr>
  </w:style>
  <w:style w:type="paragraph" w:customStyle="1" w:styleId="57">
    <w:name w:val="正文首行缩进1"/>
    <w:basedOn w:val="11"/>
    <w:qFormat/>
    <w:uiPriority w:val="0"/>
    <w:pPr>
      <w:ind w:firstLine="420" w:firstLineChars="100"/>
    </w:pPr>
  </w:style>
  <w:style w:type="paragraph" w:customStyle="1" w:styleId="58">
    <w:name w:val="Table Paragraph"/>
    <w:basedOn w:val="1"/>
    <w:next w:val="10"/>
    <w:qFormat/>
    <w:uiPriority w:val="1"/>
  </w:style>
  <w:style w:type="paragraph" w:customStyle="1" w:styleId="59">
    <w:name w:val="小标题"/>
    <w:basedOn w:val="1"/>
    <w:qFormat/>
    <w:uiPriority w:val="0"/>
    <w:pPr>
      <w:jc w:val="center"/>
    </w:pPr>
    <w:rPr>
      <w:b/>
    </w:rPr>
  </w:style>
  <w:style w:type="paragraph" w:customStyle="1" w:styleId="60">
    <w:name w:val="表格文字2"/>
    <w:basedOn w:val="1"/>
    <w:qFormat/>
    <w:uiPriority w:val="0"/>
    <w:pPr>
      <w:tabs>
        <w:tab w:val="left" w:pos="277"/>
        <w:tab w:val="left" w:pos="600"/>
        <w:tab w:val="left" w:pos="780"/>
        <w:tab w:val="left" w:pos="2517"/>
      </w:tabs>
      <w:adjustRightInd w:val="0"/>
      <w:snapToGrid w:val="0"/>
      <w:jc w:val="center"/>
      <w:textAlignment w:val="baseline"/>
    </w:pPr>
    <w:rPr>
      <w:kern w:val="0"/>
      <w:szCs w:val="21"/>
    </w:rPr>
  </w:style>
  <w:style w:type="character" w:customStyle="1" w:styleId="61">
    <w:name w:val="批注文字 字符"/>
    <w:basedOn w:val="26"/>
    <w:link w:val="9"/>
    <w:qFormat/>
    <w:uiPriority w:val="0"/>
    <w:rPr>
      <w:kern w:val="2"/>
      <w:sz w:val="21"/>
      <w:szCs w:val="24"/>
    </w:rPr>
  </w:style>
  <w:style w:type="character" w:customStyle="1" w:styleId="62">
    <w:name w:val="批注主题 字符"/>
    <w:basedOn w:val="61"/>
    <w:link w:val="22"/>
    <w:qFormat/>
    <w:uiPriority w:val="0"/>
    <w:rPr>
      <w:b/>
      <w:bCs/>
      <w:kern w:val="2"/>
      <w:sz w:val="21"/>
      <w:szCs w:val="24"/>
    </w:rPr>
  </w:style>
  <w:style w:type="character" w:customStyle="1" w:styleId="63">
    <w:name w:val="font31"/>
    <w:basedOn w:val="26"/>
    <w:qFormat/>
    <w:uiPriority w:val="0"/>
    <w:rPr>
      <w:rFonts w:hint="default" w:ascii="Times New Roman" w:hAnsi="Times New Roman" w:cs="Times New Roman"/>
      <w:color w:val="000000"/>
      <w:sz w:val="21"/>
      <w:szCs w:val="21"/>
      <w:u w:val="none"/>
    </w:rPr>
  </w:style>
  <w:style w:type="character" w:customStyle="1" w:styleId="64">
    <w:name w:val="font41"/>
    <w:basedOn w:val="26"/>
    <w:qFormat/>
    <w:uiPriority w:val="0"/>
    <w:rPr>
      <w:rFonts w:hint="default" w:ascii="Times New Roman" w:hAnsi="Times New Roman" w:cs="Times New Roman"/>
      <w:color w:val="000000"/>
      <w:sz w:val="21"/>
      <w:szCs w:val="21"/>
      <w:u w:val="none"/>
      <w:vertAlign w:val="superscript"/>
    </w:rPr>
  </w:style>
  <w:style w:type="character" w:customStyle="1" w:styleId="65">
    <w:name w:val="font21"/>
    <w:basedOn w:val="26"/>
    <w:qFormat/>
    <w:uiPriority w:val="0"/>
    <w:rPr>
      <w:rFonts w:hint="eastAsia" w:ascii="宋体" w:hAnsi="宋体" w:eastAsia="宋体" w:cs="宋体"/>
      <w:color w:val="000000"/>
      <w:sz w:val="21"/>
      <w:szCs w:val="21"/>
      <w:u w:val="none"/>
    </w:rPr>
  </w:style>
  <w:style w:type="paragraph" w:customStyle="1" w:styleId="66">
    <w:name w:val="报告表正文"/>
    <w:basedOn w:val="1"/>
    <w:qFormat/>
    <w:uiPriority w:val="0"/>
    <w:pPr>
      <w:overflowPunct w:val="0"/>
      <w:adjustRightInd w:val="0"/>
      <w:snapToGrid w:val="0"/>
      <w:spacing w:line="360" w:lineRule="auto"/>
      <w:ind w:firstLine="200" w:firstLineChars="200"/>
    </w:pPr>
    <w:rPr>
      <w:rFonts w:ascii="Times New Roman" w:hAnsi="Times New Roman" w:eastAsia="仿宋_GB2312"/>
      <w:color w:val="000000"/>
      <w:kern w:val="16"/>
      <w:sz w:val="24"/>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wmf"/><Relationship Id="rId30" Type="http://schemas.openxmlformats.org/officeDocument/2006/relationships/oleObject" Target="embeddings/oleObject8.bin"/><Relationship Id="rId3" Type="http://schemas.openxmlformats.org/officeDocument/2006/relationships/footer" Target="footer1.xml"/><Relationship Id="rId29" Type="http://schemas.openxmlformats.org/officeDocument/2006/relationships/image" Target="media/image14.wmf"/><Relationship Id="rId28" Type="http://schemas.openxmlformats.org/officeDocument/2006/relationships/oleObject" Target="embeddings/oleObject7.bin"/><Relationship Id="rId27" Type="http://schemas.openxmlformats.org/officeDocument/2006/relationships/image" Target="media/image13.wmf"/><Relationship Id="rId26" Type="http://schemas.openxmlformats.org/officeDocument/2006/relationships/oleObject" Target="embeddings/oleObject6.bin"/><Relationship Id="rId25" Type="http://schemas.openxmlformats.org/officeDocument/2006/relationships/image" Target="media/image12.wmf"/><Relationship Id="rId24" Type="http://schemas.openxmlformats.org/officeDocument/2006/relationships/oleObject" Target="embeddings/oleObject5.bin"/><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7.emf"/><Relationship Id="rId17" Type="http://schemas.openxmlformats.org/officeDocument/2006/relationships/oleObject" Target="embeddings/oleObject3.bin"/><Relationship Id="rId16" Type="http://schemas.openxmlformats.org/officeDocument/2006/relationships/image" Target="media/image6.emf"/><Relationship Id="rId15" Type="http://schemas.openxmlformats.org/officeDocument/2006/relationships/oleObject" Target="embeddings/oleObject2.bin"/><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73</Pages>
  <Words>17917</Words>
  <Characters>19478</Characters>
  <Lines>1</Lines>
  <Paragraphs>1</Paragraphs>
  <TotalTime>75</TotalTime>
  <ScaleCrop>false</ScaleCrop>
  <LinksUpToDate>false</LinksUpToDate>
  <CharactersWithSpaces>19633</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2023-12-11T08:33:00Z</dcterms:created>
  <dc:creator>小花生</dc:creator>
  <cp:lastModifiedBy>zw</cp:lastModifiedBy>
  <dcterms:modified xsi:type="dcterms:W3CDTF">2024-11-18T09:43:23Z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C1FCC6B6E8D14F66833BD6645F8AC7B9_13</vt:lpwstr>
  </property>
</Properties>
</file>