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adjustRightInd w:val="0"/>
        <w:snapToGrid w:val="0"/>
        <w:spacing w:line="288" w:lineRule="auto"/>
        <w:jc w:val="center"/>
        <w:outlineLvl w:val="0"/>
        <w:rPr>
          <w:rFonts w:hint="default" w:ascii="Times New Roman" w:hAnsi="Times New Roman" w:eastAsia="华文仿宋" w:cs="Times New Roman"/>
          <w:color w:val="auto"/>
          <w:kern w:val="44"/>
          <w:sz w:val="44"/>
          <w:szCs w:val="44"/>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adjustRightInd w:val="0"/>
        <w:snapToGrid w:val="0"/>
        <w:spacing w:line="288" w:lineRule="auto"/>
        <w:jc w:val="both"/>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lang w:eastAsia="zh-CN"/>
        </w:rPr>
        <w:t>：</w:t>
      </w:r>
      <w:r>
        <w:rPr>
          <w:rFonts w:hint="default" w:ascii="Times New Roman" w:hAnsi="Times New Roman" w:eastAsia="仿宋_GB2312" w:cs="Times New Roman"/>
          <w:color w:val="auto"/>
          <w:sz w:val="36"/>
          <w:szCs w:val="36"/>
          <w:u w:val="single"/>
          <w:lang w:val="en-US" w:eastAsia="zh-CN"/>
        </w:rPr>
        <w:t xml:space="preserve">    光明牧业有限公司宁夏奶业科创中心</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p>
    <w:p>
      <w:pPr>
        <w:adjustRightInd w:val="0"/>
        <w:snapToGrid w:val="0"/>
        <w:spacing w:line="288" w:lineRule="auto"/>
        <w:rPr>
          <w:rFonts w:hint="default" w:ascii="Times New Roman" w:hAnsi="Times New Roman" w:eastAsia="仿宋_GB2312" w:cs="Times New Roman"/>
          <w:color w:val="auto"/>
          <w:sz w:val="36"/>
          <w:szCs w:val="36"/>
          <w:u w:val="single"/>
          <w:lang w:val="en-US" w:eastAsia="zh-CN"/>
        </w:rPr>
      </w:pPr>
      <w:r>
        <w:rPr>
          <w:rFonts w:hint="default" w:ascii="Times New Roman" w:hAnsi="Times New Roman" w:eastAsia="仿宋_GB2312" w:cs="Times New Roman"/>
          <w:color w:val="auto"/>
          <w:sz w:val="36"/>
          <w:szCs w:val="36"/>
        </w:rPr>
        <w:t>建设单位（盖章）：</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中卫市农业农村局</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p>
    <w:p>
      <w:pPr>
        <w:adjustRightInd w:val="0"/>
        <w:snapToGrid w:val="0"/>
        <w:spacing w:line="288" w:lineRule="auto"/>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w:t>
      </w:r>
      <w:r>
        <w:rPr>
          <w:rFonts w:hint="default" w:ascii="Times New Roman" w:hAnsi="Times New Roman" w:eastAsia="仿宋_GB2312" w:cs="Times New Roman"/>
          <w:color w:val="auto"/>
          <w:sz w:val="36"/>
          <w:szCs w:val="36"/>
          <w:u w:val="single"/>
          <w:lang w:val="en-US" w:eastAsia="zh-CN"/>
        </w:rPr>
        <w:t xml:space="preserve">  </w:t>
      </w:r>
      <w:r>
        <w:rPr>
          <w:rFonts w:hint="default" w:ascii="Times New Roman" w:hAnsi="Times New Roman" w:eastAsia="仿宋_GB2312" w:cs="Times New Roman"/>
          <w:color w:val="auto"/>
          <w:sz w:val="36"/>
          <w:szCs w:val="36"/>
          <w:u w:val="single"/>
        </w:rPr>
        <w:t>2024年</w:t>
      </w:r>
      <w:r>
        <w:rPr>
          <w:rFonts w:hint="default" w:ascii="Times New Roman" w:hAnsi="Times New Roman" w:eastAsia="仿宋_GB2312" w:cs="Times New Roman"/>
          <w:color w:val="auto"/>
          <w:sz w:val="36"/>
          <w:szCs w:val="36"/>
          <w:u w:val="single"/>
          <w:lang w:val="en-US" w:eastAsia="zh-CN"/>
        </w:rPr>
        <w:t>8</w:t>
      </w:r>
      <w:r>
        <w:rPr>
          <w:rFonts w:hint="default" w:ascii="Times New Roman" w:hAnsi="Times New Roman" w:eastAsia="仿宋_GB2312" w:cs="Times New Roman"/>
          <w:color w:val="auto"/>
          <w:sz w:val="36"/>
          <w:szCs w:val="36"/>
          <w:u w:val="single"/>
        </w:rPr>
        <w:t xml:space="preserve">月                  </w:t>
      </w:r>
    </w:p>
    <w:p>
      <w:pPr>
        <w:adjustRightInd w:val="0"/>
        <w:snapToGrid w:val="0"/>
        <w:spacing w:line="288" w:lineRule="auto"/>
        <w:ind w:firstLine="1040"/>
        <w:rPr>
          <w:rFonts w:hint="default" w:ascii="Times New Roman" w:hAnsi="Times New Roman" w:eastAsia="仿宋_GB2312" w:cs="Times New Roman"/>
          <w:color w:val="auto"/>
          <w:sz w:val="36"/>
          <w:szCs w:val="36"/>
        </w:rPr>
      </w:pPr>
      <w:bookmarkStart w:id="0"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bookmarkEnd w:id="0"/>
    <w:p>
      <w:pPr>
        <w:adjustRightInd w:val="0"/>
        <w:snapToGrid w:val="0"/>
        <w:spacing w:line="288" w:lineRule="auto"/>
        <w:jc w:val="center"/>
        <w:rPr>
          <w:rFonts w:hint="default" w:ascii="Times New Roman" w:hAnsi="Times New Roman" w:eastAsia="宋体" w:cs="Times New Roman"/>
          <w:color w:val="auto"/>
          <w:lang w:eastAsia="zh-CN"/>
        </w:rPr>
        <w:sectPr>
          <w:footerReference r:id="rId3" w:type="default"/>
          <w:pgSz w:w="11905" w:h="16838"/>
          <w:pgMar w:top="1417" w:right="1417" w:bottom="1417" w:left="1417" w:header="851" w:footer="964"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楷体_GB2312" w:cs="Times New Roman"/>
          <w:color w:val="auto"/>
          <w:sz w:val="36"/>
          <w:szCs w:val="36"/>
        </w:rPr>
        <w:t>中华人民共和国生态环境部</w:t>
      </w:r>
    </w:p>
    <w:p>
      <w:pPr>
        <w:pStyle w:val="20"/>
        <w:numPr>
          <w:ilvl w:val="0"/>
          <w:numId w:val="2"/>
        </w:numPr>
        <w:spacing w:before="240" w:beforeAutospacing="0" w:after="60" w:afterAutospacing="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建设项目基本情况</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87"/>
        <w:gridCol w:w="988"/>
        <w:gridCol w:w="2880"/>
        <w:gridCol w:w="1541"/>
        <w:gridCol w:w="27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建设项目名称</w:t>
            </w:r>
          </w:p>
        </w:tc>
        <w:tc>
          <w:tcPr>
            <w:tcW w:w="7123" w:type="dxa"/>
            <w:gridSpan w:val="3"/>
            <w:tcBorders>
              <w:tl2br w:val="nil"/>
              <w:tr2bl w:val="nil"/>
            </w:tcBorders>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szCs w:val="24"/>
                <w:lang w:val="en-US" w:eastAsia="zh-CN"/>
              </w:rPr>
              <w:t>光明牧业有限公司宁夏奶业科创中心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项目代码</w:t>
            </w:r>
          </w:p>
        </w:tc>
        <w:tc>
          <w:tcPr>
            <w:tcW w:w="7123" w:type="dxa"/>
            <w:gridSpan w:val="3"/>
            <w:tcBorders>
              <w:tl2br w:val="nil"/>
              <w:tr2bl w:val="nil"/>
            </w:tcBorders>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建设单位联系人</w:t>
            </w:r>
          </w:p>
        </w:tc>
        <w:tc>
          <w:tcPr>
            <w:tcW w:w="287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孙守华</w:t>
            </w:r>
          </w:p>
        </w:tc>
        <w:tc>
          <w:tcPr>
            <w:tcW w:w="1540" w:type="dxa"/>
            <w:tcBorders>
              <w:tl2br w:val="nil"/>
              <w:tr2bl w:val="nil"/>
            </w:tcBorders>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联系方式</w:t>
            </w:r>
          </w:p>
        </w:tc>
        <w:tc>
          <w:tcPr>
            <w:tcW w:w="270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建设地点</w:t>
            </w:r>
          </w:p>
        </w:tc>
        <w:tc>
          <w:tcPr>
            <w:tcW w:w="7123" w:type="dxa"/>
            <w:gridSpan w:val="3"/>
            <w:tcBorders>
              <w:tl2br w:val="nil"/>
              <w:tr2bl w:val="nil"/>
            </w:tcBorders>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szCs w:val="24"/>
                <w:lang w:val="en-US" w:eastAsia="zh-CN"/>
              </w:rPr>
              <w:t>宁夏回族自治区中卫市职业技术学校</w:t>
            </w:r>
            <w:r>
              <w:rPr>
                <w:rFonts w:hint="default" w:ascii="Times New Roman" w:hAnsi="Times New Roman" w:eastAsia="宋体" w:cs="Times New Roman"/>
                <w:color w:val="auto"/>
                <w:sz w:val="24"/>
                <w:szCs w:val="24"/>
                <w:lang w:val="en-US" w:eastAsia="zh-CN"/>
              </w:rPr>
              <w:t>3号实训楼一楼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地理坐标</w:t>
            </w:r>
          </w:p>
        </w:tc>
        <w:tc>
          <w:tcPr>
            <w:tcW w:w="7123" w:type="dxa"/>
            <w:gridSpan w:val="3"/>
            <w:tcBorders>
              <w:tl2br w:val="nil"/>
              <w:tr2bl w:val="nil"/>
            </w:tcBorders>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highlight w:val="none"/>
                <w:u w:val="single"/>
              </w:rPr>
              <w:t>10</w:t>
            </w:r>
            <w:r>
              <w:rPr>
                <w:rFonts w:hint="default" w:ascii="Times New Roman" w:hAnsi="Times New Roman" w:cs="Times New Roman"/>
                <w:color w:val="auto"/>
                <w:sz w:val="24"/>
                <w:highlight w:val="none"/>
                <w:u w:val="single"/>
                <w:lang w:val="en-US" w:eastAsia="zh-CN"/>
              </w:rPr>
              <w:t>5</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lang w:val="en-US" w:eastAsia="zh-CN"/>
              </w:rPr>
              <w:t>10</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lang w:val="en-US" w:eastAsia="zh-CN"/>
              </w:rPr>
              <w:t>28.458</w:t>
            </w:r>
            <w:r>
              <w:rPr>
                <w:rFonts w:hint="default" w:ascii="Times New Roman" w:hAnsi="Times New Roman" w:cs="Times New Roman"/>
                <w:color w:val="auto"/>
                <w:sz w:val="24"/>
                <w:highlight w:val="none"/>
              </w:rPr>
              <w:t>秒，</w:t>
            </w:r>
            <w:r>
              <w:rPr>
                <w:rFonts w:hint="default" w:ascii="Times New Roman" w:hAnsi="Times New Roman" w:cs="Times New Roman"/>
                <w:color w:val="auto"/>
                <w:sz w:val="24"/>
                <w:highlight w:val="none"/>
                <w:u w:val="single"/>
                <w:lang w:val="en-US" w:eastAsia="zh-CN"/>
              </w:rPr>
              <w:t>37</w:t>
            </w:r>
            <w:r>
              <w:rPr>
                <w:rFonts w:hint="default" w:ascii="Times New Roman" w:hAnsi="Times New Roman" w:cs="Times New Roman"/>
                <w:color w:val="auto"/>
                <w:sz w:val="24"/>
                <w:highlight w:val="none"/>
              </w:rPr>
              <w:t>度</w:t>
            </w:r>
            <w:r>
              <w:rPr>
                <w:rFonts w:hint="default" w:ascii="Times New Roman" w:hAnsi="Times New Roman" w:cs="Times New Roman"/>
                <w:color w:val="auto"/>
                <w:sz w:val="24"/>
                <w:highlight w:val="none"/>
                <w:u w:val="single"/>
                <w:lang w:val="en-US" w:eastAsia="zh-CN"/>
              </w:rPr>
              <w:t>30</w:t>
            </w:r>
            <w:r>
              <w:rPr>
                <w:rFonts w:hint="default" w:ascii="Times New Roman" w:hAnsi="Times New Roman" w:cs="Times New Roman"/>
                <w:color w:val="auto"/>
                <w:sz w:val="24"/>
                <w:highlight w:val="none"/>
              </w:rPr>
              <w:t>分</w:t>
            </w:r>
            <w:r>
              <w:rPr>
                <w:rFonts w:hint="default" w:ascii="Times New Roman" w:hAnsi="Times New Roman" w:cs="Times New Roman"/>
                <w:color w:val="auto"/>
                <w:sz w:val="24"/>
                <w:highlight w:val="none"/>
                <w:u w:val="single"/>
                <w:lang w:val="en-US" w:eastAsia="zh-CN"/>
              </w:rPr>
              <w:t>18.484</w:t>
            </w:r>
            <w:r>
              <w:rPr>
                <w:rFonts w:hint="default" w:ascii="Times New Roman" w:hAnsi="Times New Roman" w:cs="Times New Roman"/>
                <w:color w:val="auto"/>
                <w:sz w:val="24"/>
                <w:highlight w:val="none"/>
              </w:rPr>
              <w:t>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国民经济</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行业类别</w:t>
            </w:r>
          </w:p>
        </w:tc>
        <w:tc>
          <w:tcPr>
            <w:tcW w:w="2878" w:type="dxa"/>
            <w:tcBorders>
              <w:tl2br w:val="nil"/>
              <w:tr2bl w:val="nil"/>
            </w:tcBorders>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u w:val="single"/>
              </w:rPr>
              <w:t>M7452 检测服务</w:t>
            </w:r>
          </w:p>
        </w:tc>
        <w:tc>
          <w:tcPr>
            <w:tcW w:w="1540" w:type="dxa"/>
            <w:tcBorders>
              <w:tl2br w:val="nil"/>
              <w:tr2bl w:val="nil"/>
            </w:tcBorders>
            <w:vAlign w:val="center"/>
          </w:tcPr>
          <w:p>
            <w:pPr>
              <w:adjustRightInd w:val="0"/>
              <w:snapToGrid w:val="0"/>
              <w:jc w:val="center"/>
              <w:rPr>
                <w:rFonts w:hint="default" w:ascii="Times New Roman" w:hAnsi="Times New Roman" w:cs="Times New Roman"/>
                <w:b/>
                <w:bCs/>
                <w:color w:val="auto"/>
                <w:sz w:val="24"/>
              </w:rPr>
            </w:pPr>
            <w:bookmarkStart w:id="1" w:name="_Hlk49843745"/>
            <w:r>
              <w:rPr>
                <w:rFonts w:hint="default" w:ascii="Times New Roman" w:hAnsi="Times New Roman" w:cs="Times New Roman"/>
                <w:b/>
                <w:bCs/>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b/>
                <w:bCs/>
                <w:color w:val="auto"/>
                <w:sz w:val="24"/>
              </w:rPr>
              <w:t>行业类别</w:t>
            </w:r>
            <w:bookmarkEnd w:id="1"/>
          </w:p>
        </w:tc>
        <w:tc>
          <w:tcPr>
            <w:tcW w:w="2705" w:type="dxa"/>
            <w:tcBorders>
              <w:tl2br w:val="nil"/>
              <w:tr2bl w:val="nil"/>
            </w:tcBorders>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u w:val="single"/>
              </w:rPr>
              <w:t>四十五、研究和试验发展98.专业实验室、研发（试验）基地中的“其他（不产生实验废气、废水、危险废物的除外）”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建设性质</w:t>
            </w:r>
          </w:p>
        </w:tc>
        <w:tc>
          <w:tcPr>
            <w:tcW w:w="2878" w:type="dxa"/>
            <w:tcBorders>
              <w:tl2br w:val="nil"/>
              <w:tr2bl w:val="nil"/>
            </w:tcBorders>
            <w:vAlign w:val="center"/>
          </w:tcPr>
          <w:p>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☑新建（迁建）</w:t>
            </w:r>
          </w:p>
          <w:p>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□改建</w:t>
            </w:r>
          </w:p>
          <w:p>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□扩建</w:t>
            </w:r>
          </w:p>
          <w:p>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□技术改造</w:t>
            </w:r>
          </w:p>
        </w:tc>
        <w:tc>
          <w:tcPr>
            <w:tcW w:w="1540" w:type="dxa"/>
            <w:tcBorders>
              <w:tl2br w:val="nil"/>
              <w:tr2bl w:val="nil"/>
            </w:tcBorders>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建设项目</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b/>
                <w:bCs/>
                <w:color w:val="auto"/>
                <w:sz w:val="24"/>
              </w:rPr>
              <w:t>申报情形</w:t>
            </w:r>
          </w:p>
        </w:tc>
        <w:tc>
          <w:tcPr>
            <w:tcW w:w="2705" w:type="dxa"/>
            <w:tcBorders>
              <w:tl2br w:val="nil"/>
              <w:tr2bl w:val="nil"/>
            </w:tcBorders>
            <w:vAlign w:val="center"/>
          </w:tcPr>
          <w:p>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 xml:space="preserve">首次申报项目             </w:t>
            </w:r>
          </w:p>
          <w:p>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□不予批准后再次申报项目</w:t>
            </w:r>
          </w:p>
          <w:p>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 xml:space="preserve">超五年重新审核项目     </w:t>
            </w:r>
          </w:p>
          <w:p>
            <w:pPr>
              <w:adjustRightInd w:val="0"/>
              <w:snapToGrid w:val="0"/>
              <w:jc w:val="left"/>
              <w:rPr>
                <w:rFonts w:hint="default" w:ascii="Times New Roman" w:hAnsi="Times New Roman" w:cs="Times New Roman"/>
                <w:color w:val="auto"/>
                <w:sz w:val="24"/>
              </w:rPr>
            </w:pPr>
            <w:r>
              <w:rPr>
                <w:rFonts w:hint="default" w:ascii="Times New Roman" w:hAnsi="Times New Roman" w:cs="Times New Roman"/>
                <w:color w:val="auto"/>
                <w:sz w:val="24"/>
              </w:rPr>
              <w:t>□重大变动重新报批项目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项目审批（核准/</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备案）部门（选填）</w:t>
            </w:r>
          </w:p>
        </w:tc>
        <w:tc>
          <w:tcPr>
            <w:tcW w:w="2878" w:type="dxa"/>
            <w:tcBorders>
              <w:tl2br w:val="nil"/>
              <w:tr2bl w:val="nil"/>
            </w:tcBorders>
            <w:vAlign w:val="center"/>
          </w:tcPr>
          <w:p>
            <w:pPr>
              <w:adjustRightInd w:val="0"/>
              <w:snapToGrid w:val="0"/>
              <w:jc w:val="center"/>
              <w:rPr>
                <w:rFonts w:hint="default" w:ascii="Times New Roman" w:hAnsi="Times New Roman" w:cs="Times New Roman"/>
                <w:color w:val="auto"/>
                <w:sz w:val="24"/>
                <w:lang w:val="en-US"/>
              </w:rPr>
            </w:pPr>
            <w:r>
              <w:rPr>
                <w:rFonts w:hint="default" w:ascii="Times New Roman" w:hAnsi="Times New Roman" w:cs="Times New Roman"/>
                <w:color w:val="auto"/>
                <w:sz w:val="24"/>
                <w:lang w:val="en-US" w:eastAsia="zh-CN"/>
              </w:rPr>
              <w:t>中卫市人民政府</w:t>
            </w:r>
          </w:p>
        </w:tc>
        <w:tc>
          <w:tcPr>
            <w:tcW w:w="1540" w:type="dxa"/>
            <w:tcBorders>
              <w:tl2br w:val="nil"/>
              <w:tr2bl w:val="nil"/>
            </w:tcBorders>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b/>
                <w:bCs/>
                <w:color w:val="auto"/>
                <w:sz w:val="24"/>
              </w:rPr>
              <w:t>项目审批（核准/备案）文号（选填）</w:t>
            </w:r>
          </w:p>
        </w:tc>
        <w:tc>
          <w:tcPr>
            <w:tcW w:w="270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总投资（万元）</w:t>
            </w:r>
          </w:p>
        </w:tc>
        <w:tc>
          <w:tcPr>
            <w:tcW w:w="2878"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470</w:t>
            </w:r>
          </w:p>
        </w:tc>
        <w:tc>
          <w:tcPr>
            <w:tcW w:w="1540" w:type="dxa"/>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环保投资（万元）</w:t>
            </w:r>
          </w:p>
        </w:tc>
        <w:tc>
          <w:tcPr>
            <w:tcW w:w="270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环保投资占比（%）</w:t>
            </w:r>
          </w:p>
        </w:tc>
        <w:tc>
          <w:tcPr>
            <w:tcW w:w="2878" w:type="dxa"/>
            <w:tcBorders>
              <w:tl2br w:val="nil"/>
              <w:tr2bl w:val="nil"/>
            </w:tcBorders>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5.1</w:t>
            </w:r>
            <w:r>
              <w:rPr>
                <w:rFonts w:hint="default" w:ascii="Times New Roman" w:hAnsi="Times New Roman" w:cs="Times New Roman"/>
                <w:color w:val="auto"/>
                <w:sz w:val="24"/>
              </w:rPr>
              <w:t>%</w:t>
            </w:r>
          </w:p>
        </w:tc>
        <w:tc>
          <w:tcPr>
            <w:tcW w:w="1540" w:type="dxa"/>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施工工期</w:t>
            </w:r>
          </w:p>
        </w:tc>
        <w:tc>
          <w:tcPr>
            <w:tcW w:w="2705" w:type="dxa"/>
            <w:tcBorders>
              <w:tl2br w:val="nil"/>
              <w:tr2bl w:val="nil"/>
            </w:tcBorders>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80天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973" w:type="dxa"/>
            <w:gridSpan w:val="2"/>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是否开工建设</w:t>
            </w:r>
          </w:p>
        </w:tc>
        <w:tc>
          <w:tcPr>
            <w:tcW w:w="2878" w:type="dxa"/>
            <w:tcBorders>
              <w:tl2br w:val="nil"/>
              <w:tr2bl w:val="nil"/>
            </w:tcBorders>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sym w:font="Wingdings 2" w:char="00A3"/>
            </w:r>
            <w:r>
              <w:rPr>
                <w:rFonts w:hint="default" w:ascii="Times New Roman" w:hAnsi="Times New Roman" w:cs="Times New Roman"/>
                <w:color w:val="auto"/>
                <w:sz w:val="24"/>
              </w:rPr>
              <w:t>否</w:t>
            </w:r>
          </w:p>
          <w:p>
            <w:pPr>
              <w:widowControl/>
              <w:adjustRightInd w:val="0"/>
              <w:snapToGrid w:val="0"/>
              <w:jc w:val="left"/>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sym w:font="Wingdings 2" w:char="0052"/>
            </w:r>
            <w:r>
              <w:rPr>
                <w:rFonts w:hint="default" w:ascii="Times New Roman" w:hAnsi="Times New Roman" w:cs="Times New Roman"/>
                <w:color w:val="auto"/>
                <w:sz w:val="24"/>
              </w:rPr>
              <w:t>是</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sz w:val="24"/>
                <w:szCs w:val="24"/>
              </w:rPr>
              <w:t>项目</w:t>
            </w:r>
            <w:r>
              <w:rPr>
                <w:rFonts w:hint="default" w:ascii="Times New Roman" w:hAnsi="Times New Roman" w:cs="Times New Roman"/>
                <w:color w:val="auto"/>
                <w:sz w:val="24"/>
                <w:szCs w:val="24"/>
                <w:lang w:val="en-US" w:eastAsia="zh-CN"/>
              </w:rPr>
              <w:t>已于2022年3月完成房屋改造，本次仅进行实验室设备安装</w:t>
            </w:r>
            <w:r>
              <w:rPr>
                <w:rFonts w:hint="default" w:ascii="Times New Roman" w:hAnsi="Times New Roman" w:cs="Times New Roman"/>
                <w:color w:val="auto"/>
                <w:sz w:val="24"/>
                <w:szCs w:val="24"/>
                <w:lang w:eastAsia="zh-CN"/>
              </w:rPr>
              <w:t>。</w:t>
            </w:r>
          </w:p>
        </w:tc>
        <w:tc>
          <w:tcPr>
            <w:tcW w:w="1540" w:type="dxa"/>
            <w:tcBorders>
              <w:tl2br w:val="nil"/>
              <w:tr2bl w:val="nil"/>
            </w:tcBorders>
            <w:tcMar>
              <w:top w:w="16" w:type="dxa"/>
              <w:left w:w="16" w:type="dxa"/>
              <w:right w:w="16" w:type="dxa"/>
            </w:tcMar>
            <w:vAlign w:val="center"/>
          </w:tcPr>
          <w:p>
            <w:pPr>
              <w:adjustRightInd w:val="0"/>
              <w:snapToGrid w:val="0"/>
              <w:jc w:val="center"/>
              <w:rPr>
                <w:rFonts w:hint="default" w:ascii="Times New Roman" w:hAnsi="Times New Roman" w:cs="Times New Roman"/>
                <w:b/>
                <w:bCs/>
                <w:color w:val="auto"/>
                <w:spacing w:val="-6"/>
                <w:sz w:val="24"/>
              </w:rPr>
            </w:pPr>
            <w:r>
              <w:rPr>
                <w:rFonts w:hint="default" w:ascii="Times New Roman" w:hAnsi="Times New Roman" w:cs="Times New Roman"/>
                <w:b/>
                <w:bCs/>
                <w:color w:val="auto"/>
                <w:spacing w:val="-6"/>
                <w:sz w:val="24"/>
              </w:rPr>
              <w:t>用地（用海）</w:t>
            </w:r>
          </w:p>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pacing w:val="-6"/>
                <w:sz w:val="24"/>
              </w:rPr>
              <w:t>面积（m</w:t>
            </w:r>
            <w:r>
              <w:rPr>
                <w:rFonts w:hint="default" w:ascii="Times New Roman" w:hAnsi="Times New Roman" w:cs="Times New Roman"/>
                <w:b/>
                <w:bCs/>
                <w:color w:val="auto"/>
                <w:spacing w:val="-6"/>
                <w:sz w:val="24"/>
                <w:vertAlign w:val="superscript"/>
              </w:rPr>
              <w:t>2</w:t>
            </w:r>
            <w:r>
              <w:rPr>
                <w:rFonts w:hint="default" w:ascii="Times New Roman" w:hAnsi="Times New Roman" w:cs="Times New Roman"/>
                <w:b/>
                <w:bCs/>
                <w:color w:val="auto"/>
                <w:spacing w:val="-6"/>
                <w:sz w:val="24"/>
              </w:rPr>
              <w:t>）</w:t>
            </w:r>
          </w:p>
        </w:tc>
        <w:tc>
          <w:tcPr>
            <w:tcW w:w="2705" w:type="dxa"/>
            <w:tcBorders>
              <w:tl2br w:val="nil"/>
              <w:tr2bl w:val="nil"/>
            </w:tcBorders>
            <w:vAlign w:val="center"/>
          </w:tcPr>
          <w:p>
            <w:pPr>
              <w:adjustRightInd w:val="0"/>
              <w:snapToGrid w:val="0"/>
              <w:jc w:val="center"/>
              <w:rPr>
                <w:rFonts w:hint="default" w:ascii="Times New Roman" w:hAnsi="Times New Roman" w:cs="Times New Roman"/>
                <w:color w:val="auto"/>
                <w:sz w:val="24"/>
                <w:vertAlign w:val="superscript"/>
              </w:rPr>
            </w:pPr>
            <w:r>
              <w:rPr>
                <w:rFonts w:hint="default" w:ascii="Times New Roman" w:hAnsi="Times New Roman" w:cs="Times New Roman"/>
                <w:color w:val="auto"/>
                <w:sz w:val="24"/>
                <w:lang w:val="en-US" w:eastAsia="zh-CN"/>
              </w:rPr>
              <w:t>987.5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3" w:type="dxa"/>
            <w:gridSpan w:val="2"/>
            <w:tcBorders>
              <w:tl2br w:val="nil"/>
              <w:tr2bl w:val="nil"/>
            </w:tcBorders>
            <w:vAlign w:val="center"/>
          </w:tcPr>
          <w:p>
            <w:pPr>
              <w:autoSpaceDE w:val="0"/>
              <w:autoSpaceDN w:val="0"/>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专项评价设置情况</w:t>
            </w:r>
          </w:p>
        </w:tc>
        <w:tc>
          <w:tcPr>
            <w:tcW w:w="7123" w:type="dxa"/>
            <w:gridSpan w:val="3"/>
            <w:tcBorders>
              <w:tl2br w:val="nil"/>
              <w:tr2bl w:val="nil"/>
            </w:tcBorders>
            <w:vAlign w:val="center"/>
          </w:tcPr>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2" w:type="dxa"/>
            <w:gridSpan w:val="2"/>
            <w:tcBorders>
              <w:tl2br w:val="nil"/>
              <w:tr2bl w:val="nil"/>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b/>
                <w:bCs/>
                <w:color w:val="auto"/>
                <w:kern w:val="0"/>
                <w:sz w:val="24"/>
              </w:rPr>
              <w:t>规划情况</w:t>
            </w:r>
          </w:p>
        </w:tc>
        <w:tc>
          <w:tcPr>
            <w:tcW w:w="7121" w:type="dxa"/>
            <w:gridSpan w:val="3"/>
            <w:tcBorders>
              <w:tl2br w:val="nil"/>
              <w:tr2bl w:val="nil"/>
            </w:tcBorders>
            <w:vAlign w:val="center"/>
          </w:tcPr>
          <w:p>
            <w:pPr>
              <w:pStyle w:val="16"/>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kern w:val="0"/>
                <w:sz w:val="24"/>
                <w:szCs w:val="24"/>
                <w:lang w:val="en-US" w:eastAsia="zh-CN" w:bidi="ar-SA"/>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3" w:type="dxa"/>
            <w:gridSpan w:val="2"/>
            <w:tcBorders>
              <w:tl2br w:val="nil"/>
              <w:tr2bl w:val="nil"/>
            </w:tcBorders>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规划环境影响</w:t>
            </w:r>
          </w:p>
          <w:p>
            <w:pPr>
              <w:adjustRightInd w:val="0"/>
              <w:snapToGrid w:val="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sz w:val="24"/>
              </w:rPr>
              <w:t>评价情况</w:t>
            </w:r>
          </w:p>
        </w:tc>
        <w:tc>
          <w:tcPr>
            <w:tcW w:w="7123" w:type="dxa"/>
            <w:gridSpan w:val="3"/>
            <w:tcBorders>
              <w:tl2br w:val="nil"/>
              <w:tr2bl w:val="nil"/>
            </w:tcBorders>
            <w:vAlign w:val="center"/>
          </w:tcPr>
          <w:p>
            <w:pPr>
              <w:autoSpaceDE w:val="0"/>
              <w:autoSpaceDN w:val="0"/>
              <w:adjustRightInd w:val="0"/>
              <w:snapToGrid w:val="0"/>
              <w:jc w:val="center"/>
              <w:rPr>
                <w:rFonts w:hint="default" w:ascii="Times New Roman" w:hAnsi="Times New Roman" w:cs="Times New Roman"/>
                <w:color w:val="auto"/>
                <w:kern w:val="0"/>
                <w:sz w:val="24"/>
              </w:rPr>
            </w:pPr>
          </w:p>
          <w:p>
            <w:pPr>
              <w:autoSpaceDE w:val="0"/>
              <w:autoSpaceDN w:val="0"/>
              <w:adjustRightInd w:val="0"/>
              <w:snapToGrid w:val="0"/>
              <w:jc w:val="center"/>
              <w:rPr>
                <w:rFonts w:hint="default" w:ascii="Times New Roman" w:hAnsi="Times New Roman" w:cs="Times New Roman"/>
                <w:color w:val="auto"/>
                <w:kern w:val="0"/>
                <w:sz w:val="24"/>
              </w:rPr>
            </w:pPr>
          </w:p>
          <w:p>
            <w:pPr>
              <w:autoSpaceDE w:val="0"/>
              <w:autoSpaceDN w:val="0"/>
              <w:adjustRightInd w:val="0"/>
              <w:snapToGrid w:val="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p>
            <w:pPr>
              <w:pStyle w:val="5"/>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3" w:type="dxa"/>
            <w:gridSpan w:val="2"/>
            <w:tcBorders>
              <w:tl2br w:val="nil"/>
              <w:tr2bl w:val="nil"/>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b/>
                <w:bCs/>
                <w:color w:val="auto"/>
                <w:sz w:val="24"/>
              </w:rPr>
              <w:t>规划及规划环境影响评价符合性分析</w:t>
            </w:r>
          </w:p>
        </w:tc>
        <w:tc>
          <w:tcPr>
            <w:tcW w:w="7123" w:type="dxa"/>
            <w:gridSpan w:val="3"/>
            <w:tcBorders>
              <w:tl2br w:val="nil"/>
              <w:tr2bl w:val="nil"/>
            </w:tcBorders>
            <w:vAlign w:val="center"/>
          </w:tcPr>
          <w:p>
            <w:pPr>
              <w:pStyle w:val="16"/>
              <w:jc w:val="center"/>
              <w:rPr>
                <w:rFonts w:hint="default" w:ascii="Times New Roman" w:hAnsi="Times New Roman" w:eastAsia="宋体" w:cs="Times New Roman"/>
                <w:color w:val="auto"/>
                <w:kern w:val="0"/>
                <w:sz w:val="24"/>
                <w:szCs w:val="24"/>
                <w:lang w:val="en-US" w:eastAsia="zh-CN" w:bidi="ar-SA"/>
              </w:rPr>
            </w:pPr>
          </w:p>
          <w:p>
            <w:pPr>
              <w:rPr>
                <w:rFonts w:hint="default"/>
                <w:lang w:val="en-US" w:eastAsia="zh-CN"/>
              </w:rPr>
            </w:pPr>
          </w:p>
          <w:p>
            <w:pPr>
              <w:pStyle w:val="16"/>
              <w:jc w:val="center"/>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kern w:val="0"/>
                <w:sz w:val="24"/>
                <w:szCs w:val="24"/>
                <w:lang w:val="en-US" w:eastAsia="zh-CN" w:bidi="ar-SA"/>
              </w:rPr>
              <w:t>无</w:t>
            </w:r>
          </w:p>
          <w:p>
            <w:pPr>
              <w:rPr>
                <w:rFonts w:hint="default" w:ascii="Times New Roman" w:hAnsi="Times New Roman" w:cs="Times New Roman"/>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6" w:type="dxa"/>
            <w:tcBorders>
              <w:tl2br w:val="nil"/>
              <w:tr2bl w:val="nil"/>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b/>
                <w:bCs/>
                <w:color w:val="auto"/>
                <w:kern w:val="0"/>
                <w:sz w:val="24"/>
              </w:rPr>
              <w:t>其他符合性分析</w:t>
            </w:r>
          </w:p>
        </w:tc>
        <w:tc>
          <w:tcPr>
            <w:tcW w:w="8110" w:type="dxa"/>
            <w:gridSpan w:val="4"/>
            <w:tcBorders>
              <w:tl2br w:val="nil"/>
              <w:tr2bl w:val="nil"/>
            </w:tcBorders>
            <w:vAlign w:val="center"/>
          </w:tcPr>
          <w:p>
            <w:pPr>
              <w:widowControl/>
              <w:numPr>
                <w:ilvl w:val="0"/>
                <w:numId w:val="3"/>
              </w:numPr>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产业政策符合性</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lang w:bidi="ar"/>
              </w:rPr>
              <w:t>本项目为</w:t>
            </w:r>
            <w:r>
              <w:rPr>
                <w:rFonts w:hint="default" w:ascii="Times New Roman" w:hAnsi="Times New Roman" w:cs="Times New Roman"/>
                <w:color w:val="auto"/>
                <w:sz w:val="24"/>
                <w:shd w:val="clear" w:color="auto" w:fill="FFFFFF"/>
              </w:rPr>
              <w:t>检验检测</w:t>
            </w:r>
            <w:r>
              <w:rPr>
                <w:rFonts w:hint="default" w:ascii="Times New Roman" w:hAnsi="Times New Roman" w:cs="Times New Roman"/>
                <w:color w:val="auto"/>
                <w:sz w:val="24"/>
                <w:shd w:val="clear" w:color="auto" w:fill="FFFFFF"/>
                <w:lang w:val="en-US" w:eastAsia="zh-CN"/>
              </w:rPr>
              <w:t>实验室</w:t>
            </w:r>
            <w:r>
              <w:rPr>
                <w:rFonts w:hint="default" w:ascii="Times New Roman" w:hAnsi="Times New Roman" w:cs="Times New Roman"/>
                <w:color w:val="auto"/>
                <w:kern w:val="0"/>
                <w:sz w:val="24"/>
                <w:lang w:bidi="ar"/>
              </w:rPr>
              <w:t>建设项目，根据《产业结构调整指导目录（2024年本）》</w:t>
            </w:r>
            <w:r>
              <w:rPr>
                <w:rFonts w:hint="default" w:ascii="Times New Roman" w:hAnsi="Times New Roman" w:cs="Times New Roman"/>
                <w:color w:val="auto"/>
                <w:kern w:val="0"/>
                <w:sz w:val="24"/>
              </w:rPr>
              <w:t>中相关分类，本项目属于“第一类 鼓励类”中的第三十一项“科技服务业”第1条“</w:t>
            </w:r>
            <w:r>
              <w:rPr>
                <w:rFonts w:hint="default" w:ascii="Times New Roman" w:hAnsi="Times New Roman" w:cs="Times New Roman"/>
                <w:color w:val="auto"/>
                <w:sz w:val="24"/>
                <w:shd w:val="clear" w:color="auto" w:fill="FFFFFF"/>
              </w:rPr>
              <w:t>工业设计、气象、生物及医药、新材料、新能源、节能、环保、测绘、海洋等专业科技服务，标准化服务、计量测试、质量认证和检验检测服务，科技普及”</w:t>
            </w:r>
            <w:r>
              <w:rPr>
                <w:rFonts w:hint="default" w:ascii="Times New Roman" w:hAnsi="Times New Roman" w:cs="Times New Roman"/>
                <w:color w:val="auto"/>
                <w:kern w:val="0"/>
                <w:sz w:val="24"/>
              </w:rPr>
              <w:t>。</w:t>
            </w:r>
          </w:p>
          <w:p>
            <w:pPr>
              <w:ind w:firstLine="512"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因此，项目建设符合国家产业政策要求。</w:t>
            </w:r>
          </w:p>
          <w:p>
            <w:pPr>
              <w:widowControl/>
              <w:numPr>
                <w:ilvl w:val="0"/>
                <w:numId w:val="3"/>
              </w:numPr>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“三线一单”符合性分析</w:t>
            </w:r>
          </w:p>
          <w:p>
            <w:pPr>
              <w:numPr>
                <w:ilvl w:val="0"/>
                <w:numId w:val="4"/>
              </w:num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生态保护红线</w:t>
            </w:r>
          </w:p>
          <w:p>
            <w:pPr>
              <w:pStyle w:val="16"/>
              <w:snapToGrid/>
              <w:ind w:firstLine="512" w:firstLineChars="200"/>
              <w:rPr>
                <w:rFonts w:hint="default" w:ascii="Times New Roman" w:hAnsi="Times New Roman" w:cs="Times New Roman"/>
                <w:color w:val="auto"/>
                <w:lang w:val="en-US"/>
              </w:rPr>
            </w:pPr>
            <w:r>
              <w:rPr>
                <w:rFonts w:hint="default" w:ascii="Times New Roman" w:hAnsi="Times New Roman" w:cs="Times New Roman"/>
                <w:color w:val="auto"/>
                <w:sz w:val="24"/>
                <w:szCs w:val="24"/>
                <w:lang w:val="en-US" w:eastAsia="zh-CN"/>
              </w:rPr>
              <w:t>根据中卫市人民政府办公室关于发布《中卫市生态环境分区管控动态更新成果》的通知（卫政办发</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2024</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33号）要求，</w:t>
            </w:r>
            <w:r>
              <w:rPr>
                <w:rFonts w:hint="default" w:ascii="Times New Roman" w:hAnsi="Times New Roman" w:cs="Times New Roman"/>
                <w:color w:val="auto"/>
                <w:sz w:val="24"/>
                <w:szCs w:val="24"/>
              </w:rPr>
              <w:t>本项目位于</w:t>
            </w:r>
            <w:r>
              <w:rPr>
                <w:rFonts w:hint="default" w:ascii="Times New Roman" w:hAnsi="Times New Roman" w:cs="Times New Roman"/>
                <w:color w:val="auto"/>
                <w:sz w:val="24"/>
                <w:szCs w:val="24"/>
                <w:lang w:eastAsia="zh-CN"/>
              </w:rPr>
              <w:t>中卫市</w:t>
            </w:r>
            <w:r>
              <w:rPr>
                <w:rFonts w:hint="default" w:ascii="Times New Roman" w:hAnsi="Times New Roman" w:cs="Times New Roman"/>
                <w:color w:val="auto"/>
                <w:sz w:val="24"/>
                <w:szCs w:val="24"/>
                <w:lang w:val="en-US" w:eastAsia="zh-CN"/>
              </w:rPr>
              <w:t>职业技术学校3号实训楼一楼，</w:t>
            </w:r>
            <w:r>
              <w:rPr>
                <w:rFonts w:hint="default" w:ascii="Times New Roman" w:hAnsi="Times New Roman" w:cs="Times New Roman"/>
                <w:color w:val="auto"/>
                <w:sz w:val="24"/>
                <w:szCs w:val="24"/>
              </w:rPr>
              <w:t>不在</w:t>
            </w:r>
            <w:r>
              <w:rPr>
                <w:rFonts w:hint="default" w:ascii="Times New Roman" w:hAnsi="Times New Roman" w:cs="Times New Roman"/>
                <w:color w:val="auto"/>
                <w:sz w:val="24"/>
                <w:szCs w:val="24"/>
                <w:lang w:val="en-US" w:eastAsia="zh-CN"/>
              </w:rPr>
              <w:t>中卫</w:t>
            </w:r>
            <w:r>
              <w:rPr>
                <w:rFonts w:hint="default" w:ascii="Times New Roman" w:hAnsi="Times New Roman" w:cs="Times New Roman"/>
                <w:color w:val="auto"/>
                <w:sz w:val="24"/>
                <w:szCs w:val="24"/>
              </w:rPr>
              <w:t>市生态保护红线和生态空间范围内，符合生态保护红线要求。本项目</w:t>
            </w:r>
            <w:r>
              <w:rPr>
                <w:rFonts w:hint="default" w:ascii="Times New Roman" w:hAnsi="Times New Roman" w:cs="Times New Roman"/>
                <w:color w:val="auto"/>
                <w:sz w:val="24"/>
                <w:szCs w:val="24"/>
                <w:lang w:val="en-US" w:eastAsia="zh-CN"/>
              </w:rPr>
              <w:t>地理位置</w:t>
            </w:r>
            <w:r>
              <w:rPr>
                <w:rFonts w:hint="default" w:ascii="Times New Roman" w:hAnsi="Times New Roman" w:cs="Times New Roman"/>
                <w:color w:val="auto"/>
                <w:sz w:val="24"/>
                <w:szCs w:val="24"/>
              </w:rPr>
              <w:t>见附图1，</w:t>
            </w:r>
            <w:r>
              <w:rPr>
                <w:rFonts w:hint="default" w:ascii="Times New Roman" w:hAnsi="Times New Roman" w:cs="Times New Roman"/>
                <w:color w:val="auto"/>
                <w:sz w:val="24"/>
                <w:szCs w:val="24"/>
                <w:lang w:val="en-US" w:eastAsia="zh-CN"/>
              </w:rPr>
              <w:t>项目</w:t>
            </w:r>
            <w:r>
              <w:rPr>
                <w:rFonts w:hint="default" w:ascii="Times New Roman" w:hAnsi="Times New Roman" w:cs="Times New Roman"/>
                <w:color w:val="auto"/>
                <w:sz w:val="24"/>
                <w:szCs w:val="24"/>
              </w:rPr>
              <w:t>与</w:t>
            </w:r>
            <w:r>
              <w:rPr>
                <w:rFonts w:hint="default" w:ascii="Times New Roman" w:hAnsi="Times New Roman" w:cs="Times New Roman"/>
                <w:color w:val="auto"/>
                <w:sz w:val="24"/>
                <w:szCs w:val="24"/>
                <w:lang w:val="en-US" w:eastAsia="zh-CN"/>
              </w:rPr>
              <w:t>中卫</w:t>
            </w:r>
            <w:r>
              <w:rPr>
                <w:rFonts w:hint="default" w:ascii="Times New Roman" w:hAnsi="Times New Roman" w:cs="Times New Roman"/>
                <w:color w:val="auto"/>
                <w:sz w:val="24"/>
                <w:szCs w:val="24"/>
              </w:rPr>
              <w:t>市生态保护红线位置关系见附图2</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项目与中卫市生态空间位置关系见附图3。</w:t>
            </w:r>
          </w:p>
          <w:p>
            <w:pPr>
              <w:numPr>
                <w:ilvl w:val="0"/>
                <w:numId w:val="4"/>
              </w:num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环境质量底线及分区管控</w:t>
            </w:r>
          </w:p>
          <w:p>
            <w:p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（1） 水环境质量底线及分区管控</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以水环境控制单元为基本单元，分析各控制单元的功能定位，结合水质超标区域分布，基于水环境系统评价结果，得到</w:t>
            </w:r>
            <w:r>
              <w:rPr>
                <w:rFonts w:hint="default" w:ascii="Times New Roman" w:hAnsi="Times New Roman" w:cs="Times New Roman"/>
                <w:color w:val="auto"/>
                <w:kern w:val="0"/>
                <w:sz w:val="24"/>
                <w:lang w:val="en-US" w:eastAsia="zh-CN"/>
              </w:rPr>
              <w:t>中卫</w:t>
            </w:r>
            <w:r>
              <w:rPr>
                <w:rFonts w:hint="default" w:ascii="Times New Roman" w:hAnsi="Times New Roman" w:cs="Times New Roman"/>
                <w:color w:val="auto"/>
                <w:kern w:val="0"/>
                <w:sz w:val="24"/>
              </w:rPr>
              <w:t>市水环境管控分区。</w:t>
            </w:r>
            <w:r>
              <w:rPr>
                <w:rFonts w:hint="default" w:ascii="Times New Roman" w:hAnsi="Times New Roman" w:cs="Times New Roman"/>
                <w:color w:val="auto"/>
                <w:kern w:val="0"/>
                <w:sz w:val="24"/>
                <w:lang w:eastAsia="zh-CN"/>
              </w:rPr>
              <w:t>中卫市</w:t>
            </w:r>
            <w:r>
              <w:rPr>
                <w:rFonts w:hint="default" w:ascii="Times New Roman" w:hAnsi="Times New Roman" w:cs="Times New Roman"/>
                <w:color w:val="auto"/>
                <w:kern w:val="0"/>
                <w:sz w:val="24"/>
              </w:rPr>
              <w:t>水环境管控分区共分为三大类：水环境优先保护区、水环境重点管控区（含水环境工业污染源重点管控区、水环境农业污染源重点管控区、水环境城镇生活污染源重点管控区）和水环境一般管控区。根据</w:t>
            </w:r>
            <w:r>
              <w:rPr>
                <w:rFonts w:hint="default" w:ascii="Times New Roman" w:hAnsi="Times New Roman" w:cs="Times New Roman"/>
                <w:color w:val="auto"/>
                <w:kern w:val="0"/>
                <w:sz w:val="24"/>
                <w:lang w:eastAsia="zh-CN"/>
              </w:rPr>
              <w:t>中卫市</w:t>
            </w:r>
            <w:r>
              <w:rPr>
                <w:rFonts w:hint="default" w:ascii="Times New Roman" w:hAnsi="Times New Roman" w:cs="Times New Roman"/>
                <w:color w:val="auto"/>
                <w:kern w:val="0"/>
                <w:sz w:val="24"/>
              </w:rPr>
              <w:t>水环境管控分区划分，本项目位于</w:t>
            </w:r>
            <w:r>
              <w:rPr>
                <w:rFonts w:hint="default" w:ascii="Times New Roman" w:hAnsi="Times New Roman" w:cs="Times New Roman"/>
                <w:color w:val="auto"/>
                <w:kern w:val="0"/>
                <w:sz w:val="24"/>
                <w:lang w:eastAsia="zh-CN"/>
              </w:rPr>
              <w:t>中卫市</w:t>
            </w:r>
            <w:r>
              <w:rPr>
                <w:rFonts w:hint="default" w:ascii="Times New Roman" w:hAnsi="Times New Roman" w:cs="Times New Roman"/>
                <w:color w:val="auto"/>
                <w:kern w:val="0"/>
                <w:sz w:val="24"/>
              </w:rPr>
              <w:t>水环境一般管控区。</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水环境一般管控区：对于水环境优先保护区、重点管控区以外，现状水质达标的控制断面所对应的一般管控区，应落实《中华人民共和国水污染防治法》等相关法律法规的总体要求，加强水资源节约和保护，积极推动水生态修复治理，持续深入推进水污染防治，改善水环境质量。</w:t>
            </w:r>
          </w:p>
          <w:p>
            <w:pPr>
              <w:widowControl/>
              <w:ind w:firstLine="512" w:firstLineChars="200"/>
              <w:rPr>
                <w:rFonts w:hint="default" w:ascii="Times New Roman" w:hAnsi="Times New Roman" w:cs="Times New Roman"/>
                <w:color w:val="auto"/>
                <w:kern w:val="0"/>
                <w:sz w:val="24"/>
                <w:highlight w:val="red"/>
              </w:rPr>
            </w:pPr>
            <w:r>
              <w:rPr>
                <w:rFonts w:hint="default" w:ascii="Times New Roman" w:hAnsi="Times New Roman" w:cs="Times New Roman"/>
                <w:color w:val="auto"/>
                <w:kern w:val="0"/>
                <w:sz w:val="24"/>
                <w:highlight w:val="none"/>
              </w:rPr>
              <w:t>本项目所在区域地表水为</w:t>
            </w:r>
            <w:r>
              <w:rPr>
                <w:rFonts w:hint="default" w:ascii="Times New Roman" w:hAnsi="Times New Roman" w:cs="Times New Roman"/>
                <w:color w:val="auto"/>
                <w:kern w:val="0"/>
                <w:sz w:val="24"/>
                <w:highlight w:val="none"/>
                <w:lang w:val="en-US" w:eastAsia="zh-CN"/>
              </w:rPr>
              <w:t>香山湖</w:t>
            </w:r>
            <w:r>
              <w:rPr>
                <w:rFonts w:hint="default" w:ascii="Times New Roman" w:hAnsi="Times New Roman" w:cs="Times New Roman"/>
                <w:color w:val="auto"/>
                <w:kern w:val="0"/>
                <w:sz w:val="24"/>
                <w:highlight w:val="none"/>
              </w:rPr>
              <w:t>，根据《202</w:t>
            </w:r>
            <w:r>
              <w:rPr>
                <w:rFonts w:hint="default"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年宁夏生态环境质量状况》</w:t>
            </w:r>
            <w:r>
              <w:rPr>
                <w:rFonts w:hint="default" w:ascii="Times New Roman" w:hAnsi="Times New Roman" w:cs="Times New Roman"/>
                <w:color w:val="auto"/>
                <w:kern w:val="0"/>
                <w:sz w:val="24"/>
                <w:highlight w:val="none"/>
                <w:lang w:eastAsia="zh-CN"/>
              </w:rPr>
              <w:t>，</w:t>
            </w:r>
            <w:r>
              <w:rPr>
                <w:rFonts w:hint="default" w:ascii="Times New Roman" w:hAnsi="Times New Roman" w:cs="Times New Roman"/>
                <w:color w:val="auto"/>
                <w:kern w:val="0"/>
                <w:sz w:val="24"/>
                <w:highlight w:val="none"/>
                <w:lang w:val="en-US" w:eastAsia="zh-CN"/>
              </w:rPr>
              <w:t>香山湖</w:t>
            </w:r>
            <w:r>
              <w:rPr>
                <w:rFonts w:hint="default" w:ascii="Times New Roman" w:hAnsi="Times New Roman" w:cs="Times New Roman"/>
                <w:color w:val="auto"/>
                <w:kern w:val="0"/>
                <w:sz w:val="24"/>
                <w:highlight w:val="none"/>
              </w:rPr>
              <w:t>为Ⅱ类水质，与上年同期相比水质无明显变化，水质指标符合《地表水环境质量标准》（GB3838-2002）中的Ⅱ类标准。</w:t>
            </w:r>
          </w:p>
          <w:p>
            <w:pPr>
              <w:widowControl/>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本项目为</w:t>
            </w:r>
            <w:r>
              <w:rPr>
                <w:rFonts w:hint="default" w:ascii="Times New Roman" w:hAnsi="Times New Roman" w:cs="Times New Roman"/>
                <w:color w:val="auto"/>
                <w:sz w:val="24"/>
                <w:lang w:val="en-US" w:eastAsia="zh-CN"/>
              </w:rPr>
              <w:t>检测</w:t>
            </w:r>
            <w:r>
              <w:rPr>
                <w:rFonts w:hint="default" w:ascii="Times New Roman" w:hAnsi="Times New Roman" w:cs="Times New Roman"/>
                <w:color w:val="auto"/>
                <w:sz w:val="24"/>
              </w:rPr>
              <w:t>实验室项目，项目建成后，产生的废水为实验器皿清洗废水、纯水制备系统产生的浓盐水及生活污水，实验器皿前段清洗废水</w:t>
            </w:r>
            <w:r>
              <w:rPr>
                <w:rFonts w:hint="default" w:ascii="Times New Roman" w:hAnsi="Times New Roman" w:cs="Times New Roman"/>
                <w:color w:val="auto"/>
                <w:sz w:val="24"/>
                <w:lang w:val="en-US" w:eastAsia="zh-CN"/>
              </w:rPr>
              <w:t>经废液收集桶收集后</w:t>
            </w:r>
            <w:r>
              <w:rPr>
                <w:rFonts w:hint="default" w:ascii="Times New Roman" w:hAnsi="Times New Roman" w:cs="Times New Roman"/>
                <w:color w:val="auto"/>
                <w:sz w:val="24"/>
              </w:rPr>
              <w:t>暂存于</w:t>
            </w:r>
            <w:r>
              <w:rPr>
                <w:rFonts w:hint="default" w:ascii="Times New Roman" w:hAnsi="Times New Roman" w:cs="Times New Roman"/>
                <w:color w:val="auto"/>
                <w:sz w:val="24"/>
                <w:lang w:eastAsia="zh-CN"/>
              </w:rPr>
              <w:t>危废暂存库</w:t>
            </w:r>
            <w:r>
              <w:rPr>
                <w:rFonts w:hint="default" w:ascii="Times New Roman" w:hAnsi="Times New Roman" w:cs="Times New Roman"/>
                <w:color w:val="auto"/>
                <w:sz w:val="24"/>
              </w:rPr>
              <w:t>，定期交由</w:t>
            </w:r>
            <w:r>
              <w:rPr>
                <w:rFonts w:hint="default" w:ascii="Times New Roman" w:hAnsi="Times New Roman" w:cs="Times New Roman"/>
                <w:color w:val="auto"/>
                <w:sz w:val="24"/>
                <w:lang w:eastAsia="zh-CN"/>
              </w:rPr>
              <w:t>宁夏宁东清大国华环境资源有限公司</w:t>
            </w:r>
            <w:r>
              <w:rPr>
                <w:rFonts w:hint="default" w:ascii="Times New Roman" w:hAnsi="Times New Roman" w:cs="Times New Roman"/>
                <w:color w:val="auto"/>
                <w:sz w:val="24"/>
              </w:rPr>
              <w:t>处理，</w:t>
            </w:r>
            <w:r>
              <w:rPr>
                <w:rFonts w:hint="default" w:ascii="Times New Roman" w:hAnsi="Times New Roman" w:cs="Times New Roman"/>
                <w:color w:val="auto"/>
                <w:kern w:val="0"/>
                <w:sz w:val="24"/>
                <w:highlight w:val="none"/>
                <w:lang w:val="en-US" w:eastAsia="zh-CN"/>
              </w:rPr>
              <w:t>实验器皿后段清洗废水，经中和调节桶调节pH至6-9后，与生活污水和纯水制备系统产生的浓盐水一起排入现有化粪池处理后经市政污水管网最终进入中卫市第三污水处理厂集中处理。</w:t>
            </w:r>
            <w:r>
              <w:rPr>
                <w:rFonts w:hint="default" w:ascii="Times New Roman" w:hAnsi="Times New Roman" w:cs="Times New Roman"/>
                <w:color w:val="auto"/>
                <w:sz w:val="24"/>
              </w:rPr>
              <w:t>可实现达标排放，对周围环境影响较小，符合环境质量底线与管控要求。</w:t>
            </w:r>
          </w:p>
          <w:p>
            <w:pPr>
              <w:widowControl/>
              <w:ind w:firstLine="512" w:firstLineChars="200"/>
              <w:rPr>
                <w:rFonts w:hint="default" w:ascii="Times New Roman" w:hAnsi="Times New Roman" w:cs="Times New Roman"/>
                <w:color w:val="auto"/>
              </w:rPr>
            </w:pPr>
            <w:r>
              <w:rPr>
                <w:rFonts w:hint="default" w:ascii="Times New Roman" w:hAnsi="Times New Roman" w:cs="Times New Roman"/>
                <w:color w:val="auto"/>
                <w:kern w:val="0"/>
                <w:sz w:val="24"/>
              </w:rPr>
              <w:t>本项目与</w:t>
            </w:r>
            <w:r>
              <w:rPr>
                <w:rFonts w:hint="default" w:ascii="Times New Roman" w:hAnsi="Times New Roman" w:cs="Times New Roman"/>
                <w:color w:val="auto"/>
                <w:kern w:val="0"/>
                <w:sz w:val="24"/>
                <w:lang w:eastAsia="zh-CN"/>
              </w:rPr>
              <w:t>中卫市</w:t>
            </w:r>
            <w:r>
              <w:rPr>
                <w:rFonts w:hint="default" w:ascii="Times New Roman" w:hAnsi="Times New Roman" w:cs="Times New Roman"/>
                <w:color w:val="auto"/>
                <w:kern w:val="0"/>
                <w:sz w:val="24"/>
              </w:rPr>
              <w:t>水环境分区管控位置关系见附图</w:t>
            </w:r>
            <w:r>
              <w:rPr>
                <w:rFonts w:hint="default" w:ascii="Times New Roman" w:hAnsi="Times New Roman" w:cs="Times New Roman"/>
                <w:color w:val="auto"/>
                <w:kern w:val="0"/>
                <w:sz w:val="24"/>
                <w:lang w:val="en-US" w:eastAsia="zh-CN"/>
              </w:rPr>
              <w:t>4</w:t>
            </w:r>
            <w:r>
              <w:rPr>
                <w:rFonts w:hint="default" w:ascii="Times New Roman" w:hAnsi="Times New Roman" w:cs="Times New Roman"/>
                <w:color w:val="auto"/>
                <w:kern w:val="0"/>
                <w:sz w:val="24"/>
              </w:rPr>
              <w:t>。</w:t>
            </w:r>
          </w:p>
          <w:p>
            <w:pPr>
              <w:numPr>
                <w:ilvl w:val="0"/>
                <w:numId w:val="5"/>
              </w:num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大气环境质量底线及分区管控</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基于区域大气环境流场模拟结果，考虑人口分布、大气污染传输规律和土地利用现状等，识别模拟网格单元主导属性，将全市划分为大气环境优先保护区、大气环境重点管控区和大气环境一般管控区，实施分类管理。根据</w:t>
            </w:r>
            <w:r>
              <w:rPr>
                <w:rFonts w:hint="default" w:ascii="Times New Roman" w:hAnsi="Times New Roman" w:cs="Times New Roman"/>
                <w:color w:val="auto"/>
                <w:kern w:val="0"/>
                <w:sz w:val="24"/>
                <w:lang w:eastAsia="zh-CN"/>
              </w:rPr>
              <w:t>中卫市</w:t>
            </w:r>
            <w:r>
              <w:rPr>
                <w:rFonts w:hint="default" w:ascii="Times New Roman" w:hAnsi="Times New Roman" w:cs="Times New Roman"/>
                <w:color w:val="auto"/>
                <w:kern w:val="0"/>
                <w:sz w:val="24"/>
              </w:rPr>
              <w:t>大气环境管控分区划分，本项目位于</w:t>
            </w:r>
            <w:r>
              <w:rPr>
                <w:rFonts w:hint="default" w:ascii="Times New Roman" w:hAnsi="Times New Roman" w:cs="Times New Roman"/>
                <w:color w:val="auto"/>
                <w:kern w:val="0"/>
                <w:sz w:val="24"/>
                <w:lang w:eastAsia="zh-CN"/>
              </w:rPr>
              <w:t>中卫市</w:t>
            </w:r>
            <w:r>
              <w:rPr>
                <w:rFonts w:hint="default" w:ascii="Times New Roman" w:hAnsi="Times New Roman" w:cs="Times New Roman"/>
                <w:color w:val="auto"/>
                <w:kern w:val="0"/>
                <w:sz w:val="24"/>
              </w:rPr>
              <w:t>大气环境重点管控区中的大气环境受体敏感重点管控区。</w:t>
            </w:r>
          </w:p>
          <w:p>
            <w:pPr>
              <w:ind w:firstLine="512" w:firstLineChars="200"/>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cs="Times New Roman"/>
                <w:color w:val="auto"/>
                <w:kern w:val="0"/>
                <w:sz w:val="24"/>
              </w:rPr>
              <w:t>大气环境受体敏感重点管控区</w:t>
            </w:r>
            <w:r>
              <w:rPr>
                <w:rFonts w:hint="default" w:ascii="Times New Roman" w:hAnsi="Times New Roman" w:cs="Times New Roman"/>
                <w:color w:val="auto"/>
                <w:kern w:val="0"/>
                <w:sz w:val="24"/>
                <w:lang w:eastAsia="zh-CN"/>
              </w:rPr>
              <w:t>：</w:t>
            </w:r>
            <w:r>
              <w:rPr>
                <w:rFonts w:hint="default" w:ascii="Times New Roman" w:hAnsi="Times New Roman" w:eastAsia="宋体" w:cs="Times New Roman"/>
                <w:color w:val="auto"/>
                <w:kern w:val="0"/>
                <w:sz w:val="24"/>
                <w:szCs w:val="24"/>
                <w:lang w:val="en-US" w:eastAsia="zh-CN" w:bidi="ar-SA"/>
              </w:rPr>
              <w:t>严格落实建筑工地“六个 100%”防控措施，实行清单动态更新管理，持续加强施工扬尘管控水平。进一步提高机械化清扫率，从严从细规范渣土车管理，继续在全市推广“以克论净”。持续推进国土绿化，提高城市绿地面积和绿化率，基本消除建成区裸露空地。加大餐饮业油烟污染整治力度，餐饮经营场所全部安装油烟净化设施，设施正常使用率不低于 95％，鼓励规模以上餐饮企业试点安装油烟在线监控装置。加快推进热电联产、余热利用、集中供热工程建设，结合老旧小区改造，扩大清洁取暖范围，禁止露天焚烧产生有毒有害烟尘和恶臭气体的物质或将其用作燃料。加快公交专用道规划建设，完善新能源汽车配套设施，不断提高新能源汽车保有量，合理控制燃油机动车使用强度。</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本项目位于</w:t>
            </w:r>
            <w:r>
              <w:rPr>
                <w:rFonts w:hint="default" w:ascii="Times New Roman" w:hAnsi="Times New Roman" w:cs="Times New Roman"/>
                <w:color w:val="auto"/>
                <w:kern w:val="0"/>
                <w:sz w:val="24"/>
                <w:lang w:val="en-US" w:eastAsia="zh-CN"/>
              </w:rPr>
              <w:t>中卫市沙坡头区</w:t>
            </w:r>
            <w:r>
              <w:rPr>
                <w:rFonts w:hint="default" w:ascii="Times New Roman" w:hAnsi="Times New Roman" w:cs="Times New Roman"/>
                <w:color w:val="auto"/>
                <w:kern w:val="0"/>
                <w:sz w:val="24"/>
                <w:highlight w:val="none"/>
              </w:rPr>
              <w:t>，所在区域环境空气质量执行《环境空气质量标准》(GB3095-2012)及其修改</w:t>
            </w:r>
            <w:r>
              <w:rPr>
                <w:rFonts w:hint="default" w:ascii="Times New Roman" w:hAnsi="Times New Roman" w:cs="Times New Roman"/>
                <w:color w:val="auto"/>
                <w:kern w:val="0"/>
                <w:sz w:val="24"/>
              </w:rPr>
              <w:t>单中二级标准，项目区域环境空气质量属于《环境影响评价技术导则 大气环境》（HJ2.2-2018）中规定的达标区。</w:t>
            </w:r>
          </w:p>
          <w:p>
            <w:pPr>
              <w:adjustRightInd w:val="0"/>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sz w:val="24"/>
              </w:rPr>
              <w:t>本项目为实验室</w:t>
            </w:r>
            <w:r>
              <w:rPr>
                <w:rFonts w:hint="default" w:ascii="Times New Roman" w:hAnsi="Times New Roman" w:cs="Times New Roman"/>
                <w:color w:val="auto"/>
                <w:sz w:val="24"/>
                <w:lang w:val="en-US" w:eastAsia="zh-CN"/>
              </w:rPr>
              <w:t>检测</w:t>
            </w:r>
            <w:r>
              <w:rPr>
                <w:rFonts w:hint="default" w:ascii="Times New Roman" w:hAnsi="Times New Roman" w:cs="Times New Roman"/>
                <w:color w:val="auto"/>
                <w:sz w:val="24"/>
              </w:rPr>
              <w:t>项目，属于</w:t>
            </w:r>
            <w:r>
              <w:rPr>
                <w:rFonts w:hint="default" w:ascii="Times New Roman" w:hAnsi="Times New Roman" w:cs="Times New Roman"/>
                <w:color w:val="auto"/>
                <w:sz w:val="24"/>
                <w:lang w:val="en-US" w:eastAsia="zh-CN"/>
              </w:rPr>
              <w:t>鼓励</w:t>
            </w:r>
            <w:r>
              <w:rPr>
                <w:rFonts w:hint="default" w:ascii="Times New Roman" w:hAnsi="Times New Roman" w:cs="Times New Roman"/>
                <w:color w:val="auto"/>
                <w:sz w:val="24"/>
              </w:rPr>
              <w:t>类建设项目，本项目废气</w:t>
            </w:r>
            <w:r>
              <w:rPr>
                <w:rFonts w:hint="default" w:ascii="Times New Roman" w:hAnsi="Times New Roman" w:cs="Times New Roman"/>
                <w:color w:val="auto"/>
                <w:sz w:val="24"/>
                <w:lang w:val="en-US" w:eastAsia="zh-CN"/>
              </w:rPr>
              <w:t>经</w:t>
            </w:r>
            <w:r>
              <w:rPr>
                <w:rFonts w:hint="default" w:ascii="Times New Roman" w:hAnsi="Times New Roman" w:cs="Times New Roman"/>
                <w:color w:val="auto"/>
                <w:sz w:val="24"/>
              </w:rPr>
              <w:t>通风橱收集</w:t>
            </w:r>
            <w:r>
              <w:rPr>
                <w:rFonts w:hint="default" w:ascii="Times New Roman" w:hAnsi="Times New Roman" w:cs="Times New Roman"/>
                <w:color w:val="auto"/>
                <w:sz w:val="24"/>
                <w:lang w:val="en-US" w:eastAsia="zh-CN"/>
              </w:rPr>
              <w:t>+活性炭吸附处理后引至室外无组织</w:t>
            </w:r>
            <w:r>
              <w:rPr>
                <w:rFonts w:hint="default" w:ascii="Times New Roman" w:hAnsi="Times New Roman" w:cs="Times New Roman"/>
                <w:color w:val="auto"/>
                <w:sz w:val="24"/>
              </w:rPr>
              <w:t>排放，可实现达标排放，对周围环境影响较小，符合</w:t>
            </w:r>
            <w:r>
              <w:rPr>
                <w:rFonts w:hint="default" w:ascii="Times New Roman" w:hAnsi="Times New Roman" w:cs="Times New Roman"/>
                <w:color w:val="auto"/>
                <w:sz w:val="24"/>
                <w:lang w:val="en-US" w:eastAsia="zh-CN"/>
              </w:rPr>
              <w:t>大气</w:t>
            </w:r>
            <w:r>
              <w:rPr>
                <w:rFonts w:hint="default" w:ascii="Times New Roman" w:hAnsi="Times New Roman" w:cs="Times New Roman"/>
                <w:color w:val="auto"/>
                <w:sz w:val="24"/>
              </w:rPr>
              <w:t>环境质量底线与分区管控要求。</w:t>
            </w:r>
          </w:p>
          <w:p>
            <w:pPr>
              <w:ind w:firstLine="512" w:firstLineChars="200"/>
              <w:rPr>
                <w:rFonts w:hint="default" w:ascii="Times New Roman" w:hAnsi="Times New Roman" w:cs="Times New Roman"/>
                <w:color w:val="auto"/>
              </w:rPr>
            </w:pPr>
            <w:r>
              <w:rPr>
                <w:rFonts w:hint="default" w:ascii="Times New Roman" w:hAnsi="Times New Roman" w:cs="Times New Roman"/>
                <w:color w:val="auto"/>
                <w:kern w:val="0"/>
                <w:sz w:val="24"/>
              </w:rPr>
              <w:t>本项目与</w:t>
            </w:r>
            <w:r>
              <w:rPr>
                <w:rFonts w:hint="default" w:ascii="Times New Roman" w:hAnsi="Times New Roman" w:cs="Times New Roman"/>
                <w:color w:val="auto"/>
                <w:kern w:val="0"/>
                <w:sz w:val="24"/>
                <w:lang w:eastAsia="zh-CN"/>
              </w:rPr>
              <w:t>中卫市</w:t>
            </w:r>
            <w:r>
              <w:rPr>
                <w:rFonts w:hint="default" w:ascii="Times New Roman" w:hAnsi="Times New Roman" w:cs="Times New Roman"/>
                <w:color w:val="auto"/>
                <w:kern w:val="0"/>
                <w:sz w:val="24"/>
              </w:rPr>
              <w:t>大气环境分区管控位置关系见附图</w:t>
            </w:r>
            <w:r>
              <w:rPr>
                <w:rFonts w:hint="default" w:ascii="Times New Roman" w:hAnsi="Times New Roman" w:cs="Times New Roman"/>
                <w:color w:val="auto"/>
                <w:kern w:val="0"/>
                <w:sz w:val="24"/>
                <w:lang w:val="en-US" w:eastAsia="zh-CN"/>
              </w:rPr>
              <w:t>5</w:t>
            </w:r>
            <w:r>
              <w:rPr>
                <w:rFonts w:hint="default" w:ascii="Times New Roman" w:hAnsi="Times New Roman" w:cs="Times New Roman"/>
                <w:color w:val="auto"/>
                <w:kern w:val="0"/>
                <w:sz w:val="24"/>
              </w:rPr>
              <w:t>。</w:t>
            </w:r>
          </w:p>
          <w:p>
            <w:pPr>
              <w:numPr>
                <w:ilvl w:val="0"/>
                <w:numId w:val="5"/>
              </w:num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土壤污染风险防控底线及分区管控</w:t>
            </w:r>
          </w:p>
          <w:p>
            <w:pPr>
              <w:ind w:firstLine="512"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kern w:val="0"/>
                <w:sz w:val="24"/>
              </w:rPr>
              <w:t>根</w:t>
            </w:r>
            <w:r>
              <w:rPr>
                <w:rFonts w:hint="default" w:ascii="Times New Roman" w:hAnsi="Times New Roman" w:eastAsia="宋体" w:cs="Times New Roman"/>
                <w:color w:val="auto"/>
                <w:sz w:val="24"/>
                <w:szCs w:val="24"/>
              </w:rPr>
              <w:t>据土壤环境质量现状、土地利用现状，综合考虑全市农用地土壤污染状况详查和重点行业企业用地详查结果，衔接现有污染地 块名录、土壤环境重点监管企业清单等，将全市划分为农用地优先保护区、建设用地污染风险重点管控区和土壤环境一般管控区</w:t>
            </w:r>
            <w:r>
              <w:rPr>
                <w:rFonts w:hint="default" w:ascii="Times New Roman" w:hAnsi="Times New Roman" w:cs="Times New Roman"/>
                <w:color w:val="auto"/>
                <w:kern w:val="0"/>
                <w:sz w:val="24"/>
              </w:rPr>
              <w:t>。根据</w:t>
            </w:r>
            <w:r>
              <w:rPr>
                <w:rFonts w:hint="default" w:ascii="Times New Roman" w:hAnsi="Times New Roman" w:cs="Times New Roman"/>
                <w:color w:val="auto"/>
                <w:kern w:val="0"/>
                <w:sz w:val="24"/>
                <w:lang w:eastAsia="zh-CN"/>
              </w:rPr>
              <w:t>中卫</w:t>
            </w:r>
            <w:r>
              <w:rPr>
                <w:rFonts w:hint="default" w:ascii="Times New Roman" w:hAnsi="Times New Roman" w:cs="Times New Roman"/>
                <w:color w:val="auto"/>
                <w:kern w:val="0"/>
                <w:sz w:val="24"/>
              </w:rPr>
              <w:t>市土壤污染风险管控分区划分，本项目位于</w:t>
            </w:r>
            <w:r>
              <w:rPr>
                <w:rFonts w:hint="default" w:ascii="Times New Roman" w:hAnsi="Times New Roman" w:eastAsia="宋体" w:cs="Times New Roman"/>
                <w:color w:val="auto"/>
                <w:sz w:val="24"/>
                <w:szCs w:val="24"/>
              </w:rPr>
              <w:t>土壤环境一般管控区</w:t>
            </w:r>
            <w:r>
              <w:rPr>
                <w:rFonts w:hint="default" w:ascii="Times New Roman" w:hAnsi="Times New Roman" w:cs="Times New Roman"/>
                <w:color w:val="auto"/>
                <w:sz w:val="24"/>
                <w:szCs w:val="24"/>
                <w:lang w:eastAsia="zh-CN"/>
              </w:rPr>
              <w:t>。</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一般管控区：编制国土空间规划等相关规划时，应充分考虑污染地块的环境风险，合理确定土地用途。禁止在居民区、学校、医疗和养老机构等周边新建有色金属冶炼、焦化等行业企业。排放重点污染物的建设项目，在开展环境影响评价时，要增加对土壤环境影响的评价内容，并提出防范土壤污染的具体措施；需要建设的土壤污染防·治设施，要与主体工程同时设计、同时施工、同时投产使用。</w:t>
            </w:r>
          </w:p>
          <w:p>
            <w:pPr>
              <w:ind w:firstLine="512" w:firstLineChars="200"/>
              <w:rPr>
                <w:rFonts w:hint="default" w:ascii="Times New Roman" w:hAnsi="Times New Roman" w:cs="Times New Roman"/>
                <w:color w:val="auto"/>
                <w:kern w:val="0"/>
                <w:sz w:val="24"/>
              </w:rPr>
            </w:pPr>
            <w:r>
              <w:rPr>
                <w:rFonts w:hint="default" w:ascii="Times New Roman" w:hAnsi="Times New Roman" w:eastAsia="宋体" w:cs="Times New Roman"/>
                <w:color w:val="auto"/>
                <w:sz w:val="24"/>
                <w:szCs w:val="24"/>
                <w:highlight w:val="none"/>
              </w:rPr>
              <w:t>本项目</w:t>
            </w:r>
            <w:r>
              <w:rPr>
                <w:rFonts w:hint="default" w:ascii="Times New Roman" w:hAnsi="Times New Roman" w:cs="Times New Roman"/>
                <w:color w:val="auto"/>
                <w:sz w:val="24"/>
                <w:szCs w:val="24"/>
                <w:highlight w:val="none"/>
                <w:lang w:val="en-US" w:eastAsia="zh-CN"/>
              </w:rPr>
              <w:t>使用中卫市职业技术学校</w:t>
            </w:r>
            <w:r>
              <w:rPr>
                <w:rFonts w:hint="default" w:ascii="Times New Roman" w:hAnsi="Times New Roman" w:eastAsia="宋体" w:cs="Times New Roman"/>
                <w:color w:val="auto"/>
                <w:sz w:val="24"/>
                <w:szCs w:val="24"/>
                <w:highlight w:val="none"/>
                <w:lang w:val="en-US" w:eastAsia="zh-CN"/>
              </w:rPr>
              <w:t>已建楼房3号实训楼一楼用作</w:t>
            </w:r>
            <w:r>
              <w:rPr>
                <w:rFonts w:hint="default" w:ascii="Times New Roman" w:hAnsi="Times New Roman" w:cs="Times New Roman"/>
                <w:color w:val="auto"/>
                <w:sz w:val="24"/>
                <w:szCs w:val="24"/>
                <w:highlight w:val="none"/>
                <w:lang w:val="en-US" w:eastAsia="zh-CN"/>
              </w:rPr>
              <w:t>实验室</w:t>
            </w:r>
            <w:r>
              <w:rPr>
                <w:rFonts w:hint="default" w:ascii="Times New Roman" w:hAnsi="Times New Roman" w:eastAsia="宋体" w:cs="Times New Roman"/>
                <w:color w:val="auto"/>
                <w:sz w:val="24"/>
                <w:szCs w:val="24"/>
                <w:highlight w:val="none"/>
                <w:lang w:val="en-US" w:eastAsia="zh-CN"/>
              </w:rPr>
              <w:t>，不</w:t>
            </w:r>
            <w:r>
              <w:rPr>
                <w:rFonts w:hint="default" w:ascii="Times New Roman" w:hAnsi="Times New Roman" w:eastAsia="宋体" w:cs="Times New Roman"/>
                <w:color w:val="auto"/>
                <w:sz w:val="24"/>
                <w:szCs w:val="24"/>
                <w:lang w:val="en-US" w:eastAsia="zh-CN"/>
              </w:rPr>
              <w:t>直接接触土壤</w:t>
            </w:r>
            <w:r>
              <w:rPr>
                <w:rFonts w:hint="default" w:ascii="Times New Roman" w:hAnsi="Times New Roman" w:eastAsia="宋体" w:cs="Times New Roman"/>
                <w:color w:val="auto"/>
                <w:sz w:val="24"/>
                <w:szCs w:val="24"/>
                <w:lang w:eastAsia="zh-CN"/>
              </w:rPr>
              <w:t>，项目</w:t>
            </w:r>
            <w:r>
              <w:rPr>
                <w:rFonts w:hint="default" w:ascii="Times New Roman" w:hAnsi="Times New Roman" w:eastAsia="宋体" w:cs="Times New Roman"/>
                <w:color w:val="auto"/>
                <w:sz w:val="24"/>
                <w:szCs w:val="24"/>
              </w:rPr>
              <w:t>按照实验室要求进行防渗措施的</w:t>
            </w:r>
            <w:r>
              <w:rPr>
                <w:rFonts w:hint="default" w:ascii="Times New Roman" w:hAnsi="Times New Roman" w:cs="Times New Roman"/>
                <w:color w:val="auto"/>
                <w:sz w:val="24"/>
                <w:szCs w:val="24"/>
                <w:lang w:val="en-US" w:eastAsia="zh-CN"/>
              </w:rPr>
              <w:t>装修</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正常情况下</w:t>
            </w:r>
            <w:r>
              <w:rPr>
                <w:rFonts w:hint="default" w:ascii="Times New Roman" w:hAnsi="Times New Roman" w:eastAsia="宋体" w:cs="Times New Roman"/>
                <w:color w:val="auto"/>
                <w:sz w:val="24"/>
                <w:szCs w:val="24"/>
              </w:rPr>
              <w:t>不存在</w:t>
            </w:r>
            <w:r>
              <w:rPr>
                <w:rFonts w:hint="default" w:ascii="Times New Roman" w:hAnsi="Times New Roman" w:eastAsia="宋体" w:cs="Times New Roman"/>
                <w:color w:val="auto"/>
                <w:sz w:val="24"/>
                <w:szCs w:val="24"/>
                <w:lang w:val="en-US" w:eastAsia="zh-CN"/>
              </w:rPr>
              <w:t>土壤</w:t>
            </w:r>
            <w:r>
              <w:rPr>
                <w:rFonts w:hint="default" w:ascii="Times New Roman" w:hAnsi="Times New Roman" w:eastAsia="宋体" w:cs="Times New Roman"/>
                <w:color w:val="auto"/>
                <w:sz w:val="24"/>
                <w:szCs w:val="24"/>
              </w:rPr>
              <w:t>污染途径。</w:t>
            </w:r>
            <w:r>
              <w:rPr>
                <w:rFonts w:hint="default" w:ascii="Times New Roman" w:hAnsi="Times New Roman" w:cs="Times New Roman"/>
                <w:color w:val="auto"/>
                <w:kern w:val="0"/>
                <w:sz w:val="24"/>
              </w:rPr>
              <w:t>因此，本项目与</w:t>
            </w:r>
            <w:r>
              <w:rPr>
                <w:rFonts w:hint="default" w:ascii="Times New Roman" w:hAnsi="Times New Roman" w:cs="Times New Roman"/>
                <w:color w:val="auto"/>
                <w:kern w:val="0"/>
                <w:sz w:val="24"/>
                <w:lang w:eastAsia="zh-CN"/>
              </w:rPr>
              <w:t>中卫</w:t>
            </w:r>
            <w:r>
              <w:rPr>
                <w:rFonts w:hint="default" w:ascii="Times New Roman" w:hAnsi="Times New Roman" w:cs="Times New Roman"/>
                <w:color w:val="auto"/>
                <w:kern w:val="0"/>
                <w:sz w:val="24"/>
              </w:rPr>
              <w:t>市土壤污染风险防控底线相符合。</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本项目与</w:t>
            </w:r>
            <w:r>
              <w:rPr>
                <w:rFonts w:hint="default" w:ascii="Times New Roman" w:hAnsi="Times New Roman" w:cs="Times New Roman"/>
                <w:color w:val="auto"/>
                <w:kern w:val="0"/>
                <w:sz w:val="24"/>
                <w:lang w:eastAsia="zh-CN"/>
              </w:rPr>
              <w:t>中卫</w:t>
            </w:r>
            <w:r>
              <w:rPr>
                <w:rFonts w:hint="default" w:ascii="Times New Roman" w:hAnsi="Times New Roman" w:cs="Times New Roman"/>
                <w:color w:val="auto"/>
                <w:kern w:val="0"/>
                <w:sz w:val="24"/>
              </w:rPr>
              <w:t>市土壤污染风险分区管控位置关系见</w:t>
            </w:r>
            <w:r>
              <w:rPr>
                <w:rFonts w:hint="default" w:ascii="Times New Roman" w:hAnsi="Times New Roman" w:cs="Times New Roman"/>
                <w:color w:val="auto"/>
                <w:kern w:val="0"/>
                <w:sz w:val="24"/>
                <w:highlight w:val="none"/>
              </w:rPr>
              <w:t>附图</w:t>
            </w: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auto"/>
                <w:kern w:val="0"/>
                <w:sz w:val="24"/>
              </w:rPr>
              <w:t>。</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综上所述，本项目满足环境质量底线的要求，即不会改变区域环境功能区质量要求，</w:t>
            </w:r>
            <w:r>
              <w:rPr>
                <w:rFonts w:hint="default" w:ascii="Times New Roman" w:hAnsi="Times New Roman" w:cs="Times New Roman"/>
                <w:color w:val="auto"/>
                <w:kern w:val="0"/>
                <w:sz w:val="24"/>
                <w:lang w:val="en-US" w:eastAsia="zh-CN"/>
              </w:rPr>
              <w:t>亦</w:t>
            </w:r>
            <w:r>
              <w:rPr>
                <w:rFonts w:hint="default" w:ascii="Times New Roman" w:hAnsi="Times New Roman" w:cs="Times New Roman"/>
                <w:color w:val="auto"/>
                <w:kern w:val="0"/>
                <w:sz w:val="24"/>
              </w:rPr>
              <w:t>能维持环境功能区质量现状。</w:t>
            </w:r>
          </w:p>
          <w:p>
            <w:pPr>
              <w:numPr>
                <w:ilvl w:val="0"/>
                <w:numId w:val="4"/>
              </w:num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资源利用上线及分区管控</w:t>
            </w:r>
          </w:p>
          <w:p>
            <w:pPr>
              <w:numPr>
                <w:ilvl w:val="0"/>
                <w:numId w:val="6"/>
              </w:num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能源（煤炭）资源利用上线及分区管控</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本项目不涉及能源（煤炭），项目主要能源消耗为电能，电能由当地供电管网提供，电能消耗量较小，符合能源分区管控要求。</w:t>
            </w:r>
          </w:p>
          <w:p>
            <w:pPr>
              <w:numPr>
                <w:ilvl w:val="0"/>
                <w:numId w:val="7"/>
              </w:num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水资源利用上线及分区管控</w:t>
            </w:r>
          </w:p>
          <w:p>
            <w:pPr>
              <w:ind w:firstLine="512" w:firstLineChars="200"/>
              <w:rPr>
                <w:rFonts w:hint="default" w:ascii="Times New Roman" w:hAnsi="Times New Roman" w:eastAsia="宋体" w:cs="Times New Roman"/>
                <w:color w:val="auto"/>
                <w:kern w:val="0"/>
                <w:sz w:val="24"/>
                <w:lang w:eastAsia="zh-CN"/>
              </w:rPr>
            </w:pPr>
            <w:r>
              <w:rPr>
                <w:rFonts w:hint="default" w:ascii="Times New Roman" w:hAnsi="Times New Roman" w:cs="Times New Roman"/>
                <w:color w:val="auto"/>
                <w:kern w:val="0"/>
                <w:sz w:val="24"/>
              </w:rPr>
              <w:t>本项目位</w:t>
            </w:r>
            <w:r>
              <w:rPr>
                <w:rFonts w:hint="default" w:ascii="Times New Roman" w:hAnsi="Times New Roman" w:cs="Times New Roman"/>
                <w:color w:val="auto"/>
                <w:kern w:val="0"/>
                <w:sz w:val="24"/>
                <w:highlight w:val="none"/>
              </w:rPr>
              <w:t>于</w:t>
            </w:r>
            <w:r>
              <w:rPr>
                <w:rFonts w:hint="default" w:ascii="Times New Roman" w:hAnsi="Times New Roman" w:cs="Times New Roman"/>
                <w:color w:val="auto"/>
                <w:sz w:val="24"/>
                <w:highlight w:val="none"/>
                <w:lang w:val="en-US" w:eastAsia="zh-CN"/>
              </w:rPr>
              <w:t>中卫市沙坡头区职业技术学院3号实训楼一楼</w:t>
            </w:r>
            <w:r>
              <w:rPr>
                <w:rFonts w:hint="default" w:ascii="Times New Roman" w:hAnsi="Times New Roman" w:cs="Times New Roman"/>
                <w:color w:val="auto"/>
                <w:kern w:val="0"/>
                <w:sz w:val="24"/>
              </w:rPr>
              <w:t>，属于</w:t>
            </w:r>
            <w:r>
              <w:rPr>
                <w:rFonts w:hint="default" w:ascii="Times New Roman" w:hAnsi="Times New Roman" w:cs="Times New Roman"/>
                <w:color w:val="auto"/>
                <w:kern w:val="0"/>
                <w:sz w:val="24"/>
                <w:lang w:eastAsia="zh-CN"/>
              </w:rPr>
              <w:t>中卫</w:t>
            </w:r>
            <w:r>
              <w:rPr>
                <w:rFonts w:hint="default" w:ascii="Times New Roman" w:hAnsi="Times New Roman" w:cs="Times New Roman"/>
                <w:color w:val="auto"/>
                <w:kern w:val="0"/>
                <w:sz w:val="24"/>
              </w:rPr>
              <w:t>市水资源利用上线一般管控区。项目用水由当地市政管网接入，用量较小，符合水资源利用上线要求</w:t>
            </w:r>
            <w:r>
              <w:rPr>
                <w:rFonts w:hint="default" w:ascii="Times New Roman" w:hAnsi="Times New Roman" w:cs="Times New Roman"/>
                <w:color w:val="auto"/>
                <w:kern w:val="0"/>
                <w:sz w:val="24"/>
                <w:lang w:eastAsia="zh-CN"/>
              </w:rPr>
              <w:t>。</w:t>
            </w:r>
          </w:p>
          <w:p>
            <w:pPr>
              <w:numPr>
                <w:ilvl w:val="0"/>
                <w:numId w:val="7"/>
              </w:num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土地资源利用上线及分区管控</w:t>
            </w:r>
          </w:p>
          <w:p>
            <w:pPr>
              <w:ind w:firstLine="512" w:firstLineChars="200"/>
              <w:rPr>
                <w:rFonts w:hint="default" w:ascii="Times New Roman" w:hAnsi="Times New Roman" w:cs="Times New Roman"/>
                <w:color w:val="auto"/>
                <w:kern w:val="0"/>
                <w:sz w:val="24"/>
              </w:rPr>
            </w:pPr>
            <w:r>
              <w:rPr>
                <w:rFonts w:hint="default" w:ascii="Times New Roman" w:hAnsi="Times New Roman" w:eastAsia="宋体" w:cs="Times New Roman"/>
                <w:color w:val="auto"/>
                <w:sz w:val="24"/>
                <w:szCs w:val="24"/>
              </w:rPr>
              <w:t>本项目</w:t>
            </w:r>
            <w:r>
              <w:rPr>
                <w:rFonts w:hint="default" w:ascii="Times New Roman" w:hAnsi="Times New Roman" w:cs="Times New Roman"/>
                <w:color w:val="auto"/>
                <w:sz w:val="24"/>
                <w:szCs w:val="24"/>
                <w:lang w:val="en-US" w:eastAsia="zh-CN"/>
              </w:rPr>
              <w:t>使用中卫市职业技术学校</w:t>
            </w:r>
            <w:r>
              <w:rPr>
                <w:rFonts w:hint="default" w:ascii="Times New Roman" w:hAnsi="Times New Roman" w:eastAsia="宋体" w:cs="Times New Roman"/>
                <w:color w:val="auto"/>
                <w:sz w:val="24"/>
                <w:szCs w:val="24"/>
                <w:lang w:val="en-US" w:eastAsia="zh-CN"/>
              </w:rPr>
              <w:t>已建楼房3号实训楼一楼</w:t>
            </w:r>
            <w:r>
              <w:rPr>
                <w:rFonts w:hint="default" w:ascii="Times New Roman" w:hAnsi="Times New Roman" w:cs="Times New Roman"/>
                <w:color w:val="auto"/>
                <w:sz w:val="24"/>
                <w:szCs w:val="24"/>
                <w:lang w:val="en-US" w:eastAsia="zh-CN"/>
              </w:rPr>
              <w:t>用作实验室</w:t>
            </w:r>
            <w:r>
              <w:rPr>
                <w:rFonts w:hint="default" w:ascii="Times New Roman" w:hAnsi="Times New Roman" w:cs="Times New Roman"/>
                <w:color w:val="auto"/>
                <w:kern w:val="0"/>
                <w:sz w:val="24"/>
              </w:rPr>
              <w:t>。用地不影响区域土地资源总量，不会突破土地资源上限，符合土地资源利用上线要求。</w:t>
            </w:r>
          </w:p>
          <w:p>
            <w:pPr>
              <w:numPr>
                <w:ilvl w:val="0"/>
                <w:numId w:val="4"/>
              </w:numPr>
              <w:autoSpaceDE w:val="0"/>
              <w:autoSpaceDN w:val="0"/>
              <w:spacing w:before="240" w:after="60"/>
              <w:rPr>
                <w:rFonts w:hint="default" w:ascii="Times New Roman" w:hAnsi="Times New Roman" w:eastAsia="黑体" w:cs="Times New Roman"/>
                <w:color w:val="auto"/>
                <w:kern w:val="0"/>
                <w:sz w:val="24"/>
              </w:rPr>
            </w:pPr>
            <w:r>
              <w:rPr>
                <w:rFonts w:hint="default" w:ascii="Times New Roman" w:hAnsi="Times New Roman" w:eastAsia="黑体" w:cs="Times New Roman"/>
                <w:color w:val="auto"/>
                <w:kern w:val="0"/>
                <w:sz w:val="24"/>
              </w:rPr>
              <w:t>环境管控单元与准入清单</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坚持生态优先，考虑区域经济社会发展重点和差异，综合划定环境管控单元，在环境管控单元内落实生态保护红线、环境质量底线、资源利用上线的分区管控要求，实施分类管控。各生态环境要素中各类区域管控级别有重合时，按照“就高不就低”的原则处理，突出各生态环境要素优先保护区和重点管控区。</w:t>
            </w:r>
          </w:p>
          <w:p>
            <w:pPr>
              <w:ind w:firstLine="512" w:firstLineChars="200"/>
              <w:rPr>
                <w:rFonts w:hint="default" w:ascii="Times New Roman" w:hAnsi="Times New Roman" w:eastAsia="黑体" w:cs="Times New Roman"/>
                <w:color w:val="auto"/>
                <w:sz w:val="24"/>
              </w:rPr>
            </w:pPr>
            <w:r>
              <w:rPr>
                <w:rFonts w:hint="default" w:ascii="Times New Roman" w:hAnsi="Times New Roman" w:cs="Times New Roman"/>
                <w:color w:val="auto"/>
                <w:kern w:val="0"/>
                <w:sz w:val="24"/>
              </w:rPr>
              <w:t>本项目与</w:t>
            </w:r>
            <w:r>
              <w:rPr>
                <w:rFonts w:hint="default" w:ascii="Times New Roman" w:hAnsi="Times New Roman" w:cs="Times New Roman"/>
                <w:color w:val="auto"/>
                <w:kern w:val="0"/>
                <w:sz w:val="24"/>
                <w:lang w:eastAsia="zh-CN"/>
              </w:rPr>
              <w:t>中卫</w:t>
            </w:r>
            <w:r>
              <w:rPr>
                <w:rFonts w:hint="default" w:ascii="Times New Roman" w:hAnsi="Times New Roman" w:cs="Times New Roman"/>
                <w:color w:val="auto"/>
                <w:kern w:val="0"/>
                <w:sz w:val="24"/>
              </w:rPr>
              <w:t>市环境管控单元图位置关系见</w:t>
            </w:r>
            <w:r>
              <w:rPr>
                <w:rFonts w:hint="default" w:ascii="Times New Roman" w:hAnsi="Times New Roman" w:cs="Times New Roman"/>
                <w:color w:val="auto"/>
                <w:kern w:val="0"/>
                <w:sz w:val="24"/>
                <w:highlight w:val="none"/>
              </w:rPr>
              <w:t>附</w:t>
            </w:r>
            <w:r>
              <w:rPr>
                <w:rFonts w:hint="default" w:ascii="Times New Roman" w:hAnsi="Times New Roman" w:cs="Times New Roman"/>
                <w:color w:val="auto"/>
                <w:kern w:val="0"/>
                <w:sz w:val="24"/>
                <w:szCs w:val="24"/>
                <w:highlight w:val="none"/>
              </w:rPr>
              <w:t>图</w:t>
            </w:r>
            <w:r>
              <w:rPr>
                <w:rFonts w:hint="default" w:ascii="Times New Roman" w:hAnsi="Times New Roman" w:cs="Times New Roman"/>
                <w:color w:val="auto"/>
                <w:kern w:val="0"/>
                <w:sz w:val="24"/>
                <w:szCs w:val="24"/>
                <w:highlight w:val="none"/>
                <w:lang w:val="en-US" w:eastAsia="zh-CN"/>
              </w:rPr>
              <w:t>7</w:t>
            </w:r>
            <w:r>
              <w:rPr>
                <w:rFonts w:hint="default" w:ascii="Times New Roman" w:hAnsi="Times New Roman" w:cs="Times New Roman"/>
                <w:color w:val="auto"/>
                <w:kern w:val="0"/>
                <w:sz w:val="24"/>
                <w:szCs w:val="24"/>
              </w:rPr>
              <w:t>，</w:t>
            </w:r>
            <w:r>
              <w:rPr>
                <w:rFonts w:hint="default" w:ascii="Times New Roman" w:hAnsi="Times New Roman" w:cs="Times New Roman"/>
                <w:color w:val="auto"/>
                <w:kern w:val="0"/>
                <w:sz w:val="24"/>
              </w:rPr>
              <w:t>与</w:t>
            </w:r>
            <w:r>
              <w:rPr>
                <w:rFonts w:hint="default" w:ascii="Times New Roman" w:hAnsi="Times New Roman" w:cs="Times New Roman"/>
                <w:color w:val="auto"/>
                <w:kern w:val="0"/>
                <w:sz w:val="24"/>
                <w:lang w:eastAsia="zh-CN"/>
              </w:rPr>
              <w:t>中卫</w:t>
            </w:r>
            <w:r>
              <w:rPr>
                <w:rFonts w:hint="default" w:ascii="Times New Roman" w:hAnsi="Times New Roman" w:cs="Times New Roman"/>
                <w:color w:val="auto"/>
                <w:kern w:val="0"/>
                <w:sz w:val="24"/>
              </w:rPr>
              <w:t>市生态环境总体准入清单符合性分析见表1-</w:t>
            </w:r>
            <w:r>
              <w:rPr>
                <w:rFonts w:hint="default"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w:t>
            </w:r>
            <w:r>
              <w:rPr>
                <w:rFonts w:hint="default" w:ascii="Times New Roman" w:hAnsi="Times New Roman" w:eastAsia="宋体" w:cs="Times New Roman"/>
                <w:color w:val="auto"/>
                <w:sz w:val="24"/>
                <w:lang w:val="en-US" w:eastAsia="zh-CN"/>
              </w:rPr>
              <w:t>项目与沙坡头区重点管控单元</w:t>
            </w:r>
            <w:r>
              <w:rPr>
                <w:rFonts w:hint="default" w:ascii="Times New Roman" w:hAnsi="Times New Roman" w:cs="Times New Roman"/>
                <w:color w:val="auto"/>
                <w:sz w:val="24"/>
                <w:lang w:val="en-US" w:eastAsia="zh-CN"/>
              </w:rPr>
              <w:t>1（9</w:t>
            </w:r>
            <w:r>
              <w:rPr>
                <w:rFonts w:hint="default" w:ascii="Times New Roman" w:hAnsi="Times New Roman" w:eastAsia="宋体" w:cs="Times New Roman"/>
                <w:color w:val="auto"/>
                <w:sz w:val="24"/>
                <w:lang w:val="en-US" w:eastAsia="zh-CN"/>
              </w:rPr>
              <w:t>ZH64050220002</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lang w:val="en-US" w:eastAsia="zh-CN"/>
              </w:rPr>
              <w:t>准入清单符合性分析见表1-2。</w:t>
            </w:r>
          </w:p>
          <w:p>
            <w:pPr>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表1-1  项目与</w:t>
            </w:r>
            <w:r>
              <w:rPr>
                <w:rFonts w:hint="default" w:ascii="Times New Roman" w:hAnsi="Times New Roman" w:eastAsia="黑体" w:cs="Times New Roman"/>
                <w:color w:val="auto"/>
                <w:sz w:val="24"/>
                <w:lang w:eastAsia="zh-CN"/>
              </w:rPr>
              <w:t>中卫市</w:t>
            </w:r>
            <w:r>
              <w:rPr>
                <w:rFonts w:hint="default" w:ascii="Times New Roman" w:hAnsi="Times New Roman" w:eastAsia="黑体" w:cs="Times New Roman"/>
                <w:color w:val="auto"/>
                <w:sz w:val="24"/>
              </w:rPr>
              <w:t>生态环境总体准入清单符合性分析</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403"/>
              <w:gridCol w:w="828"/>
              <w:gridCol w:w="4316"/>
              <w:gridCol w:w="1682"/>
              <w:gridCol w:w="6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782" w:type="pct"/>
                  <w:gridSpan w:val="2"/>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管控维度</w:t>
                  </w:r>
                </w:p>
              </w:tc>
              <w:tc>
                <w:tcPr>
                  <w:tcW w:w="274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cs="Times New Roman"/>
                      <w:b/>
                      <w:bCs/>
                      <w:color w:val="auto"/>
                      <w:kern w:val="0"/>
                      <w:sz w:val="21"/>
                      <w:szCs w:val="21"/>
                      <w:highlight w:val="none"/>
                      <w:lang w:val="en-US" w:eastAsia="zh-CN"/>
                    </w:rPr>
                    <w:t>管控要求</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本</w:t>
                  </w:r>
                  <w:r>
                    <w:rPr>
                      <w:rFonts w:hint="default" w:ascii="Times New Roman" w:hAnsi="Times New Roman" w:cs="Times New Roman"/>
                      <w:b/>
                      <w:bCs/>
                      <w:color w:val="auto"/>
                      <w:kern w:val="0"/>
                      <w:sz w:val="21"/>
                      <w:szCs w:val="21"/>
                      <w:highlight w:val="none"/>
                      <w:lang w:val="en-US" w:eastAsia="zh-CN"/>
                    </w:rPr>
                    <w:t>项目</w:t>
                  </w:r>
                  <w:r>
                    <w:rPr>
                      <w:rFonts w:hint="default" w:ascii="Times New Roman" w:hAnsi="Times New Roman" w:eastAsia="宋体" w:cs="Times New Roman"/>
                      <w:b/>
                      <w:bCs/>
                      <w:color w:val="auto"/>
                      <w:kern w:val="0"/>
                      <w:sz w:val="21"/>
                      <w:szCs w:val="21"/>
                      <w:highlight w:val="none"/>
                      <w:lang w:val="en-US" w:eastAsia="zh-CN"/>
                    </w:rPr>
                    <w:t>情况</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A1空间布局约束</w:t>
                  </w:r>
                </w:p>
              </w:tc>
              <w:tc>
                <w:tcPr>
                  <w:tcW w:w="52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A1.1禁止开发建设活动的要求</w:t>
                  </w:r>
                </w:p>
              </w:tc>
              <w:tc>
                <w:tcPr>
                  <w:tcW w:w="2741" w:type="pct"/>
                  <w:tcBorders>
                    <w:tl2br w:val="nil"/>
                    <w:tr2bl w:val="nil"/>
                  </w:tcBorders>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严禁在黄河干流及主要支流临岸一定范围内新建“两高一资”项目和产业园区</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本项目不属于“两高一资”</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p>
              </w:tc>
              <w:tc>
                <w:tcPr>
                  <w:tcW w:w="2741" w:type="pct"/>
                  <w:tcBorders>
                    <w:tl2br w:val="nil"/>
                    <w:tr2bl w:val="nil"/>
                  </w:tcBorders>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黄河沿线两岸3公里范围内不再新建养殖场</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p>
              </w:tc>
              <w:tc>
                <w:tcPr>
                  <w:tcW w:w="2741" w:type="pct"/>
                  <w:tcBorders>
                    <w:tl2br w:val="nil"/>
                    <w:tr2bl w:val="nil"/>
                  </w:tcBorders>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所有工业企业原则上一律入园，工业园区（集聚区）以外不再新建、扩建工业项目</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本项目属于实验室建设项目，不属于工业项目</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p>
              </w:tc>
              <w:tc>
                <w:tcPr>
                  <w:tcW w:w="2741" w:type="pct"/>
                  <w:tcBorders>
                    <w:tl2br w:val="nil"/>
                    <w:tr2bl w:val="nil"/>
                  </w:tcBorders>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禁止露天焚烧产生有毒有害烟尘和恶臭气体的物质或将其用作燃料</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p>
              </w:tc>
              <w:tc>
                <w:tcPr>
                  <w:tcW w:w="2741" w:type="pct"/>
                  <w:tcBorders>
                    <w:tl2br w:val="nil"/>
                    <w:tr2bl w:val="nil"/>
                  </w:tcBorders>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除已列入计划内项目，“十四五”期间不再新增燃煤自备电厂（区域背压式供热机组除外）</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p>
              </w:tc>
              <w:tc>
                <w:tcPr>
                  <w:tcW w:w="2741" w:type="pct"/>
                  <w:tcBorders>
                    <w:tl2br w:val="nil"/>
                    <w:tr2bl w:val="nil"/>
                  </w:tcBorders>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严禁在优先保护类耕地集中区域新建污染土壤的行业企业</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A1.2限制开发建设活动的要求</w:t>
                  </w:r>
                </w:p>
              </w:tc>
              <w:tc>
                <w:tcPr>
                  <w:tcW w:w="2741"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严格产业准入标准，建立联合审查机制，对新建项目进行综合评价，对不符合产业规划、产业政策、“三线一单”、规划环评、产能置换、污染物排放区域削减等要求的项目不予办理相关审批手续。严格“两高”项目节能审查，对纳入目录的落后产能过剩行业原则上不再新增产能，对经过评估论证确有必要建设的“两高”项目，必须符合国家、自治区产业政策和产能及能耗等量减量置换要求</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项目不属于“</w:t>
                  </w:r>
                  <w:r>
                    <w:rPr>
                      <w:rFonts w:hint="default" w:ascii="Times New Roman" w:hAnsi="Times New Roman" w:eastAsia="宋体" w:cs="Times New Roman"/>
                      <w:bCs/>
                      <w:color w:val="auto"/>
                      <w:kern w:val="0"/>
                      <w:sz w:val="21"/>
                      <w:szCs w:val="21"/>
                      <w:highlight w:val="none"/>
                      <w:lang w:val="en-US" w:eastAsia="zh-CN"/>
                    </w:rPr>
                    <w:t>两高</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行业和产能过剩行业用地、用电等，</w:t>
                  </w:r>
                  <w:r>
                    <w:rPr>
                      <w:rFonts w:hint="default" w:ascii="Times New Roman" w:hAnsi="Times New Roman" w:cs="Times New Roman"/>
                      <w:bCs/>
                      <w:color w:val="auto"/>
                      <w:kern w:val="0"/>
                      <w:sz w:val="21"/>
                      <w:szCs w:val="21"/>
                      <w:highlight w:val="none"/>
                      <w:lang w:val="en-US" w:eastAsia="zh-CN"/>
                    </w:rPr>
                    <w:t>符合国家产业规划、产业政策、“三线一单”</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A1.3不符合空间布局要求活动的退出要求</w:t>
                  </w: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对列入建设用地土壤污染风险管控和修复名录需要实施修复的地块，土壤污染责任人应当按照规定编制修复方案，报所在地生态环境主管部门备案并实施</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严格管控自然保护地范围内非生态活动，稳妥推进核心区内居民、耕地、矿权有序退出</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对所有现状不达标的养殖场，明确治理时限和治理措施，在规定时间内不能完成污染治理的养殖场，要按照有关规定实施严肃处罚</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highlight w:val="none"/>
                      <w:lang w:val="en-US" w:eastAsia="zh-CN"/>
                    </w:rPr>
                  </w:pP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按照“一园区一热源”原则，全面淘汰工业园区（产业集聚区）内35蒸吨/小时及以下燃煤锅炉。城市建成区、集中供热覆盖区及天然气管网覆盖区一律禁止新建燃煤锅炉，逐步淘汰35蒸吨/小时及以下燃煤锅炉，保留及新建锅炉需达到特别排放限值要求</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本项目不涉及燃煤锅炉</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A2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污染物排放管控</w:t>
                  </w:r>
                </w:p>
              </w:tc>
              <w:tc>
                <w:tcPr>
                  <w:tcW w:w="52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A2.1允许排放量要求</w:t>
                  </w: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化学需氧量、氨氮、氮氧化物和挥发性有机物排放总量完成自治区下达任务</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本项目满足总量控制指标要求</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PM2.5和O</w:t>
                  </w:r>
                  <w:r>
                    <w:rPr>
                      <w:rFonts w:hint="default" w:ascii="Times New Roman" w:hAnsi="Times New Roman" w:eastAsia="宋体" w:cs="Times New Roman"/>
                      <w:color w:val="auto"/>
                      <w:kern w:val="0"/>
                      <w:sz w:val="21"/>
                      <w:szCs w:val="21"/>
                      <w:vertAlign w:val="subscript"/>
                      <w:lang w:val="en-US" w:eastAsia="zh-CN" w:bidi="ar"/>
                    </w:rPr>
                    <w:t>3</w:t>
                  </w:r>
                  <w:r>
                    <w:rPr>
                      <w:rFonts w:hint="default" w:ascii="Times New Roman" w:hAnsi="Times New Roman" w:eastAsia="宋体" w:cs="Times New Roman"/>
                      <w:color w:val="auto"/>
                      <w:kern w:val="0"/>
                      <w:sz w:val="21"/>
                      <w:szCs w:val="21"/>
                      <w:lang w:val="en-US" w:eastAsia="zh-CN" w:bidi="ar"/>
                    </w:rPr>
                    <w:t>未达标城市，新、改、扩建项目实施更严格的污染物排放总量控制要求，所需二氧化硫、NOx、VOCs 排放量指标要进行减量替代</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本项目污染物主要为实验室实验过程中试剂取用逸散出的少量有机废气（以NMHC计）经通风橱+活性炭吸附处理后引至室外无组织排放</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新、改、扩建重点行业建设项目按照《宁夏回族自治区建设项目重金属污染物排放指标核定办法》要求，遵循重点重金属污染物排放“等量替代”原则，各地级市可自行确定重点区域，重点区域遵循“减量替代”原则，减量替代比例不低于1.2:1</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不属于涉重金属重点行业建设项目</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到2025年，中卫市畜禽养殖废物综合利用率达到95%，规模养殖场粪污处理设施装备配套率达到100%</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A2.2</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现有源提升改造要求</w:t>
                  </w: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1.力争到2024年底，所有钢铁企业主要大气污染物基本达到超低排放指标限值；有序推进水泥行业超低排放改造计划，水泥熟料窑改造后氮氧化物排放浓度不高于100毫克/立方米；焦化企业参照《关于推进实施钢铁行业超低排放的意见》要求实施升级改造，改造后氮氧化物排放浓度不高于150毫克/立方米</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2.2024年底前，烧结、炼铁、炼钢轧钢、自备电厂等有组织排放污染物实行超低排放限值</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A3</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环境风险防控</w:t>
                  </w:r>
                </w:p>
              </w:tc>
              <w:tc>
                <w:tcPr>
                  <w:tcW w:w="52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联防联控要求</w:t>
                  </w: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健全市生态环境局与公安、交通、应急、气象、水务等部门联动机制，细化落实各相关部门之间联防联控责任与任务分工，联合开展突发环境污染事件处置应急演练，提高联防联控实战能力</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w:t>
                  </w:r>
                  <w:r>
                    <w:rPr>
                      <w:rFonts w:hint="default" w:ascii="Times New Roman" w:hAnsi="Times New Roman" w:eastAsia="宋体" w:cs="Times New Roman"/>
                      <w:bCs/>
                      <w:color w:val="auto"/>
                      <w:kern w:val="0"/>
                      <w:sz w:val="21"/>
                      <w:szCs w:val="21"/>
                      <w:highlight w:val="none"/>
                      <w:lang w:val="en-US" w:eastAsia="zh-CN"/>
                    </w:rPr>
                    <w:t>环评阶段提出建设单位应制定应急预案，定期演练并到生态环境部门备案</w:t>
                  </w:r>
                  <w:r>
                    <w:rPr>
                      <w:rFonts w:hint="default" w:ascii="Times New Roman" w:hAnsi="Times New Roman" w:cs="Times New Roman"/>
                      <w:bCs/>
                      <w:color w:val="auto"/>
                      <w:kern w:val="0"/>
                      <w:sz w:val="21"/>
                      <w:szCs w:val="21"/>
                      <w:highlight w:val="none"/>
                      <w:lang w:val="en-US" w:eastAsia="zh-CN"/>
                    </w:rPr>
                    <w:t>；</w:t>
                  </w:r>
                  <w:r>
                    <w:rPr>
                      <w:rFonts w:hint="default" w:ascii="Times New Roman" w:hAnsi="Times New Roman" w:eastAsia="宋体" w:cs="Times New Roman"/>
                      <w:bCs/>
                      <w:color w:val="auto"/>
                      <w:kern w:val="0"/>
                      <w:sz w:val="21"/>
                      <w:szCs w:val="21"/>
                      <w:highlight w:val="none"/>
                      <w:lang w:val="en-US" w:eastAsia="zh-CN"/>
                    </w:rPr>
                    <w:t>同时，企业应急预案应与地方应急预案联防联控。</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以黄河干流和主要支流为重点，严控石化、化工、有色金属、印染、原料药制造等行业企业环境风险，加强油气管道环境风险防范，开展新污染物环境调查监测和环境风险评估，推进流域突发环境风险调查与监控预警体系建设，构建市-县(区)-区域-企业四级应急物资储备网络</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本项目已提出按规定落实环境风险预警和防范措施</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A3.2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企业环境风险防控要求</w:t>
                  </w: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紧盯涉危险废物涉重金属企业、化工园区、水源地，强化环境应急三级防控体系建设，落实企业环境安全主体责任，推行企业突发环境事件应急预案电子备案</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不涉及</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A4</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资源利用效率要求</w:t>
                  </w:r>
                </w:p>
              </w:tc>
              <w:tc>
                <w:tcPr>
                  <w:tcW w:w="525"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A4.1</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能源利用总量及效率要求</w:t>
                  </w: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1.全面贯彻落实国家和自治区下达煤炭消费总量目标，严格控制耗煤行业煤炭新增量，优先保障民生供暖新增用煤需求</w:t>
                  </w:r>
                </w:p>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2.新增产能必须符合国内先进能效标准</w:t>
                  </w:r>
                </w:p>
              </w:tc>
              <w:tc>
                <w:tcPr>
                  <w:tcW w:w="1068"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本</w:t>
                  </w:r>
                  <w:r>
                    <w:rPr>
                      <w:rFonts w:hint="default" w:ascii="Times New Roman" w:hAnsi="Times New Roman" w:cs="Times New Roman"/>
                      <w:bCs/>
                      <w:color w:val="auto"/>
                      <w:kern w:val="0"/>
                      <w:sz w:val="21"/>
                      <w:szCs w:val="21"/>
                      <w:highlight w:val="none"/>
                      <w:lang w:val="en-US" w:eastAsia="zh-CN"/>
                    </w:rPr>
                    <w:t>项目</w:t>
                  </w:r>
                  <w:r>
                    <w:rPr>
                      <w:rFonts w:hint="default" w:ascii="Times New Roman" w:hAnsi="Times New Roman" w:eastAsia="宋体" w:cs="Times New Roman"/>
                      <w:bCs/>
                      <w:color w:val="auto"/>
                      <w:kern w:val="0"/>
                      <w:sz w:val="21"/>
                      <w:szCs w:val="21"/>
                      <w:highlight w:val="none"/>
                      <w:lang w:val="en-US" w:eastAsia="zh-CN"/>
                    </w:rPr>
                    <w:t>无煤炭消耗</w:t>
                  </w:r>
                </w:p>
              </w:tc>
              <w:tc>
                <w:tcPr>
                  <w:tcW w:w="407" w:type="pct"/>
                  <w:vMerge w:val="restar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eastAsia="宋体" w:cs="Times New Roman"/>
                      <w:bCs/>
                      <w:color w:val="auto"/>
                      <w:kern w:val="0"/>
                      <w:sz w:val="21"/>
                      <w:szCs w:val="21"/>
                      <w:highlight w:val="none"/>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国家大气污染防治重点区域内新建耗煤项目应严格按规定采取煤炭消费减量替代措施，不得使用高污染燃料作为煤炭减量替代措施</w:t>
                  </w:r>
                </w:p>
              </w:tc>
              <w:tc>
                <w:tcPr>
                  <w:tcW w:w="1068"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p>
              </w:tc>
              <w:tc>
                <w:tcPr>
                  <w:tcW w:w="407" w:type="pct"/>
                  <w:vMerge w:val="continue"/>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256"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color w:val="auto"/>
                      <w:kern w:val="0"/>
                      <w:sz w:val="21"/>
                      <w:szCs w:val="21"/>
                      <w:highlight w:val="none"/>
                      <w:lang w:val="en-US" w:eastAsia="zh-CN"/>
                    </w:rPr>
                  </w:pPr>
                </w:p>
              </w:tc>
              <w:tc>
                <w:tcPr>
                  <w:tcW w:w="5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A4.2</w:t>
                  </w:r>
                </w:p>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水资源利用总量及效率要求</w:t>
                  </w:r>
                </w:p>
              </w:tc>
              <w:tc>
                <w:tcPr>
                  <w:tcW w:w="27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color w:val="auto"/>
                      <w:kern w:val="0"/>
                      <w:sz w:val="21"/>
                      <w:szCs w:val="21"/>
                      <w:lang w:val="en-US" w:eastAsia="zh-CN" w:bidi="ar"/>
                    </w:rPr>
                    <w:t>建立水资源刚性约束制度，严格准入条件，按照地区取水总量限值审核新、改、扩建项目，取水总量不得超过地区水资源取用上限或承载能力</w:t>
                  </w:r>
                </w:p>
              </w:tc>
              <w:tc>
                <w:tcPr>
                  <w:tcW w:w="1068"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cs="Times New Roman"/>
                      <w:bCs/>
                      <w:color w:val="auto"/>
                      <w:kern w:val="0"/>
                      <w:sz w:val="21"/>
                      <w:szCs w:val="21"/>
                      <w:highlight w:val="none"/>
                      <w:lang w:val="en-US" w:eastAsia="zh-CN"/>
                    </w:rPr>
                    <w:t>本项目运营过程用水主要为实验室及生活用水，用水量为94.6</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/a</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用水量</w:t>
                  </w:r>
                  <w:r>
                    <w:rPr>
                      <w:rFonts w:hint="default" w:ascii="Times New Roman" w:hAnsi="Times New Roman" w:cs="Times New Roman"/>
                      <w:bCs/>
                      <w:color w:val="auto"/>
                      <w:kern w:val="0"/>
                      <w:sz w:val="21"/>
                      <w:szCs w:val="21"/>
                      <w:highlight w:val="none"/>
                      <w:lang w:val="en-US" w:eastAsia="zh-CN"/>
                    </w:rPr>
                    <w:t>较少，且运营过程节约水资源</w:t>
                  </w:r>
                </w:p>
              </w:tc>
              <w:tc>
                <w:tcPr>
                  <w:tcW w:w="407" w:type="pct"/>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符合</w:t>
                  </w:r>
                </w:p>
              </w:tc>
            </w:tr>
          </w:tbl>
          <w:p>
            <w:pPr>
              <w:keepNext w:val="0"/>
              <w:keepLines w:val="0"/>
              <w:pageBreakBefore w:val="0"/>
              <w:widowControl w:val="0"/>
              <w:kinsoku/>
              <w:wordWrap/>
              <w:overflowPunct/>
              <w:topLinePunct w:val="0"/>
              <w:autoSpaceDE/>
              <w:autoSpaceDN/>
              <w:bidi w:val="0"/>
              <w:adjustRightInd w:val="0"/>
              <w:snapToGrid w:val="0"/>
              <w:spacing w:before="240" w:after="60"/>
              <w:jc w:val="center"/>
              <w:textAlignment w:val="auto"/>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表1-</w:t>
            </w:r>
            <w:r>
              <w:rPr>
                <w:rFonts w:hint="default" w:ascii="Times New Roman" w:hAnsi="Times New Roman" w:eastAsia="黑体" w:cs="Times New Roman"/>
                <w:color w:val="auto"/>
                <w:sz w:val="24"/>
                <w:lang w:val="en-US" w:eastAsia="zh-CN"/>
              </w:rPr>
              <w:t>2</w:t>
            </w:r>
            <w:r>
              <w:rPr>
                <w:rFonts w:hint="default" w:ascii="Times New Roman" w:hAnsi="Times New Roman" w:eastAsia="黑体" w:cs="Times New Roman"/>
                <w:color w:val="auto"/>
                <w:sz w:val="24"/>
              </w:rPr>
              <w:t xml:space="preserve">  项目与沙坡头区重点管控单元1（9ZH64050220002）</w:t>
            </w:r>
            <w:r>
              <w:rPr>
                <w:rFonts w:hint="default" w:ascii="Times New Roman" w:hAnsi="Times New Roman" w:eastAsia="黑体" w:cs="Times New Roman"/>
                <w:color w:val="auto"/>
                <w:sz w:val="24"/>
                <w:lang w:val="en-US" w:eastAsia="zh-CN"/>
              </w:rPr>
              <w:t>生态环境准入清单符合性分析</w:t>
            </w:r>
          </w:p>
          <w:tbl>
            <w:tblPr>
              <w:tblStyle w:val="25"/>
              <w:tblW w:w="5000" w:type="pct"/>
              <w:jc w:val="center"/>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738"/>
              <w:gridCol w:w="2875"/>
              <w:gridCol w:w="2287"/>
              <w:gridCol w:w="872"/>
            </w:tblGrid>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管控单元名称</w:t>
                  </w:r>
                </w:p>
              </w:tc>
              <w:tc>
                <w:tcPr>
                  <w:tcW w:w="2295" w:type="pct"/>
                  <w:gridSpan w:val="2"/>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管控要求</w:t>
                  </w:r>
                </w:p>
              </w:tc>
              <w:tc>
                <w:tcPr>
                  <w:tcW w:w="1452"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本项目情况</w:t>
                  </w:r>
                </w:p>
              </w:tc>
              <w:tc>
                <w:tcPr>
                  <w:tcW w:w="554"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符合性</w:t>
                  </w:r>
                </w:p>
              </w:tc>
            </w:tr>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沙坡头区重点管控单元1（9ZH64050220002）</w:t>
                  </w:r>
                </w:p>
              </w:tc>
              <w:tc>
                <w:tcPr>
                  <w:tcW w:w="468"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空间布局约束</w:t>
                  </w:r>
                </w:p>
              </w:tc>
              <w:tc>
                <w:tcPr>
                  <w:tcW w:w="182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0"/>
                      <w:szCs w:val="20"/>
                      <w:lang w:val="en-US" w:eastAsia="zh-CN" w:bidi="ar"/>
                    </w:rPr>
                    <w:t>1.大气环境受体敏感区内：禁止新建、扩建涉及大规模排放大气污染物和VOCs排放的工业项目。禁止新建涉及有毒有害大气污染物排放的项目。</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0"/>
                      <w:szCs w:val="20"/>
                      <w:lang w:val="en-US" w:eastAsia="zh-CN" w:bidi="ar"/>
                    </w:rPr>
                    <w:t xml:space="preserve">2.严格限制新建涉及恶臭污染物、颗粒物无组织排放的项目。严格限制在农用地优先保护区集中区域新建涉及重金属和有毒有害有机污染物排放的各类工业项目。 </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0"/>
                      <w:szCs w:val="20"/>
                      <w:lang w:val="en-US" w:eastAsia="zh-CN" w:bidi="ar"/>
                    </w:rPr>
                    <w:t xml:space="preserve">3.依照相关法律法规，除重大项目外原则上禁止占用永久基本农田。 </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0"/>
                      <w:sz w:val="20"/>
                      <w:szCs w:val="20"/>
                      <w:lang w:val="en-US" w:eastAsia="zh-CN" w:bidi="ar"/>
                    </w:rPr>
                    <w:t>4.对区域内建材、水泥行业企业根据实际情况采取关停或搬迁入园措施。</w:t>
                  </w:r>
                </w:p>
              </w:tc>
              <w:tc>
                <w:tcPr>
                  <w:tcW w:w="1452"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1.本项目实验过程中会产生少量的</w:t>
                  </w:r>
                  <w:r>
                    <w:rPr>
                      <w:rFonts w:hint="default" w:ascii="Times New Roman" w:hAnsi="Times New Roman" w:cs="Times New Roman"/>
                      <w:color w:val="auto"/>
                      <w:lang w:val="en-US" w:eastAsia="zh-CN"/>
                    </w:rPr>
                    <w:t>有机废气</w:t>
                  </w:r>
                  <w:r>
                    <w:rPr>
                      <w:rFonts w:hint="default" w:ascii="Times New Roman" w:hAnsi="Times New Roman" w:cs="Times New Roman"/>
                      <w:bCs/>
                      <w:color w:val="auto"/>
                      <w:kern w:val="0"/>
                      <w:szCs w:val="21"/>
                      <w:lang w:val="en-US" w:eastAsia="zh-CN"/>
                    </w:rPr>
                    <w:t>、硫酸雾、氯化氢，经通风橱收集+活性炭吸附处理后可达标排放；</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2.不涉及；</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3.不涉及；</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lang w:val="en-US" w:eastAsia="zh-CN"/>
                    </w:rPr>
                    <w:t>4.不涉及。</w:t>
                  </w:r>
                </w:p>
              </w:tc>
              <w:tc>
                <w:tcPr>
                  <w:tcW w:w="554"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Cs w:val="21"/>
                    </w:rPr>
                  </w:pPr>
                  <w:r>
                    <w:rPr>
                      <w:rFonts w:hint="default" w:ascii="Times New Roman" w:hAnsi="Times New Roman" w:cs="Times New Roman"/>
                      <w:bCs/>
                      <w:color w:val="auto"/>
                      <w:kern w:val="0"/>
                      <w:szCs w:val="21"/>
                      <w:lang w:val="en-US" w:eastAsia="zh-CN"/>
                    </w:rPr>
                    <w:t>符合</w:t>
                  </w:r>
                </w:p>
              </w:tc>
            </w:tr>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p>
              </w:tc>
              <w:tc>
                <w:tcPr>
                  <w:tcW w:w="468"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污染物排放管控</w:t>
                  </w:r>
                </w:p>
              </w:tc>
              <w:tc>
                <w:tcPr>
                  <w:tcW w:w="182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0"/>
                      <w:szCs w:val="20"/>
                      <w:lang w:val="en-US" w:eastAsia="zh-CN" w:bidi="ar"/>
                    </w:rPr>
                    <w:t xml:space="preserve">1.现有水泥、建材等行业企业应对污染防治设施进行升级改造，执行国家和地方最严格的污染排放限值。 </w:t>
                  </w:r>
                </w:p>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0"/>
                      <w:sz w:val="20"/>
                      <w:szCs w:val="20"/>
                      <w:lang w:val="en-US" w:eastAsia="zh-CN" w:bidi="ar"/>
                    </w:rPr>
                    <w:t>2.现有水泥、建材企业应采取有效措施，减小物料贮存转运产生的颗粒物排放。加快城市建成区及周边区域污水收集管网的建设，防止生活污水未经处理直排入地表水体。</w:t>
                  </w:r>
                </w:p>
              </w:tc>
              <w:tc>
                <w:tcPr>
                  <w:tcW w:w="1452"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1.不涉及；</w:t>
                  </w:r>
                </w:p>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lang w:val="en-US" w:eastAsia="zh-CN"/>
                    </w:rPr>
                    <w:t>2.不涉及。</w:t>
                  </w:r>
                </w:p>
              </w:tc>
              <w:tc>
                <w:tcPr>
                  <w:tcW w:w="554"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lang w:val="en-US" w:eastAsia="zh-CN"/>
                    </w:rPr>
                    <w:t>符合</w:t>
                  </w:r>
                </w:p>
              </w:tc>
            </w:tr>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p>
              </w:tc>
              <w:tc>
                <w:tcPr>
                  <w:tcW w:w="468"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环境风险防控</w:t>
                  </w:r>
                </w:p>
              </w:tc>
              <w:tc>
                <w:tcPr>
                  <w:tcW w:w="1826"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lang w:val="en-US" w:eastAsia="zh-CN"/>
                    </w:rPr>
                    <w:t>/</w:t>
                  </w:r>
                </w:p>
              </w:tc>
              <w:tc>
                <w:tcPr>
                  <w:tcW w:w="1452"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bCs/>
                      <w:color w:val="auto"/>
                      <w:kern w:val="0"/>
                      <w:szCs w:val="21"/>
                      <w:lang w:val="en-US" w:eastAsia="zh-CN"/>
                    </w:rPr>
                  </w:pPr>
                  <w:r>
                    <w:rPr>
                      <w:rFonts w:hint="default" w:ascii="Times New Roman" w:hAnsi="Times New Roman" w:cs="Times New Roman"/>
                      <w:bCs/>
                      <w:color w:val="auto"/>
                      <w:kern w:val="0"/>
                      <w:szCs w:val="21"/>
                      <w:lang w:val="en-US" w:eastAsia="zh-CN"/>
                    </w:rPr>
                    <w:t>/</w:t>
                  </w:r>
                </w:p>
              </w:tc>
              <w:tc>
                <w:tcPr>
                  <w:tcW w:w="554"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lang w:val="en-US" w:eastAsia="zh-CN"/>
                    </w:rPr>
                    <w:t>符合</w:t>
                  </w:r>
                </w:p>
              </w:tc>
            </w:tr>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97" w:type="pct"/>
                  <w:vMerge w:val="continue"/>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p>
              </w:tc>
              <w:tc>
                <w:tcPr>
                  <w:tcW w:w="468"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资源开发效率</w:t>
                  </w:r>
                </w:p>
              </w:tc>
              <w:tc>
                <w:tcPr>
                  <w:tcW w:w="1826"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jc w:val="left"/>
                    <w:textAlignment w:val="auto"/>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0"/>
                      <w:sz w:val="20"/>
                      <w:szCs w:val="20"/>
                      <w:lang w:val="en-US" w:eastAsia="zh-CN" w:bidi="ar"/>
                    </w:rPr>
                    <w:t>高污染燃料禁燃区内任何单位不得新建、扩建高污染燃料燃用设施，逐步取消禁燃区内的高污染燃料销售网点。</w:t>
                  </w:r>
                </w:p>
              </w:tc>
              <w:tc>
                <w:tcPr>
                  <w:tcW w:w="1452"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lang w:val="en-US" w:eastAsia="zh-CN"/>
                    </w:rPr>
                    <w:t>不涉及</w:t>
                  </w:r>
                </w:p>
              </w:tc>
              <w:tc>
                <w:tcPr>
                  <w:tcW w:w="554" w:type="pct"/>
                  <w:noWrap w:val="0"/>
                  <w:vAlign w:val="center"/>
                </w:tcPr>
                <w:p>
                  <w:pPr>
                    <w:keepNext w:val="0"/>
                    <w:keepLines w:val="0"/>
                    <w:pageBreakBefore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Cs/>
                      <w:color w:val="auto"/>
                      <w:kern w:val="0"/>
                      <w:szCs w:val="21"/>
                      <w:lang w:val="en-US" w:eastAsia="zh-CN"/>
                    </w:rPr>
                  </w:pPr>
                  <w:r>
                    <w:rPr>
                      <w:rFonts w:hint="default" w:ascii="Times New Roman" w:hAnsi="Times New Roman" w:cs="Times New Roman"/>
                      <w:bCs/>
                      <w:color w:val="auto"/>
                      <w:kern w:val="0"/>
                      <w:szCs w:val="21"/>
                      <w:lang w:val="en-US" w:eastAsia="zh-CN"/>
                    </w:rPr>
                    <w:t>符合</w:t>
                  </w:r>
                </w:p>
              </w:tc>
            </w:tr>
          </w:tbl>
          <w:p>
            <w:pPr>
              <w:widowControl/>
              <w:numPr>
                <w:ilvl w:val="0"/>
                <w:numId w:val="0"/>
              </w:numPr>
              <w:spacing w:before="240" w:after="60"/>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lang w:val="en-US" w:eastAsia="zh-CN"/>
              </w:rPr>
              <w:t xml:space="preserve">三、 与《宁夏回族自治区生态环境分区管控动态更新成果》的符合性分析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⑴调整全区生态空间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瞄准“一河三山”生态坐标，完整衔接《宁夏回族自治区国土空间规划（2021-2035年）》中生态保护红线划定成果，进一步纳入国家级公益林、国家和自治区重要湿地、国家沙化土地封禁保护区等，并与城镇开发边界、永久基本农田和国土三调土地利用现状等数据进行校核。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⑵明确环境质量底线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在分析全区水质现状的基础上，衔接“十四五”相关规划，重新核实了全区各开发区边界范围，结合水源地保护区调整情况，更新了水环境质量底线目标、水环境管控分区和管控要求。衔接最新规划政策文件，综合考虑全区大气环境现状和现有成果的模型模拟结果，衔接国土三调行政区界和各开发区边界，更新了大气环境质量底线目标、大气环境管控分区和管控要求。依据《宁夏回族自治区“十四五”土壤、地下水和农村生态环境保护规划》等要求，衔接最新永久基本农田数据和污染地块、土壤污染重点监管企业、涉重金属行业企业名录，更新了土壤污染风险管控底线目标和分区管控要求。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⑶校核资源利用上线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衔接《宁夏回族自治区人民政府关于印发宁夏回族自治区“十四五”节能减排综合工作实施方案的通知》《宁夏回族自治区能源发展“十四五”规划》，能源利用上线以能耗强度降低目标作为约束性指标，能耗总量控制目标为预期性指标。核实并更新了各县高污染燃料禁燃区的划定范围。突出“十四五”时期强化水资源刚性约束及国家、自治区对黄河流域节水控水的最新要求，选取用水总量等5项约束性指标，作为水资源利用上线管控指标。衔接自治区国土空间规划相关指标，将耕地保有量、永久基本农田保护面积、单位 GDP 建设用地使用面积下降率等3项指标作为土地资源利用上线指标。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⑷变更环境管控单元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以保持划定成果相对稳定为原则，采用与现有成果相同的技术路线，将各要素管控分区成果进行叠加，更新划定了全区环境管控单元。更新后，全区共划定环境管控单元321个（增加33个），其中优先保护单元200个（增加43个），重点管控单元65个（减少1个），一般管控单元56个（减少9个）。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⑸修订生态环境准入清单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准入清单内容总体保持了一定的延续性。更新主要集中在四个方面：对于现有管控要求所依据文件修订、废止的，对相应管控要求进行修改、删除；对于现有清单中没有明确依据的管控要求，根据新发布政策文件和“十四五”相关规划，按照管控方向和力度尽可能保持一致的原则进行更新；系统梳理包括《中华人民共和国黄河保护法》《宁夏回族自治区建设黄河流域生态保护和高质量发展先行区促进条例》等“十四五”以来新发布或实施的法律、行政法规、地方性法规、政策文件、规划，全面贯彻落实自治区党委十三届五次全会精神，结合“1+4”系列文件内容增加了管控要求；各要素分区管控要求有更新的，一并更新准入清单。 </w:t>
            </w:r>
          </w:p>
          <w:p>
            <w:pPr>
              <w:keepNext w:val="0"/>
              <w:keepLines w:val="0"/>
              <w:widowControl/>
              <w:suppressLineNumbers w:val="0"/>
              <w:ind w:firstLine="512" w:firstLineChars="200"/>
              <w:jc w:val="left"/>
              <w:rPr>
                <w:rFonts w:hint="default" w:ascii="Times New Roman" w:hAnsi="Times New Roman" w:eastAsia="黑体" w:cs="Times New Roman"/>
                <w:color w:val="auto"/>
                <w:sz w:val="28"/>
                <w:szCs w:val="28"/>
                <w:highlight w:val="none"/>
              </w:rPr>
            </w:pPr>
            <w:r>
              <w:rPr>
                <w:rFonts w:hint="default" w:ascii="Times New Roman" w:hAnsi="Times New Roman" w:eastAsia="宋体" w:cs="Times New Roman"/>
                <w:color w:val="auto"/>
                <w:kern w:val="0"/>
                <w:sz w:val="24"/>
                <w:szCs w:val="24"/>
                <w:lang w:val="en-US" w:eastAsia="zh-CN" w:bidi="ar"/>
              </w:rPr>
              <w:t>本项目位于</w:t>
            </w:r>
            <w:r>
              <w:rPr>
                <w:rFonts w:hint="default" w:ascii="Times New Roman" w:hAnsi="Times New Roman" w:cs="Times New Roman"/>
                <w:color w:val="auto"/>
                <w:sz w:val="24"/>
                <w:lang w:eastAsia="zh-CN"/>
              </w:rPr>
              <w:t>中卫市职业技术学校3号实训楼一楼</w:t>
            </w:r>
            <w:r>
              <w:rPr>
                <w:rFonts w:hint="default" w:ascii="Times New Roman" w:hAnsi="Times New Roman" w:eastAsia="宋体" w:cs="Times New Roman"/>
                <w:color w:val="auto"/>
                <w:kern w:val="0"/>
                <w:sz w:val="24"/>
                <w:szCs w:val="24"/>
                <w:lang w:val="en-US" w:eastAsia="zh-CN" w:bidi="ar"/>
              </w:rPr>
              <w:t>，对照《宁夏回族自治区环境管控单元分布图》，项目所在位置属于宁夏回族自治区重点管控单元区，</w:t>
            </w:r>
            <w:r>
              <w:rPr>
                <w:rFonts w:hint="default" w:ascii="Times New Roman" w:hAnsi="Times New Roman" w:cs="Times New Roman"/>
                <w:color w:val="auto"/>
                <w:kern w:val="0"/>
                <w:sz w:val="24"/>
                <w:szCs w:val="24"/>
                <w:lang w:val="en-US" w:eastAsia="zh-CN" w:bidi="ar"/>
              </w:rPr>
              <w:t>重点管控单元环境是质量改善压力大、资源能源消耗强度高、污染物排放集中、生态破坏突出、环境风险高的区域，需要实施较严格的针对性重点管控。主要包括城市建设区、自治区级以上经济技术开发区和产业园区，对区域内的污染物排放和资源利用效率均有一定要求，划定后对支撑经济社会高质量发展、改善生态环境质量和提升资源利用效率具有重要意义。本项目废气、废水、固体废物均采取相应措施达标排放，因此符合宁夏回族自治区重点管控单元要求，</w:t>
            </w:r>
            <w:r>
              <w:rPr>
                <w:rFonts w:hint="default" w:ascii="Times New Roman" w:hAnsi="Times New Roman" w:eastAsia="宋体" w:cs="Times New Roman"/>
                <w:color w:val="auto"/>
                <w:kern w:val="0"/>
                <w:sz w:val="24"/>
                <w:szCs w:val="24"/>
                <w:lang w:val="en-US" w:eastAsia="zh-CN" w:bidi="ar"/>
              </w:rPr>
              <w:t>项</w:t>
            </w:r>
            <w:r>
              <w:rPr>
                <w:rFonts w:hint="default" w:ascii="Times New Roman" w:hAnsi="Times New Roman" w:eastAsia="宋体" w:cs="Times New Roman"/>
                <w:color w:val="auto"/>
                <w:kern w:val="0"/>
                <w:sz w:val="24"/>
                <w:szCs w:val="24"/>
                <w:highlight w:val="none"/>
                <w:lang w:val="en-US" w:eastAsia="zh-CN" w:bidi="ar"/>
              </w:rPr>
              <w:t>目</w:t>
            </w:r>
            <w:r>
              <w:rPr>
                <w:rFonts w:hint="default" w:ascii="Times New Roman" w:hAnsi="Times New Roman" w:cs="Times New Roman"/>
                <w:color w:val="auto"/>
                <w:sz w:val="24"/>
                <w:szCs w:val="24"/>
                <w:highlight w:val="none"/>
                <w:lang w:val="en-US" w:eastAsia="zh-CN"/>
              </w:rPr>
              <w:t>与宁夏回族自治区环境管控单元分布图位置关系见附图8。</w:t>
            </w:r>
          </w:p>
          <w:p>
            <w:pPr>
              <w:widowControl/>
              <w:numPr>
                <w:ilvl w:val="0"/>
                <w:numId w:val="3"/>
              </w:numPr>
              <w:spacing w:before="240" w:after="60"/>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与《</w:t>
            </w:r>
            <w:r>
              <w:rPr>
                <w:rFonts w:hint="default" w:ascii="Times New Roman" w:hAnsi="Times New Roman" w:eastAsia="黑体" w:cs="Times New Roman"/>
                <w:color w:val="auto"/>
                <w:sz w:val="28"/>
                <w:szCs w:val="28"/>
                <w:highlight w:val="none"/>
                <w:lang w:val="en-US" w:eastAsia="zh-CN"/>
              </w:rPr>
              <w:t>中卫市现代服务业</w:t>
            </w:r>
            <w:r>
              <w:rPr>
                <w:rFonts w:hint="default" w:ascii="Times New Roman" w:hAnsi="Times New Roman" w:eastAsia="黑体" w:cs="Times New Roman"/>
                <w:color w:val="auto"/>
                <w:sz w:val="28"/>
                <w:szCs w:val="28"/>
                <w:highlight w:val="none"/>
              </w:rPr>
              <w:t>“十四五”</w:t>
            </w:r>
            <w:r>
              <w:rPr>
                <w:rFonts w:hint="default" w:ascii="Times New Roman" w:hAnsi="Times New Roman" w:eastAsia="黑体" w:cs="Times New Roman"/>
                <w:color w:val="auto"/>
                <w:sz w:val="28"/>
                <w:szCs w:val="28"/>
                <w:highlight w:val="none"/>
                <w:lang w:val="en-US" w:eastAsia="zh-CN"/>
              </w:rPr>
              <w:t>发展</w:t>
            </w:r>
            <w:r>
              <w:rPr>
                <w:rFonts w:hint="default" w:ascii="Times New Roman" w:hAnsi="Times New Roman" w:eastAsia="黑体" w:cs="Times New Roman"/>
                <w:color w:val="auto"/>
                <w:sz w:val="28"/>
                <w:szCs w:val="28"/>
                <w:highlight w:val="none"/>
              </w:rPr>
              <w:t>规划》符合性分析</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中卫市现代服务业</w:t>
            </w:r>
            <w:r>
              <w:rPr>
                <w:rFonts w:hint="default" w:ascii="Times New Roman" w:hAnsi="Times New Roman" w:cs="Times New Roman"/>
                <w:color w:val="auto"/>
                <w:sz w:val="24"/>
              </w:rPr>
              <w:t>“十四五”发展规划》中</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科技服务重点项目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中</w:t>
            </w:r>
            <w:r>
              <w:rPr>
                <w:rFonts w:hint="default" w:ascii="Times New Roman" w:hAnsi="Times New Roman" w:cs="Times New Roman"/>
                <w:color w:val="auto"/>
                <w:sz w:val="24"/>
                <w:highlight w:val="none"/>
              </w:rPr>
              <w:t>第</w:t>
            </w:r>
            <w:r>
              <w:rPr>
                <w:rFonts w:hint="default" w:ascii="Times New Roman" w:hAnsi="Times New Roman" w:cs="Times New Roman"/>
                <w:color w:val="auto"/>
                <w:sz w:val="24"/>
                <w:highlight w:val="none"/>
                <w:lang w:val="en-US" w:eastAsia="zh-CN"/>
              </w:rPr>
              <w:t>三</w:t>
            </w:r>
            <w:r>
              <w:rPr>
                <w:rFonts w:hint="default" w:ascii="Times New Roman" w:hAnsi="Times New Roman" w:cs="Times New Roman"/>
                <w:color w:val="auto"/>
                <w:sz w:val="24"/>
                <w:highlight w:val="none"/>
              </w:rPr>
              <w:t>条指出要</w:t>
            </w:r>
            <w:r>
              <w:rPr>
                <w:rFonts w:hint="default" w:ascii="Times New Roman" w:hAnsi="Times New Roman" w:cs="Times New Roman"/>
                <w:color w:val="auto"/>
                <w:sz w:val="24"/>
                <w:highlight w:val="none"/>
                <w:lang w:val="en-US" w:eastAsia="zh-CN"/>
              </w:rPr>
              <w:t>加强研发创新平台建设</w:t>
            </w:r>
            <w:r>
              <w:rPr>
                <w:rFonts w:hint="default" w:ascii="Times New Roman" w:hAnsi="Times New Roman" w:cs="Times New Roman"/>
                <w:color w:val="auto"/>
                <w:sz w:val="24"/>
                <w:highlight w:val="none"/>
              </w:rPr>
              <w:t>。推进建设科技公共服务中心、科技协同创新中心，推动云计算大数据、新材料新能源、冶金化工、富硒功能农业等领域工程技术研究中心、重点实验室、技术创新中心、检验检测中心、产业发展研究院等研发创新平台建设和研发水平升级。</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cs="Times New Roman"/>
                <w:color w:val="auto"/>
              </w:rPr>
            </w:pPr>
            <w:r>
              <w:rPr>
                <w:rFonts w:hint="default" w:ascii="Times New Roman" w:hAnsi="Times New Roman" w:cs="Times New Roman"/>
                <w:color w:val="auto"/>
                <w:sz w:val="24"/>
              </w:rPr>
              <w:t>本项目属于检测</w:t>
            </w:r>
            <w:r>
              <w:rPr>
                <w:rFonts w:hint="default" w:ascii="Times New Roman" w:hAnsi="Times New Roman" w:cs="Times New Roman"/>
                <w:color w:val="auto"/>
                <w:sz w:val="24"/>
                <w:lang w:val="en-US" w:eastAsia="zh-CN"/>
              </w:rPr>
              <w:t>实验室</w:t>
            </w:r>
            <w:r>
              <w:rPr>
                <w:rFonts w:hint="default" w:ascii="Times New Roman" w:hAnsi="Times New Roman" w:cs="Times New Roman"/>
                <w:color w:val="auto"/>
                <w:sz w:val="24"/>
              </w:rPr>
              <w:t>建设项目，主要服务内容为</w:t>
            </w:r>
            <w:r>
              <w:rPr>
                <w:rFonts w:hint="default" w:ascii="Times New Roman" w:hAnsi="Times New Roman" w:cs="Times New Roman"/>
                <w:color w:val="auto"/>
                <w:sz w:val="24"/>
                <w:lang w:val="en-US" w:eastAsia="zh-CN"/>
              </w:rPr>
              <w:t>奶牛相关检测</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能够为其它企业提供检测服务，</w:t>
            </w:r>
            <w:r>
              <w:rPr>
                <w:rFonts w:hint="default" w:ascii="Times New Roman" w:hAnsi="Times New Roman" w:cs="Times New Roman"/>
                <w:color w:val="auto"/>
                <w:sz w:val="24"/>
                <w:lang w:val="en-US" w:eastAsia="zh-CN"/>
              </w:rPr>
              <w:t>因此</w:t>
            </w:r>
            <w:r>
              <w:rPr>
                <w:rFonts w:hint="default" w:ascii="Times New Roman" w:hAnsi="Times New Roman" w:cs="Times New Roman"/>
                <w:color w:val="auto"/>
                <w:sz w:val="24"/>
              </w:rPr>
              <w:t>项目的建设与《</w:t>
            </w:r>
            <w:r>
              <w:rPr>
                <w:rFonts w:hint="default" w:ascii="Times New Roman" w:hAnsi="Times New Roman" w:cs="Times New Roman"/>
                <w:color w:val="auto"/>
                <w:sz w:val="24"/>
                <w:lang w:val="en-US" w:eastAsia="zh-CN"/>
              </w:rPr>
              <w:t>中卫市现代服务业</w:t>
            </w:r>
            <w:r>
              <w:rPr>
                <w:rFonts w:hint="default" w:ascii="Times New Roman" w:hAnsi="Times New Roman" w:cs="Times New Roman"/>
                <w:color w:val="auto"/>
                <w:sz w:val="24"/>
              </w:rPr>
              <w:t>“十四五”发展规划》相符。</w:t>
            </w:r>
          </w:p>
          <w:p>
            <w:pPr>
              <w:widowControl/>
              <w:numPr>
                <w:ilvl w:val="0"/>
                <w:numId w:val="3"/>
              </w:numPr>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与《宁夏回族自治区挥发性有机物污染专项治理工作方案》符合性分析</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宁夏回族自治区挥发性有机物污染专项治理工作方案》要求：要严格落实“生态保护红线、环境质量底线、资源利用上线和环境准入负面清单”，逐步提高石化、化工、包装印刷、工业涂装等高VOCs排放建设项目的环保准入门槛，实行严格的控制措施。禁止建设未列入国家相关规划的新建炼油及扩建一次炼油项目、新建乙烯、对二甲苯</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PX</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二苯基甲烷二异氰酸酯（MDI）项目。新建涉VOCs排放的工业企业要入园区。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本项目为检验检测</w:t>
            </w:r>
            <w:r>
              <w:rPr>
                <w:rFonts w:hint="default" w:ascii="Times New Roman" w:hAnsi="Times New Roman" w:eastAsia="宋体" w:cs="Times New Roman"/>
                <w:color w:val="auto"/>
                <w:sz w:val="24"/>
                <w:lang w:val="en-US" w:eastAsia="zh-CN"/>
              </w:rPr>
              <w:t>实验</w:t>
            </w:r>
            <w:r>
              <w:rPr>
                <w:rFonts w:hint="default" w:ascii="Times New Roman" w:hAnsi="Times New Roman" w:eastAsia="宋体" w:cs="Times New Roman"/>
                <w:color w:val="auto"/>
                <w:sz w:val="24"/>
              </w:rPr>
              <w:t>室建设项目，不属于石化、化工等重点行业，运营期检验检测试剂挥发少量非甲烷总烃废气，经</w:t>
            </w:r>
            <w:r>
              <w:rPr>
                <w:rFonts w:hint="default" w:ascii="Times New Roman" w:hAnsi="Times New Roman" w:eastAsia="宋体" w:cs="Times New Roman"/>
                <w:color w:val="auto"/>
                <w:sz w:val="24"/>
                <w:lang w:val="en-US" w:eastAsia="zh-CN"/>
              </w:rPr>
              <w:t>通风橱收集</w:t>
            </w:r>
            <w:r>
              <w:rPr>
                <w:rFonts w:hint="default" w:ascii="Times New Roman" w:hAnsi="Times New Roman" w:cs="Times New Roman"/>
                <w:color w:val="auto"/>
                <w:sz w:val="24"/>
                <w:lang w:val="en-US" w:eastAsia="zh-CN"/>
              </w:rPr>
              <w:t>+</w:t>
            </w:r>
            <w:r>
              <w:rPr>
                <w:rFonts w:hint="default" w:ascii="Times New Roman" w:hAnsi="Times New Roman" w:eastAsia="宋体" w:cs="Times New Roman"/>
                <w:color w:val="auto"/>
                <w:sz w:val="24"/>
              </w:rPr>
              <w:t>活性炭吸附处理后</w:t>
            </w:r>
            <w:r>
              <w:rPr>
                <w:rFonts w:hint="default" w:ascii="Times New Roman" w:hAnsi="Times New Roman" w:cs="Times New Roman"/>
                <w:color w:val="auto"/>
                <w:sz w:val="24"/>
                <w:lang w:val="en-US" w:eastAsia="zh-CN"/>
              </w:rPr>
              <w:t>无组织</w:t>
            </w:r>
            <w:r>
              <w:rPr>
                <w:rFonts w:hint="default" w:ascii="Times New Roman" w:hAnsi="Times New Roman" w:eastAsia="宋体" w:cs="Times New Roman"/>
                <w:color w:val="auto"/>
                <w:sz w:val="24"/>
              </w:rPr>
              <w:t>排放，废气排放满足《大气污染物综合排放标准》（GB16297-1996）表2</w:t>
            </w:r>
            <w:r>
              <w:rPr>
                <w:rFonts w:hint="default" w:ascii="Times New Roman" w:hAnsi="Times New Roman" w:eastAsia="宋体" w:cs="Times New Roman"/>
                <w:color w:val="auto"/>
                <w:sz w:val="24"/>
                <w:lang w:val="en-US" w:eastAsia="zh-CN"/>
              </w:rPr>
              <w:t>中</w:t>
            </w:r>
            <w:r>
              <w:rPr>
                <w:rFonts w:hint="default" w:ascii="Times New Roman" w:hAnsi="Times New Roman" w:eastAsia="宋体" w:cs="Times New Roman"/>
                <w:color w:val="auto"/>
                <w:sz w:val="24"/>
              </w:rPr>
              <w:t>二级标准限值要求。</w:t>
            </w:r>
          </w:p>
          <w:p>
            <w:pPr>
              <w:keepNext w:val="0"/>
              <w:keepLines w:val="0"/>
              <w:pageBreakBefore w:val="0"/>
              <w:widowControl w:val="0"/>
              <w:kinsoku/>
              <w:wordWrap/>
              <w:overflowPunct/>
              <w:topLinePunct w:val="0"/>
              <w:autoSpaceDE/>
              <w:autoSpaceDN/>
              <w:bidi w:val="0"/>
              <w:adjustRightInd/>
              <w:snapToGrid/>
              <w:ind w:firstLine="512" w:firstLineChars="200"/>
              <w:textAlignment w:val="auto"/>
              <w:rPr>
                <w:rFonts w:hint="default" w:ascii="Times New Roman" w:hAnsi="Times New Roman" w:eastAsia="宋体" w:cs="Times New Roman"/>
                <w:color w:val="auto"/>
                <w:kern w:val="0"/>
                <w:sz w:val="24"/>
                <w:szCs w:val="24"/>
                <w:lang w:val="en-US" w:eastAsia="zh-CN" w:bidi="ar-SA"/>
              </w:rPr>
            </w:pPr>
            <w:r>
              <w:rPr>
                <w:rFonts w:hint="default" w:ascii="Times New Roman" w:hAnsi="Times New Roman" w:eastAsia="宋体" w:cs="Times New Roman"/>
                <w:color w:val="auto"/>
                <w:sz w:val="24"/>
              </w:rPr>
              <w:t>因此，项目建设符合《宁夏回族自治区挥发性有机物污染专项治理工作方案》要求</w:t>
            </w:r>
            <w:r>
              <w:rPr>
                <w:rFonts w:hint="default" w:ascii="Times New Roman" w:hAnsi="Times New Roman" w:eastAsia="宋体" w:cs="Times New Roman"/>
                <w:color w:val="auto"/>
                <w:sz w:val="24"/>
                <w:lang w:eastAsia="zh-CN"/>
              </w:rPr>
              <w:t>。</w:t>
            </w:r>
          </w:p>
          <w:p>
            <w:pPr>
              <w:widowControl/>
              <w:numPr>
                <w:ilvl w:val="0"/>
                <w:numId w:val="3"/>
              </w:numPr>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 xml:space="preserve">项目选址合理性分析 </w:t>
            </w:r>
          </w:p>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⑴用地规划分析 </w:t>
            </w:r>
          </w:p>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cs="Times New Roman"/>
                <w:color w:val="auto"/>
                <w:sz w:val="24"/>
              </w:rPr>
              <w:t>本项目位于</w:t>
            </w:r>
            <w:r>
              <w:rPr>
                <w:rFonts w:hint="default" w:ascii="Times New Roman" w:hAnsi="Times New Roman" w:cs="Times New Roman"/>
                <w:color w:val="auto"/>
                <w:sz w:val="24"/>
                <w:lang w:eastAsia="zh-CN"/>
              </w:rPr>
              <w:t>中卫市职业技术学校3号实训楼一楼</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中央西大道</w:t>
            </w:r>
            <w:r>
              <w:rPr>
                <w:rFonts w:hint="default" w:ascii="Times New Roman" w:hAnsi="Times New Roman" w:cs="Times New Roman"/>
                <w:color w:val="auto"/>
                <w:sz w:val="24"/>
              </w:rPr>
              <w:t>和</w:t>
            </w:r>
            <w:r>
              <w:rPr>
                <w:rFonts w:hint="default" w:ascii="Times New Roman" w:hAnsi="Times New Roman" w:cs="Times New Roman"/>
                <w:color w:val="auto"/>
                <w:sz w:val="24"/>
                <w:lang w:val="en-US" w:eastAsia="zh-CN"/>
              </w:rPr>
              <w:t>应理南街</w:t>
            </w:r>
            <w:r>
              <w:rPr>
                <w:rFonts w:hint="default" w:ascii="Times New Roman" w:hAnsi="Times New Roman" w:cs="Times New Roman"/>
                <w:color w:val="auto"/>
                <w:sz w:val="24"/>
              </w:rPr>
              <w:t>交叉路口往</w:t>
            </w:r>
            <w:r>
              <w:rPr>
                <w:rFonts w:hint="default" w:ascii="Times New Roman" w:hAnsi="Times New Roman" w:cs="Times New Roman"/>
                <w:color w:val="auto"/>
                <w:sz w:val="24"/>
                <w:lang w:val="en-US" w:eastAsia="zh-CN"/>
              </w:rPr>
              <w:t>西</w:t>
            </w: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0</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rPr>
              <w:t>处。厂区东侧</w:t>
            </w:r>
            <w:r>
              <w:rPr>
                <w:rFonts w:hint="default" w:ascii="Times New Roman" w:hAnsi="Times New Roman" w:cs="Times New Roman"/>
                <w:color w:val="auto"/>
                <w:sz w:val="24"/>
                <w:lang w:val="en-US" w:eastAsia="zh-CN"/>
              </w:rPr>
              <w:t>7</w:t>
            </w:r>
            <w:r>
              <w:rPr>
                <w:rFonts w:hint="default" w:ascii="Times New Roman" w:hAnsi="Times New Roman" w:cs="Times New Roman"/>
                <w:color w:val="auto"/>
                <w:sz w:val="24"/>
              </w:rPr>
              <w:t>0m处为</w:t>
            </w:r>
            <w:r>
              <w:rPr>
                <w:rFonts w:hint="default" w:ascii="Times New Roman" w:hAnsi="Times New Roman" w:cs="Times New Roman"/>
                <w:color w:val="auto"/>
                <w:sz w:val="24"/>
                <w:lang w:val="en-US" w:eastAsia="zh-CN"/>
              </w:rPr>
              <w:t>沙坡头区税务局</w:t>
            </w:r>
            <w:r>
              <w:rPr>
                <w:rFonts w:hint="default" w:ascii="Times New Roman" w:hAnsi="Times New Roman" w:cs="Times New Roman"/>
                <w:color w:val="auto"/>
                <w:sz w:val="24"/>
              </w:rPr>
              <w:t>，南侧</w:t>
            </w:r>
            <w:r>
              <w:rPr>
                <w:rFonts w:hint="default" w:ascii="Times New Roman" w:hAnsi="Times New Roman" w:cs="Times New Roman"/>
                <w:color w:val="auto"/>
                <w:sz w:val="24"/>
                <w:lang w:val="en-US" w:eastAsia="zh-CN"/>
              </w:rPr>
              <w:t>70</w:t>
            </w:r>
            <w:r>
              <w:rPr>
                <w:rFonts w:hint="default" w:ascii="Times New Roman" w:hAnsi="Times New Roman" w:cs="Times New Roman"/>
                <w:color w:val="auto"/>
                <w:sz w:val="24"/>
              </w:rPr>
              <w:t>m处为</w:t>
            </w:r>
            <w:r>
              <w:rPr>
                <w:rFonts w:hint="default" w:ascii="Times New Roman" w:hAnsi="Times New Roman" w:cs="Times New Roman"/>
                <w:color w:val="auto"/>
                <w:sz w:val="24"/>
                <w:lang w:val="en-US" w:eastAsia="zh-CN"/>
              </w:rPr>
              <w:t>景观渠</w:t>
            </w:r>
            <w:r>
              <w:rPr>
                <w:rFonts w:hint="default" w:ascii="Times New Roman" w:hAnsi="Times New Roman" w:cs="Times New Roman"/>
                <w:color w:val="auto"/>
                <w:sz w:val="24"/>
              </w:rPr>
              <w:t>，西侧</w:t>
            </w:r>
            <w:r>
              <w:rPr>
                <w:rFonts w:hint="default" w:ascii="Times New Roman" w:hAnsi="Times New Roman" w:cs="Times New Roman"/>
                <w:color w:val="auto"/>
                <w:sz w:val="24"/>
                <w:lang w:val="en-US" w:eastAsia="zh-CN"/>
              </w:rPr>
              <w:t>60</w:t>
            </w:r>
            <w:r>
              <w:rPr>
                <w:rFonts w:hint="default" w:ascii="Times New Roman" w:hAnsi="Times New Roman" w:cs="Times New Roman"/>
                <w:color w:val="auto"/>
                <w:sz w:val="24"/>
              </w:rPr>
              <w:t>m处为</w:t>
            </w:r>
            <w:r>
              <w:rPr>
                <w:rFonts w:hint="default" w:ascii="Times New Roman" w:hAnsi="Times New Roman" w:cs="Times New Roman"/>
                <w:color w:val="auto"/>
                <w:sz w:val="24"/>
                <w:lang w:eastAsia="zh-CN"/>
              </w:rPr>
              <w:t>中卫市职业技术学校</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lang w:eastAsia="zh-CN"/>
              </w:rPr>
              <w:t>号实训楼</w:t>
            </w:r>
            <w:r>
              <w:rPr>
                <w:rFonts w:hint="default" w:ascii="Times New Roman" w:hAnsi="Times New Roman" w:cs="Times New Roman"/>
                <w:color w:val="auto"/>
                <w:sz w:val="24"/>
              </w:rPr>
              <w:t>，北侧</w:t>
            </w:r>
            <w:r>
              <w:rPr>
                <w:rFonts w:hint="default" w:ascii="Times New Roman" w:hAnsi="Times New Roman" w:cs="Times New Roman"/>
                <w:color w:val="auto"/>
                <w:sz w:val="24"/>
                <w:lang w:val="en-US" w:eastAsia="zh-CN"/>
              </w:rPr>
              <w:t>25</w:t>
            </w:r>
            <w:r>
              <w:rPr>
                <w:rFonts w:hint="default" w:ascii="Times New Roman" w:hAnsi="Times New Roman" w:cs="Times New Roman"/>
                <w:color w:val="auto"/>
                <w:sz w:val="24"/>
              </w:rPr>
              <w:t>m处为</w:t>
            </w:r>
            <w:r>
              <w:rPr>
                <w:rFonts w:hint="default" w:ascii="Times New Roman" w:hAnsi="Times New Roman" w:cs="Times New Roman"/>
                <w:color w:val="auto"/>
                <w:sz w:val="24"/>
                <w:lang w:eastAsia="zh-CN"/>
              </w:rPr>
              <w:t>中卫市职业技术学校</w:t>
            </w:r>
            <w:r>
              <w:rPr>
                <w:rFonts w:hint="default" w:ascii="Times New Roman" w:hAnsi="Times New Roman" w:cs="Times New Roman"/>
                <w:color w:val="auto"/>
                <w:sz w:val="24"/>
                <w:lang w:val="en-US" w:eastAsia="zh-CN"/>
              </w:rPr>
              <w:t>4</w:t>
            </w:r>
            <w:r>
              <w:rPr>
                <w:rFonts w:hint="default" w:ascii="Times New Roman" w:hAnsi="Times New Roman" w:cs="Times New Roman"/>
                <w:color w:val="auto"/>
                <w:sz w:val="24"/>
                <w:lang w:eastAsia="zh-CN"/>
              </w:rPr>
              <w:t>号实训楼</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本项目与中卫市职业技术学校位置关系见附图9。</w:t>
            </w:r>
          </w:p>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⑵环境容量分析 </w:t>
            </w:r>
          </w:p>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根据环境质量现状评价可知，区域大气、声环境现状较好，有一定的环境容量。本项目污染物达标排放，不会导致区域环境功能区的变化。因此，从环境容量方面分析，项目选址合理。 </w:t>
            </w:r>
          </w:p>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⑶对外环境的影响分析 </w:t>
            </w:r>
          </w:p>
          <w:p>
            <w:pPr>
              <w:keepNext w:val="0"/>
              <w:keepLines w:val="0"/>
              <w:pageBreakBefore w:val="0"/>
              <w:widowControl/>
              <w:suppressLineNumbers w:val="0"/>
              <w:kinsoku/>
              <w:wordWrap/>
              <w:overflowPunct/>
              <w:topLinePunct w:val="0"/>
              <w:autoSpaceDE/>
              <w:autoSpaceDN/>
              <w:bidi w:val="0"/>
              <w:adjustRightInd/>
              <w:snapToGrid/>
              <w:ind w:firstLine="512" w:firstLineChars="200"/>
              <w:jc w:val="left"/>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0"/>
                <w:sz w:val="24"/>
                <w:szCs w:val="24"/>
                <w:highlight w:val="none"/>
                <w:lang w:val="en-US" w:eastAsia="zh-CN" w:bidi="ar"/>
              </w:rPr>
              <w:t>本项目实验室废气经通风橱收集+活性炭吸附处理</w:t>
            </w:r>
            <w:r>
              <w:rPr>
                <w:rFonts w:hint="default" w:ascii="Times New Roman" w:hAnsi="Times New Roman" w:cs="Times New Roman"/>
                <w:color w:val="auto"/>
                <w:kern w:val="0"/>
                <w:sz w:val="24"/>
                <w:szCs w:val="24"/>
                <w:highlight w:val="none"/>
                <w:lang w:val="en-US" w:eastAsia="zh-CN" w:bidi="ar"/>
              </w:rPr>
              <w:t>后</w:t>
            </w:r>
            <w:r>
              <w:rPr>
                <w:rFonts w:hint="default" w:ascii="Times New Roman" w:hAnsi="Times New Roman" w:eastAsia="宋体" w:cs="Times New Roman"/>
                <w:color w:val="auto"/>
                <w:kern w:val="0"/>
                <w:sz w:val="24"/>
                <w:szCs w:val="24"/>
                <w:highlight w:val="none"/>
                <w:lang w:val="en-US" w:eastAsia="zh-CN" w:bidi="ar"/>
              </w:rPr>
              <w:t>可达标排放。</w:t>
            </w:r>
            <w:r>
              <w:rPr>
                <w:rFonts w:hint="default" w:ascii="Times New Roman" w:hAnsi="Times New Roman" w:cs="Times New Roman"/>
                <w:color w:val="auto"/>
                <w:kern w:val="0"/>
                <w:sz w:val="24"/>
                <w:szCs w:val="24"/>
                <w:highlight w:val="none"/>
                <w:lang w:val="en-US" w:eastAsia="zh-CN" w:bidi="ar"/>
              </w:rPr>
              <w:t>实验室废水：</w:t>
            </w:r>
            <w:r>
              <w:rPr>
                <w:rFonts w:hint="default" w:ascii="Times New Roman" w:hAnsi="Times New Roman" w:eastAsia="宋体" w:cs="Times New Roman"/>
                <w:color w:val="auto"/>
                <w:kern w:val="0"/>
                <w:sz w:val="24"/>
                <w:szCs w:val="24"/>
                <w:highlight w:val="none"/>
                <w:lang w:val="en-US" w:eastAsia="zh-CN" w:bidi="ar"/>
              </w:rPr>
              <w:t xml:space="preserve">实验器皿后段清洗废水，经中和调节桶调节pH至6-9后，与生活污水和纯水制备系统产生的浓盐水一起排入现有化粪池处理，达到《污水排入城镇下水道水质标准》（GB/T31962-2015）的A等级标准，排入市政污水管网，最终进入中卫市第三污水处理厂处理，噪声通过基础减振、建筑隔音降噪措施后可达标排放。固体废物均妥善处置。 </w:t>
            </w:r>
          </w:p>
          <w:p>
            <w:pPr>
              <w:keepNext w:val="0"/>
              <w:keepLines w:val="0"/>
              <w:widowControl/>
              <w:suppressLineNumbers w:val="0"/>
              <w:ind w:firstLine="512"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综上所述，在采取有效的环保措施后，工程建设对环境的影响能为环境所承受，从项目建成后对环境的影响角度分析，项目选址建设是合理可行的。</w:t>
            </w: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rPr>
                <w:rFonts w:hint="default" w:ascii="Times New Roman" w:hAnsi="Times New Roman" w:eastAsia="宋体" w:cs="Times New Roman"/>
                <w:color w:val="auto"/>
                <w:kern w:val="0"/>
                <w:sz w:val="24"/>
                <w:szCs w:val="24"/>
                <w:lang w:val="en-US" w:eastAsia="zh-CN" w:bidi="ar"/>
              </w:rPr>
            </w:pPr>
          </w:p>
          <w:p>
            <w:pPr>
              <w:pStyle w:val="5"/>
              <w:ind w:left="0" w:leftChars="0" w:firstLine="0" w:firstLineChars="0"/>
              <w:rPr>
                <w:rFonts w:hint="default" w:ascii="Times New Roman" w:hAnsi="Times New Roman" w:eastAsia="宋体" w:cs="Times New Roman"/>
                <w:color w:val="auto"/>
                <w:kern w:val="0"/>
                <w:sz w:val="24"/>
                <w:szCs w:val="24"/>
                <w:lang w:val="en-US" w:eastAsia="zh-CN" w:bidi="ar"/>
              </w:rPr>
            </w:pPr>
          </w:p>
        </w:tc>
      </w:tr>
    </w:tbl>
    <w:p>
      <w:pPr>
        <w:pStyle w:val="20"/>
        <w:keepNext w:val="0"/>
        <w:keepLines w:val="0"/>
        <w:pageBreakBefore w:val="0"/>
        <w:widowControl w:val="0"/>
        <w:numPr>
          <w:ilvl w:val="0"/>
          <w:numId w:val="0"/>
        </w:numPr>
        <w:kinsoku/>
        <w:wordWrap/>
        <w:overflowPunct/>
        <w:topLinePunct w:val="0"/>
        <w:autoSpaceDE/>
        <w:autoSpaceDN/>
        <w:bidi w:val="0"/>
        <w:adjustRightInd/>
        <w:snapToGrid/>
        <w:spacing w:before="240" w:beforeAutospacing="0" w:after="60" w:afterAutospacing="0"/>
        <w:jc w:val="center"/>
        <w:textAlignment w:val="auto"/>
        <w:outlineLvl w:val="0"/>
        <w:rPr>
          <w:rFonts w:hint="default" w:ascii="Times New Roman" w:hAnsi="Times New Roman" w:eastAsia="黑体" w:cs="Times New Roman"/>
          <w:snapToGrid w:val="0"/>
          <w:color w:val="auto"/>
          <w:sz w:val="30"/>
          <w:szCs w:val="30"/>
          <w:lang w:val="en-US" w:eastAsia="zh-CN"/>
        </w:rPr>
        <w:sectPr>
          <w:footerReference r:id="rId4" w:type="default"/>
          <w:pgSz w:w="11906" w:h="16838"/>
          <w:pgMar w:top="1417" w:right="1417" w:bottom="1417" w:left="1417" w:header="851" w:footer="992" w:gutter="0"/>
          <w:pgBorders>
            <w:top w:val="none" w:sz="0" w:space="0"/>
            <w:left w:val="none" w:sz="0" w:space="0"/>
            <w:bottom w:val="none" w:sz="0" w:space="0"/>
            <w:right w:val="none" w:sz="0" w:space="0"/>
          </w:pgBorders>
          <w:pgNumType w:start="1"/>
          <w:cols w:space="720" w:num="1"/>
          <w:docGrid w:type="linesAndChars" w:linePitch="466" w:charSpace="3440"/>
        </w:sectPr>
      </w:pPr>
    </w:p>
    <w:p>
      <w:pPr>
        <w:pStyle w:val="20"/>
        <w:keepNext w:val="0"/>
        <w:keepLines w:val="0"/>
        <w:pageBreakBefore w:val="0"/>
        <w:widowControl w:val="0"/>
        <w:numPr>
          <w:ilvl w:val="0"/>
          <w:numId w:val="0"/>
        </w:numPr>
        <w:kinsoku/>
        <w:wordWrap/>
        <w:overflowPunct/>
        <w:topLinePunct w:val="0"/>
        <w:autoSpaceDE/>
        <w:autoSpaceDN/>
        <w:bidi w:val="0"/>
        <w:adjustRightInd/>
        <w:snapToGrid/>
        <w:spacing w:before="240" w:beforeAutospacing="0" w:after="60" w:afterAutospacing="0"/>
        <w:jc w:val="center"/>
        <w:textAlignment w:val="auto"/>
        <w:outlineLvl w:val="0"/>
        <w:rPr>
          <w:rFonts w:hint="default" w:ascii="Times New Roman" w:hAnsi="Times New Roman" w:eastAsia="黑体" w:cs="Times New Roman"/>
          <w:snapToGrid w:val="0"/>
          <w:color w:val="auto"/>
          <w:sz w:val="30"/>
          <w:szCs w:val="30"/>
          <w:lang w:val="en-US" w:eastAsia="zh-CN"/>
        </w:rPr>
      </w:pPr>
      <w:r>
        <w:rPr>
          <w:rFonts w:hint="default" w:ascii="Times New Roman" w:hAnsi="Times New Roman" w:eastAsia="黑体" w:cs="Times New Roman"/>
          <w:snapToGrid w:val="0"/>
          <w:color w:val="auto"/>
          <w:sz w:val="30"/>
          <w:szCs w:val="30"/>
          <w:lang w:val="en-US" w:eastAsia="zh-CN"/>
        </w:rPr>
        <w:t>二、</w:t>
      </w:r>
      <w:r>
        <w:rPr>
          <w:rFonts w:hint="default" w:ascii="Times New Roman" w:hAnsi="Times New Roman" w:eastAsia="黑体" w:cs="Times New Roman"/>
          <w:snapToGrid w:val="0"/>
          <w:color w:val="auto"/>
          <w:sz w:val="30"/>
          <w:szCs w:val="30"/>
        </w:rPr>
        <w:t>建设项目工程分析</w:t>
      </w:r>
    </w:p>
    <w:p>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cs="Times New Roman"/>
          <w:b/>
          <w:bCs/>
          <w:color w:val="auto"/>
          <w:sz w:val="21"/>
          <w:szCs w:val="21"/>
        </w:rPr>
        <w:sectPr>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AndChars" w:linePitch="466" w:charSpace="3440"/>
        </w:sectPr>
      </w:pPr>
    </w:p>
    <w:tbl>
      <w:tblPr>
        <w:tblStyle w:val="25"/>
        <w:tblpPr w:leftFromText="180" w:rightFromText="180" w:vertAnchor="page" w:horzAnchor="page" w:tblpX="1311" w:tblpY="2227"/>
        <w:tblOverlap w:val="never"/>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4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122" w:hRule="atLeast"/>
          <w:jc w:val="center"/>
        </w:trPr>
        <w:tc>
          <w:tcPr>
            <w:tcW w:w="825" w:type="dxa"/>
            <w:tcBorders>
              <w:tl2br w:val="nil"/>
              <w:tr2bl w:val="nil"/>
            </w:tcBorders>
            <w:vAlign w:val="center"/>
          </w:tcPr>
          <w:p>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cs="Times New Roman"/>
                <w:b/>
                <w:bCs/>
                <w:color w:val="auto"/>
                <w:sz w:val="21"/>
                <w:szCs w:val="21"/>
              </w:rPr>
            </w:pPr>
          </w:p>
          <w:p>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4"/>
                <w:szCs w:val="24"/>
              </w:rPr>
              <w:t>建设内容</w:t>
            </w:r>
          </w:p>
        </w:tc>
        <w:tc>
          <w:tcPr>
            <w:tcW w:w="8463" w:type="dxa"/>
            <w:tcBorders>
              <w:tl2br w:val="nil"/>
              <w:tr2bl w:val="nil"/>
            </w:tcBorders>
            <w:vAlign w:val="center"/>
          </w:tcPr>
          <w:p>
            <w:pPr>
              <w:keepNext w:val="0"/>
              <w:keepLines w:val="0"/>
              <w:pageBreakBefore w:val="0"/>
              <w:widowControl w:val="0"/>
              <w:numPr>
                <w:ilvl w:val="0"/>
                <w:numId w:val="8"/>
              </w:numPr>
              <w:kinsoku/>
              <w:wordWrap/>
              <w:overflowPunct/>
              <w:topLinePunct w:val="0"/>
              <w:autoSpaceDE/>
              <w:autoSpaceDN/>
              <w:bidi w:val="0"/>
              <w:spacing w:before="240" w:after="60"/>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项目背景</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eastAsia="宋体" w:cs="Times New Roman"/>
                <w:color w:val="auto"/>
                <w:sz w:val="24"/>
                <w:highlight w:val="yellow"/>
                <w:lang w:val="en-US" w:eastAsia="zh-CN"/>
              </w:rPr>
            </w:pPr>
            <w:r>
              <w:rPr>
                <w:rFonts w:hint="default" w:ascii="Times New Roman" w:hAnsi="Times New Roman" w:cs="Times New Roman"/>
                <w:color w:val="auto"/>
                <w:sz w:val="24"/>
                <w:lang w:val="en-US" w:eastAsia="zh-CN"/>
              </w:rPr>
              <w:t>光明牧业有限公司宁夏奶业科创中心建设项目（以下简称本项目）为三方合作项目，其中甲方为中卫市职业技术学校，提供3号实训楼一楼作为光明牧业有限公司宁夏奶业科创中心办公实验场所；乙方为光明牧业有限公司，成立光明牧业有限公司宁夏奶业科创中心并负责运营；丙方为中卫市农业农村局，为本项目出资建设方。三方合作，旨在推动周边区域奶牛科技发展，提升中卫市在全国奶牛养殖的影响力，提升中卫牛群遗传潜力整体水平以及探索人才输出的共赢模式。</w:t>
            </w:r>
            <w:r>
              <w:rPr>
                <w:rFonts w:hint="default" w:ascii="Times New Roman" w:hAnsi="Times New Roman" w:eastAsia="宋体" w:cs="Times New Roman"/>
                <w:color w:val="auto"/>
                <w:sz w:val="24"/>
                <w:szCs w:val="24"/>
              </w:rPr>
              <w:t>项目</w:t>
            </w:r>
            <w:r>
              <w:rPr>
                <w:rFonts w:hint="default" w:ascii="Times New Roman" w:hAnsi="Times New Roman" w:cs="Times New Roman"/>
                <w:color w:val="auto"/>
                <w:sz w:val="24"/>
                <w:szCs w:val="24"/>
                <w:lang w:val="en-US" w:eastAsia="zh-CN"/>
              </w:rPr>
              <w:t>已于2022年3月完成房屋改造，本次仅进行实验室设备安装</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2</w:t>
            </w:r>
            <w:r>
              <w:rPr>
                <w:rFonts w:hint="default" w:ascii="Times New Roman" w:hAnsi="Times New Roman" w:eastAsia="黑体" w:cs="Times New Roman"/>
                <w:color w:val="auto"/>
                <w:sz w:val="28"/>
                <w:szCs w:val="28"/>
              </w:rPr>
              <w:t>、建设内容</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szCs w:val="24"/>
                <w:lang w:val="en-US" w:eastAsia="zh-CN"/>
              </w:rPr>
              <w:t>本项目将中卫市职业技术学校3号实训楼一楼改造为展厅（150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）、智慧畜牧大数据管理（36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）、配电室（7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）、DHI实验室（158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）、血清及分子生物学实验室（54</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）、饲草料检测实验室（57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）、会议室（57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）、2个办公室（29</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）、多人办公区（86</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）、培训室（110</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）、卫生间及开水间（38</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）、走廊（87</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lang w:val="en-US" w:eastAsia="zh-CN"/>
              </w:rPr>
              <w:t>），配套冷库、不锈钢废液缸、钢木边台空位、金属水槽+三联水龙头、水浴锅、PP水槽+三联水龙头、钢木边台空位等。</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项目建设内容包括主体工程、辅助工程、环保工程及公用工程，具体工程组成详见表2-1。</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表2-1  项目建设内容一览表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6"/>
              <w:gridCol w:w="937"/>
              <w:gridCol w:w="5348"/>
              <w:gridCol w:w="12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工程类别</w:t>
                  </w:r>
                </w:p>
              </w:tc>
              <w:tc>
                <w:tcPr>
                  <w:tcW w:w="382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主要建设内容</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主体工程</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highlight w:val="none"/>
                    </w:rPr>
                    <w:t>实验区</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实验区位于</w:t>
                  </w:r>
                  <w:r>
                    <w:rPr>
                      <w:rFonts w:hint="default" w:ascii="Times New Roman" w:hAnsi="Times New Roman" w:cs="Times New Roman"/>
                      <w:color w:val="auto"/>
                      <w:lang w:val="en-US" w:eastAsia="zh-CN"/>
                    </w:rPr>
                    <w:t>1</w:t>
                  </w:r>
                  <w:r>
                    <w:rPr>
                      <w:rFonts w:hint="default" w:ascii="Times New Roman" w:hAnsi="Times New Roman" w:cs="Times New Roman"/>
                      <w:color w:val="auto"/>
                    </w:rPr>
                    <w:t>楼</w:t>
                  </w:r>
                  <w:r>
                    <w:rPr>
                      <w:rFonts w:hint="default" w:ascii="Times New Roman" w:hAnsi="Times New Roman" w:cs="Times New Roman"/>
                      <w:color w:val="auto"/>
                      <w:lang w:val="en-US" w:eastAsia="zh-CN"/>
                    </w:rPr>
                    <w:t>中段分布于走廊南北两侧</w:t>
                  </w:r>
                  <w:r>
                    <w:rPr>
                      <w:rFonts w:hint="default" w:ascii="Times New Roman" w:hAnsi="Times New Roman" w:cs="Times New Roman"/>
                      <w:color w:val="auto"/>
                    </w:rPr>
                    <w:t>，实验区建筑面积</w:t>
                  </w:r>
                  <w:r>
                    <w:rPr>
                      <w:rFonts w:hint="default" w:ascii="Times New Roman" w:hAnsi="Times New Roman" w:cs="Times New Roman"/>
                      <w:color w:val="auto"/>
                      <w:lang w:val="en-US" w:eastAsia="zh-CN"/>
                    </w:rPr>
                    <w:t>约220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走廊北侧从西到东依次为：DHI实验室，建筑面积115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lang w:val="en-US" w:eastAsia="zh-CN"/>
                    </w:rPr>
                    <w:t>；冷库，建筑面积15</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lang w:val="en-US" w:eastAsia="zh-CN"/>
                    </w:rPr>
                    <w:t>；采样储存间，建筑面积14</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lang w:val="en-US" w:eastAsia="zh-CN"/>
                    </w:rPr>
                    <w:t>；</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val="en-US"/>
                    </w:rPr>
                  </w:pPr>
                  <w:r>
                    <w:rPr>
                      <w:rFonts w:hint="default" w:ascii="Times New Roman" w:hAnsi="Times New Roman" w:cs="Times New Roman"/>
                      <w:color w:val="auto"/>
                      <w:lang w:val="en-US" w:eastAsia="zh-CN"/>
                    </w:rPr>
                    <w:t>走廊南侧从西到东依次为：血清及分子生物学实验室，建筑面积54</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lang w:val="en-US" w:eastAsia="zh-CN"/>
                    </w:rPr>
                    <w:t>；前期处理室，建筑面积12</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lang w:val="en-US" w:eastAsia="zh-CN"/>
                    </w:rPr>
                    <w:t>；样品及试剂室，建筑面积13</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lang w:val="en-US" w:eastAsia="zh-CN"/>
                    </w:rPr>
                    <w:t>。</w:t>
                  </w:r>
                </w:p>
              </w:tc>
              <w:tc>
                <w:tcPr>
                  <w:tcW w:w="73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依托</w:t>
                  </w:r>
                  <w:r>
                    <w:rPr>
                      <w:rFonts w:hint="default" w:ascii="Times New Roman" w:hAnsi="Times New Roman" w:cs="Times New Roman"/>
                      <w:color w:val="auto"/>
                      <w:lang w:val="en-US" w:eastAsia="zh-CN"/>
                    </w:rPr>
                    <w:t>职业学校建筑</w:t>
                  </w:r>
                  <w:r>
                    <w:rPr>
                      <w:rFonts w:hint="default" w:ascii="Times New Roman" w:hAnsi="Times New Roman" w:cs="Times New Roman"/>
                      <w:color w:val="auto"/>
                    </w:rPr>
                    <w:t>，仅进行</w:t>
                  </w:r>
                  <w:r>
                    <w:rPr>
                      <w:rFonts w:hint="default" w:ascii="Times New Roman" w:hAnsi="Times New Roman" w:cs="Times New Roman"/>
                      <w:color w:val="auto"/>
                      <w:lang w:val="en-US" w:eastAsia="zh-CN"/>
                    </w:rPr>
                    <w:t>室内</w:t>
                  </w:r>
                  <w:r>
                    <w:rPr>
                      <w:rFonts w:hint="default" w:ascii="Times New Roman" w:hAnsi="Times New Roman" w:cs="Times New Roman"/>
                      <w:color w:val="auto"/>
                    </w:rPr>
                    <w:t>装修及设备安装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智慧畜牧大数据管理</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建筑面积</w:t>
                  </w:r>
                  <w:r>
                    <w:rPr>
                      <w:rFonts w:hint="default" w:ascii="Times New Roman" w:hAnsi="Times New Roman" w:cs="Times New Roman"/>
                      <w:color w:val="auto"/>
                      <w:lang w:val="en-US" w:eastAsia="zh-CN"/>
                    </w:rPr>
                    <w:t>36</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，位于</w:t>
                  </w:r>
                  <w:r>
                    <w:rPr>
                      <w:rFonts w:hint="default" w:ascii="Times New Roman" w:hAnsi="Times New Roman" w:cs="Times New Roman"/>
                      <w:color w:val="auto"/>
                      <w:lang w:val="en-US" w:eastAsia="zh-CN"/>
                    </w:rPr>
                    <w:t>1</w:t>
                  </w:r>
                  <w:r>
                    <w:rPr>
                      <w:rFonts w:hint="default" w:ascii="Times New Roman" w:hAnsi="Times New Roman" w:cs="Times New Roman"/>
                      <w:color w:val="auto"/>
                    </w:rPr>
                    <w:t>楼</w:t>
                  </w:r>
                  <w:r>
                    <w:rPr>
                      <w:rFonts w:hint="default" w:ascii="Times New Roman" w:hAnsi="Times New Roman" w:cs="Times New Roman"/>
                      <w:color w:val="auto"/>
                      <w:lang w:val="en-US" w:eastAsia="zh-CN"/>
                    </w:rPr>
                    <w:t>西北部</w:t>
                  </w:r>
                  <w:r>
                    <w:rPr>
                      <w:rFonts w:hint="default" w:ascii="Times New Roman" w:hAnsi="Times New Roman" w:cs="Times New Roman"/>
                      <w:color w:val="auto"/>
                    </w:rPr>
                    <w:t>，</w:t>
                  </w:r>
                  <w:r>
                    <w:rPr>
                      <w:rFonts w:hint="default" w:ascii="Times New Roman" w:hAnsi="Times New Roman" w:cs="Times New Roman"/>
                      <w:color w:val="auto"/>
                      <w:highlight w:val="none"/>
                    </w:rPr>
                    <w:t>用于</w:t>
                  </w:r>
                  <w:r>
                    <w:rPr>
                      <w:rFonts w:hint="default" w:ascii="Times New Roman" w:hAnsi="Times New Roman" w:cs="Times New Roman"/>
                      <w:color w:val="auto"/>
                      <w:highlight w:val="none"/>
                      <w:lang w:val="en-US" w:eastAsia="zh-CN"/>
                    </w:rPr>
                    <w:t>大数据管理和展示</w:t>
                  </w:r>
                  <w:r>
                    <w:rPr>
                      <w:rFonts w:hint="default" w:ascii="Times New Roman" w:hAnsi="Times New Roman" w:cs="Times New Roman"/>
                      <w:color w:val="auto"/>
                      <w:highlight w:val="none"/>
                    </w:rPr>
                    <w:t>等。</w:t>
                  </w:r>
                </w:p>
              </w:tc>
              <w:tc>
                <w:tcPr>
                  <w:tcW w:w="7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培训室</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建筑面积</w:t>
                  </w:r>
                  <w:r>
                    <w:rPr>
                      <w:rFonts w:hint="default" w:ascii="Times New Roman" w:hAnsi="Times New Roman" w:cs="Times New Roman"/>
                      <w:color w:val="auto"/>
                      <w:lang w:val="en-US" w:eastAsia="zh-CN"/>
                    </w:rPr>
                    <w:t>110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，位于</w:t>
                  </w:r>
                  <w:r>
                    <w:rPr>
                      <w:rFonts w:hint="default" w:ascii="Times New Roman" w:hAnsi="Times New Roman" w:cs="Times New Roman"/>
                      <w:color w:val="auto"/>
                      <w:lang w:val="en-US" w:eastAsia="zh-CN"/>
                    </w:rPr>
                    <w:t>1</w:t>
                  </w:r>
                  <w:r>
                    <w:rPr>
                      <w:rFonts w:hint="default" w:ascii="Times New Roman" w:hAnsi="Times New Roman" w:cs="Times New Roman"/>
                      <w:color w:val="auto"/>
                    </w:rPr>
                    <w:t>楼</w:t>
                  </w:r>
                  <w:r>
                    <w:rPr>
                      <w:rFonts w:hint="default" w:ascii="Times New Roman" w:hAnsi="Times New Roman" w:cs="Times New Roman"/>
                      <w:color w:val="auto"/>
                      <w:lang w:val="en-US" w:eastAsia="zh-CN"/>
                    </w:rPr>
                    <w:t>中段靠西</w:t>
                  </w:r>
                  <w:r>
                    <w:rPr>
                      <w:rFonts w:hint="default" w:ascii="Times New Roman" w:hAnsi="Times New Roman" w:cs="Times New Roman"/>
                      <w:color w:val="auto"/>
                    </w:rPr>
                    <w:t>，</w:t>
                  </w:r>
                  <w:r>
                    <w:rPr>
                      <w:rFonts w:hint="default" w:ascii="Times New Roman" w:hAnsi="Times New Roman" w:cs="Times New Roman"/>
                      <w:color w:val="auto"/>
                      <w:highlight w:val="none"/>
                    </w:rPr>
                    <w:t>用于</w:t>
                  </w:r>
                  <w:r>
                    <w:rPr>
                      <w:rFonts w:hint="default" w:ascii="Times New Roman" w:hAnsi="Times New Roman" w:cs="Times New Roman"/>
                      <w:color w:val="auto"/>
                      <w:highlight w:val="none"/>
                      <w:lang w:val="en-US" w:eastAsia="zh-CN"/>
                    </w:rPr>
                    <w:t>开展奶牛相关技术培训</w:t>
                  </w:r>
                  <w:r>
                    <w:rPr>
                      <w:rFonts w:hint="default" w:ascii="Times New Roman" w:hAnsi="Times New Roman" w:cs="Times New Roman"/>
                      <w:color w:val="auto"/>
                      <w:highlight w:val="none"/>
                    </w:rPr>
                    <w:t>等。</w:t>
                  </w:r>
                </w:p>
              </w:tc>
              <w:tc>
                <w:tcPr>
                  <w:tcW w:w="7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展厅</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建筑面积</w:t>
                  </w:r>
                  <w:r>
                    <w:rPr>
                      <w:rFonts w:hint="default" w:ascii="Times New Roman" w:hAnsi="Times New Roman" w:cs="Times New Roman"/>
                      <w:color w:val="auto"/>
                      <w:lang w:val="en-US" w:eastAsia="zh-CN"/>
                    </w:rPr>
                    <w:t>150</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，位于</w:t>
                  </w:r>
                  <w:r>
                    <w:rPr>
                      <w:rFonts w:hint="default" w:ascii="Times New Roman" w:hAnsi="Times New Roman" w:cs="Times New Roman"/>
                      <w:color w:val="auto"/>
                      <w:lang w:val="en-US" w:eastAsia="zh-CN"/>
                    </w:rPr>
                    <w:t>1</w:t>
                  </w:r>
                  <w:r>
                    <w:rPr>
                      <w:rFonts w:hint="default" w:ascii="Times New Roman" w:hAnsi="Times New Roman" w:cs="Times New Roman"/>
                      <w:color w:val="auto"/>
                    </w:rPr>
                    <w:t>楼</w:t>
                  </w:r>
                  <w:r>
                    <w:rPr>
                      <w:rFonts w:hint="default" w:ascii="Times New Roman" w:hAnsi="Times New Roman" w:cs="Times New Roman"/>
                      <w:color w:val="auto"/>
                      <w:lang w:val="en-US" w:eastAsia="zh-CN"/>
                    </w:rPr>
                    <w:t>西南部</w:t>
                  </w:r>
                  <w:r>
                    <w:rPr>
                      <w:rFonts w:hint="default" w:ascii="Times New Roman" w:hAnsi="Times New Roman" w:cs="Times New Roman"/>
                      <w:color w:val="auto"/>
                    </w:rPr>
                    <w:t>，用于</w:t>
                  </w:r>
                  <w:r>
                    <w:rPr>
                      <w:rFonts w:hint="default" w:ascii="Times New Roman" w:hAnsi="Times New Roman" w:cs="Times New Roman"/>
                      <w:color w:val="auto"/>
                      <w:lang w:val="en-US" w:eastAsia="zh-CN"/>
                    </w:rPr>
                    <w:t>对外宣传展示</w:t>
                  </w:r>
                  <w:r>
                    <w:rPr>
                      <w:rFonts w:hint="default" w:ascii="Times New Roman" w:hAnsi="Times New Roman" w:cs="Times New Roman"/>
                      <w:color w:val="auto"/>
                      <w:highlight w:val="none"/>
                    </w:rPr>
                    <w:t>等。</w:t>
                  </w:r>
                </w:p>
              </w:tc>
              <w:tc>
                <w:tcPr>
                  <w:tcW w:w="7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办公区</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办公区位于</w:t>
                  </w:r>
                  <w:r>
                    <w:rPr>
                      <w:rFonts w:hint="default" w:ascii="Times New Roman" w:hAnsi="Times New Roman" w:cs="Times New Roman"/>
                      <w:color w:val="auto"/>
                      <w:lang w:val="en-US" w:eastAsia="zh-CN"/>
                    </w:rPr>
                    <w:t>1</w:t>
                  </w:r>
                  <w:r>
                    <w:rPr>
                      <w:rFonts w:hint="default" w:ascii="Times New Roman" w:hAnsi="Times New Roman" w:cs="Times New Roman"/>
                      <w:color w:val="auto"/>
                    </w:rPr>
                    <w:t>楼</w:t>
                  </w:r>
                  <w:r>
                    <w:rPr>
                      <w:rFonts w:hint="default" w:ascii="Times New Roman" w:hAnsi="Times New Roman" w:cs="Times New Roman"/>
                      <w:color w:val="auto"/>
                      <w:lang w:val="en-US" w:eastAsia="zh-CN"/>
                    </w:rPr>
                    <w:t>东南部</w:t>
                  </w:r>
                  <w:r>
                    <w:rPr>
                      <w:rFonts w:hint="default" w:ascii="Times New Roman" w:hAnsi="Times New Roman" w:cs="Times New Roman"/>
                      <w:color w:val="auto"/>
                    </w:rPr>
                    <w:t>，建筑面积</w:t>
                  </w:r>
                  <w:r>
                    <w:rPr>
                      <w:rFonts w:hint="default" w:ascii="Times New Roman" w:hAnsi="Times New Roman" w:cs="Times New Roman"/>
                      <w:color w:val="auto"/>
                      <w:lang w:val="en-US" w:eastAsia="zh-CN"/>
                    </w:rPr>
                    <w:t>182</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rPr>
                    <w:t>设置</w:t>
                  </w:r>
                  <w:r>
                    <w:rPr>
                      <w:rFonts w:hint="default" w:ascii="Times New Roman" w:hAnsi="Times New Roman" w:cs="Times New Roman"/>
                      <w:color w:val="auto"/>
                      <w:lang w:val="en-US" w:eastAsia="zh-CN"/>
                    </w:rPr>
                    <w:t>会议室、2个独立办公室、多人办公区</w:t>
                  </w:r>
                  <w:r>
                    <w:rPr>
                      <w:rFonts w:hint="default" w:ascii="Times New Roman" w:hAnsi="Times New Roman" w:cs="Times New Roman"/>
                      <w:color w:val="auto"/>
                    </w:rPr>
                    <w:t>等。</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配置办公桌椅、</w:t>
                  </w:r>
                  <w:r>
                    <w:rPr>
                      <w:rFonts w:hint="default" w:ascii="Times New Roman" w:hAnsi="Times New Roman" w:cs="Times New Roman"/>
                      <w:color w:val="auto"/>
                      <w:lang w:val="en-US" w:eastAsia="zh-CN"/>
                    </w:rPr>
                    <w:t>档案柜</w:t>
                  </w:r>
                  <w:r>
                    <w:rPr>
                      <w:rFonts w:hint="default" w:ascii="Times New Roman" w:hAnsi="Times New Roman" w:cs="Times New Roman"/>
                      <w:color w:val="auto"/>
                    </w:rPr>
                    <w:t>等设施。</w:t>
                  </w:r>
                </w:p>
              </w:tc>
              <w:tc>
                <w:tcPr>
                  <w:tcW w:w="73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辅助工程</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highlight w:val="none"/>
                    </w:rPr>
                    <w:t>通风系统</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在样品及试剂室</w:t>
                  </w:r>
                  <w:r>
                    <w:rPr>
                      <w:rFonts w:hint="default" w:ascii="Times New Roman" w:hAnsi="Times New Roman" w:cs="Times New Roman"/>
                      <w:color w:val="auto"/>
                    </w:rPr>
                    <w:t>安装</w:t>
                  </w:r>
                  <w:r>
                    <w:rPr>
                      <w:rFonts w:hint="default" w:ascii="Times New Roman" w:hAnsi="Times New Roman" w:cs="Times New Roman"/>
                      <w:color w:val="auto"/>
                      <w:lang w:val="en-US" w:eastAsia="zh-CN"/>
                    </w:rPr>
                    <w:t>1</w:t>
                  </w:r>
                  <w:r>
                    <w:rPr>
                      <w:rFonts w:hint="default" w:ascii="Times New Roman" w:hAnsi="Times New Roman" w:cs="Times New Roman"/>
                      <w:color w:val="auto"/>
                    </w:rPr>
                    <w:t>台通风橱</w:t>
                  </w:r>
                  <w:r>
                    <w:rPr>
                      <w:rFonts w:hint="default" w:ascii="Times New Roman" w:hAnsi="Times New Roman" w:cs="Times New Roman"/>
                      <w:color w:val="auto"/>
                      <w:lang w:val="en-US" w:eastAsia="zh-CN"/>
                    </w:rPr>
                    <w:t>及活性炭吸附装置</w:t>
                  </w:r>
                  <w:r>
                    <w:rPr>
                      <w:rFonts w:hint="default" w:ascii="Times New Roman" w:hAnsi="Times New Roman" w:cs="Times New Roman"/>
                      <w:color w:val="auto"/>
                    </w:rPr>
                    <w:t>。</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卫生间</w:t>
                  </w:r>
                  <w:r>
                    <w:rPr>
                      <w:rFonts w:hint="default" w:ascii="Times New Roman" w:hAnsi="Times New Roman" w:cs="Times New Roman"/>
                      <w:color w:val="auto"/>
                      <w:lang w:val="en-US" w:eastAsia="zh-CN"/>
                    </w:rPr>
                    <w:t>及开水间</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卫生间</w:t>
                  </w:r>
                  <w:r>
                    <w:rPr>
                      <w:rFonts w:hint="default" w:ascii="Times New Roman" w:hAnsi="Times New Roman" w:cs="Times New Roman"/>
                      <w:color w:val="auto"/>
                      <w:lang w:val="en-US" w:eastAsia="zh-CN"/>
                    </w:rPr>
                    <w:t>及开水间</w:t>
                  </w:r>
                  <w:r>
                    <w:rPr>
                      <w:rFonts w:hint="default" w:ascii="Times New Roman" w:hAnsi="Times New Roman" w:cs="Times New Roman"/>
                      <w:color w:val="auto"/>
                    </w:rPr>
                    <w:t>位于</w:t>
                  </w:r>
                  <w:r>
                    <w:rPr>
                      <w:rFonts w:hint="default" w:ascii="Times New Roman" w:hAnsi="Times New Roman" w:cs="Times New Roman"/>
                      <w:color w:val="auto"/>
                      <w:lang w:val="en-US" w:eastAsia="zh-CN"/>
                    </w:rPr>
                    <w:t>西北</w:t>
                  </w:r>
                  <w:r>
                    <w:rPr>
                      <w:rFonts w:hint="default" w:ascii="Times New Roman" w:hAnsi="Times New Roman" w:cs="Times New Roman"/>
                      <w:color w:val="auto"/>
                    </w:rPr>
                    <w:t>部，建筑面积</w:t>
                  </w:r>
                  <w:r>
                    <w:rPr>
                      <w:rFonts w:hint="default" w:ascii="Times New Roman" w:hAnsi="Times New Roman" w:cs="Times New Roman"/>
                      <w:color w:val="auto"/>
                      <w:lang w:val="en-US" w:eastAsia="zh-CN"/>
                    </w:rPr>
                    <w:t>38</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rPr>
                  </w:pPr>
                  <w:r>
                    <w:rPr>
                      <w:rFonts w:hint="default" w:ascii="Times New Roman" w:hAnsi="Times New Roman" w:cs="Times New Roman"/>
                      <w:color w:val="auto"/>
                      <w:highlight w:val="none"/>
                      <w:lang w:val="en-US" w:eastAsia="zh-CN"/>
                    </w:rPr>
                    <w:t>依托</w:t>
                  </w:r>
                  <w:r>
                    <w:rPr>
                      <w:rFonts w:hint="default" w:ascii="Times New Roman" w:hAnsi="Times New Roman" w:cs="Times New Roman"/>
                      <w:color w:val="auto"/>
                      <w:lang w:val="en-US" w:eastAsia="zh-CN"/>
                    </w:rPr>
                    <w:t>职业学校已有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洁净度</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通风系统、空调、紫外线、洁净工作台</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储运工程</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both"/>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冷库、采样储存间、样品及试剂室</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highlight w:val="none"/>
                      <w:lang w:val="en-US" w:eastAsia="zh-CN"/>
                    </w:rPr>
                    <w:t>冷库（制冷剂：R22）</w:t>
                  </w:r>
                  <w:r>
                    <w:rPr>
                      <w:rFonts w:hint="default" w:ascii="Times New Roman" w:hAnsi="Times New Roman" w:cs="Times New Roman"/>
                      <w:color w:val="auto"/>
                    </w:rPr>
                    <w:t>建筑面积19m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位于1楼DHI实验室西北部，</w:t>
                  </w:r>
                  <w:r>
                    <w:rPr>
                      <w:rFonts w:hint="default" w:ascii="Times New Roman" w:hAnsi="Times New Roman" w:cs="Times New Roman"/>
                      <w:color w:val="auto"/>
                    </w:rPr>
                    <w:t>用于存放</w:t>
                  </w:r>
                  <w:r>
                    <w:rPr>
                      <w:rFonts w:hint="default" w:ascii="Times New Roman" w:hAnsi="Times New Roman" w:cs="Times New Roman"/>
                      <w:color w:val="auto"/>
                      <w:lang w:val="en-US" w:eastAsia="zh-CN"/>
                    </w:rPr>
                    <w:t>需要冷藏的样品</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采样储存间</w:t>
                  </w:r>
                  <w:r>
                    <w:rPr>
                      <w:rFonts w:hint="default" w:ascii="Times New Roman" w:hAnsi="Times New Roman" w:cs="Times New Roman"/>
                      <w:color w:val="auto"/>
                    </w:rPr>
                    <w:t>建筑面积1</w:t>
                  </w:r>
                  <w:r>
                    <w:rPr>
                      <w:rFonts w:hint="default" w:ascii="Times New Roman" w:hAnsi="Times New Roman" w:cs="Times New Roman"/>
                      <w:color w:val="auto"/>
                      <w:lang w:val="en-US" w:eastAsia="zh-CN"/>
                    </w:rPr>
                    <w:t>4</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位于冷库南部，</w:t>
                  </w:r>
                  <w:r>
                    <w:rPr>
                      <w:rFonts w:hint="default" w:ascii="Times New Roman" w:hAnsi="Times New Roman" w:cs="Times New Roman"/>
                      <w:color w:val="auto"/>
                    </w:rPr>
                    <w:t>用于存放</w:t>
                  </w:r>
                  <w:r>
                    <w:rPr>
                      <w:rFonts w:hint="default" w:ascii="Times New Roman" w:hAnsi="Times New Roman" w:cs="Times New Roman"/>
                      <w:color w:val="auto"/>
                      <w:lang w:val="en-US" w:eastAsia="zh-CN"/>
                    </w:rPr>
                    <w:t>样品</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样品及试剂室</w:t>
                  </w:r>
                  <w:r>
                    <w:rPr>
                      <w:rFonts w:hint="default" w:ascii="Times New Roman" w:hAnsi="Times New Roman" w:cs="Times New Roman"/>
                      <w:color w:val="auto"/>
                    </w:rPr>
                    <w:t>建筑面积19m</w:t>
                  </w:r>
                  <w:r>
                    <w:rPr>
                      <w:rFonts w:hint="default" w:ascii="Times New Roman" w:hAnsi="Times New Roman" w:cs="Times New Roman"/>
                      <w:color w:val="auto"/>
                      <w:vertAlign w:val="superscript"/>
                    </w:rPr>
                    <w:t>2</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位于1楼西北部，</w:t>
                  </w:r>
                  <w:r>
                    <w:rPr>
                      <w:rFonts w:hint="default" w:ascii="Times New Roman" w:hAnsi="Times New Roman" w:cs="Times New Roman"/>
                      <w:color w:val="auto"/>
                    </w:rPr>
                    <w:t>用于存放实验试剂</w:t>
                  </w:r>
                  <w:r>
                    <w:rPr>
                      <w:rFonts w:hint="default" w:ascii="Times New Roman" w:hAnsi="Times New Roman" w:cs="Times New Roman"/>
                      <w:color w:val="auto"/>
                      <w:lang w:eastAsia="zh-CN"/>
                    </w:rPr>
                    <w:t>。</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依托</w:t>
                  </w:r>
                  <w:r>
                    <w:rPr>
                      <w:rFonts w:hint="default" w:ascii="Times New Roman" w:hAnsi="Times New Roman" w:cs="Times New Roman"/>
                      <w:color w:val="auto"/>
                      <w:lang w:val="en-US" w:eastAsia="zh-CN"/>
                    </w:rPr>
                    <w:t>职业学校建筑</w:t>
                  </w:r>
                  <w:r>
                    <w:rPr>
                      <w:rFonts w:hint="default" w:ascii="Times New Roman" w:hAnsi="Times New Roman" w:cs="Times New Roman"/>
                      <w:color w:val="auto"/>
                    </w:rPr>
                    <w:t>，仅进行</w:t>
                  </w:r>
                  <w:r>
                    <w:rPr>
                      <w:rFonts w:hint="default" w:ascii="Times New Roman" w:hAnsi="Times New Roman" w:cs="Times New Roman"/>
                      <w:color w:val="auto"/>
                      <w:lang w:val="en-US" w:eastAsia="zh-CN"/>
                    </w:rPr>
                    <w:t>室内</w:t>
                  </w:r>
                  <w:r>
                    <w:rPr>
                      <w:rFonts w:hint="default" w:ascii="Times New Roman" w:hAnsi="Times New Roman" w:cs="Times New Roman"/>
                      <w:color w:val="auto"/>
                    </w:rPr>
                    <w:t>装修及设备安装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公用工程</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highlight w:val="none"/>
                    </w:rPr>
                    <w:t>给水</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本项目用水由市政自来水管网供应。本项目新鲜水用水量为94.6m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/a（0.3784m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其中生活用水为75m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/a（0.3m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/d），纯水制备4.6m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/a（0.0184m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/d），采用离子交换树脂法制备纯水，纯水制备率70%，产生纯水0.0128m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/d（3.2m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/a），用于试剂配制。</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highlight w:val="none"/>
                      <w:lang w:val="en-US" w:eastAsia="zh-CN"/>
                    </w:rPr>
                    <w:t>实验室器皿前段清洗新鲜水用水量为1.5m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/a（0.006m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/d）。实验室器皿后段清洗用水量为13.5m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/a（0.054m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依托</w:t>
                  </w:r>
                  <w:r>
                    <w:rPr>
                      <w:rFonts w:hint="default" w:ascii="Times New Roman" w:hAnsi="Times New Roman" w:cs="Times New Roman"/>
                      <w:color w:val="auto"/>
                      <w:lang w:val="en-US" w:eastAsia="zh-CN"/>
                    </w:rPr>
                    <w:t>职业学校</w:t>
                  </w:r>
                  <w:r>
                    <w:rPr>
                      <w:rFonts w:hint="default" w:ascii="Times New Roman" w:hAnsi="Times New Roman" w:cs="Times New Roman"/>
                      <w:color w:val="auto"/>
                    </w:rPr>
                    <w:t>已有管网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highlight w:val="none"/>
                    </w:rPr>
                    <w:t>排水</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本项目外排水量为</w:t>
                  </w:r>
                  <w:r>
                    <w:rPr>
                      <w:rFonts w:hint="default" w:ascii="Times New Roman" w:hAnsi="Times New Roman" w:cs="Times New Roman"/>
                      <w:color w:val="auto"/>
                      <w:highlight w:val="none"/>
                      <w:lang w:val="en-US" w:eastAsia="zh-CN"/>
                    </w:rPr>
                    <w:t>74.9</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0.2996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其中实验器皿后段清洗废水</w:t>
                  </w:r>
                  <w:r>
                    <w:rPr>
                      <w:rFonts w:hint="default" w:ascii="Times New Roman" w:hAnsi="Times New Roman" w:cs="Times New Roman"/>
                      <w:color w:val="auto"/>
                      <w:highlight w:val="none"/>
                      <w:lang w:val="en-US" w:eastAsia="zh-CN"/>
                    </w:rPr>
                    <w:t>13.5m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/a（0.054m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生活污水量</w:t>
                  </w:r>
                  <w:r>
                    <w:rPr>
                      <w:rFonts w:hint="default" w:ascii="Times New Roman" w:hAnsi="Times New Roman" w:cs="Times New Roman"/>
                      <w:color w:val="auto"/>
                      <w:highlight w:val="none"/>
                      <w:lang w:val="en-US" w:eastAsia="zh-CN"/>
                    </w:rPr>
                    <w:t>60</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w:t>
                  </w:r>
                  <w:r>
                    <w:rPr>
                      <w:rFonts w:hint="default" w:ascii="Times New Roman" w:hAnsi="Times New Roman" w:cs="Times New Roman"/>
                      <w:color w:val="auto"/>
                      <w:highlight w:val="none"/>
                      <w:lang w:val="en-US" w:eastAsia="zh-CN"/>
                    </w:rPr>
                    <w:t>0.24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/d）、纯水制备浓盐水</w:t>
                  </w:r>
                  <w:r>
                    <w:rPr>
                      <w:rFonts w:hint="default" w:ascii="Times New Roman" w:hAnsi="Times New Roman" w:cs="Times New Roman"/>
                      <w:color w:val="auto"/>
                      <w:highlight w:val="none"/>
                      <w:lang w:val="en-US" w:eastAsia="zh-CN"/>
                    </w:rPr>
                    <w:t>1.4</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/a（0.00</w:t>
                  </w:r>
                  <w:r>
                    <w:rPr>
                      <w:rFonts w:hint="default" w:ascii="Times New Roman" w:hAnsi="Times New Roman" w:cs="Times New Roman"/>
                      <w:color w:val="auto"/>
                      <w:highlight w:val="none"/>
                      <w:lang w:val="en-US" w:eastAsia="zh-CN"/>
                    </w:rPr>
                    <w:t>56</w:t>
                  </w:r>
                  <w:r>
                    <w:rPr>
                      <w:rFonts w:hint="default" w:ascii="Times New Roman" w:hAnsi="Times New Roman" w:cs="Times New Roman"/>
                      <w:color w:val="auto"/>
                      <w:highlight w:val="none"/>
                    </w:rPr>
                    <w:t>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/d）。</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highlight w:val="none"/>
                    </w:rPr>
                  </w:pPr>
                  <w:r>
                    <w:rPr>
                      <w:rFonts w:hint="default" w:ascii="Times New Roman" w:hAnsi="Times New Roman" w:cs="Times New Roman"/>
                      <w:color w:val="auto"/>
                      <w:highlight w:val="none"/>
                    </w:rPr>
                    <w:t>实验器皿前段清洗用水</w:t>
                  </w:r>
                  <w:r>
                    <w:rPr>
                      <w:rFonts w:hint="default" w:ascii="Times New Roman" w:hAnsi="Times New Roman" w:cs="Times New Roman"/>
                      <w:color w:val="auto"/>
                      <w:highlight w:val="none"/>
                      <w:lang w:val="en-US" w:eastAsia="zh-CN"/>
                    </w:rPr>
                    <w:t>1.5m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/a（0.006m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rPr>
                    <w:t>，暂存于</w:t>
                  </w:r>
                  <w:r>
                    <w:rPr>
                      <w:rFonts w:hint="default" w:ascii="Times New Roman" w:hAnsi="Times New Roman" w:cs="Times New Roman"/>
                      <w:color w:val="auto"/>
                      <w:highlight w:val="none"/>
                      <w:lang w:eastAsia="zh-CN"/>
                    </w:rPr>
                    <w:t>危废暂存库</w:t>
                  </w:r>
                  <w:r>
                    <w:rPr>
                      <w:rFonts w:hint="default" w:ascii="Times New Roman" w:hAnsi="Times New Roman" w:cs="Times New Roman"/>
                      <w:color w:val="auto"/>
                      <w:highlight w:val="none"/>
                    </w:rPr>
                    <w:t>，定期交由</w:t>
                  </w:r>
                  <w:r>
                    <w:rPr>
                      <w:rFonts w:hint="default" w:ascii="Times New Roman" w:hAnsi="Times New Roman" w:cs="Times New Roman"/>
                      <w:color w:val="auto"/>
                      <w:highlight w:val="none"/>
                      <w:lang w:eastAsia="zh-CN"/>
                    </w:rPr>
                    <w:t>宁夏宁东清大国华环境资源有限公司</w:t>
                  </w:r>
                  <w:r>
                    <w:rPr>
                      <w:rFonts w:hint="default" w:ascii="Times New Roman" w:hAnsi="Times New Roman" w:cs="Times New Roman"/>
                      <w:color w:val="auto"/>
                      <w:highlight w:val="none"/>
                    </w:rPr>
                    <w:t>进行处理。</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highlight w:val="none"/>
                    </w:rPr>
                    <w:t>实验器皿后段清洗废水</w:t>
                  </w:r>
                  <w:r>
                    <w:rPr>
                      <w:rFonts w:hint="default" w:ascii="Times New Roman" w:hAnsi="Times New Roman" w:cs="Times New Roman"/>
                      <w:color w:val="auto"/>
                      <w:highlight w:val="none"/>
                      <w:lang w:val="en-US" w:eastAsia="zh-CN"/>
                    </w:rPr>
                    <w:t>13.5m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/a（0.054m</w:t>
                  </w:r>
                  <w:r>
                    <w:rPr>
                      <w:rFonts w:hint="default" w:ascii="Times New Roman" w:hAnsi="Times New Roman" w:cs="Times New Roman"/>
                      <w:color w:val="auto"/>
                      <w:highlight w:val="none"/>
                      <w:vertAlign w:val="superscript"/>
                      <w:lang w:val="en-US" w:eastAsia="zh-CN"/>
                    </w:rPr>
                    <w:t>3</w:t>
                  </w:r>
                  <w:r>
                    <w:rPr>
                      <w:rFonts w:hint="default" w:ascii="Times New Roman" w:hAnsi="Times New Roman" w:cs="Times New Roman"/>
                      <w:color w:val="auto"/>
                      <w:highlight w:val="none"/>
                      <w:lang w:val="en-US" w:eastAsia="zh-CN"/>
                    </w:rPr>
                    <w:t>/d）</w:t>
                  </w:r>
                  <w:r>
                    <w:rPr>
                      <w:rFonts w:hint="default" w:ascii="Times New Roman" w:hAnsi="Times New Roman" w:cs="Times New Roman"/>
                      <w:color w:val="auto"/>
                      <w:highlight w:val="none"/>
                    </w:rPr>
                    <w:t>，</w:t>
                  </w:r>
                  <w:r>
                    <w:rPr>
                      <w:rFonts w:hint="default" w:ascii="Times New Roman" w:hAnsi="Times New Roman" w:cs="Times New Roman"/>
                      <w:color w:val="auto"/>
                      <w:kern w:val="2"/>
                      <w:sz w:val="21"/>
                      <w:szCs w:val="21"/>
                      <w:highlight w:val="none"/>
                      <w:lang w:val="en-US" w:eastAsia="zh-CN" w:bidi="ar-SA"/>
                    </w:rPr>
                    <w:t>经</w:t>
                  </w:r>
                  <w:r>
                    <w:rPr>
                      <w:rFonts w:hint="default" w:ascii="Times New Roman" w:hAnsi="Times New Roman" w:cs="Times New Roman"/>
                      <w:color w:val="auto"/>
                      <w:sz w:val="21"/>
                      <w:szCs w:val="21"/>
                      <w:highlight w:val="none"/>
                      <w:lang w:val="en-US" w:eastAsia="zh-CN"/>
                    </w:rPr>
                    <w:t>中和调节桶调节pH至6-9后</w:t>
                  </w:r>
                  <w:r>
                    <w:rPr>
                      <w:rFonts w:hint="default" w:ascii="Times New Roman" w:hAnsi="Times New Roman" w:cs="Times New Roman"/>
                      <w:color w:val="auto"/>
                      <w:highlight w:val="none"/>
                      <w:lang w:val="en-US" w:eastAsia="zh-CN"/>
                    </w:rPr>
                    <w:t>，与</w:t>
                  </w:r>
                  <w:r>
                    <w:rPr>
                      <w:rFonts w:hint="default" w:ascii="Times New Roman" w:hAnsi="Times New Roman" w:cs="Times New Roman"/>
                      <w:color w:val="auto"/>
                      <w:highlight w:val="none"/>
                    </w:rPr>
                    <w:t>生活污水和纯水制备系统产生的浓盐水一起</w:t>
                  </w:r>
                  <w:r>
                    <w:rPr>
                      <w:rFonts w:hint="default" w:ascii="Times New Roman" w:hAnsi="Times New Roman" w:cs="Times New Roman"/>
                      <w:color w:val="auto"/>
                      <w:highlight w:val="none"/>
                      <w:lang w:val="en-US" w:eastAsia="zh-CN"/>
                    </w:rPr>
                    <w:t>排入现有化粪池处理后经</w:t>
                  </w:r>
                  <w:r>
                    <w:rPr>
                      <w:rFonts w:hint="default" w:ascii="Times New Roman" w:hAnsi="Times New Roman" w:cs="Times New Roman"/>
                      <w:color w:val="auto"/>
                      <w:highlight w:val="none"/>
                    </w:rPr>
                    <w:t>市政污水管网最终进入</w:t>
                  </w:r>
                  <w:r>
                    <w:rPr>
                      <w:rFonts w:hint="default" w:ascii="Times New Roman" w:hAnsi="Times New Roman" w:cs="Times New Roman"/>
                      <w:color w:val="auto"/>
                      <w:highlight w:val="none"/>
                      <w:lang w:eastAsia="zh-CN"/>
                    </w:rPr>
                    <w:t>中卫市第三污水处理厂</w:t>
                  </w:r>
                  <w:r>
                    <w:rPr>
                      <w:rFonts w:hint="default" w:ascii="Times New Roman" w:hAnsi="Times New Roman" w:cs="Times New Roman"/>
                      <w:color w:val="auto"/>
                      <w:highlight w:val="none"/>
                    </w:rPr>
                    <w:t>集中处理。</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依托</w:t>
                  </w:r>
                  <w:r>
                    <w:rPr>
                      <w:rFonts w:hint="default" w:ascii="Times New Roman" w:hAnsi="Times New Roman" w:cs="Times New Roman"/>
                      <w:color w:val="auto"/>
                      <w:lang w:val="en-US" w:eastAsia="zh-CN"/>
                    </w:rPr>
                    <w:t>职业学校</w:t>
                  </w:r>
                  <w:r>
                    <w:rPr>
                      <w:rFonts w:hint="default" w:ascii="Times New Roman" w:hAnsi="Times New Roman" w:cs="Times New Roman"/>
                      <w:color w:val="auto"/>
                    </w:rPr>
                    <w:t>已有管网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供电</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项目用电由市政供电电网提供。</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供暖</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项目由城市供暖管网统一供暖。</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highlight w:val="none"/>
                    </w:rPr>
                    <w:t>环保工程</w:t>
                  </w: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废气处理措施</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项目共设置</w:t>
                  </w:r>
                  <w:r>
                    <w:rPr>
                      <w:rFonts w:hint="default" w:ascii="Times New Roman" w:hAnsi="Times New Roman" w:cs="Times New Roman"/>
                      <w:color w:val="auto"/>
                      <w:lang w:val="en-US" w:eastAsia="zh-CN"/>
                    </w:rPr>
                    <w:t>1</w:t>
                  </w:r>
                  <w:r>
                    <w:rPr>
                      <w:rFonts w:hint="default" w:ascii="Times New Roman" w:hAnsi="Times New Roman" w:cs="Times New Roman"/>
                      <w:color w:val="auto"/>
                    </w:rPr>
                    <w:t>台通风橱，项目产生的实验</w:t>
                  </w:r>
                  <w:r>
                    <w:rPr>
                      <w:rFonts w:hint="default" w:ascii="Times New Roman" w:hAnsi="Times New Roman" w:cs="Times New Roman"/>
                      <w:color w:val="auto"/>
                      <w:lang w:eastAsia="zh-CN"/>
                    </w:rPr>
                    <w:t>废气经通风橱收集</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活性炭吸附处理后</w:t>
                  </w:r>
                  <w:r>
                    <w:rPr>
                      <w:rFonts w:hint="default" w:ascii="Times New Roman" w:hAnsi="Times New Roman" w:cs="Times New Roman"/>
                      <w:color w:val="auto"/>
                      <w:lang w:val="en-US" w:eastAsia="zh-CN"/>
                    </w:rPr>
                    <w:t>引至室外</w:t>
                  </w:r>
                  <w:r>
                    <w:rPr>
                      <w:rFonts w:hint="default" w:ascii="Times New Roman" w:hAnsi="Times New Roman" w:cs="Times New Roman"/>
                      <w:color w:val="auto"/>
                      <w:lang w:eastAsia="zh-CN"/>
                    </w:rPr>
                    <w:t>无组织排放</w:t>
                  </w:r>
                  <w:r>
                    <w:rPr>
                      <w:rFonts w:hint="default" w:ascii="Times New Roman" w:hAnsi="Times New Roman" w:cs="Times New Roman"/>
                      <w:color w:val="auto"/>
                    </w:rPr>
                    <w:t>。</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废水处理措施</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实验器皿前段清洗废水</w:t>
                  </w:r>
                  <w:r>
                    <w:rPr>
                      <w:rFonts w:hint="default" w:ascii="Times New Roman" w:hAnsi="Times New Roman" w:cs="Times New Roman"/>
                      <w:color w:val="auto"/>
                      <w:lang w:val="en-US" w:eastAsia="zh-CN"/>
                    </w:rPr>
                    <w:t>经废液收集桶收集后</w:t>
                  </w:r>
                  <w:r>
                    <w:rPr>
                      <w:rFonts w:hint="default" w:ascii="Times New Roman" w:hAnsi="Times New Roman" w:cs="Times New Roman"/>
                      <w:color w:val="auto"/>
                    </w:rPr>
                    <w:t>暂存于</w:t>
                  </w:r>
                  <w:r>
                    <w:rPr>
                      <w:rFonts w:hint="default" w:ascii="Times New Roman" w:hAnsi="Times New Roman" w:cs="Times New Roman"/>
                      <w:color w:val="auto"/>
                      <w:lang w:eastAsia="zh-CN"/>
                    </w:rPr>
                    <w:t>危废暂存库</w:t>
                  </w:r>
                  <w:r>
                    <w:rPr>
                      <w:rFonts w:hint="default" w:ascii="Times New Roman" w:hAnsi="Times New Roman" w:cs="Times New Roman"/>
                      <w:color w:val="auto"/>
                    </w:rPr>
                    <w:t>，定期交由</w:t>
                  </w:r>
                  <w:r>
                    <w:rPr>
                      <w:rFonts w:hint="default" w:ascii="Times New Roman" w:hAnsi="Times New Roman" w:cs="Times New Roman"/>
                      <w:color w:val="auto"/>
                      <w:lang w:eastAsia="zh-CN"/>
                    </w:rPr>
                    <w:t>宁夏宁东清大国华环境资源有限公司</w:t>
                  </w:r>
                  <w:r>
                    <w:rPr>
                      <w:rFonts w:hint="default" w:ascii="Times New Roman" w:hAnsi="Times New Roman" w:cs="Times New Roman"/>
                      <w:color w:val="auto"/>
                    </w:rPr>
                    <w:t>处理，</w:t>
                  </w:r>
                  <w:r>
                    <w:rPr>
                      <w:rFonts w:hint="default" w:ascii="Times New Roman" w:hAnsi="Times New Roman" w:cs="Times New Roman"/>
                      <w:color w:val="auto"/>
                      <w:lang w:val="en-US" w:eastAsia="zh-CN"/>
                    </w:rPr>
                    <w:t>实验器皿后段清洗废水，经中和调节桶调节pH至6-9后，与生活污水和纯水制备系统产生的浓盐水一起排入现有化粪池处理后经市政污水管网最终进入中卫市第三污水处理厂集中处理。</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依托</w:t>
                  </w:r>
                  <w:r>
                    <w:rPr>
                      <w:rFonts w:hint="default" w:ascii="Times New Roman" w:hAnsi="Times New Roman" w:cs="Times New Roman"/>
                      <w:color w:val="auto"/>
                      <w:lang w:eastAsia="zh-CN"/>
                    </w:rPr>
                    <w:t>中卫市第三污水处理厂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噪声防治措施</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本项目噪声主要来自通风设备及运营过程中的实验仪器。项目选用低噪声设备，对设备采取减震、隔声等措施。</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highlight w:val="none"/>
                    </w:rPr>
                    <w:t>固体废物处理措施</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生活垃圾：生活垃圾收集后交由环卫部门处理。</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val="en-US" w:eastAsia="zh-CN"/>
                    </w:rPr>
                  </w:pPr>
                  <w:r>
                    <w:rPr>
                      <w:rFonts w:hint="default" w:ascii="Times New Roman" w:hAnsi="Times New Roman" w:cs="Times New Roman"/>
                      <w:color w:val="auto"/>
                    </w:rPr>
                    <w:t>一般固废：</w:t>
                  </w:r>
                  <w:r>
                    <w:rPr>
                      <w:rFonts w:hint="default" w:ascii="Times New Roman" w:hAnsi="Times New Roman" w:cs="Times New Roman"/>
                      <w:color w:val="auto"/>
                      <w:lang w:val="en-US" w:eastAsia="zh-CN"/>
                    </w:rPr>
                    <w:t>未沾染</w:t>
                  </w:r>
                  <w:r>
                    <w:rPr>
                      <w:rFonts w:hint="default" w:ascii="Times New Roman" w:hAnsi="Times New Roman" w:cs="Times New Roman"/>
                      <w:color w:val="auto"/>
                    </w:rPr>
                    <w:t>危险</w:t>
                  </w:r>
                  <w:r>
                    <w:rPr>
                      <w:rFonts w:hint="default" w:ascii="Times New Roman" w:hAnsi="Times New Roman" w:cs="Times New Roman"/>
                      <w:color w:val="auto"/>
                      <w:lang w:val="en-US" w:eastAsia="zh-CN"/>
                    </w:rPr>
                    <w:t>物质的废弃包装物</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废饲料以及</w:t>
                  </w:r>
                  <w:r>
                    <w:rPr>
                      <w:rFonts w:hint="default" w:ascii="Times New Roman" w:hAnsi="Times New Roman" w:cs="Times New Roman"/>
                      <w:color w:val="auto"/>
                    </w:rPr>
                    <w:t>生活垃圾由环卫部门收集处置</w:t>
                  </w:r>
                  <w:r>
                    <w:rPr>
                      <w:rFonts w:hint="default" w:ascii="Times New Roman" w:hAnsi="Times New Roman" w:cs="Times New Roman"/>
                      <w:color w:val="auto"/>
                      <w:lang w:eastAsia="zh-CN"/>
                    </w:rPr>
                    <w:t>、</w:t>
                  </w:r>
                  <w:r>
                    <w:rPr>
                      <w:rFonts w:hint="default" w:ascii="Times New Roman" w:hAnsi="Times New Roman" w:cs="Times New Roman"/>
                      <w:color w:val="auto"/>
                    </w:rPr>
                    <w:t>废离子交换树脂</w:t>
                  </w:r>
                  <w:r>
                    <w:rPr>
                      <w:rFonts w:hint="default" w:ascii="Times New Roman" w:hAnsi="Times New Roman" w:cs="Times New Roman"/>
                      <w:color w:val="auto"/>
                      <w:lang w:val="en-US" w:eastAsia="zh-CN"/>
                    </w:rPr>
                    <w:t>厂家定期更换回收；</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eastAsia="zh-CN"/>
                    </w:rPr>
                  </w:pPr>
                  <w:r>
                    <w:rPr>
                      <w:rFonts w:hint="default" w:ascii="Times New Roman" w:hAnsi="Times New Roman" w:cs="Times New Roman"/>
                      <w:color w:val="auto"/>
                      <w:highlight w:val="none"/>
                    </w:rPr>
                    <w:t>危险废物：</w:t>
                  </w:r>
                  <w:r>
                    <w:rPr>
                      <w:rFonts w:hint="default" w:ascii="Times New Roman" w:hAnsi="Times New Roman" w:cs="Times New Roman"/>
                      <w:color w:val="auto"/>
                      <w:lang w:val="en-US" w:eastAsia="zh-CN"/>
                    </w:rPr>
                    <w:t>主要为实验废液（配制试剂废液、废牛奶、废牛血、实验器皿前段清洗废水）、</w:t>
                  </w:r>
                  <w:r>
                    <w:rPr>
                      <w:rFonts w:hint="default" w:ascii="Times New Roman" w:hAnsi="Times New Roman" w:cs="Times New Roman"/>
                      <w:color w:val="auto"/>
                    </w:rPr>
                    <w:t>废一次性耗材、废弃化学试剂、废活性炭、沾染危险</w:t>
                  </w:r>
                  <w:r>
                    <w:rPr>
                      <w:rFonts w:hint="default" w:ascii="Times New Roman" w:hAnsi="Times New Roman" w:cs="Times New Roman"/>
                      <w:color w:val="auto"/>
                      <w:lang w:val="en-US" w:eastAsia="zh-CN"/>
                    </w:rPr>
                    <w:t>物质</w:t>
                  </w:r>
                  <w:r>
                    <w:rPr>
                      <w:rFonts w:hint="default" w:ascii="Times New Roman" w:hAnsi="Times New Roman" w:cs="Times New Roman"/>
                      <w:color w:val="auto"/>
                    </w:rPr>
                    <w:t>的废弃包装物</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实验废液用废液桶收集（处置频次1次/季度）；废一次性耗材、</w:t>
                  </w:r>
                  <w:r>
                    <w:rPr>
                      <w:rFonts w:hint="default" w:ascii="Times New Roman" w:hAnsi="Times New Roman" w:cs="Times New Roman"/>
                      <w:color w:val="auto"/>
                    </w:rPr>
                    <w:t>沾染危险</w:t>
                  </w:r>
                  <w:r>
                    <w:rPr>
                      <w:rFonts w:hint="default" w:ascii="Times New Roman" w:hAnsi="Times New Roman" w:cs="Times New Roman"/>
                      <w:color w:val="auto"/>
                      <w:lang w:val="en-US" w:eastAsia="zh-CN"/>
                    </w:rPr>
                    <w:t>物质</w:t>
                  </w:r>
                  <w:r>
                    <w:rPr>
                      <w:rFonts w:hint="default" w:ascii="Times New Roman" w:hAnsi="Times New Roman" w:cs="Times New Roman"/>
                      <w:color w:val="auto"/>
                    </w:rPr>
                    <w:t>的废弃包装物</w:t>
                  </w:r>
                  <w:r>
                    <w:rPr>
                      <w:rFonts w:hint="default" w:ascii="Times New Roman" w:hAnsi="Times New Roman" w:cs="Times New Roman"/>
                      <w:color w:val="auto"/>
                      <w:lang w:val="en-US" w:eastAsia="zh-CN"/>
                    </w:rPr>
                    <w:t>用包装箱收集，废活性炭用密封塑料箱收集后</w:t>
                  </w:r>
                  <w:r>
                    <w:rPr>
                      <w:rFonts w:hint="default" w:ascii="Times New Roman" w:hAnsi="Times New Roman" w:cs="Times New Roman"/>
                      <w:color w:val="auto"/>
                    </w:rPr>
                    <w:t>暂存于</w:t>
                  </w:r>
                  <w:r>
                    <w:rPr>
                      <w:rFonts w:hint="default" w:ascii="Times New Roman" w:hAnsi="Times New Roman" w:cs="Times New Roman"/>
                      <w:color w:val="auto"/>
                      <w:lang w:eastAsia="zh-CN"/>
                    </w:rPr>
                    <w:t>危废暂存库</w:t>
                  </w:r>
                  <w:r>
                    <w:rPr>
                      <w:rFonts w:hint="default" w:ascii="Times New Roman" w:hAnsi="Times New Roman" w:cs="Times New Roman"/>
                      <w:color w:val="auto"/>
                    </w:rPr>
                    <w:t>，定期交由</w:t>
                  </w:r>
                  <w:r>
                    <w:rPr>
                      <w:rFonts w:hint="default" w:ascii="Times New Roman" w:hAnsi="Times New Roman" w:cs="Times New Roman"/>
                      <w:color w:val="auto"/>
                      <w:lang w:eastAsia="zh-CN"/>
                    </w:rPr>
                    <w:t>宁夏宁东清大国华环境资源有限公司</w:t>
                  </w:r>
                  <w:r>
                    <w:rPr>
                      <w:rFonts w:hint="default" w:ascii="Times New Roman" w:hAnsi="Times New Roman" w:cs="Times New Roman"/>
                      <w:color w:val="auto"/>
                    </w:rPr>
                    <w:t>进行处理。</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在东侧楼梯间</w:t>
                  </w:r>
                  <w:r>
                    <w:rPr>
                      <w:rFonts w:hint="default" w:ascii="Times New Roman" w:hAnsi="Times New Roman" w:cs="Times New Roman"/>
                      <w:color w:val="auto"/>
                    </w:rPr>
                    <w:t>设置1间</w:t>
                  </w:r>
                  <w:r>
                    <w:rPr>
                      <w:rFonts w:hint="default" w:ascii="Times New Roman" w:hAnsi="Times New Roman" w:cs="Times New Roman"/>
                      <w:color w:val="auto"/>
                      <w:lang w:val="en-US" w:eastAsia="zh-CN"/>
                    </w:rPr>
                    <w:t>2</w:t>
                  </w:r>
                  <w:r>
                    <w:rPr>
                      <w:rFonts w:hint="default" w:ascii="Times New Roman" w:hAnsi="Times New Roman" w:cs="Times New Roman"/>
                      <w:color w:val="auto"/>
                    </w:rPr>
                    <w:t>m</w:t>
                  </w:r>
                  <w:r>
                    <w:rPr>
                      <w:rFonts w:hint="default" w:ascii="Times New Roman" w:hAnsi="Times New Roman" w:cs="Times New Roman"/>
                      <w:color w:val="auto"/>
                      <w:vertAlign w:val="superscript"/>
                    </w:rPr>
                    <w:t>2</w:t>
                  </w:r>
                  <w:r>
                    <w:rPr>
                      <w:rFonts w:hint="default" w:ascii="Times New Roman" w:hAnsi="Times New Roman" w:cs="Times New Roman"/>
                      <w:color w:val="auto"/>
                    </w:rPr>
                    <w:t>危废暂存</w:t>
                  </w:r>
                  <w:r>
                    <w:rPr>
                      <w:rFonts w:hint="default" w:ascii="Times New Roman" w:hAnsi="Times New Roman" w:cs="Times New Roman"/>
                      <w:color w:val="auto"/>
                      <w:lang w:val="en-US" w:eastAsia="zh-CN"/>
                    </w:rPr>
                    <w:t>库，</w:t>
                  </w:r>
                  <w:r>
                    <w:rPr>
                      <w:rFonts w:hint="default" w:ascii="Times New Roman" w:hAnsi="Times New Roman" w:cs="Times New Roman"/>
                      <w:color w:val="auto"/>
                    </w:rPr>
                    <w:t>严格按照《危险废物贮存 污染控制标准》（GB18597-2023）要求进行建设。地面</w:t>
                  </w:r>
                  <w:r>
                    <w:rPr>
                      <w:rFonts w:hint="default" w:ascii="Times New Roman" w:hAnsi="Times New Roman" w:cs="Times New Roman"/>
                      <w:color w:val="auto"/>
                      <w:lang w:val="en-US" w:eastAsia="zh-CN"/>
                    </w:rPr>
                    <w:t>与裙脚</w:t>
                  </w:r>
                  <w:r>
                    <w:rPr>
                      <w:rFonts w:hint="default" w:ascii="Times New Roman" w:hAnsi="Times New Roman" w:cs="Times New Roman"/>
                      <w:color w:val="auto"/>
                    </w:rPr>
                    <w:t>基础防渗采用混凝土硬化，涂刷防渗涂料，设置防渗托盘，危险废物贮存不与地面直接接触。</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地下水防渗措施</w:t>
                  </w:r>
                </w:p>
              </w:tc>
              <w:tc>
                <w:tcPr>
                  <w:tcW w:w="3254"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52" w:firstLineChars="200"/>
                    <w:jc w:val="left"/>
                    <w:textAlignment w:val="auto"/>
                    <w:rPr>
                      <w:rFonts w:hint="default" w:ascii="Times New Roman" w:hAnsi="Times New Roman" w:cs="Times New Roman"/>
                      <w:color w:val="auto"/>
                    </w:rPr>
                  </w:pPr>
                  <w:r>
                    <w:rPr>
                      <w:rFonts w:hint="default" w:ascii="Times New Roman" w:hAnsi="Times New Roman" w:cs="Times New Roman"/>
                      <w:color w:val="auto"/>
                      <w:highlight w:val="none"/>
                      <w:lang w:eastAsia="zh-CN"/>
                    </w:rPr>
                    <w:t>危废暂存库地面与裙脚基础防渗采用混凝土硬化，涂刷防渗涂料，设置防渗托盘</w:t>
                  </w:r>
                  <w:r>
                    <w:rPr>
                      <w:rFonts w:hint="default" w:ascii="Times New Roman" w:hAnsi="Times New Roman" w:cs="Times New Roman"/>
                      <w:color w:val="auto"/>
                      <w:highlight w:val="none"/>
                    </w:rPr>
                    <w:t>，防渗层渗透系数≤10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r>
                    <w:rPr>
                      <w:rFonts w:hint="default" w:ascii="Times New Roman" w:hAnsi="Times New Roman" w:cs="Times New Roman"/>
                      <w:color w:val="auto"/>
                      <w:highlight w:val="none"/>
                      <w:lang w:eastAsia="zh-CN"/>
                    </w:rPr>
                    <w:t>。</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新建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1"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环境风险防范措施</w:t>
                  </w:r>
                </w:p>
              </w:tc>
              <w:tc>
                <w:tcPr>
                  <w:tcW w:w="325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val="en-US" w:eastAsia="zh-CN"/>
                    </w:rPr>
                  </w:pPr>
                  <w:r>
                    <w:rPr>
                      <w:rFonts w:hint="default" w:ascii="Times New Roman" w:hAnsi="Times New Roman" w:cs="Times New Roman"/>
                      <w:color w:val="auto"/>
                      <w:highlight w:val="none"/>
                    </w:rPr>
                    <w:t>本项目涉及试剂种类较多，可能发生有毒有害物质泄漏及火灾爆炸事故，针对该类事故的预防，项目各分区配备有相应数量的消防栓、灭火器、防毒面具等应急设备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公司针对该类事故，应按照应急预案中相关规范定期组织演练。</w:t>
                  </w:r>
                </w:p>
              </w:tc>
              <w:tc>
                <w:tcPr>
                  <w:tcW w:w="73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新建</w:t>
                  </w:r>
                </w:p>
              </w:tc>
            </w:tr>
          </w:tbl>
          <w:p>
            <w:pPr>
              <w:keepNext w:val="0"/>
              <w:keepLines w:val="0"/>
              <w:pageBreakBefore w:val="0"/>
              <w:widowControl w:val="0"/>
              <w:numPr>
                <w:ilvl w:val="0"/>
                <w:numId w:val="0"/>
              </w:numPr>
              <w:kinsoku/>
              <w:wordWrap/>
              <w:overflowPunct/>
              <w:topLinePunct w:val="0"/>
              <w:autoSpaceDE/>
              <w:autoSpaceDN/>
              <w:bidi w:val="0"/>
              <w:spacing w:before="240" w:after="60"/>
              <w:rPr>
                <w:ins w:id="2" w:author="灿烂阳光" w:date="2024-08-02T17:34:53Z"/>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3、主要检测项目及检测能力</w:t>
            </w:r>
          </w:p>
          <w:p>
            <w:pPr>
              <w:pStyle w:val="6"/>
              <w:keepNext w:val="0"/>
              <w:keepLines w:val="0"/>
              <w:pageBreakBefore w:val="0"/>
              <w:widowControl w:val="0"/>
              <w:kinsoku/>
              <w:wordWrap/>
              <w:overflowPunct/>
              <w:topLinePunct w:val="0"/>
              <w:autoSpaceDE/>
              <w:autoSpaceDN/>
              <w:bidi w:val="0"/>
              <w:adjustRightInd/>
              <w:snapToGrid/>
              <w:ind w:firstLine="512" w:firstLineChars="200"/>
              <w:textAlignment w:val="auto"/>
              <w:rPr>
                <w:ins w:id="3" w:author="灿烂阳光" w:date="2024-08-02T17:35:01Z"/>
                <w:rFonts w:hint="default" w:ascii="Times New Roman" w:hAnsi="Times New Roman" w:eastAsia="黑体" w:cs="Times New Roman"/>
                <w:color w:val="auto"/>
                <w:sz w:val="24"/>
                <w:szCs w:val="24"/>
              </w:rPr>
            </w:pPr>
            <w:r>
              <w:rPr>
                <w:rFonts w:hint="default" w:ascii="Times New Roman" w:hAnsi="Times New Roman" w:cs="Times New Roman"/>
                <w:color w:val="auto"/>
                <w:lang w:val="en-US" w:eastAsia="zh-CN"/>
              </w:rPr>
              <w:t>本项目</w:t>
            </w:r>
            <w:r>
              <w:rPr>
                <w:rFonts w:hint="default" w:ascii="Times New Roman" w:hAnsi="Times New Roman" w:eastAsia="宋体" w:cs="Times New Roman"/>
                <w:color w:val="auto"/>
                <w:kern w:val="2"/>
                <w:sz w:val="24"/>
                <w:szCs w:val="24"/>
                <w:lang w:val="en-US" w:eastAsia="zh-CN" w:bidi="ar-SA"/>
              </w:rPr>
              <w:t>实验室每年检测样品数约2</w:t>
            </w:r>
            <w:r>
              <w:rPr>
                <w:rFonts w:hint="default" w:ascii="Times New Roman" w:hAnsi="Times New Roman" w:cs="Times New Roman"/>
                <w:color w:val="auto"/>
                <w:kern w:val="2"/>
                <w:sz w:val="24"/>
                <w:szCs w:val="24"/>
                <w:lang w:val="en-US" w:eastAsia="zh-CN" w:bidi="ar-SA"/>
              </w:rPr>
              <w:t>0万个，</w:t>
            </w:r>
            <w:r>
              <w:rPr>
                <w:rFonts w:hint="default" w:ascii="Times New Roman" w:hAnsi="Times New Roman" w:cs="Times New Roman"/>
                <w:color w:val="auto"/>
                <w:lang w:val="en-US" w:eastAsia="zh-CN"/>
              </w:rPr>
              <w:t>主要检测项目及检测能力见表2-2。</w:t>
            </w:r>
          </w:p>
          <w:p>
            <w:pPr>
              <w:pStyle w:val="16"/>
              <w:keepNext w:val="0"/>
              <w:keepLines w:val="0"/>
              <w:pageBreakBefore w:val="0"/>
              <w:widowControl w:val="0"/>
              <w:kinsoku/>
              <w:wordWrap/>
              <w:overflowPunct/>
              <w:topLinePunct w:val="0"/>
              <w:autoSpaceDE/>
              <w:autoSpaceDN/>
              <w:bidi w:val="0"/>
              <w:jc w:val="center"/>
              <w:rPr>
                <w:rFonts w:hint="default" w:ascii="Times New Roman" w:hAnsi="Times New Roman" w:eastAsia="黑体" w:cs="Times New Roman"/>
                <w:color w:val="auto"/>
                <w:sz w:val="24"/>
                <w:szCs w:val="24"/>
                <w:highlight w:val="yellow"/>
                <w:lang w:val="en-US" w:eastAsia="zh-CN"/>
              </w:rPr>
            </w:pPr>
            <w:r>
              <w:rPr>
                <w:rFonts w:hint="default" w:ascii="Times New Roman" w:hAnsi="Times New Roman" w:eastAsia="黑体" w:cs="Times New Roman"/>
                <w:color w:val="auto"/>
                <w:sz w:val="24"/>
                <w:szCs w:val="24"/>
              </w:rPr>
              <w:t xml:space="preserve">表2-2 </w:t>
            </w:r>
            <w:r>
              <w:rPr>
                <w:rFonts w:hint="default" w:ascii="Times New Roman" w:hAnsi="Times New Roman" w:eastAsia="黑体" w:cs="Times New Roman"/>
                <w:color w:val="auto"/>
                <w:sz w:val="24"/>
                <w:szCs w:val="24"/>
                <w:lang w:val="en-US" w:eastAsia="zh-CN"/>
              </w:rPr>
              <w:t>主要检测项目及</w:t>
            </w:r>
            <w:r>
              <w:rPr>
                <w:rFonts w:hint="default" w:ascii="Times New Roman" w:hAnsi="Times New Roman" w:eastAsia="黑体" w:cs="Times New Roman"/>
                <w:color w:val="auto"/>
                <w:sz w:val="24"/>
                <w:szCs w:val="24"/>
                <w:highlight w:val="none"/>
                <w:lang w:val="en-US" w:eastAsia="zh-CN"/>
              </w:rPr>
              <w:t>检测能力</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6"/>
              <w:gridCol w:w="2678"/>
              <w:gridCol w:w="28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实验室</w:t>
                  </w:r>
                </w:p>
              </w:tc>
              <w:tc>
                <w:tcPr>
                  <w:tcW w:w="2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主要检测项目</w:t>
                  </w:r>
                </w:p>
              </w:tc>
              <w:tc>
                <w:tcPr>
                  <w:tcW w:w="2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检测方法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DHI检测实验室</w:t>
                  </w:r>
                </w:p>
              </w:tc>
              <w:tc>
                <w:tcPr>
                  <w:tcW w:w="2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脂肪、蛋白、尿素氮、乳糖、总固体、β-羟基丁酸、丙酮、体细胞</w:t>
                  </w:r>
                </w:p>
              </w:tc>
              <w:tc>
                <w:tcPr>
                  <w:tcW w:w="2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FOSS乳成分分析仪</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FOSS体细胞分析仪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饲料营养检测实验室</w:t>
                  </w:r>
                </w:p>
              </w:tc>
              <w:tc>
                <w:tcPr>
                  <w:tcW w:w="2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水分、干物质、蛋白、脂肪、纤维、灰分、淀粉、单糖、乳酸、乙酸、丁酸、挥发性脂肪酸及挥发性脂肪酸评分、每吨干物质可产生的牛奶重量、钙、磷、镁、钾、硫、氯离子、氨</w:t>
                  </w:r>
                </w:p>
              </w:tc>
              <w:tc>
                <w:tcPr>
                  <w:tcW w:w="286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湿化学法</w:t>
                  </w:r>
                </w:p>
                <w:p>
                  <w:pPr>
                    <w:pStyle w:val="16"/>
                    <w:adjustRightInd w:val="0"/>
                    <w:jc w:val="center"/>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val="en-US" w:eastAsia="zh-CN"/>
                    </w:rPr>
                    <w:t>近红外法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血清实验室</w:t>
                  </w:r>
                </w:p>
              </w:tc>
              <w:tc>
                <w:tcPr>
                  <w:tcW w:w="26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早孕检测、奶牛基因型检测(A1A1、A1A2、A2A2)</w:t>
                  </w:r>
                </w:p>
              </w:tc>
              <w:tc>
                <w:tcPr>
                  <w:tcW w:w="2863" w:type="dxa"/>
                  <w:tcBorders>
                    <w:tl2br w:val="nil"/>
                    <w:tr2bl w:val="nil"/>
                  </w:tcBorders>
                  <w:vAlign w:val="center"/>
                </w:tcPr>
                <w:p>
                  <w:pPr>
                    <w:pStyle w:val="16"/>
                    <w:adjustRightInd w:val="0"/>
                    <w:jc w:val="center"/>
                    <w:rPr>
                      <w:rFonts w:hint="default" w:ascii="Times New Roman" w:hAnsi="Times New Roman" w:cs="Times New Roman"/>
                      <w:color w:val="auto"/>
                      <w:lang w:val="en-US" w:eastAsia="zh-CN"/>
                    </w:rPr>
                  </w:pPr>
                  <w:r>
                    <w:rPr>
                      <w:rFonts w:hint="default" w:ascii="Times New Roman" w:hAnsi="Times New Roman" w:cs="Times New Roman"/>
                      <w:color w:val="auto"/>
                      <w:sz w:val="21"/>
                      <w:szCs w:val="21"/>
                      <w:lang w:val="en-US" w:eastAsia="zh-CN"/>
                    </w:rPr>
                    <w:t>试剂盒</w:t>
                  </w:r>
                </w:p>
              </w:tc>
            </w:tr>
          </w:tbl>
          <w:p>
            <w:pPr>
              <w:keepNext w:val="0"/>
              <w:keepLines w:val="0"/>
              <w:pageBreakBefore w:val="0"/>
              <w:widowControl w:val="0"/>
              <w:numPr>
                <w:ilvl w:val="0"/>
                <w:numId w:val="0"/>
              </w:numPr>
              <w:kinsoku/>
              <w:wordWrap/>
              <w:overflowPunct/>
              <w:topLinePunct w:val="0"/>
              <w:autoSpaceDE/>
              <w:autoSpaceDN/>
              <w:bidi w:val="0"/>
              <w:spacing w:before="240" w:after="60"/>
              <w:rPr>
                <w:ins w:id="4" w:author="灿烂阳光" w:date="2024-08-02T17:35:56Z"/>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4、</w:t>
            </w:r>
            <w:r>
              <w:rPr>
                <w:rFonts w:hint="default" w:ascii="Times New Roman" w:hAnsi="Times New Roman" w:eastAsia="黑体" w:cs="Times New Roman"/>
                <w:color w:val="auto"/>
                <w:sz w:val="28"/>
                <w:szCs w:val="28"/>
              </w:rPr>
              <w:t>主要试剂及用量</w:t>
            </w:r>
          </w:p>
          <w:p>
            <w:pPr>
              <w:pStyle w:val="6"/>
              <w:ind w:firstLine="51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本项目主要试剂及用量见表2-3。</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eastAsia="黑体" w:cs="Times New Roman"/>
                <w:color w:val="auto"/>
                <w:sz w:val="24"/>
                <w:szCs w:val="24"/>
              </w:rPr>
              <w:t>表2-</w:t>
            </w:r>
            <w:r>
              <w:rPr>
                <w:rFonts w:hint="default" w:ascii="Times New Roman" w:hAnsi="Times New Roman" w:eastAsia="黑体" w:cs="Times New Roman"/>
                <w:color w:val="auto"/>
                <w:sz w:val="24"/>
                <w:szCs w:val="24"/>
                <w:lang w:val="en-US" w:eastAsia="zh-CN"/>
              </w:rPr>
              <w:t>3</w:t>
            </w:r>
            <w:r>
              <w:rPr>
                <w:rFonts w:hint="default" w:ascii="Times New Roman" w:hAnsi="Times New Roman" w:eastAsia="黑体" w:cs="Times New Roman"/>
                <w:color w:val="auto"/>
                <w:sz w:val="24"/>
                <w:szCs w:val="24"/>
              </w:rPr>
              <w:t xml:space="preserve"> 主要试剂及用量</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490"/>
              <w:gridCol w:w="945"/>
              <w:gridCol w:w="870"/>
              <w:gridCol w:w="1080"/>
              <w:gridCol w:w="765"/>
              <w:gridCol w:w="1775"/>
              <w:gridCol w:w="47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序号</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包装规格</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形态</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highlight w:val="none"/>
                    </w:rPr>
                    <w:t>年用量</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highlight w:val="red"/>
                      <w:lang w:val="en-US" w:eastAsia="zh-CN"/>
                    </w:rPr>
                  </w:pPr>
                  <w:r>
                    <w:rPr>
                      <w:rFonts w:hint="default" w:ascii="Times New Roman" w:hAnsi="Times New Roman" w:cs="Times New Roman"/>
                      <w:b/>
                      <w:bCs/>
                      <w:color w:val="auto"/>
                      <w:highlight w:val="none"/>
                      <w:lang w:val="en-US" w:eastAsia="zh-CN"/>
                    </w:rPr>
                    <w:t>储存方式</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最大</w:t>
                  </w:r>
                  <w:r>
                    <w:rPr>
                      <w:rFonts w:hint="default" w:ascii="Times New Roman" w:hAnsi="Times New Roman" w:cs="Times New Roman"/>
                      <w:b/>
                      <w:bCs/>
                      <w:color w:val="auto"/>
                    </w:rPr>
                    <w:t>储存量</w:t>
                  </w:r>
                </w:p>
              </w:tc>
              <w:tc>
                <w:tcPr>
                  <w:tcW w:w="28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存放</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盐酸</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14000ml</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5000ml（10瓶）</w:t>
                  </w:r>
                </w:p>
              </w:tc>
              <w:tc>
                <w:tcPr>
                  <w:tcW w:w="289" w:type="pct"/>
                  <w:vMerge w:val="restar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highlight w:val="none"/>
                      <w:lang w:eastAsia="zh-CN"/>
                    </w:rPr>
                    <w:t>样品及试剂室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硫酸</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14000ml</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5000ml（2桶）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丙酮</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29500ml</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10000ml（20瓶）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石油醚</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7800ml</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4000ml（8瓶）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硼酸</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11700g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4000g（8瓶）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氢氧化钠</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2500g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2500g（5瓶）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硫酸铜</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2000g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2000g（4瓶）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硫酸钾</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2000g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2000g（4瓶）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氢氧化钾</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1480g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1500g（3瓶）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乙二胺四乙酸钠</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250g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1450g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1500g（6瓶）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无水磷酸氢二钠</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2750g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3000g（6瓶）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四硼酸钠</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2750g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3000g（6瓶）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盐酸标准滴定溶液</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瓶</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3瓶</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十二烷基硫酸钠</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3000g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3000g（6瓶）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十六烷基三甲基溴化铵</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4瓶</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16</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α淀粉酶</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500g</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固体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1000g</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1000g（2瓶）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17</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硅油消泡剂</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2瓶</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18</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体细胞染色剂</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6瓶</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6瓶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19</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体细胞</w:t>
                  </w:r>
                  <w:r>
                    <w:rPr>
                      <w:rFonts w:hint="default" w:ascii="Times New Roman" w:hAnsi="Times New Roman" w:cs="Times New Roman"/>
                      <w:color w:val="auto"/>
                      <w:highlight w:val="none"/>
                      <w:lang w:val="en-US" w:eastAsia="zh-CN"/>
                    </w:rPr>
                    <w:t>仪清洗</w:t>
                  </w:r>
                  <w:r>
                    <w:rPr>
                      <w:rFonts w:hint="default" w:ascii="Times New Roman" w:hAnsi="Times New Roman" w:cs="Times New Roman"/>
                      <w:color w:val="auto"/>
                      <w:highlight w:val="none"/>
                    </w:rPr>
                    <w:t>剂</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3瓶</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20</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乳成分仪调零液</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3瓶</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3瓶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21</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强力清洗剂</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2瓶</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2瓶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22</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奶牛早孕试剂盒</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25支</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盒</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100（4盒）</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23</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lang w:val="en-US" w:eastAsia="zh-CN"/>
                    </w:rPr>
                    <w:t>DNA试剂盒</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25支</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盒</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100（4盒）</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7"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24</w:t>
                  </w:r>
                </w:p>
              </w:tc>
              <w:tc>
                <w:tcPr>
                  <w:tcW w:w="906"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rPr>
                  </w:pPr>
                  <w:r>
                    <w:rPr>
                      <w:rFonts w:hint="default" w:ascii="Times New Roman" w:hAnsi="Times New Roman" w:cs="Times New Roman"/>
                      <w:color w:val="auto"/>
                      <w:lang w:val="en-US" w:eastAsia="zh-CN"/>
                    </w:rPr>
                    <w:t>防腐剂</w:t>
                  </w:r>
                </w:p>
              </w:tc>
              <w:tc>
                <w:tcPr>
                  <w:tcW w:w="57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500ml</w:t>
                  </w:r>
                </w:p>
              </w:tc>
              <w:tc>
                <w:tcPr>
                  <w:tcW w:w="529"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液体</w:t>
                  </w:r>
                </w:p>
              </w:tc>
              <w:tc>
                <w:tcPr>
                  <w:tcW w:w="657"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5瓶</w:t>
                  </w:r>
                </w:p>
              </w:tc>
              <w:tc>
                <w:tcPr>
                  <w:tcW w:w="46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瓶</w:t>
                  </w:r>
                </w:p>
              </w:tc>
              <w:tc>
                <w:tcPr>
                  <w:tcW w:w="1080"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2500ml（5瓶）</w:t>
                  </w:r>
                </w:p>
              </w:tc>
              <w:tc>
                <w:tcPr>
                  <w:tcW w:w="289"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r>
          </w:tbl>
          <w:p>
            <w:pPr>
              <w:keepNext w:val="0"/>
              <w:keepLines w:val="0"/>
              <w:pageBreakBefore w:val="0"/>
              <w:widowControl w:val="0"/>
              <w:kinsoku/>
              <w:wordWrap/>
              <w:overflowPunct/>
              <w:topLinePunct w:val="0"/>
              <w:autoSpaceDE/>
              <w:autoSpaceDN/>
              <w:bidi w:val="0"/>
              <w:spacing w:before="240" w:after="60"/>
              <w:rPr>
                <w:rFonts w:hint="default" w:ascii="Times New Roman" w:hAnsi="Times New Roman" w:cs="Times New Roman"/>
                <w:color w:val="auto"/>
              </w:rPr>
            </w:pPr>
            <w:r>
              <w:rPr>
                <w:rFonts w:hint="default"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w:t>
            </w:r>
            <w:r>
              <w:rPr>
                <w:rFonts w:hint="default" w:ascii="Times New Roman" w:hAnsi="Times New Roman" w:eastAsia="黑体" w:cs="Times New Roman"/>
                <w:color w:val="auto"/>
                <w:sz w:val="28"/>
                <w:szCs w:val="28"/>
              </w:rPr>
              <w:t>主要试剂理化性质</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项目涉及的所有药品均外购。项目试剂分液体和固体分开存放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阴凉避光，防止由于阳光照射及室温偏高造成试剂变质、失效。化学性质相互抵触的化学物品，有机无机药品分开存放</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易制毒制爆试剂应存放在防爆柜中，需冷藏的试剂存于冰箱中等</w:t>
            </w:r>
            <w:r>
              <w:rPr>
                <w:rFonts w:hint="default" w:ascii="Times New Roman" w:hAnsi="Times New Roman" w:cs="Times New Roman"/>
                <w:color w:val="auto"/>
                <w:sz w:val="24"/>
                <w:szCs w:val="24"/>
              </w:rPr>
              <w:t>。项目主要试剂理化性质见表</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jc w:val="center"/>
              <w:rPr>
                <w:rFonts w:hint="default" w:ascii="Times New Roman" w:hAnsi="Times New Roman" w:cs="Times New Roman"/>
                <w:color w:val="auto"/>
              </w:rPr>
            </w:pPr>
            <w:r>
              <w:rPr>
                <w:rFonts w:hint="default" w:ascii="Times New Roman" w:hAnsi="Times New Roman" w:eastAsia="黑体" w:cs="Times New Roman"/>
                <w:color w:val="auto"/>
                <w:sz w:val="24"/>
                <w:szCs w:val="24"/>
              </w:rPr>
              <w:t>表2-</w:t>
            </w:r>
            <w:r>
              <w:rPr>
                <w:rFonts w:hint="default" w:ascii="Times New Roman" w:hAnsi="Times New Roman" w:eastAsia="黑体" w:cs="Times New Roman"/>
                <w:color w:val="auto"/>
                <w:sz w:val="24"/>
                <w:szCs w:val="24"/>
                <w:lang w:val="en-US" w:eastAsia="zh-CN"/>
              </w:rPr>
              <w:t>4</w:t>
            </w:r>
            <w:r>
              <w:rPr>
                <w:rFonts w:hint="default" w:ascii="Times New Roman" w:hAnsi="Times New Roman" w:eastAsia="黑体" w:cs="Times New Roman"/>
                <w:color w:val="auto"/>
                <w:sz w:val="24"/>
                <w:szCs w:val="24"/>
              </w:rPr>
              <w:t xml:space="preserve">  项目主要试剂理化性质一览表</w:t>
            </w:r>
          </w:p>
          <w:tbl>
            <w:tblPr>
              <w:tblStyle w:val="25"/>
              <w:tblW w:w="5000"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4"/>
              <w:gridCol w:w="1316"/>
              <w:gridCol w:w="3724"/>
              <w:gridCol w:w="24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试剂名称</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理化性质</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毒性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盐酸</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盐酸为不同浓度的氯化氢水溶液，呈透明无色或黄色，有刺激性气味和强腐蚀性气味和强腐蚀性。易溶于水、乙醇、乙醚和油等。</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硫酸</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硫酸，硫的最重要的含氧酸。无水硫酸为无色油状液体，10.36时结晶，通常使用的是它的各种不同浓度的水溶液，用塔式法和接触法制取。前者所得为粗制稀硫酸，质量分数一般在75%左右；后者可得质量分数98.3%的纯浓硫酸，沸点-338℃，相对密度1.84</w:t>
                  </w:r>
                  <w:r>
                    <w:rPr>
                      <w:rFonts w:hint="default" w:ascii="Times New Roman" w:hAnsi="Times New Roman" w:cs="Times New Roman"/>
                      <w:color w:val="auto"/>
                      <w:lang w:eastAsia="zh-CN"/>
                    </w:rPr>
                    <w:t>。</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LD</w:t>
                  </w:r>
                  <w:r>
                    <w:rPr>
                      <w:rFonts w:hint="default" w:ascii="Times New Roman" w:hAnsi="Times New Roman" w:cs="Times New Roman"/>
                      <w:color w:val="auto"/>
                      <w:vertAlign w:val="subscript"/>
                      <w:lang w:val="en-US" w:eastAsia="zh-CN"/>
                    </w:rPr>
                    <w:t>50</w:t>
                  </w:r>
                  <w:r>
                    <w:rPr>
                      <w:rFonts w:hint="default" w:ascii="Times New Roman" w:hAnsi="Times New Roman" w:cs="Times New Roman"/>
                      <w:color w:val="auto"/>
                      <w:lang w:val="en-US" w:eastAsia="zh-CN"/>
                    </w:rPr>
                    <w:t>：2140mg/kg； LC</w:t>
                  </w:r>
                  <w:r>
                    <w:rPr>
                      <w:rFonts w:hint="default" w:ascii="Times New Roman" w:hAnsi="Times New Roman" w:cs="Times New Roman"/>
                      <w:color w:val="auto"/>
                      <w:vertAlign w:val="subscript"/>
                      <w:lang w:val="en-US" w:eastAsia="zh-CN"/>
                    </w:rPr>
                    <w:t>50</w:t>
                  </w:r>
                  <w:r>
                    <w:rPr>
                      <w:rFonts w:hint="default" w:ascii="Times New Roman" w:hAnsi="Times New Roman" w:cs="Times New Roman"/>
                      <w:color w:val="auto"/>
                      <w:lang w:val="en-US" w:eastAsia="zh-CN"/>
                    </w:rPr>
                    <w:t xml:space="preserve"> ：510mg/m</w:t>
                  </w:r>
                  <w:r>
                    <w:rPr>
                      <w:rFonts w:hint="default" w:ascii="Times New Roman" w:hAnsi="Times New Roman" w:cs="Times New Roman"/>
                      <w:color w:val="auto"/>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丙酮</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无色透明液体，有特殊气味。易溶于水和甲醇、乙醇、乙醚、氯仿、吡啶等有机溶剂。易燃、易挥发，化学性质较活泼。其蒸气与空气混合可形成爆炸性混合物。丙酮的羰基能与多种亲核试剂发生加成反应。能与氨衍生物、氢氰酸、炔化物、有机金属化合物反应。蒸气与空气可形成爆炸性混合物，遇明火、高热极易燃烧爆炸。与氧化剂能发生强烈反应。</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vertAlign w:val="baseline"/>
                    </w:rPr>
                    <w:t>LD</w:t>
                  </w:r>
                  <w:r>
                    <w:rPr>
                      <w:rFonts w:hint="default" w:ascii="Times New Roman" w:hAnsi="Times New Roman" w:cs="Times New Roman"/>
                      <w:color w:val="auto"/>
                      <w:vertAlign w:val="subscript"/>
                    </w:rPr>
                    <w:t>5</w:t>
                  </w:r>
                  <w:r>
                    <w:rPr>
                      <w:rFonts w:hint="default" w:ascii="Times New Roman" w:hAnsi="Times New Roman" w:cs="Times New Roman"/>
                      <w:color w:val="auto"/>
                      <w:vertAlign w:val="subscript"/>
                      <w:lang w:val="en-US" w:eastAsia="zh-CN"/>
                    </w:rPr>
                    <w:t>0</w:t>
                  </w:r>
                  <w:r>
                    <w:rPr>
                      <w:rFonts w:hint="default" w:ascii="Times New Roman" w:hAnsi="Times New Roman" w:cs="Times New Roman"/>
                      <w:color w:val="auto"/>
                      <w:lang w:val="en-US" w:eastAsia="zh-CN"/>
                    </w:rPr>
                    <w:t>：5800</w:t>
                  </w:r>
                  <w:r>
                    <w:rPr>
                      <w:rFonts w:hint="default" w:ascii="Times New Roman" w:hAnsi="Times New Roman" w:cs="Times New Roman"/>
                      <w:color w:val="auto"/>
                    </w:rPr>
                    <w:t>mg/kg</w:t>
                  </w:r>
                  <w:r>
                    <w:rPr>
                      <w:rFonts w:hint="default" w:ascii="Times New Roman" w:hAnsi="Times New Roman" w:cs="Times New Roman"/>
                      <w:color w:val="auto"/>
                      <w:lang w:val="en-US" w:eastAsia="zh-CN"/>
                    </w:rPr>
                    <w:t>（大鼠经口）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4</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石油醚</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有特殊气味的</w:t>
                  </w:r>
                  <w:r>
                    <w:rPr>
                      <w:rFonts w:hint="default" w:ascii="Times New Roman" w:hAnsi="Times New Roman" w:cs="Times New Roman"/>
                      <w:color w:val="auto"/>
                      <w:lang w:val="en-US" w:eastAsia="zh-CN"/>
                    </w:rPr>
                    <w:t>无色或浅黄色液体</w:t>
                  </w:r>
                  <w:r>
                    <w:rPr>
                      <w:rFonts w:hint="default" w:ascii="Times New Roman" w:hAnsi="Times New Roman" w:cs="Times New Roman"/>
                      <w:color w:val="auto"/>
                    </w:rPr>
                    <w:t>。相对密度</w:t>
                  </w:r>
                  <w:r>
                    <w:rPr>
                      <w:rFonts w:hint="default" w:ascii="Times New Roman" w:hAnsi="Times New Roman" w:cs="Times New Roman"/>
                      <w:color w:val="auto"/>
                      <w:lang w:val="en-US" w:eastAsia="zh-CN"/>
                    </w:rPr>
                    <w:t>0.77</w:t>
                  </w:r>
                  <w:r>
                    <w:rPr>
                      <w:rFonts w:hint="default" w:ascii="Times New Roman" w:hAnsi="Times New Roman" w:cs="Times New Roman"/>
                      <w:color w:val="auto"/>
                    </w:rPr>
                    <w:t>，沸点</w:t>
                  </w:r>
                  <w:r>
                    <w:rPr>
                      <w:rFonts w:hint="default" w:ascii="Times New Roman" w:hAnsi="Times New Roman" w:cs="Times New Roman"/>
                      <w:color w:val="auto"/>
                      <w:lang w:val="en-US" w:eastAsia="zh-CN"/>
                    </w:rPr>
                    <w:t>95</w:t>
                  </w:r>
                  <w:r>
                    <w:rPr>
                      <w:rFonts w:hint="default" w:ascii="Times New Roman" w:hAnsi="Times New Roman" w:cs="Times New Roman"/>
                      <w:color w:val="auto"/>
                    </w:rPr>
                    <w:t>℃。与乙醇、乙醚、氯仿、苯混溶。不溶于水，溶于多数有机溶剂。</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L</w:t>
                  </w:r>
                  <w:r>
                    <w:rPr>
                      <w:rFonts w:hint="default" w:ascii="Times New Roman" w:hAnsi="Times New Roman" w:cs="Times New Roman"/>
                      <w:color w:val="auto"/>
                      <w:lang w:val="en-US" w:eastAsia="zh-CN"/>
                    </w:rPr>
                    <w:t>C</w:t>
                  </w:r>
                  <w:r>
                    <w:rPr>
                      <w:rFonts w:hint="default" w:ascii="Times New Roman" w:hAnsi="Times New Roman" w:cs="Times New Roman"/>
                      <w:color w:val="auto"/>
                      <w:vertAlign w:val="subscript"/>
                    </w:rPr>
                    <w:t>5</w:t>
                  </w:r>
                  <w:r>
                    <w:rPr>
                      <w:rFonts w:hint="default" w:ascii="Times New Roman" w:hAnsi="Times New Roman" w:cs="Times New Roman"/>
                      <w:color w:val="auto"/>
                      <w:vertAlign w:val="subscript"/>
                      <w:lang w:val="en-US" w:eastAsia="zh-CN"/>
                    </w:rPr>
                    <w:t>0</w:t>
                  </w:r>
                  <w:r>
                    <w:rPr>
                      <w:rFonts w:hint="default" w:ascii="Times New Roman" w:hAnsi="Times New Roman" w:cs="Times New Roman"/>
                      <w:color w:val="auto"/>
                      <w:lang w:val="en-US" w:eastAsia="zh-CN"/>
                    </w:rPr>
                    <w:t>：16000</w:t>
                  </w:r>
                  <w:r>
                    <w:rPr>
                      <w:rFonts w:hint="default" w:ascii="Times New Roman" w:hAnsi="Times New Roman" w:cs="Times New Roman"/>
                      <w:color w:val="auto"/>
                    </w:rPr>
                    <w:t>mg/kg</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大鼠吸入，4h</w:t>
                  </w:r>
                  <w:r>
                    <w:rPr>
                      <w:rFonts w:hint="default" w:ascii="Times New Roman" w:hAnsi="Times New Roman" w:cs="Times New Roman"/>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5</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硼酸</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白色粉末，相对密度1.435，熔点为170.9℃，常用作分析化学试剂，用于配制缓冲液、单倍体育种等各种培养基。</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LD</w:t>
                  </w:r>
                  <w:r>
                    <w:rPr>
                      <w:rFonts w:hint="default" w:ascii="Times New Roman" w:hAnsi="Times New Roman" w:cs="Times New Roman"/>
                      <w:color w:val="auto"/>
                      <w:vertAlign w:val="subscript"/>
                      <w:lang w:val="en-US" w:eastAsia="zh-CN"/>
                    </w:rPr>
                    <w:t>50</w:t>
                  </w:r>
                  <w:r>
                    <w:rPr>
                      <w:rFonts w:hint="default" w:ascii="Times New Roman" w:hAnsi="Times New Roman" w:cs="Times New Roman"/>
                      <w:color w:val="auto"/>
                      <w:lang w:val="en-US" w:eastAsia="zh-CN"/>
                    </w:rPr>
                    <w:t>：5140mg/kg（大鼠经口）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6</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氢氧化钠</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白色结晶粉末，</w:t>
                  </w:r>
                  <w:r>
                    <w:rPr>
                      <w:rFonts w:hint="default" w:ascii="Times New Roman" w:hAnsi="Times New Roman" w:cs="Times New Roman"/>
                      <w:color w:val="auto"/>
                    </w:rPr>
                    <w:t>相对密度</w:t>
                  </w:r>
                  <w:r>
                    <w:rPr>
                      <w:rFonts w:hint="default" w:ascii="Times New Roman" w:hAnsi="Times New Roman" w:cs="Times New Roman"/>
                      <w:color w:val="auto"/>
                      <w:lang w:val="en-US" w:eastAsia="zh-CN"/>
                    </w:rPr>
                    <w:t>2.130</w:t>
                  </w:r>
                  <w:r>
                    <w:rPr>
                      <w:rFonts w:hint="default" w:ascii="Times New Roman" w:hAnsi="Times New Roman" w:cs="Times New Roman"/>
                      <w:color w:val="auto"/>
                    </w:rPr>
                    <w:t>。沸点</w:t>
                  </w:r>
                  <w:r>
                    <w:rPr>
                      <w:rFonts w:hint="default" w:ascii="Times New Roman" w:hAnsi="Times New Roman" w:cs="Times New Roman"/>
                      <w:color w:val="auto"/>
                      <w:lang w:val="en-US" w:eastAsia="zh-CN"/>
                    </w:rPr>
                    <w:t>1390</w:t>
                  </w:r>
                  <w:r>
                    <w:rPr>
                      <w:rFonts w:hint="default" w:ascii="Times New Roman" w:hAnsi="Times New Roman" w:cs="Times New Roman"/>
                      <w:color w:val="auto"/>
                    </w:rPr>
                    <w:t>℃。熔点-23℃</w:t>
                  </w:r>
                  <w:r>
                    <w:rPr>
                      <w:rFonts w:hint="default" w:ascii="Times New Roman" w:hAnsi="Times New Roman" w:cs="Times New Roman"/>
                      <w:color w:val="auto"/>
                      <w:lang w:eastAsia="zh-CN"/>
                    </w:rPr>
                    <w:t>。</w:t>
                  </w:r>
                  <w:r>
                    <w:rPr>
                      <w:rFonts w:hint="default" w:ascii="Times New Roman" w:hAnsi="Times New Roman" w:cs="Times New Roman"/>
                      <w:color w:val="auto"/>
                    </w:rPr>
                    <w:t>易溶于水、乙醇、甘油，不溶于丙酮、乙醚</w:t>
                  </w:r>
                  <w:r>
                    <w:rPr>
                      <w:rFonts w:hint="default" w:ascii="Times New Roman" w:hAnsi="Times New Roman" w:cs="Times New Roman"/>
                      <w:color w:val="auto"/>
                      <w:lang w:eastAsia="zh-CN"/>
                    </w:rPr>
                    <w:t>。</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LD</w:t>
                  </w:r>
                  <w:r>
                    <w:rPr>
                      <w:rFonts w:hint="default" w:ascii="Times New Roman" w:hAnsi="Times New Roman" w:cs="Times New Roman"/>
                      <w:color w:val="auto"/>
                      <w:vertAlign w:val="subscript"/>
                    </w:rPr>
                    <w:t>50</w:t>
                  </w:r>
                  <w:r>
                    <w:rPr>
                      <w:rFonts w:hint="default" w:ascii="Times New Roman" w:hAnsi="Times New Roman" w:cs="Times New Roman"/>
                      <w:color w:val="auto"/>
                    </w:rPr>
                    <w:t>：40mg/kg（小鼠腹腔）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7</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硫酸铜</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白色粉末，相对密度3.603，熔点为560℃，沸点330℃，易溶于水、甘油，溶于稀乙醇，不溶于无水乙醇。</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LD</w:t>
                  </w:r>
                  <w:r>
                    <w:rPr>
                      <w:rFonts w:hint="default" w:ascii="Times New Roman" w:hAnsi="Times New Roman" w:cs="Times New Roman"/>
                      <w:color w:val="auto"/>
                      <w:vertAlign w:val="subscript"/>
                      <w:lang w:val="en-US" w:eastAsia="zh-CN"/>
                    </w:rPr>
                    <w:t>50</w:t>
                  </w:r>
                  <w:r>
                    <w:rPr>
                      <w:rFonts w:hint="default" w:ascii="Times New Roman" w:hAnsi="Times New Roman" w:cs="Times New Roman"/>
                      <w:color w:val="auto"/>
                      <w:lang w:val="en-US" w:eastAsia="zh-CN"/>
                    </w:rPr>
                    <w:t>：300mg/kg（大鼠经口）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8</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硫酸钾</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白色粉末，相对密度2.662，熔点为1069℃，沸点大于2000℃，溶于水，不溶于乙醇、丙酮及二硫化碳。</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LD</w:t>
                  </w:r>
                  <w:r>
                    <w:rPr>
                      <w:rFonts w:hint="default" w:ascii="Times New Roman" w:hAnsi="Times New Roman" w:cs="Times New Roman"/>
                      <w:color w:val="auto"/>
                      <w:vertAlign w:val="subscript"/>
                      <w:lang w:val="en-US" w:eastAsia="zh-CN"/>
                    </w:rPr>
                    <w:t>50</w:t>
                  </w:r>
                  <w:r>
                    <w:rPr>
                      <w:rFonts w:hint="default" w:ascii="Times New Roman" w:hAnsi="Times New Roman" w:cs="Times New Roman"/>
                      <w:color w:val="auto"/>
                      <w:lang w:val="en-US" w:eastAsia="zh-CN"/>
                    </w:rPr>
                    <w:t>：6600mg/kg（大鼠经口）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9</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氢氧化钾</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白色固体，相对密度1.450，熔点为361℃，沸点1320℃，溶于水、乙醇，微溶于乙醚。</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LD</w:t>
                  </w:r>
                  <w:r>
                    <w:rPr>
                      <w:rFonts w:hint="default" w:ascii="Times New Roman" w:hAnsi="Times New Roman" w:cs="Times New Roman"/>
                      <w:color w:val="auto"/>
                      <w:vertAlign w:val="subscript"/>
                      <w:lang w:val="en-US" w:eastAsia="zh-CN"/>
                    </w:rPr>
                    <w:t>50</w:t>
                  </w:r>
                  <w:r>
                    <w:rPr>
                      <w:rFonts w:hint="default" w:ascii="Times New Roman" w:hAnsi="Times New Roman" w:cs="Times New Roman"/>
                      <w:color w:val="auto"/>
                      <w:lang w:val="en-US" w:eastAsia="zh-CN"/>
                    </w:rPr>
                    <w:t>：273mg/kg（大鼠经口）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乙二胺四乙酸钠</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白色无臭无味、无色结晶性粉末，熔点250℃（分解）。不溶于乙醇和一般有机溶剂，微溶于冷水，溶于氢氧化钠、</w:t>
                  </w:r>
                  <w:r>
                    <w:rPr>
                      <w:rFonts w:hint="default" w:ascii="Times New Roman" w:hAnsi="Times New Roman" w:cs="Times New Roman"/>
                      <w:color w:val="auto"/>
                      <w:lang w:val="en-US" w:eastAsia="zh-CN"/>
                    </w:rPr>
                    <w:fldChar w:fldCharType="begin"/>
                  </w:r>
                  <w:r>
                    <w:rPr>
                      <w:rFonts w:hint="default" w:ascii="Times New Roman" w:hAnsi="Times New Roman" w:cs="Times New Roman"/>
                      <w:color w:val="auto"/>
                      <w:lang w:val="en-US" w:eastAsia="zh-CN"/>
                    </w:rPr>
                    <w:instrText xml:space="preserve"> HYPERLINK "https://baike.baidu.com/item/%E7%A2%B3%E9%85%B8%E9%92%A0/2193738?fromModule=lemma_inlink" \t "https://baike.baidu.com/item/_blank" </w:instrText>
                  </w:r>
                  <w:r>
                    <w:rPr>
                      <w:rFonts w:hint="default" w:ascii="Times New Roman" w:hAnsi="Times New Roman" w:cs="Times New Roman"/>
                      <w:color w:val="auto"/>
                      <w:lang w:val="en-US" w:eastAsia="zh-CN"/>
                    </w:rPr>
                    <w:fldChar w:fldCharType="separate"/>
                  </w:r>
                  <w:r>
                    <w:rPr>
                      <w:rFonts w:hint="default" w:ascii="Times New Roman" w:hAnsi="Times New Roman" w:cs="Times New Roman"/>
                      <w:color w:val="auto"/>
                      <w:lang w:val="en-US" w:eastAsia="zh-CN"/>
                    </w:rPr>
                    <w:t>碳酸钠</w:t>
                  </w:r>
                  <w:r>
                    <w:rPr>
                      <w:rFonts w:hint="default" w:ascii="Times New Roman" w:hAnsi="Times New Roman" w:cs="Times New Roman"/>
                      <w:color w:val="auto"/>
                      <w:lang w:val="en-US" w:eastAsia="zh-CN"/>
                    </w:rPr>
                    <w:fldChar w:fldCharType="end"/>
                  </w:r>
                  <w:r>
                    <w:rPr>
                      <w:rFonts w:hint="default" w:ascii="Times New Roman" w:hAnsi="Times New Roman" w:cs="Times New Roman"/>
                      <w:color w:val="auto"/>
                      <w:lang w:val="en-US" w:eastAsia="zh-CN"/>
                    </w:rPr>
                    <w:t>和氨的水溶液中。能溶于5%以上的无机酸，也能溶于氨水和160份沸水中。</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LD</w:t>
                  </w:r>
                  <w:r>
                    <w:rPr>
                      <w:rFonts w:hint="default" w:ascii="Times New Roman" w:hAnsi="Times New Roman" w:cs="Times New Roman"/>
                      <w:color w:val="auto"/>
                      <w:vertAlign w:val="subscript"/>
                    </w:rPr>
                    <w:t>50</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2000m</w:t>
                  </w:r>
                  <w:r>
                    <w:rPr>
                      <w:rFonts w:hint="default" w:ascii="Times New Roman" w:hAnsi="Times New Roman" w:cs="Times New Roman"/>
                      <w:color w:val="auto"/>
                    </w:rPr>
                    <w:t>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无水磷酸氢二钠</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白色粉末，相对密度1.064，沸点482.4℃，熔点为190℃，易溶于水，其水溶液呈酸性。</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12</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四硼酸钠</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白色固体，相对密度5.367，熔点为741℃，沸点1575℃，溶于水、甘油，不溶于乙醇，易风化。</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default" w:ascii="Times New Roman" w:hAnsi="Times New Roman" w:cs="Times New Roman"/>
                      <w:color w:val="auto"/>
                      <w:lang w:val="en-US" w:eastAsia="zh-CN"/>
                    </w:rPr>
                    <w:t>2660</w:t>
                  </w:r>
                  <w:r>
                    <w:rPr>
                      <w:rFonts w:hint="default" w:ascii="Times New Roman" w:hAnsi="Times New Roman" w:cs="Times New Roman"/>
                      <w:color w:val="auto"/>
                    </w:rPr>
                    <w:t>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13</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盐酸标准滴定溶液</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主要成分为氯化钠、溴甲酚绿、甲基红、水。</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14</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十二烷基硫酸钠</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白色固体，相对密度1.03，熔点为206℃，溶于水、甘油，易溶于水，微溶于乙醇，几乎不溶于氯仿、乙醚和轻石油。</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eastAsia="zh-CN"/>
                    </w:rPr>
                  </w:pPr>
                  <w:r>
                    <w:rPr>
                      <w:rFonts w:hint="default" w:ascii="Times New Roman" w:hAnsi="Times New Roman" w:cs="Times New Roman"/>
                      <w:color w:val="auto"/>
                    </w:rPr>
                    <w:t>LD</w:t>
                  </w:r>
                  <w:r>
                    <w:rPr>
                      <w:rFonts w:hint="default" w:ascii="Times New Roman" w:hAnsi="Times New Roman" w:cs="Times New Roman"/>
                      <w:color w:val="auto"/>
                      <w:vertAlign w:val="subscript"/>
                    </w:rPr>
                    <w:t>50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1288</w:t>
                  </w:r>
                  <w:r>
                    <w:rPr>
                      <w:rFonts w:hint="default" w:ascii="Times New Roman" w:hAnsi="Times New Roman" w:cs="Times New Roman"/>
                      <w:color w:val="auto"/>
                    </w:rPr>
                    <w:t xml:space="preserve"> mg/kg( 大鼠经口)</w:t>
                  </w:r>
                  <w:r>
                    <w:rPr>
                      <w:rFonts w:hint="default" w:ascii="Times New Roman" w:hAnsi="Times New Roman" w:cs="Times New Roman"/>
                      <w:color w:val="auto"/>
                      <w:lang w:eastAsia="zh-CN"/>
                    </w:rPr>
                    <w:t>；</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L</w:t>
                  </w:r>
                  <w:r>
                    <w:rPr>
                      <w:rFonts w:hint="default" w:ascii="Times New Roman" w:hAnsi="Times New Roman" w:cs="Times New Roman"/>
                      <w:color w:val="auto"/>
                      <w:lang w:val="en-US" w:eastAsia="zh-CN"/>
                    </w:rPr>
                    <w:t>D</w:t>
                  </w:r>
                  <w:r>
                    <w:rPr>
                      <w:rFonts w:hint="default" w:ascii="Times New Roman" w:hAnsi="Times New Roman" w:cs="Times New Roman"/>
                      <w:color w:val="auto"/>
                      <w:vertAlign w:val="subscript"/>
                    </w:rPr>
                    <w:t>50</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210</w:t>
                  </w:r>
                  <w:r>
                    <w:rPr>
                      <w:rFonts w:hint="default" w:ascii="Times New Roman" w:hAnsi="Times New Roman" w:cs="Times New Roman"/>
                      <w:color w:val="auto"/>
                    </w:rPr>
                    <w:t xml:space="preserve"> mg/kg( </w:t>
                  </w:r>
                  <w:r>
                    <w:rPr>
                      <w:rFonts w:hint="default" w:ascii="Times New Roman" w:hAnsi="Times New Roman" w:cs="Times New Roman"/>
                      <w:color w:val="auto"/>
                      <w:lang w:val="en-US" w:eastAsia="zh-CN"/>
                    </w:rPr>
                    <w:t>大</w:t>
                  </w:r>
                  <w:r>
                    <w:rPr>
                      <w:rFonts w:hint="default" w:ascii="Times New Roman" w:hAnsi="Times New Roman" w:cs="Times New Roman"/>
                      <w:color w:val="auto"/>
                    </w:rPr>
                    <w:t>鼠</w:t>
                  </w:r>
                  <w:r>
                    <w:rPr>
                      <w:rFonts w:hint="default" w:ascii="Times New Roman" w:hAnsi="Times New Roman" w:cs="Times New Roman"/>
                      <w:color w:val="auto"/>
                      <w:lang w:val="en-US" w:eastAsia="zh-CN"/>
                    </w:rPr>
                    <w:t>腹腔</w:t>
                  </w: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15</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十六烷基三甲基溴化铵</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白色粉末，闪点244℃，熔点为248℃，易溶于酒精，微溶于丙酮。</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default" w:ascii="Times New Roman" w:hAnsi="Times New Roman" w:cs="Times New Roman"/>
                      <w:color w:val="auto"/>
                      <w:lang w:val="en-US" w:eastAsia="zh-CN"/>
                    </w:rPr>
                    <w:t>410</w:t>
                  </w:r>
                  <w:r>
                    <w:rPr>
                      <w:rFonts w:hint="default" w:ascii="Times New Roman" w:hAnsi="Times New Roman" w:cs="Times New Roman"/>
                      <w:color w:val="auto"/>
                    </w:rPr>
                    <w:t>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16</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α淀粉酶</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eastAsia="宋体" w:cs="Times New Roman"/>
                      <w:color w:val="auto"/>
                      <w:lang w:val="en-US" w:eastAsia="zh-CN"/>
                    </w:rPr>
                    <w:t>黄白色粉末，相对密度1.4，沸点656.2℃，闪点350.7℃。</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17</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硅油消泡剂</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val="en-US"/>
                    </w:rPr>
                  </w:pPr>
                  <w:r>
                    <w:rPr>
                      <w:rFonts w:hint="default" w:ascii="Times New Roman" w:hAnsi="Times New Roman" w:eastAsia="宋体" w:cs="Times New Roman"/>
                      <w:color w:val="auto"/>
                      <w:lang w:val="en-US" w:eastAsia="zh-CN"/>
                    </w:rPr>
                    <w:t>硅油消泡剂是二甲基硅油与消泡活性剂通过物化方法结合而成的复合物，为淡白色半透明油状物，相对密度0.98，闪点</w:t>
                  </w:r>
                  <w:r>
                    <w:rPr>
                      <w:rFonts w:hint="default" w:ascii="Times New Roman" w:hAnsi="Times New Roman" w:cs="Times New Roman"/>
                      <w:color w:val="auto"/>
                      <w:lang w:val="en-US" w:eastAsia="zh-CN"/>
                    </w:rPr>
                    <w:t>270℃。</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18</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体细胞染色剂</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主要成分为柠檬酸水合物、溴化乙锭和水。</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其中溴化乙锭有毒性，</w:t>
                  </w:r>
                  <w:r>
                    <w:rPr>
                      <w:rFonts w:hint="default" w:ascii="Times New Roman" w:hAnsi="Times New Roman" w:cs="Times New Roman"/>
                      <w:color w:val="auto"/>
                    </w:rPr>
                    <w:t>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default" w:ascii="Times New Roman" w:hAnsi="Times New Roman" w:cs="Times New Roman"/>
                      <w:color w:val="auto"/>
                      <w:lang w:val="en-US" w:eastAsia="zh-CN"/>
                    </w:rPr>
                    <w:t>1503</w:t>
                  </w:r>
                  <w:r>
                    <w:rPr>
                      <w:rFonts w:hint="default" w:ascii="Times New Roman" w:hAnsi="Times New Roman" w:cs="Times New Roman"/>
                      <w:color w:val="auto"/>
                    </w:rPr>
                    <w:t>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19</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体细胞</w:t>
                  </w:r>
                  <w:r>
                    <w:rPr>
                      <w:rFonts w:hint="default" w:ascii="Times New Roman" w:hAnsi="Times New Roman" w:cs="Times New Roman"/>
                      <w:color w:val="auto"/>
                      <w:lang w:val="en-US" w:eastAsia="zh-CN"/>
                    </w:rPr>
                    <w:t>仪清洗</w:t>
                  </w:r>
                  <w:r>
                    <w:rPr>
                      <w:rFonts w:hint="default" w:ascii="Times New Roman" w:hAnsi="Times New Roman" w:cs="Times New Roman"/>
                      <w:color w:val="auto"/>
                    </w:rPr>
                    <w:t>剂</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主要成分为枯草杆菌蛋白酶和水，另有少量丙二醇。</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20</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乳成分仪调零液</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主要成分为表面活性剂。</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21</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强力清洗剂</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eastAsia="宋体" w:cs="Times New Roman"/>
                      <w:color w:val="auto"/>
                      <w:lang w:val="en-US" w:eastAsia="zh-CN"/>
                    </w:rPr>
                    <w:t>主要成分为碳酸钠、EDTA、脂肪醇（C</w:t>
                  </w:r>
                  <w:r>
                    <w:rPr>
                      <w:rFonts w:hint="default" w:ascii="Times New Roman" w:hAnsi="Times New Roman" w:eastAsia="宋体" w:cs="Times New Roman"/>
                      <w:color w:val="auto"/>
                      <w:vertAlign w:val="subscript"/>
                      <w:lang w:val="en-US" w:eastAsia="zh-CN"/>
                    </w:rPr>
                    <w:t>12</w:t>
                  </w:r>
                  <w:r>
                    <w:rPr>
                      <w:rFonts w:hint="default" w:ascii="Times New Roman" w:hAnsi="Times New Roman" w:eastAsia="宋体" w:cs="Times New Roman"/>
                      <w:color w:val="auto"/>
                      <w:lang w:val="en-US" w:eastAsia="zh-CN"/>
                    </w:rPr>
                    <w:t>-C</w:t>
                  </w:r>
                  <w:r>
                    <w:rPr>
                      <w:rFonts w:hint="default" w:ascii="Times New Roman" w:hAnsi="Times New Roman" w:eastAsia="宋体" w:cs="Times New Roman"/>
                      <w:color w:val="auto"/>
                      <w:vertAlign w:val="subscript"/>
                      <w:lang w:val="en-US" w:eastAsia="zh-CN"/>
                    </w:rPr>
                    <w:t>15</w:t>
                  </w:r>
                  <w:r>
                    <w:rPr>
                      <w:rFonts w:hint="default" w:ascii="Times New Roman" w:hAnsi="Times New Roman" w:eastAsia="宋体" w:cs="Times New Roman"/>
                      <w:color w:val="auto"/>
                      <w:lang w:val="en-US" w:eastAsia="zh-CN"/>
                    </w:rPr>
                    <w:t>）、水。</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22</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highlight w:val="none"/>
                      <w:lang w:val="en-US" w:eastAsia="zh-CN"/>
                    </w:rPr>
                    <w:t>奶牛早孕试剂盒</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购买成品试剂盒直接检测。</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23</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DNA试剂盒</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购买成品试剂盒直接检测。</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防腐剂</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主要成分</w:t>
                  </w:r>
                  <w:r>
                    <w:rPr>
                      <w:rFonts w:hint="default" w:ascii="Times New Roman" w:hAnsi="Times New Roman" w:cs="Times New Roman"/>
                      <w:color w:val="auto"/>
                      <w:lang w:val="en-US" w:eastAsia="zh-CN"/>
                    </w:rPr>
                    <w:t>为</w:t>
                  </w:r>
                  <w:r>
                    <w:rPr>
                      <w:rFonts w:hint="default" w:ascii="Times New Roman" w:hAnsi="Times New Roman" w:eastAsia="宋体" w:cs="Times New Roman"/>
                      <w:color w:val="auto"/>
                      <w:lang w:val="en-US" w:eastAsia="zh-CN"/>
                    </w:rPr>
                    <w:t>2-溴-2-硝基-1.3-丙二醇</w:t>
                  </w:r>
                  <w:r>
                    <w:rPr>
                      <w:rFonts w:hint="default" w:ascii="Times New Roman" w:hAnsi="Times New Roman" w:cs="Times New Roman"/>
                      <w:color w:val="auto"/>
                      <w:lang w:val="en-US" w:eastAsia="zh-CN"/>
                    </w:rPr>
                    <w:t>。</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LD</w:t>
                  </w:r>
                  <w:r>
                    <w:rPr>
                      <w:rFonts w:hint="default" w:ascii="Times New Roman" w:hAnsi="Times New Roman" w:cs="Times New Roman"/>
                      <w:color w:val="auto"/>
                      <w:vertAlign w:val="subscript"/>
                    </w:rPr>
                    <w:t>50</w:t>
                  </w:r>
                  <w:r>
                    <w:rPr>
                      <w:rFonts w:hint="default" w:ascii="Times New Roman" w:hAnsi="Times New Roman" w:cs="Times New Roman"/>
                      <w:color w:val="auto"/>
                    </w:rPr>
                    <w:t>：</w:t>
                  </w:r>
                  <w:r>
                    <w:rPr>
                      <w:rFonts w:hint="default" w:ascii="Times New Roman" w:hAnsi="Times New Roman" w:cs="Times New Roman"/>
                      <w:color w:val="auto"/>
                      <w:lang w:val="en-US" w:eastAsia="zh-CN"/>
                    </w:rPr>
                    <w:t>180</w:t>
                  </w:r>
                  <w:r>
                    <w:rPr>
                      <w:rFonts w:hint="default" w:ascii="Times New Roman" w:hAnsi="Times New Roman" w:cs="Times New Roman"/>
                      <w:color w:val="auto"/>
                    </w:rPr>
                    <w:t>mg/kg(大鼠经口)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24"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25</w:t>
                  </w:r>
                </w:p>
              </w:tc>
              <w:tc>
                <w:tcPr>
                  <w:tcW w:w="1316"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氯二氟甲烷（R22）</w:t>
                  </w:r>
                </w:p>
              </w:tc>
              <w:tc>
                <w:tcPr>
                  <w:tcW w:w="3724" w:type="dxa"/>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无色气体，略带有轻微的发甜气味；微溶于水，溶于乙醚、丙酮、氯仿。</w:t>
                  </w:r>
                </w:p>
              </w:tc>
              <w:tc>
                <w:tcPr>
                  <w:tcW w:w="2453"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LC</w:t>
                  </w:r>
                  <w:r>
                    <w:rPr>
                      <w:rFonts w:hint="default" w:ascii="Times New Roman" w:hAnsi="Times New Roman" w:cs="Times New Roman"/>
                      <w:color w:val="auto"/>
                      <w:vertAlign w:val="subscript"/>
                      <w:lang w:val="en-US" w:eastAsia="zh-CN"/>
                    </w:rPr>
                    <w:t>50</w:t>
                  </w:r>
                  <w:r>
                    <w:rPr>
                      <w:rFonts w:hint="default" w:ascii="Times New Roman" w:hAnsi="Times New Roman" w:cs="Times New Roman"/>
                      <w:color w:val="auto"/>
                      <w:lang w:val="en-US" w:eastAsia="zh-CN"/>
                    </w:rPr>
                    <w:t xml:space="preserve"> ：1000mg/m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rPr>
                    <w:t>(大鼠</w:t>
                  </w:r>
                  <w:r>
                    <w:rPr>
                      <w:rFonts w:hint="default" w:ascii="Times New Roman" w:hAnsi="Times New Roman" w:cs="Times New Roman"/>
                      <w:color w:val="auto"/>
                      <w:lang w:val="en-US" w:eastAsia="zh-CN"/>
                    </w:rPr>
                    <w:t>吸入</w:t>
                  </w:r>
                  <w:r>
                    <w:rPr>
                      <w:rFonts w:hint="default" w:ascii="Times New Roman" w:hAnsi="Times New Roman" w:cs="Times New Roman"/>
                      <w:color w:val="auto"/>
                    </w:rPr>
                    <w:t>)</w:t>
                  </w:r>
                </w:p>
              </w:tc>
            </w:tr>
          </w:tbl>
          <w:p>
            <w:pPr>
              <w:keepNext w:val="0"/>
              <w:keepLines w:val="0"/>
              <w:pageBreakBefore w:val="0"/>
              <w:widowControl w:val="0"/>
              <w:kinsoku/>
              <w:wordWrap/>
              <w:overflowPunct/>
              <w:topLinePunct w:val="0"/>
              <w:autoSpaceDE/>
              <w:autoSpaceDN/>
              <w:bidi w:val="0"/>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6</w:t>
            </w:r>
            <w:r>
              <w:rPr>
                <w:rFonts w:hint="default" w:ascii="Times New Roman" w:hAnsi="Times New Roman" w:eastAsia="黑体" w:cs="Times New Roman"/>
                <w:color w:val="auto"/>
                <w:sz w:val="28"/>
                <w:szCs w:val="28"/>
              </w:rPr>
              <w:t>、项目主要设备</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项目主要设备详见表2-</w:t>
            </w:r>
            <w:r>
              <w:rPr>
                <w:rFonts w:hint="default"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eastAsia="黑体" w:cs="Times New Roman"/>
                <w:color w:val="auto"/>
                <w:sz w:val="24"/>
                <w:szCs w:val="24"/>
              </w:rPr>
              <w:t>表2-</w:t>
            </w:r>
            <w:r>
              <w:rPr>
                <w:rFonts w:hint="default" w:ascii="Times New Roman" w:hAnsi="Times New Roman" w:eastAsia="黑体" w:cs="Times New Roman"/>
                <w:color w:val="auto"/>
                <w:sz w:val="24"/>
                <w:szCs w:val="24"/>
                <w:lang w:val="en-US" w:eastAsia="zh-CN"/>
              </w:rPr>
              <w:t>5</w:t>
            </w:r>
            <w:r>
              <w:rPr>
                <w:rFonts w:hint="default" w:ascii="Times New Roman" w:hAnsi="Times New Roman" w:eastAsia="黑体" w:cs="Times New Roman"/>
                <w:color w:val="auto"/>
                <w:sz w:val="24"/>
                <w:szCs w:val="24"/>
              </w:rPr>
              <w:t xml:space="preserve">  主要使用设备一览表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9"/>
              <w:gridCol w:w="2052"/>
              <w:gridCol w:w="2052"/>
              <w:gridCol w:w="2449"/>
              <w:gridCol w:w="9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2052"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生产单元</w:t>
                  </w:r>
                </w:p>
              </w:tc>
              <w:tc>
                <w:tcPr>
                  <w:tcW w:w="2052"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规格及型号</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lang w:eastAsia="zh-CN"/>
                    </w:rPr>
                  </w:pPr>
                  <w:r>
                    <w:rPr>
                      <w:rFonts w:hint="default" w:ascii="Times New Roman" w:hAnsi="Times New Roman" w:cs="Times New Roman"/>
                      <w:b/>
                      <w:bCs/>
                      <w:color w:val="auto"/>
                    </w:rPr>
                    <w:t>数量</w:t>
                  </w:r>
                  <w:r>
                    <w:rPr>
                      <w:rFonts w:hint="default" w:ascii="Times New Roman" w:hAnsi="Times New Roman" w:cs="Times New Roman"/>
                      <w:b/>
                      <w:bCs/>
                      <w:color w:val="auto"/>
                      <w:lang w:eastAsia="zh-CN"/>
                    </w:rPr>
                    <w:t>（</w:t>
                  </w:r>
                  <w:r>
                    <w:rPr>
                      <w:rFonts w:hint="default" w:ascii="Times New Roman" w:hAnsi="Times New Roman" w:cs="Times New Roman"/>
                      <w:b/>
                      <w:bCs/>
                      <w:color w:val="auto"/>
                      <w:lang w:val="en-US" w:eastAsia="zh-CN"/>
                    </w:rPr>
                    <w:t>台</w:t>
                  </w:r>
                  <w:r>
                    <w:rPr>
                      <w:rFonts w:hint="default" w:ascii="Times New Roman" w:hAnsi="Times New Roman" w:cs="Times New Roman"/>
                      <w:b/>
                      <w:bCs/>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w:t>
                  </w:r>
                </w:p>
              </w:tc>
              <w:tc>
                <w:tcPr>
                  <w:tcW w:w="20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营养检测实验室设备</w:t>
                  </w: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凯氏定氮仪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Gerhardt VAP500</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全自动纤维分析仪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Gerhardt FT12</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全自动脂肪分析仪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Gerhardt Sox416</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4</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分光光度计</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上海尤尼科UV2355</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5</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电热鼓风干燥箱</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上海一恒DHG-9240A</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全自动旋光仪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海能未来P850prp</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纯水超纯水系统</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Millipore DirectQ8UV</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马弗炉</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天津泰斯特MF-16-10D</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土壤pH值测试仪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浙江托普云TZS-PH-IG</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水浴恒温振荡器</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金南仪器SHZ-82A</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台式酸度计</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梅特勒托利多FE28</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土质检测系统</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山东莱恩德LD-GT80</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万用电炉</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天津泰斯特DK-98-II单联2kw</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立式冷藏柜</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eastAsia="宋体" w:cs="Times New Roman"/>
                      <w:color w:val="auto"/>
                    </w:rPr>
                    <w:t>中科美菱YC-300L</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试剂防爆安全柜</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索普尔SSM100045</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冰箱</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广东容声BCD-636WD12HP</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彩色激光打印机</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惠普150nw</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粉碎机</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浙江铂欧2500克</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1</w:t>
                  </w:r>
                </w:p>
              </w:tc>
              <w:tc>
                <w:tcPr>
                  <w:tcW w:w="205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繁殖及疫控实验室设备</w:t>
                  </w: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乳房炎基因诊断仪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鲲鹏基因Archimed X6/ArchiPure96</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2</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生化培养箱</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BINDER KT170</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3</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生物显微镜</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上海舜宇EX31</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4</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挤奶脉动测试仪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BioControlVadia71022</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5</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旋涡混合器</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其林贝尔VORTEX-5</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低速台式离心机</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湖南湘仪L500-A</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洁净工作台</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东联哈尔DL-CJ-2NDII</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酶标仪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Thermo-FisherMultiscan FC</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洗板机</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Thermo-FisherWellwash</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"https://www.instrument.com.cn/netshow/SH104837/C458754.htm" \o "https://www.instrument.com.cn/netshow/SH104837/C458754.htm"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t>96孔板振荡器</w:t>
                  </w:r>
                  <w:r>
                    <w:rPr>
                      <w:rFonts w:hint="default" w:ascii="Times New Roman" w:hAnsi="Times New Roman" w:eastAsia="宋体" w:cs="Times New Roman"/>
                      <w:color w:val="auto"/>
                      <w:lang w:val="en-US" w:eastAsia="zh-CN"/>
                    </w:rPr>
                    <w:fldChar w:fldCharType="end"/>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上垟坞卡海繒定汗诺HNX-1500</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电热恒温水浴锅</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上海精宏DK-S26</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移液器</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Eppendorf 3120000.291</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乳成分分析仪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Combi</w:t>
                  </w:r>
                  <w:r>
                    <w:rPr>
                      <w:rFonts w:hint="default" w:ascii="Times New Roman" w:hAnsi="Times New Roman" w:cs="Times New Roman"/>
                      <w:color w:val="auto"/>
                      <w:lang w:val="en-US" w:eastAsia="zh-CN"/>
                    </w:rPr>
                    <w:t xml:space="preserve"> 7</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体细胞分析仪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CombiFoss 7DC</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电热恒温水槽</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奇飞特科技QFT-303B</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电热恒温干燥箱</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上海琅玕实验设备有限公司</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超声波清洗仪</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昆山禾创造KH-1200DB</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天平</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沈阳龙威万分之一</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1</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磁力搅拌器</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MS100 加热</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2</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玻璃量筒</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华欧250ml、2000ml</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若干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3</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培养皿</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φ120</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4</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滴定管</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光刻四氟酸碱通用</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rPr>
                    <w:t>5</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干燥器</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300mm、400mm</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205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p>
              </w:tc>
              <w:tc>
                <w:tcPr>
                  <w:tcW w:w="20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实验室常用玻璃器皿</w:t>
                  </w:r>
                </w:p>
              </w:tc>
              <w:tc>
                <w:tcPr>
                  <w:tcW w:w="2449"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p>
              </w:tc>
              <w:tc>
                <w:tcPr>
                  <w:tcW w:w="915" w:type="dxa"/>
                  <w:tcBorders>
                    <w:tl2br w:val="nil"/>
                    <w:tr2bl w:val="nil"/>
                  </w:tcBorders>
                  <w:vAlign w:val="center"/>
                </w:tcPr>
                <w:p>
                  <w:pPr>
                    <w:pStyle w:val="36"/>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若干</w:t>
                  </w:r>
                </w:p>
              </w:tc>
            </w:tr>
          </w:tbl>
          <w:p>
            <w:pPr>
              <w:keepNext w:val="0"/>
              <w:keepLines w:val="0"/>
              <w:pageBreakBefore w:val="0"/>
              <w:widowControl w:val="0"/>
              <w:kinsoku/>
              <w:wordWrap/>
              <w:overflowPunct/>
              <w:topLinePunct w:val="0"/>
              <w:autoSpaceDE/>
              <w:autoSpaceDN/>
              <w:bidi w:val="0"/>
              <w:spacing w:before="240" w:after="60"/>
              <w:rPr>
                <w:rFonts w:hint="default" w:ascii="Times New Roman" w:hAnsi="Times New Roman" w:eastAsia="黑体" w:cs="Times New Roman"/>
                <w:color w:val="auto"/>
                <w:sz w:val="28"/>
                <w:szCs w:val="28"/>
                <w:lang w:eastAsia="zh-CN"/>
              </w:rPr>
            </w:pPr>
            <w:r>
              <w:rPr>
                <w:rFonts w:hint="default" w:ascii="Times New Roman" w:hAnsi="Times New Roman" w:eastAsia="黑体" w:cs="Times New Roman"/>
                <w:color w:val="auto"/>
                <w:sz w:val="28"/>
                <w:szCs w:val="28"/>
                <w:lang w:val="en-US" w:eastAsia="zh-CN"/>
              </w:rPr>
              <w:t>7</w:t>
            </w:r>
            <w:r>
              <w:rPr>
                <w:rFonts w:hint="default" w:ascii="Times New Roman" w:hAnsi="Times New Roman" w:eastAsia="黑体" w:cs="Times New Roman"/>
                <w:color w:val="auto"/>
                <w:sz w:val="28"/>
                <w:szCs w:val="28"/>
              </w:rPr>
              <w:t>、主要</w:t>
            </w:r>
            <w:r>
              <w:rPr>
                <w:rFonts w:hint="default" w:ascii="Times New Roman" w:hAnsi="Times New Roman" w:eastAsia="黑体" w:cs="Times New Roman"/>
                <w:color w:val="auto"/>
                <w:sz w:val="28"/>
                <w:szCs w:val="28"/>
                <w:lang w:val="en-US" w:eastAsia="zh-CN"/>
              </w:rPr>
              <w:t>耗材</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本项目在实验过程中还会消耗一定量的耗材，实验室主要消耗见表2-</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eastAsia="黑体" w:cs="Times New Roman"/>
                <w:color w:val="auto"/>
                <w:sz w:val="24"/>
                <w:szCs w:val="24"/>
              </w:rPr>
              <w:t>表2-</w:t>
            </w:r>
            <w:r>
              <w:rPr>
                <w:rFonts w:hint="default" w:ascii="Times New Roman" w:hAnsi="Times New Roman" w:eastAsia="黑体" w:cs="Times New Roman"/>
                <w:color w:val="auto"/>
                <w:sz w:val="24"/>
                <w:szCs w:val="24"/>
                <w:lang w:val="en-US" w:eastAsia="zh-CN"/>
              </w:rPr>
              <w:t>6</w:t>
            </w:r>
            <w:r>
              <w:rPr>
                <w:rFonts w:hint="default" w:ascii="Times New Roman" w:hAnsi="Times New Roman" w:eastAsia="黑体" w:cs="Times New Roman"/>
                <w:color w:val="auto"/>
                <w:sz w:val="24"/>
                <w:szCs w:val="24"/>
              </w:rPr>
              <w:t xml:space="preserve">  本项目耗材使用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2087"/>
              <w:gridCol w:w="1479"/>
              <w:gridCol w:w="1464"/>
              <w:gridCol w:w="21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2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规格及型号</w:t>
                  </w:r>
                </w:p>
              </w:tc>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单位</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年耗量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w:t>
                  </w:r>
                </w:p>
              </w:tc>
              <w:tc>
                <w:tcPr>
                  <w:tcW w:w="2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溶剂解析性活性炭采样管</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100/50mg</w:t>
                  </w:r>
                </w:p>
              </w:tc>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个</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w:t>
                  </w:r>
                </w:p>
              </w:tc>
              <w:tc>
                <w:tcPr>
                  <w:tcW w:w="2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溶剂解析性硅胶采样管</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200/100mg</w:t>
                  </w:r>
                </w:p>
              </w:tc>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个</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w:t>
                  </w:r>
                </w:p>
              </w:tc>
              <w:tc>
                <w:tcPr>
                  <w:tcW w:w="2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样品袋</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个</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4</w:t>
                  </w:r>
                </w:p>
              </w:tc>
              <w:tc>
                <w:tcPr>
                  <w:tcW w:w="2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乳胶手套</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M/L/XL</w:t>
                  </w:r>
                </w:p>
              </w:tc>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盒</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5</w:t>
                  </w:r>
                </w:p>
              </w:tc>
              <w:tc>
                <w:tcPr>
                  <w:tcW w:w="2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滤纸</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盒</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6</w:t>
                  </w:r>
                </w:p>
              </w:tc>
              <w:tc>
                <w:tcPr>
                  <w:tcW w:w="2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lang w:val="en-US" w:eastAsia="zh-CN"/>
                    </w:rPr>
                    <w:t>脱脂棉</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w:t>
                  </w:r>
                </w:p>
              </w:tc>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盒</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7</w:t>
                  </w:r>
                </w:p>
              </w:tc>
              <w:tc>
                <w:tcPr>
                  <w:tcW w:w="208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废液收集桶</w:t>
                  </w:r>
                </w:p>
              </w:tc>
              <w:tc>
                <w:tcPr>
                  <w:tcW w:w="1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100L</w:t>
                  </w:r>
                </w:p>
              </w:tc>
              <w:tc>
                <w:tcPr>
                  <w:tcW w:w="146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个</w:t>
                  </w:r>
                </w:p>
              </w:tc>
              <w:tc>
                <w:tcPr>
                  <w:tcW w:w="212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r>
          </w:tbl>
          <w:p>
            <w:pPr>
              <w:keepNext w:val="0"/>
              <w:keepLines w:val="0"/>
              <w:pageBreakBefore w:val="0"/>
              <w:widowControl w:val="0"/>
              <w:kinsoku/>
              <w:wordWrap/>
              <w:overflowPunct/>
              <w:topLinePunct w:val="0"/>
              <w:autoSpaceDE/>
              <w:autoSpaceDN/>
              <w:bidi w:val="0"/>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8</w:t>
            </w:r>
            <w:r>
              <w:rPr>
                <w:rFonts w:hint="default" w:ascii="Times New Roman" w:hAnsi="Times New Roman" w:eastAsia="黑体" w:cs="Times New Roman"/>
                <w:color w:val="auto"/>
                <w:sz w:val="28"/>
                <w:szCs w:val="28"/>
              </w:rPr>
              <w:t>、公用工程</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⑴ 给水</w:t>
            </w: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rPr>
            </w:pPr>
            <w:r>
              <w:rPr>
                <w:rFonts w:hint="default" w:ascii="Times New Roman" w:hAnsi="Times New Roman" w:cs="Times New Roman"/>
                <w:color w:val="auto"/>
                <w:sz w:val="24"/>
                <w:szCs w:val="24"/>
              </w:rPr>
              <w:t>本项目用水由市政供水管网统一供给，可满足本项目用水需求。本项目用水包括生活用水、实验器皿</w:t>
            </w:r>
            <w:r>
              <w:rPr>
                <w:rFonts w:hint="default" w:ascii="Times New Roman" w:hAnsi="Times New Roman" w:cs="Times New Roman"/>
                <w:color w:val="auto"/>
                <w:sz w:val="24"/>
                <w:szCs w:val="24"/>
                <w:lang w:val="en-US" w:eastAsia="zh-CN"/>
              </w:rPr>
              <w:t>前段、后段</w:t>
            </w:r>
            <w:r>
              <w:rPr>
                <w:rFonts w:hint="default" w:ascii="Times New Roman" w:hAnsi="Times New Roman" w:cs="Times New Roman"/>
                <w:color w:val="auto"/>
                <w:sz w:val="24"/>
                <w:szCs w:val="24"/>
              </w:rPr>
              <w:t>清洗用水</w:t>
            </w:r>
            <w:r>
              <w:rPr>
                <w:rFonts w:hint="default" w:ascii="Times New Roman" w:hAnsi="Times New Roman" w:cs="Times New Roman"/>
                <w:color w:val="auto"/>
                <w:sz w:val="24"/>
                <w:szCs w:val="24"/>
                <w:lang w:val="en-US" w:eastAsia="zh-CN"/>
              </w:rPr>
              <w:t>以及</w:t>
            </w:r>
            <w:r>
              <w:rPr>
                <w:rFonts w:hint="default" w:ascii="Times New Roman" w:hAnsi="Times New Roman" w:cs="Times New Roman"/>
                <w:color w:val="auto"/>
                <w:sz w:val="24"/>
                <w:szCs w:val="24"/>
              </w:rPr>
              <w:t>实验室自制纯水。</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① 生活用水</w:t>
            </w:r>
          </w:p>
          <w:p>
            <w:pPr>
              <w:pStyle w:val="76"/>
              <w:keepNext w:val="0"/>
              <w:keepLines w:val="0"/>
              <w:pageBreakBefore w:val="0"/>
              <w:widowControl w:val="0"/>
              <w:kinsoku/>
              <w:wordWrap/>
              <w:overflowPunct/>
              <w:topLinePunct w:val="0"/>
              <w:autoSpaceDE w:val="0"/>
              <w:autoSpaceDN w:val="0"/>
              <w:bidi w:val="0"/>
              <w:adjustRightInd/>
              <w:snapToGrid/>
              <w:spacing w:line="240" w:lineRule="auto"/>
              <w:ind w:firstLine="482"/>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本项目劳动定员</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人（仅办公），生活用水量按50L/人·d计算，年生产天数</w:t>
            </w:r>
            <w:r>
              <w:rPr>
                <w:rFonts w:hint="default" w:ascii="Times New Roman" w:hAnsi="Times New Roman" w:cs="Times New Roman"/>
                <w:color w:val="auto"/>
                <w:sz w:val="24"/>
                <w:szCs w:val="24"/>
                <w:lang w:val="en-US" w:eastAsia="zh-CN"/>
              </w:rPr>
              <w:t>250</w:t>
            </w:r>
            <w:r>
              <w:rPr>
                <w:rFonts w:hint="default" w:ascii="Times New Roman" w:hAnsi="Times New Roman" w:cs="Times New Roman"/>
                <w:color w:val="auto"/>
                <w:sz w:val="24"/>
                <w:szCs w:val="24"/>
              </w:rPr>
              <w:t>天，生活用水量为</w:t>
            </w:r>
            <w:r>
              <w:rPr>
                <w:rFonts w:hint="default" w:ascii="Times New Roman" w:hAnsi="Times New Roman" w:cs="Times New Roman"/>
                <w:color w:val="auto"/>
                <w:sz w:val="24"/>
                <w:szCs w:val="24"/>
                <w:lang w:val="en-US" w:eastAsia="zh-CN"/>
              </w:rPr>
              <w:t>75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/a(0.</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/d)，采用新鲜水。项目供水由市政管网提供。</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② 清洗用水</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宋体" w:cs="Times New Roman"/>
                <w:color w:val="auto"/>
                <w:kern w:val="2"/>
                <w:sz w:val="24"/>
                <w:szCs w:val="24"/>
                <w:lang w:val="en-US" w:eastAsia="zh-CN" w:bidi="ar-SA"/>
              </w:rPr>
              <w:t>实验室每年检测样品数约2</w:t>
            </w:r>
            <w:r>
              <w:rPr>
                <w:rFonts w:hint="default" w:ascii="Times New Roman" w:hAnsi="Times New Roman" w:cs="Times New Roman"/>
                <w:color w:val="auto"/>
                <w:kern w:val="2"/>
                <w:sz w:val="24"/>
                <w:szCs w:val="24"/>
                <w:lang w:val="en-US" w:eastAsia="zh-CN" w:bidi="ar-SA"/>
              </w:rPr>
              <w:t>0万</w:t>
            </w:r>
            <w:r>
              <w:rPr>
                <w:rFonts w:hint="default" w:ascii="Times New Roman" w:hAnsi="Times New Roman" w:eastAsia="宋体" w:cs="Times New Roman"/>
                <w:color w:val="auto"/>
                <w:kern w:val="2"/>
                <w:sz w:val="24"/>
                <w:szCs w:val="24"/>
                <w:lang w:val="en-US" w:eastAsia="zh-CN" w:bidi="ar-SA"/>
              </w:rPr>
              <w:t>个，</w:t>
            </w:r>
            <w:r>
              <w:rPr>
                <w:rFonts w:hint="default" w:ascii="Times New Roman" w:hAnsi="Times New Roman" w:cs="Times New Roman"/>
                <w:color w:val="auto"/>
                <w:kern w:val="2"/>
                <w:sz w:val="24"/>
                <w:szCs w:val="24"/>
                <w:lang w:val="en-US" w:eastAsia="zh-CN" w:bidi="ar-SA"/>
              </w:rPr>
              <w:t>清洗用水主要为前两次清洗用水（前段清洗用水）和第三次清洗用水（后段清洗用水）。</w:t>
            </w:r>
            <w:r>
              <w:rPr>
                <w:rFonts w:hint="default" w:ascii="Times New Roman" w:hAnsi="Times New Roman" w:cs="Times New Roman"/>
                <w:color w:val="auto"/>
                <w:sz w:val="24"/>
                <w:szCs w:val="24"/>
                <w:lang w:val="en-US" w:eastAsia="zh-CN"/>
              </w:rPr>
              <w:t>若每个样品平均清洗用水为75ml，则</w:t>
            </w:r>
            <w:r>
              <w:rPr>
                <w:rFonts w:hint="default" w:ascii="Times New Roman" w:hAnsi="Times New Roman" w:cs="Times New Roman"/>
                <w:color w:val="auto"/>
                <w:kern w:val="2"/>
                <w:sz w:val="24"/>
                <w:szCs w:val="24"/>
                <w:lang w:val="en-US" w:eastAsia="zh-CN" w:bidi="ar-SA"/>
              </w:rPr>
              <w:t>实验室每年平均清洗用水</w:t>
            </w:r>
            <w:r>
              <w:rPr>
                <w:rFonts w:hint="default" w:ascii="Times New Roman" w:hAnsi="Times New Roman" w:eastAsia="宋体" w:cs="Times New Roman"/>
                <w:color w:val="auto"/>
                <w:kern w:val="2"/>
                <w:sz w:val="24"/>
                <w:szCs w:val="24"/>
                <w:lang w:val="en-US" w:eastAsia="zh-CN" w:bidi="ar-SA"/>
              </w:rPr>
              <w:t>消耗</w:t>
            </w:r>
            <w:r>
              <w:rPr>
                <w:rFonts w:hint="default" w:ascii="Times New Roman" w:hAnsi="Times New Roman" w:cs="Times New Roman"/>
                <w:color w:val="auto"/>
                <w:kern w:val="2"/>
                <w:sz w:val="24"/>
                <w:szCs w:val="24"/>
                <w:lang w:val="en-US" w:eastAsia="zh-CN" w:bidi="ar-SA"/>
              </w:rPr>
              <w:t>水量</w:t>
            </w:r>
            <w:r>
              <w:rPr>
                <w:rFonts w:hint="default" w:ascii="Times New Roman" w:hAnsi="Times New Roman" w:eastAsia="宋体" w:cs="Times New Roman"/>
                <w:color w:val="auto"/>
                <w:kern w:val="2"/>
                <w:sz w:val="24"/>
                <w:szCs w:val="24"/>
                <w:lang w:val="en-US" w:eastAsia="zh-CN" w:bidi="ar-SA"/>
              </w:rPr>
              <w:t>约</w:t>
            </w:r>
            <w:r>
              <w:rPr>
                <w:rFonts w:hint="default" w:ascii="Times New Roman" w:hAnsi="Times New Roman" w:cs="Times New Roman"/>
                <w:color w:val="auto"/>
                <w:kern w:val="2"/>
                <w:sz w:val="24"/>
                <w:szCs w:val="24"/>
                <w:lang w:val="en-US" w:eastAsia="zh-CN" w:bidi="ar-SA"/>
              </w:rPr>
              <w:t>15</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/a（0.0</w:t>
            </w:r>
            <w:r>
              <w:rPr>
                <w:rFonts w:hint="default" w:ascii="Times New Roman" w:hAnsi="Times New Roman" w:cs="Times New Roman"/>
                <w:color w:val="auto"/>
                <w:kern w:val="2"/>
                <w:sz w:val="24"/>
                <w:szCs w:val="24"/>
                <w:lang w:val="en-US" w:eastAsia="zh-CN" w:bidi="ar-SA"/>
              </w:rPr>
              <w:t>6</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/d），其中</w:t>
            </w:r>
            <w:r>
              <w:rPr>
                <w:rFonts w:hint="default"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0%用于</w:t>
            </w:r>
            <w:r>
              <w:rPr>
                <w:rFonts w:hint="default" w:ascii="Times New Roman" w:hAnsi="Times New Roman" w:cs="Times New Roman"/>
                <w:color w:val="auto"/>
                <w:kern w:val="2"/>
                <w:sz w:val="24"/>
                <w:szCs w:val="24"/>
                <w:lang w:val="en-US" w:eastAsia="zh-CN" w:bidi="ar-SA"/>
              </w:rPr>
              <w:t>前段</w:t>
            </w:r>
            <w:r>
              <w:rPr>
                <w:rFonts w:hint="default" w:ascii="Times New Roman" w:hAnsi="Times New Roman" w:eastAsia="宋体" w:cs="Times New Roman"/>
                <w:color w:val="auto"/>
                <w:kern w:val="2"/>
                <w:sz w:val="24"/>
                <w:szCs w:val="24"/>
                <w:lang w:val="en-US" w:eastAsia="zh-CN" w:bidi="ar-SA"/>
              </w:rPr>
              <w:t>清洗，</w:t>
            </w:r>
            <w:r>
              <w:rPr>
                <w:rFonts w:hint="default" w:ascii="Times New Roman" w:hAnsi="Times New Roman" w:cs="Times New Roman"/>
                <w:color w:val="auto"/>
                <w:kern w:val="2"/>
                <w:sz w:val="24"/>
                <w:szCs w:val="24"/>
                <w:lang w:val="en-US" w:eastAsia="zh-CN" w:bidi="ar-SA"/>
              </w:rPr>
              <w:t>90</w:t>
            </w:r>
            <w:r>
              <w:rPr>
                <w:rFonts w:hint="default" w:ascii="Times New Roman" w:hAnsi="Times New Roman" w:eastAsia="宋体" w:cs="Times New Roman"/>
                <w:color w:val="auto"/>
                <w:kern w:val="2"/>
                <w:sz w:val="24"/>
                <w:szCs w:val="24"/>
                <w:lang w:val="en-US" w:eastAsia="zh-CN" w:bidi="ar-SA"/>
              </w:rPr>
              <w:t>%用于</w:t>
            </w:r>
            <w:r>
              <w:rPr>
                <w:rFonts w:hint="default" w:ascii="Times New Roman" w:hAnsi="Times New Roman" w:cs="Times New Roman"/>
                <w:color w:val="auto"/>
                <w:kern w:val="2"/>
                <w:sz w:val="24"/>
                <w:szCs w:val="24"/>
                <w:lang w:val="en-US" w:eastAsia="zh-CN" w:bidi="ar-SA"/>
              </w:rPr>
              <w:t>后段</w:t>
            </w:r>
            <w:r>
              <w:rPr>
                <w:rFonts w:hint="default" w:ascii="Times New Roman" w:hAnsi="Times New Roman" w:eastAsia="宋体" w:cs="Times New Roman"/>
                <w:color w:val="auto"/>
                <w:kern w:val="2"/>
                <w:sz w:val="24"/>
                <w:szCs w:val="24"/>
                <w:lang w:val="en-US" w:eastAsia="zh-CN" w:bidi="ar-SA"/>
              </w:rPr>
              <w:t>冲洗。前</w:t>
            </w:r>
            <w:r>
              <w:rPr>
                <w:rFonts w:hint="default" w:ascii="Times New Roman" w:hAnsi="Times New Roman" w:cs="Times New Roman"/>
                <w:color w:val="auto"/>
                <w:kern w:val="2"/>
                <w:sz w:val="24"/>
                <w:szCs w:val="24"/>
                <w:lang w:val="en-US" w:eastAsia="zh-CN" w:bidi="ar-SA"/>
              </w:rPr>
              <w:t>段</w:t>
            </w:r>
            <w:r>
              <w:rPr>
                <w:rFonts w:hint="default" w:ascii="Times New Roman" w:hAnsi="Times New Roman" w:eastAsia="宋体" w:cs="Times New Roman"/>
                <w:color w:val="auto"/>
                <w:kern w:val="2"/>
                <w:sz w:val="24"/>
                <w:szCs w:val="24"/>
                <w:lang w:val="en-US" w:eastAsia="zh-CN" w:bidi="ar-SA"/>
              </w:rPr>
              <w:t>废水</w:t>
            </w:r>
            <w:r>
              <w:rPr>
                <w:rFonts w:hint="default" w:ascii="Times New Roman" w:hAnsi="Times New Roman" w:cs="Times New Roman"/>
                <w:color w:val="auto"/>
                <w:kern w:val="2"/>
                <w:sz w:val="24"/>
                <w:szCs w:val="24"/>
                <w:lang w:val="en-US" w:eastAsia="zh-CN" w:bidi="ar-SA"/>
              </w:rPr>
              <w:t>为1.5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eastAsia="宋体" w:cs="Times New Roman"/>
                <w:color w:val="auto"/>
                <w:kern w:val="2"/>
                <w:sz w:val="24"/>
                <w:szCs w:val="24"/>
                <w:lang w:val="en-US" w:eastAsia="zh-CN" w:bidi="ar-SA"/>
              </w:rPr>
              <w:t>（0.0</w:t>
            </w:r>
            <w:r>
              <w:rPr>
                <w:rFonts w:hint="default" w:ascii="Times New Roman" w:hAnsi="Times New Roman" w:cs="Times New Roman"/>
                <w:color w:val="auto"/>
                <w:kern w:val="2"/>
                <w:sz w:val="24"/>
                <w:szCs w:val="24"/>
                <w:lang w:val="en-US" w:eastAsia="zh-CN" w:bidi="ar-SA"/>
              </w:rPr>
              <w:t>06</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r>
              <w:rPr>
                <w:rFonts w:hint="default" w:ascii="Times New Roman" w:hAnsi="Times New Roman" w:cs="Times New Roman"/>
                <w:color w:val="auto"/>
                <w:kern w:val="2"/>
                <w:sz w:val="24"/>
                <w:szCs w:val="24"/>
                <w:lang w:val="en-US" w:eastAsia="zh-CN" w:bidi="ar-SA"/>
              </w:rPr>
              <w:t>后段</w:t>
            </w:r>
            <w:r>
              <w:rPr>
                <w:rFonts w:hint="default" w:ascii="Times New Roman" w:hAnsi="Times New Roman" w:eastAsia="宋体" w:cs="Times New Roman"/>
                <w:color w:val="auto"/>
                <w:kern w:val="2"/>
                <w:sz w:val="24"/>
                <w:szCs w:val="24"/>
                <w:lang w:val="en-US" w:eastAsia="zh-CN" w:bidi="ar-SA"/>
              </w:rPr>
              <w:t>清洗废水</w:t>
            </w:r>
            <w:r>
              <w:rPr>
                <w:rFonts w:hint="default" w:ascii="Times New Roman" w:hAnsi="Times New Roman" w:cs="Times New Roman"/>
                <w:color w:val="auto"/>
                <w:kern w:val="2"/>
                <w:sz w:val="24"/>
                <w:szCs w:val="24"/>
                <w:lang w:val="en-US" w:eastAsia="zh-CN" w:bidi="ar-SA"/>
              </w:rPr>
              <w:t>为13.5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/a</w:t>
            </w:r>
            <w:r>
              <w:rPr>
                <w:rFonts w:hint="default" w:ascii="Times New Roman" w:hAnsi="Times New Roman" w:eastAsia="宋体" w:cs="Times New Roman"/>
                <w:color w:val="auto"/>
                <w:kern w:val="2"/>
                <w:sz w:val="24"/>
                <w:szCs w:val="24"/>
                <w:lang w:val="en-US" w:eastAsia="zh-CN" w:bidi="ar-SA"/>
              </w:rPr>
              <w:t>（0.0</w:t>
            </w:r>
            <w:r>
              <w:rPr>
                <w:rFonts w:hint="default" w:ascii="Times New Roman" w:hAnsi="Times New Roman" w:cs="Times New Roman"/>
                <w:color w:val="auto"/>
                <w:kern w:val="2"/>
                <w:sz w:val="24"/>
                <w:szCs w:val="24"/>
                <w:lang w:val="en-US" w:eastAsia="zh-CN" w:bidi="ar-SA"/>
              </w:rPr>
              <w:t>54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r>
              <w:rPr>
                <w:rFonts w:hint="default" w:ascii="Times New Roman" w:hAnsi="Times New Roman" w:cs="Times New Roman"/>
                <w:color w:val="auto"/>
                <w:kern w:val="2"/>
                <w:sz w:val="24"/>
                <w:szCs w:val="24"/>
                <w:lang w:val="en-US" w:eastAsia="zh-CN" w:bidi="ar-SA"/>
              </w:rPr>
              <w:t>。</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③ 实验室自制纯水</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本项目拟自制纯水，主要用于配制</w:t>
            </w:r>
            <w:r>
              <w:rPr>
                <w:rFonts w:hint="default" w:ascii="Times New Roman" w:hAnsi="Times New Roman" w:cs="Times New Roman"/>
                <w:color w:val="auto"/>
                <w:kern w:val="2"/>
                <w:sz w:val="24"/>
                <w:szCs w:val="24"/>
                <w:lang w:val="en-US" w:eastAsia="zh-CN" w:bidi="ar-SA"/>
              </w:rPr>
              <w:t>试剂</w:t>
            </w:r>
            <w:r>
              <w:rPr>
                <w:rFonts w:hint="default" w:ascii="Times New Roman" w:hAnsi="Times New Roman" w:eastAsia="宋体" w:cs="Times New Roman"/>
                <w:color w:val="auto"/>
                <w:kern w:val="2"/>
                <w:sz w:val="24"/>
                <w:szCs w:val="24"/>
                <w:lang w:val="en-US" w:eastAsia="zh-CN" w:bidi="ar-SA"/>
              </w:rPr>
              <w:t>，项目</w:t>
            </w:r>
            <w:r>
              <w:rPr>
                <w:rFonts w:hint="default" w:ascii="Times New Roman" w:hAnsi="Times New Roman" w:cs="Times New Roman"/>
                <w:color w:val="auto"/>
                <w:kern w:val="2"/>
                <w:sz w:val="24"/>
                <w:szCs w:val="24"/>
                <w:lang w:val="en-US" w:eastAsia="zh-CN" w:bidi="ar-SA"/>
              </w:rPr>
              <w:t>纯水使用</w:t>
            </w:r>
            <w:r>
              <w:rPr>
                <w:rFonts w:hint="default" w:ascii="Times New Roman" w:hAnsi="Times New Roman" w:eastAsia="宋体" w:cs="Times New Roman"/>
                <w:color w:val="auto"/>
                <w:kern w:val="2"/>
                <w:sz w:val="24"/>
                <w:szCs w:val="24"/>
                <w:lang w:val="en-US" w:eastAsia="zh-CN" w:bidi="ar-SA"/>
              </w:rPr>
              <w:t>纯水机制备纯水，纯水制备新鲜水用水量为</w:t>
            </w:r>
            <w:r>
              <w:rPr>
                <w:rFonts w:hint="default" w:ascii="Times New Roman" w:hAnsi="Times New Roman" w:cs="Times New Roman"/>
                <w:color w:val="auto"/>
                <w:kern w:val="2"/>
                <w:sz w:val="24"/>
                <w:szCs w:val="24"/>
                <w:lang w:val="en-US" w:eastAsia="zh-CN" w:bidi="ar-SA"/>
              </w:rPr>
              <w:t>4.6</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/a（0.0</w:t>
            </w:r>
            <w:r>
              <w:rPr>
                <w:rFonts w:hint="default" w:ascii="Times New Roman" w:hAnsi="Times New Roman" w:cs="Times New Roman"/>
                <w:color w:val="auto"/>
                <w:kern w:val="2"/>
                <w:sz w:val="24"/>
                <w:szCs w:val="24"/>
                <w:lang w:val="en-US" w:eastAsia="zh-CN" w:bidi="ar-SA"/>
              </w:rPr>
              <w:t>184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/d），纯水制备率70%，产生纯水</w:t>
            </w:r>
            <w:r>
              <w:rPr>
                <w:rFonts w:hint="default" w:ascii="Times New Roman" w:hAnsi="Times New Roman" w:cs="Times New Roman"/>
                <w:color w:val="auto"/>
                <w:kern w:val="2"/>
                <w:sz w:val="24"/>
                <w:szCs w:val="24"/>
                <w:lang w:val="en-US" w:eastAsia="zh-CN" w:bidi="ar-SA"/>
              </w:rPr>
              <w:t>3.2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/a（0.0</w:t>
            </w:r>
            <w:r>
              <w:rPr>
                <w:rFonts w:hint="default" w:ascii="Times New Roman" w:hAnsi="Times New Roman" w:cs="Times New Roman"/>
                <w:color w:val="auto"/>
                <w:kern w:val="2"/>
                <w:sz w:val="24"/>
                <w:szCs w:val="24"/>
                <w:lang w:val="en-US" w:eastAsia="zh-CN" w:bidi="ar-SA"/>
              </w:rPr>
              <w:t>128</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纯水主要用于配制试剂。</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cs="Times New Roman"/>
                <w:color w:val="auto"/>
                <w:sz w:val="24"/>
                <w:szCs w:val="24"/>
                <w:lang w:val="en-US"/>
              </w:rPr>
            </w:pPr>
            <w:r>
              <w:rPr>
                <w:rFonts w:hint="default" w:ascii="Times New Roman" w:hAnsi="Times New Roman" w:cs="Times New Roman"/>
                <w:color w:val="auto"/>
                <w:kern w:val="2"/>
                <w:sz w:val="24"/>
                <w:szCs w:val="24"/>
                <w:lang w:val="en-US" w:eastAsia="zh-CN" w:bidi="ar-SA"/>
              </w:rPr>
              <w:t>其纯水制备工艺如下：</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自来水通过增压泵进入SmartPak纯化柱。SmartPak纯化柱是一个一体化的双柱，包含三种水净化技术。第一个柱含有预处理介质和一个反渗透（RO）膜。第二个柱包含离子交换树脂。对自来水进行预处理，以防止RO膜被有机污垢和氯氧化物损坏。RO膜有2种出水流：渗透水（纯水）和排水。通过RO膜的渗透水被临时储存在水箱中。被RO膜截流的离子、粒子、有机分子和细菌通过排水</w:t>
            </w:r>
            <w:r>
              <w:rPr>
                <w:rFonts w:hint="default" w:ascii="Times New Roman" w:hAnsi="Times New Roman" w:cs="Times New Roman"/>
                <w:color w:val="auto"/>
                <w:kern w:val="2"/>
                <w:sz w:val="24"/>
                <w:szCs w:val="24"/>
                <w:lang w:val="en-US" w:eastAsia="zh-CN" w:bidi="ar-SA"/>
              </w:rPr>
              <w:t>管道</w:t>
            </w:r>
            <w:r>
              <w:rPr>
                <w:rFonts w:hint="default" w:ascii="Times New Roman" w:hAnsi="Times New Roman" w:eastAsia="宋体" w:cs="Times New Roman"/>
                <w:color w:val="auto"/>
                <w:kern w:val="2"/>
                <w:sz w:val="24"/>
                <w:szCs w:val="24"/>
                <w:lang w:val="en-US" w:eastAsia="zh-CN" w:bidi="ar-SA"/>
              </w:rPr>
              <w:t>排入</w:t>
            </w:r>
            <w:r>
              <w:rPr>
                <w:rFonts w:hint="default" w:ascii="Times New Roman" w:hAnsi="Times New Roman" w:cs="Times New Roman"/>
                <w:color w:val="auto"/>
                <w:kern w:val="2"/>
                <w:sz w:val="24"/>
                <w:szCs w:val="24"/>
                <w:lang w:val="en-US" w:eastAsia="zh-CN" w:bidi="ar-SA"/>
              </w:rPr>
              <w:t>化粪池</w:t>
            </w:r>
            <w:r>
              <w:rPr>
                <w:rFonts w:hint="default" w:ascii="Times New Roman" w:hAnsi="Times New Roman" w:eastAsia="宋体" w:cs="Times New Roman"/>
                <w:color w:val="auto"/>
                <w:kern w:val="2"/>
                <w:sz w:val="24"/>
                <w:szCs w:val="24"/>
                <w:lang w:val="en-US" w:eastAsia="zh-CN" w:bidi="ar-SA"/>
              </w:rPr>
              <w:t>。</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④ 试剂</w:t>
            </w:r>
            <w:r>
              <w:rPr>
                <w:rFonts w:hint="default" w:ascii="Times New Roman" w:hAnsi="Times New Roman" w:eastAsia="黑体" w:cs="Times New Roman"/>
                <w:color w:val="auto"/>
                <w:sz w:val="24"/>
                <w:szCs w:val="24"/>
                <w:lang w:val="en-US" w:eastAsia="zh-CN"/>
              </w:rPr>
              <w:t>配制</w:t>
            </w:r>
            <w:r>
              <w:rPr>
                <w:rFonts w:hint="default" w:ascii="Times New Roman" w:hAnsi="Times New Roman" w:eastAsia="黑体" w:cs="Times New Roman"/>
                <w:color w:val="auto"/>
                <w:sz w:val="24"/>
                <w:szCs w:val="24"/>
              </w:rPr>
              <w:t>用水</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本项目试剂配制需要用到纯水，纯水用水量为</w:t>
            </w:r>
            <w:r>
              <w:rPr>
                <w:rFonts w:hint="default" w:ascii="Times New Roman" w:hAnsi="Times New Roman"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/a（0.0</w:t>
            </w:r>
            <w:r>
              <w:rPr>
                <w:rFonts w:hint="default" w:ascii="Times New Roman" w:hAnsi="Times New Roman" w:cs="Times New Roman"/>
                <w:color w:val="auto"/>
                <w:kern w:val="2"/>
                <w:sz w:val="24"/>
                <w:szCs w:val="24"/>
                <w:lang w:val="en-US" w:eastAsia="zh-CN" w:bidi="ar-SA"/>
              </w:rPr>
              <w:t>128</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综上所述，本项目新鲜水用水量为</w:t>
            </w:r>
            <w:r>
              <w:rPr>
                <w:rFonts w:hint="default" w:ascii="Times New Roman" w:hAnsi="Times New Roman" w:cs="Times New Roman"/>
                <w:color w:val="auto"/>
                <w:kern w:val="2"/>
                <w:sz w:val="24"/>
                <w:szCs w:val="24"/>
                <w:lang w:val="en-US" w:eastAsia="zh-CN" w:bidi="ar-SA"/>
              </w:rPr>
              <w:t>94.6</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w:t>
            </w:r>
            <w:r>
              <w:rPr>
                <w:rFonts w:hint="default" w:ascii="Times New Roman" w:hAnsi="Times New Roman" w:cs="Times New Roman"/>
                <w:color w:val="auto"/>
                <w:kern w:val="2"/>
                <w:sz w:val="24"/>
                <w:szCs w:val="24"/>
                <w:lang w:val="en-US" w:eastAsia="zh-CN" w:bidi="ar-SA"/>
              </w:rPr>
              <w:t>0.3784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⑵ 排水</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lang w:val="en-US" w:eastAsia="zh-CN"/>
              </w:rPr>
              <w:t>①</w:t>
            </w:r>
            <w:r>
              <w:rPr>
                <w:rFonts w:hint="default" w:ascii="Times New Roman" w:hAnsi="Times New Roman" w:eastAsia="黑体" w:cs="Times New Roman"/>
                <w:color w:val="auto"/>
                <w:sz w:val="24"/>
                <w:szCs w:val="24"/>
              </w:rPr>
              <w:t xml:space="preserve"> 生活污水</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项目职工生活污水按生活用水80%计，项目产生生活污水量为</w:t>
            </w:r>
            <w:r>
              <w:rPr>
                <w:rFonts w:hint="default" w:ascii="Times New Roman" w:hAnsi="Times New Roman" w:cs="Times New Roman"/>
                <w:color w:val="auto"/>
                <w:kern w:val="2"/>
                <w:sz w:val="24"/>
                <w:szCs w:val="24"/>
                <w:lang w:val="en-US" w:eastAsia="zh-CN" w:bidi="ar-SA"/>
              </w:rPr>
              <w:t>60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0.</w:t>
            </w:r>
            <w:r>
              <w:rPr>
                <w:rFonts w:hint="default" w:ascii="Times New Roman" w:hAnsi="Times New Roman" w:cs="Times New Roman"/>
                <w:color w:val="auto"/>
                <w:kern w:val="2"/>
                <w:sz w:val="24"/>
                <w:szCs w:val="24"/>
                <w:lang w:val="en-US" w:eastAsia="zh-CN" w:bidi="ar-SA"/>
              </w:rPr>
              <w:t>24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，生活污水经</w:t>
            </w:r>
            <w:r>
              <w:rPr>
                <w:rFonts w:hint="default" w:ascii="Times New Roman" w:hAnsi="Times New Roman" w:cs="Times New Roman"/>
                <w:color w:val="auto"/>
                <w:kern w:val="2"/>
                <w:sz w:val="24"/>
                <w:szCs w:val="24"/>
                <w:lang w:val="en-US" w:eastAsia="zh-CN" w:bidi="ar-SA"/>
              </w:rPr>
              <w:t>现有化粪池处理后，由</w:t>
            </w:r>
            <w:r>
              <w:rPr>
                <w:rFonts w:hint="default" w:ascii="Times New Roman" w:hAnsi="Times New Roman" w:eastAsia="宋体" w:cs="Times New Roman"/>
                <w:color w:val="auto"/>
                <w:kern w:val="2"/>
                <w:sz w:val="24"/>
                <w:szCs w:val="24"/>
                <w:lang w:val="en-US" w:eastAsia="zh-CN" w:bidi="ar-SA"/>
              </w:rPr>
              <w:t>市政污水管网排入</w:t>
            </w:r>
            <w:r>
              <w:rPr>
                <w:rFonts w:hint="default" w:ascii="Times New Roman" w:hAnsi="Times New Roman" w:cs="Times New Roman"/>
                <w:color w:val="auto"/>
                <w:kern w:val="2"/>
                <w:sz w:val="24"/>
                <w:szCs w:val="24"/>
                <w:lang w:val="en-US" w:eastAsia="zh-CN" w:bidi="ar-SA"/>
              </w:rPr>
              <w:t>中卫市第三污水处理厂</w:t>
            </w:r>
            <w:r>
              <w:rPr>
                <w:rFonts w:hint="default" w:ascii="Times New Roman" w:hAnsi="Times New Roman" w:eastAsia="宋体" w:cs="Times New Roman"/>
                <w:color w:val="auto"/>
                <w:kern w:val="2"/>
                <w:sz w:val="24"/>
                <w:szCs w:val="24"/>
                <w:lang w:val="en-US" w:eastAsia="zh-CN" w:bidi="ar-SA"/>
              </w:rPr>
              <w:t>集中处理。</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lang w:val="en-US" w:eastAsia="zh-CN"/>
              </w:rPr>
              <w:t>②</w:t>
            </w:r>
            <w:r>
              <w:rPr>
                <w:rFonts w:hint="default" w:ascii="Times New Roman" w:hAnsi="Times New Roman" w:eastAsia="黑体" w:cs="Times New Roman"/>
                <w:color w:val="auto"/>
                <w:sz w:val="24"/>
                <w:szCs w:val="24"/>
              </w:rPr>
              <w:t xml:space="preserve"> 实验室器皿清洗废水</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cs="Times New Roman"/>
                <w:color w:val="auto"/>
                <w:kern w:val="2"/>
                <w:sz w:val="24"/>
                <w:szCs w:val="24"/>
                <w:lang w:val="en-US" w:eastAsia="zh-CN" w:bidi="ar-SA"/>
              </w:rPr>
              <w:t>本项目清洗用水为15</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w:t>
            </w:r>
            <w:r>
              <w:rPr>
                <w:rFonts w:hint="default" w:ascii="Times New Roman" w:hAnsi="Times New Roman" w:cs="Times New Roman"/>
                <w:color w:val="auto"/>
                <w:kern w:val="2"/>
                <w:sz w:val="24"/>
                <w:szCs w:val="24"/>
                <w:lang w:val="en-US" w:eastAsia="zh-CN" w:bidi="ar-SA"/>
              </w:rPr>
              <w:t>，</w:t>
            </w:r>
            <w:r>
              <w:rPr>
                <w:rFonts w:hint="default" w:ascii="Times New Roman" w:hAnsi="Times New Roman" w:cs="Times New Roman"/>
                <w:color w:val="auto"/>
                <w:sz w:val="24"/>
                <w:szCs w:val="24"/>
              </w:rPr>
              <w:t>检测实验完成后，</w:t>
            </w:r>
            <w:r>
              <w:rPr>
                <w:rFonts w:hint="default" w:ascii="Times New Roman" w:hAnsi="Times New Roman" w:cs="Times New Roman"/>
                <w:color w:val="auto"/>
                <w:sz w:val="24"/>
                <w:szCs w:val="24"/>
                <w:highlight w:val="none"/>
              </w:rPr>
              <w:t>实验废液倒入</w:t>
            </w:r>
            <w:r>
              <w:rPr>
                <w:rFonts w:hint="default" w:ascii="Times New Roman" w:hAnsi="Times New Roman" w:cs="Times New Roman"/>
                <w:color w:val="auto"/>
                <w:sz w:val="24"/>
                <w:szCs w:val="24"/>
                <w:highlight w:val="none"/>
                <w:lang w:eastAsia="zh-CN"/>
              </w:rPr>
              <w:t>废液收集桶</w:t>
            </w:r>
            <w:r>
              <w:rPr>
                <w:rFonts w:hint="default" w:ascii="Times New Roman" w:hAnsi="Times New Roman" w:cs="Times New Roman"/>
                <w:color w:val="auto"/>
                <w:sz w:val="24"/>
                <w:szCs w:val="24"/>
              </w:rPr>
              <w:t>，实验器皿先采用很少量自来水清洗（</w:t>
            </w:r>
            <w:r>
              <w:rPr>
                <w:rFonts w:hint="default" w:ascii="Times New Roman" w:hAnsi="Times New Roman" w:cs="Times New Roman"/>
                <w:color w:val="auto"/>
                <w:sz w:val="24"/>
                <w:szCs w:val="24"/>
                <w:lang w:val="en-US" w:eastAsia="zh-CN"/>
              </w:rPr>
              <w:t>前段清洗废水</w:t>
            </w:r>
            <w:r>
              <w:rPr>
                <w:rFonts w:hint="default" w:ascii="Times New Roman" w:hAnsi="Times New Roman" w:cs="Times New Roman"/>
                <w:color w:val="auto"/>
                <w:sz w:val="24"/>
                <w:szCs w:val="24"/>
              </w:rPr>
              <w:t>），再用大量自来水清洗</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后段清洗废水</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前段清洗废水</w:t>
            </w:r>
            <w:r>
              <w:rPr>
                <w:rFonts w:hint="default" w:ascii="Times New Roman" w:hAnsi="Times New Roman" w:eastAsia="宋体" w:cs="Times New Roman"/>
                <w:color w:val="auto"/>
                <w:kern w:val="2"/>
                <w:sz w:val="24"/>
                <w:szCs w:val="24"/>
                <w:lang w:val="en-US" w:eastAsia="zh-CN" w:bidi="ar-SA"/>
              </w:rPr>
              <w:t>含有少量测试试剂</w:t>
            </w:r>
            <w:r>
              <w:rPr>
                <w:rFonts w:hint="default" w:ascii="Times New Roman" w:hAnsi="Times New Roman"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实验器皿前段清洗废水按清洗用水的</w:t>
            </w:r>
            <w:r>
              <w:rPr>
                <w:rFonts w:hint="default"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0%计，则有</w:t>
            </w:r>
            <w:r>
              <w:rPr>
                <w:rFonts w:hint="default" w:ascii="Times New Roman" w:hAnsi="Times New Roman" w:cs="Times New Roman"/>
                <w:color w:val="auto"/>
                <w:kern w:val="2"/>
                <w:sz w:val="24"/>
                <w:szCs w:val="24"/>
                <w:lang w:val="en-US" w:eastAsia="zh-CN" w:bidi="ar-SA"/>
              </w:rPr>
              <w:t>1.5</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/a（0.0</w:t>
            </w:r>
            <w:r>
              <w:rPr>
                <w:rFonts w:hint="default" w:ascii="Times New Roman" w:hAnsi="Times New Roman" w:cs="Times New Roman"/>
                <w:color w:val="auto"/>
                <w:kern w:val="2"/>
                <w:sz w:val="24"/>
                <w:szCs w:val="24"/>
                <w:lang w:val="en-US" w:eastAsia="zh-CN" w:bidi="ar-SA"/>
              </w:rPr>
              <w:t>06</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/d）清洗废水</w:t>
            </w:r>
            <w:r>
              <w:rPr>
                <w:rFonts w:hint="default" w:ascii="Times New Roman" w:hAnsi="Times New Roman" w:cs="Times New Roman"/>
                <w:color w:val="auto"/>
                <w:kern w:val="2"/>
                <w:sz w:val="24"/>
                <w:szCs w:val="24"/>
                <w:lang w:val="en-US" w:eastAsia="zh-CN" w:bidi="ar-SA"/>
              </w:rPr>
              <w:t>由废液收集桶收集后</w:t>
            </w:r>
            <w:r>
              <w:rPr>
                <w:rFonts w:hint="default" w:ascii="Times New Roman" w:hAnsi="Times New Roman" w:eastAsia="宋体" w:cs="Times New Roman"/>
                <w:color w:val="auto"/>
                <w:kern w:val="2"/>
                <w:sz w:val="24"/>
                <w:szCs w:val="24"/>
                <w:lang w:val="en-US" w:eastAsia="zh-CN" w:bidi="ar-SA"/>
              </w:rPr>
              <w:t>暂存于危废暂存</w:t>
            </w:r>
            <w:r>
              <w:rPr>
                <w:rFonts w:hint="default" w:ascii="Times New Roman" w:hAnsi="Times New Roman" w:cs="Times New Roman"/>
                <w:color w:val="auto"/>
                <w:kern w:val="2"/>
                <w:sz w:val="24"/>
                <w:szCs w:val="24"/>
                <w:lang w:val="en-US" w:eastAsia="zh-CN" w:bidi="ar-SA"/>
              </w:rPr>
              <w:t>库</w:t>
            </w:r>
            <w:r>
              <w:rPr>
                <w:rFonts w:hint="default" w:ascii="Times New Roman" w:hAnsi="Times New Roman" w:eastAsia="宋体" w:cs="Times New Roman"/>
                <w:color w:val="auto"/>
                <w:kern w:val="2"/>
                <w:sz w:val="24"/>
                <w:szCs w:val="24"/>
                <w:lang w:val="en-US" w:eastAsia="zh-CN" w:bidi="ar-SA"/>
              </w:rPr>
              <w:t>，交给</w:t>
            </w:r>
            <w:r>
              <w:rPr>
                <w:rFonts w:hint="default" w:ascii="Times New Roman" w:hAnsi="Times New Roman" w:cs="Times New Roman"/>
                <w:color w:val="auto"/>
                <w:kern w:val="2"/>
                <w:sz w:val="24"/>
                <w:szCs w:val="24"/>
                <w:lang w:val="en-US" w:eastAsia="zh-CN" w:bidi="ar-SA"/>
              </w:rPr>
              <w:t>宁夏宁东清大国华环境资源有限公司</w:t>
            </w:r>
            <w:r>
              <w:rPr>
                <w:rFonts w:hint="default" w:ascii="Times New Roman" w:hAnsi="Times New Roman" w:eastAsia="宋体" w:cs="Times New Roman"/>
                <w:color w:val="auto"/>
                <w:kern w:val="2"/>
                <w:sz w:val="24"/>
                <w:szCs w:val="24"/>
                <w:lang w:val="en-US" w:eastAsia="zh-CN" w:bidi="ar-SA"/>
              </w:rPr>
              <w:t>处置。实验器皿后段清洗废水按清洗用水的</w:t>
            </w:r>
            <w:r>
              <w:rPr>
                <w:rFonts w:hint="default" w:ascii="Times New Roman" w:hAnsi="Times New Roman" w:cs="Times New Roman"/>
                <w:color w:val="auto"/>
                <w:kern w:val="2"/>
                <w:sz w:val="24"/>
                <w:szCs w:val="24"/>
                <w:lang w:val="en-US" w:eastAsia="zh-CN" w:bidi="ar-SA"/>
              </w:rPr>
              <w:t>90</w:t>
            </w:r>
            <w:r>
              <w:rPr>
                <w:rFonts w:hint="default" w:ascii="Times New Roman" w:hAnsi="Times New Roman" w:eastAsia="宋体" w:cs="Times New Roman"/>
                <w:color w:val="auto"/>
                <w:kern w:val="2"/>
                <w:sz w:val="24"/>
                <w:szCs w:val="24"/>
                <w:lang w:val="en-US" w:eastAsia="zh-CN" w:bidi="ar-SA"/>
              </w:rPr>
              <w:t>%计，则后段清洗用水为</w:t>
            </w:r>
            <w:r>
              <w:rPr>
                <w:rFonts w:hint="default" w:ascii="Times New Roman" w:hAnsi="Times New Roman" w:cs="Times New Roman"/>
                <w:color w:val="auto"/>
                <w:kern w:val="2"/>
                <w:sz w:val="24"/>
                <w:szCs w:val="24"/>
                <w:lang w:val="en-US" w:eastAsia="zh-CN" w:bidi="ar-SA"/>
              </w:rPr>
              <w:t>13.5</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/a（0.0</w:t>
            </w:r>
            <w:r>
              <w:rPr>
                <w:rFonts w:hint="default" w:ascii="Times New Roman" w:hAnsi="Times New Roman" w:cs="Times New Roman"/>
                <w:color w:val="auto"/>
                <w:kern w:val="2"/>
                <w:sz w:val="24"/>
                <w:szCs w:val="24"/>
                <w:lang w:val="en-US" w:eastAsia="zh-CN" w:bidi="ar-SA"/>
              </w:rPr>
              <w:t>54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/d），主要污染物为pH、COD、SS</w:t>
            </w:r>
            <w:r>
              <w:rPr>
                <w:rFonts w:hint="default" w:ascii="Times New Roman" w:hAnsi="Times New Roman" w:cs="Times New Roman"/>
                <w:color w:val="auto"/>
                <w:kern w:val="2"/>
                <w:sz w:val="24"/>
                <w:szCs w:val="24"/>
                <w:lang w:val="en-US" w:eastAsia="zh-CN" w:bidi="ar-SA"/>
              </w:rPr>
              <w:t>等</w:t>
            </w:r>
            <w:r>
              <w:rPr>
                <w:rFonts w:hint="default" w:ascii="Times New Roman" w:hAnsi="Times New Roman" w:eastAsia="宋体" w:cs="Times New Roman"/>
                <w:color w:val="auto"/>
                <w:kern w:val="2"/>
                <w:sz w:val="24"/>
                <w:szCs w:val="24"/>
                <w:lang w:val="en-US" w:eastAsia="zh-CN" w:bidi="ar-SA"/>
              </w:rPr>
              <w:t>。产生的后段清洗废水</w:t>
            </w:r>
            <w:r>
              <w:rPr>
                <w:rFonts w:hint="default" w:ascii="Times New Roman" w:hAnsi="Times New Roman" w:cs="Times New Roman"/>
                <w:color w:val="auto"/>
                <w:kern w:val="2"/>
                <w:sz w:val="24"/>
                <w:szCs w:val="24"/>
                <w:lang w:val="en-US" w:eastAsia="zh-CN" w:bidi="ar-SA"/>
              </w:rPr>
              <w:t>经</w:t>
            </w:r>
            <w:r>
              <w:rPr>
                <w:rFonts w:hint="default" w:ascii="Times New Roman" w:hAnsi="Times New Roman" w:cs="Times New Roman"/>
                <w:color w:val="auto"/>
                <w:sz w:val="24"/>
                <w:szCs w:val="24"/>
                <w:lang w:val="en-US" w:eastAsia="zh-CN"/>
              </w:rPr>
              <w:t>中和调节桶调节pH至6-9后排至现有化粪池，</w:t>
            </w:r>
            <w:r>
              <w:rPr>
                <w:rFonts w:hint="default" w:ascii="Times New Roman" w:hAnsi="Times New Roman" w:eastAsia="宋体" w:cs="Times New Roman"/>
                <w:color w:val="auto"/>
                <w:kern w:val="2"/>
                <w:sz w:val="24"/>
                <w:szCs w:val="24"/>
                <w:lang w:val="en-US" w:eastAsia="zh-CN" w:bidi="ar-SA"/>
              </w:rPr>
              <w:t>经</w:t>
            </w:r>
            <w:r>
              <w:rPr>
                <w:rFonts w:hint="default" w:ascii="Times New Roman" w:hAnsi="Times New Roman" w:cs="Times New Roman"/>
                <w:color w:val="auto"/>
                <w:kern w:val="2"/>
                <w:sz w:val="24"/>
                <w:szCs w:val="24"/>
                <w:lang w:val="en-US" w:eastAsia="zh-CN" w:bidi="ar-SA"/>
              </w:rPr>
              <w:t>市政</w:t>
            </w:r>
            <w:r>
              <w:rPr>
                <w:rFonts w:hint="default" w:ascii="Times New Roman" w:hAnsi="Times New Roman" w:eastAsia="宋体" w:cs="Times New Roman"/>
                <w:color w:val="auto"/>
                <w:kern w:val="2"/>
                <w:sz w:val="24"/>
                <w:szCs w:val="24"/>
                <w:lang w:val="en-US" w:eastAsia="zh-CN" w:bidi="ar-SA"/>
              </w:rPr>
              <w:t>污水管网排入</w:t>
            </w:r>
            <w:r>
              <w:rPr>
                <w:rFonts w:hint="default" w:ascii="Times New Roman" w:hAnsi="Times New Roman" w:cs="Times New Roman"/>
                <w:color w:val="auto"/>
                <w:kern w:val="2"/>
                <w:sz w:val="24"/>
                <w:szCs w:val="24"/>
                <w:lang w:val="en-US" w:eastAsia="zh-CN" w:bidi="ar-SA"/>
              </w:rPr>
              <w:t>中卫市第三污水处理厂集中处理</w:t>
            </w:r>
            <w:r>
              <w:rPr>
                <w:rFonts w:hint="default" w:ascii="Times New Roman" w:hAnsi="Times New Roman" w:eastAsia="宋体" w:cs="Times New Roman"/>
                <w:color w:val="auto"/>
                <w:kern w:val="2"/>
                <w:sz w:val="24"/>
                <w:szCs w:val="24"/>
                <w:lang w:val="en-US" w:eastAsia="zh-CN" w:bidi="ar-SA"/>
              </w:rPr>
              <w:t>。</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② 纯水制备产生的浓盐水</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项目实验室纯水制备机采用离子交换树脂法，用水量为</w:t>
            </w:r>
            <w:r>
              <w:rPr>
                <w:rFonts w:hint="default" w:ascii="Times New Roman" w:hAnsi="Times New Roman" w:cs="Times New Roman"/>
                <w:color w:val="auto"/>
                <w:kern w:val="2"/>
                <w:sz w:val="24"/>
                <w:szCs w:val="24"/>
                <w:lang w:val="en-US" w:eastAsia="zh-CN" w:bidi="ar-SA"/>
              </w:rPr>
              <w:t>4.6</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/a（0.0</w:t>
            </w:r>
            <w:r>
              <w:rPr>
                <w:rFonts w:hint="default" w:ascii="Times New Roman" w:hAnsi="Times New Roman" w:cs="Times New Roman"/>
                <w:color w:val="auto"/>
                <w:kern w:val="2"/>
                <w:sz w:val="24"/>
                <w:szCs w:val="24"/>
                <w:lang w:val="en-US" w:eastAsia="zh-CN" w:bidi="ar-SA"/>
              </w:rPr>
              <w:t>184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/d），纯水</w:t>
            </w:r>
            <w:r>
              <w:rPr>
                <w:rFonts w:hint="default" w:ascii="Times New Roman" w:hAnsi="Times New Roman" w:cs="Times New Roman"/>
                <w:color w:val="auto"/>
                <w:kern w:val="2"/>
                <w:sz w:val="24"/>
                <w:szCs w:val="24"/>
                <w:lang w:val="en-US" w:eastAsia="zh-CN" w:bidi="ar-SA"/>
              </w:rPr>
              <w:t>制备</w:t>
            </w:r>
            <w:r>
              <w:rPr>
                <w:rFonts w:hint="default" w:ascii="Times New Roman" w:hAnsi="Times New Roman" w:eastAsia="宋体" w:cs="Times New Roman"/>
                <w:color w:val="auto"/>
                <w:kern w:val="2"/>
                <w:sz w:val="24"/>
                <w:szCs w:val="24"/>
                <w:lang w:val="en-US" w:eastAsia="zh-CN" w:bidi="ar-SA"/>
              </w:rPr>
              <w:t>率70%，产生浓盐水</w:t>
            </w:r>
            <w:r>
              <w:rPr>
                <w:rFonts w:hint="default" w:ascii="Times New Roman" w:hAnsi="Times New Roman" w:cs="Times New Roman"/>
                <w:color w:val="auto"/>
                <w:kern w:val="2"/>
                <w:sz w:val="24"/>
                <w:szCs w:val="24"/>
                <w:lang w:val="en-US" w:eastAsia="zh-CN" w:bidi="ar-SA"/>
              </w:rPr>
              <w:t>1.4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/a（0.0</w:t>
            </w:r>
            <w:r>
              <w:rPr>
                <w:rFonts w:hint="default" w:ascii="Times New Roman" w:hAnsi="Times New Roman" w:cs="Times New Roman"/>
                <w:color w:val="auto"/>
                <w:kern w:val="2"/>
                <w:sz w:val="24"/>
                <w:szCs w:val="24"/>
                <w:lang w:val="en-US" w:eastAsia="zh-CN" w:bidi="ar-SA"/>
              </w:rPr>
              <w:t>055</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/d）。产生的浓盐水经</w:t>
            </w:r>
            <w:r>
              <w:rPr>
                <w:rFonts w:hint="default" w:ascii="Times New Roman" w:hAnsi="Times New Roman" w:cs="Times New Roman"/>
                <w:color w:val="auto"/>
                <w:kern w:val="2"/>
                <w:sz w:val="24"/>
                <w:szCs w:val="24"/>
                <w:lang w:val="en-US" w:eastAsia="zh-CN" w:bidi="ar-SA"/>
              </w:rPr>
              <w:t>现有化粪池处理后通过市政</w:t>
            </w:r>
            <w:r>
              <w:rPr>
                <w:rFonts w:hint="default" w:ascii="Times New Roman" w:hAnsi="Times New Roman" w:eastAsia="宋体" w:cs="Times New Roman"/>
                <w:color w:val="auto"/>
                <w:kern w:val="2"/>
                <w:sz w:val="24"/>
                <w:szCs w:val="24"/>
                <w:lang w:val="en-US" w:eastAsia="zh-CN" w:bidi="ar-SA"/>
              </w:rPr>
              <w:t>污水管网排入</w:t>
            </w:r>
            <w:r>
              <w:rPr>
                <w:rFonts w:hint="default" w:ascii="Times New Roman" w:hAnsi="Times New Roman" w:cs="Times New Roman"/>
                <w:color w:val="auto"/>
                <w:kern w:val="2"/>
                <w:sz w:val="24"/>
                <w:szCs w:val="24"/>
                <w:lang w:val="en-US" w:eastAsia="zh-CN" w:bidi="ar-SA"/>
              </w:rPr>
              <w:t>中卫市第三污水处理厂</w:t>
            </w:r>
            <w:r>
              <w:rPr>
                <w:rFonts w:hint="default" w:ascii="Times New Roman" w:hAnsi="Times New Roman" w:eastAsia="宋体" w:cs="Times New Roman"/>
                <w:color w:val="auto"/>
                <w:kern w:val="2"/>
                <w:sz w:val="24"/>
                <w:szCs w:val="24"/>
                <w:lang w:val="en-US" w:eastAsia="zh-CN" w:bidi="ar-SA"/>
              </w:rPr>
              <w:t>。</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项目水平衡一览表见表2-</w:t>
            </w:r>
            <w:r>
              <w:rPr>
                <w:rFonts w:hint="default" w:ascii="Times New Roman" w:hAnsi="Times New Roman" w:cs="Times New Roman"/>
                <w:color w:val="auto"/>
                <w:kern w:val="2"/>
                <w:sz w:val="24"/>
                <w:szCs w:val="24"/>
                <w:lang w:val="en-US" w:eastAsia="zh-CN" w:bidi="ar-SA"/>
              </w:rPr>
              <w:t>7</w:t>
            </w:r>
            <w:r>
              <w:rPr>
                <w:rFonts w:hint="default" w:ascii="Times New Roman" w:hAnsi="Times New Roman" w:eastAsia="宋体" w:cs="Times New Roman"/>
                <w:color w:val="auto"/>
                <w:kern w:val="2"/>
                <w:sz w:val="24"/>
                <w:szCs w:val="24"/>
                <w:lang w:val="en-US" w:eastAsia="zh-CN" w:bidi="ar-SA"/>
              </w:rPr>
              <w:t>，水平衡图见图2-</w:t>
            </w:r>
            <w:r>
              <w:rPr>
                <w:rFonts w:hint="default" w:ascii="Times New Roman" w:hAnsi="Times New Roman"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w:t>
            </w:r>
          </w:p>
          <w:p>
            <w:pPr>
              <w:keepNext w:val="0"/>
              <w:keepLines w:val="0"/>
              <w:pageBreakBefore w:val="0"/>
              <w:widowControl w:val="0"/>
              <w:kinsoku/>
              <w:wordWrap/>
              <w:overflowPunct/>
              <w:topLinePunct w:val="0"/>
              <w:autoSpaceDE/>
              <w:autoSpaceDN/>
              <w:bidi w:val="0"/>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表2-</w:t>
            </w:r>
            <w:r>
              <w:rPr>
                <w:rFonts w:hint="default" w:ascii="Times New Roman" w:hAnsi="Times New Roman" w:eastAsia="黑体" w:cs="Times New Roman"/>
                <w:color w:val="auto"/>
                <w:sz w:val="24"/>
                <w:szCs w:val="24"/>
                <w:lang w:val="en-US" w:eastAsia="zh-CN"/>
              </w:rPr>
              <w:t>7</w:t>
            </w:r>
            <w:r>
              <w:rPr>
                <w:rFonts w:hint="default" w:ascii="Times New Roman" w:hAnsi="Times New Roman" w:eastAsia="黑体" w:cs="Times New Roman"/>
                <w:color w:val="auto"/>
                <w:sz w:val="24"/>
                <w:szCs w:val="24"/>
              </w:rPr>
              <w:t xml:space="preserve">  项目水平衡表  单位m</w:t>
            </w:r>
            <w:r>
              <w:rPr>
                <w:rFonts w:hint="default" w:ascii="Times New Roman" w:hAnsi="Times New Roman" w:eastAsia="黑体" w:cs="Times New Roman"/>
                <w:color w:val="auto"/>
                <w:sz w:val="24"/>
                <w:szCs w:val="24"/>
                <w:vertAlign w:val="superscript"/>
              </w:rPr>
              <w:t>3</w:t>
            </w:r>
            <w:r>
              <w:rPr>
                <w:rFonts w:hint="default" w:ascii="Times New Roman" w:hAnsi="Times New Roman" w:eastAsia="黑体" w:cs="Times New Roman"/>
                <w:color w:val="auto"/>
                <w:sz w:val="24"/>
                <w:szCs w:val="24"/>
              </w:rPr>
              <w:t>/a</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1781"/>
              <w:gridCol w:w="922"/>
              <w:gridCol w:w="1143"/>
              <w:gridCol w:w="1260"/>
              <w:gridCol w:w="9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Merge w:val="restar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项目</w:t>
                  </w:r>
                </w:p>
              </w:tc>
              <w:tc>
                <w:tcPr>
                  <w:tcW w:w="1083"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进水</w:t>
                  </w:r>
                </w:p>
              </w:tc>
              <w:tc>
                <w:tcPr>
                  <w:tcW w:w="2628" w:type="pct"/>
                  <w:gridSpan w:val="4"/>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出水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Merge w:val="continue"/>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p>
              </w:tc>
              <w:tc>
                <w:tcPr>
                  <w:tcW w:w="1083"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新鲜水</w:t>
                  </w:r>
                </w:p>
              </w:tc>
              <w:tc>
                <w:tcPr>
                  <w:tcW w:w="561"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损耗</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产生纯水</w:t>
                  </w:r>
                </w:p>
              </w:tc>
              <w:tc>
                <w:tcPr>
                  <w:tcW w:w="766"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作为危废</w:t>
                  </w:r>
                </w:p>
              </w:tc>
              <w:tc>
                <w:tcPr>
                  <w:tcW w:w="604"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排水量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生活用水</w:t>
                  </w:r>
                </w:p>
              </w:tc>
              <w:tc>
                <w:tcPr>
                  <w:tcW w:w="1083"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75</w:t>
                  </w:r>
                </w:p>
              </w:tc>
              <w:tc>
                <w:tcPr>
                  <w:tcW w:w="561"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c>
                <w:tcPr>
                  <w:tcW w:w="766"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c>
                <w:tcPr>
                  <w:tcW w:w="604"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纯水制备</w:t>
                  </w:r>
                </w:p>
              </w:tc>
              <w:tc>
                <w:tcPr>
                  <w:tcW w:w="1083"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4.6</w:t>
                  </w:r>
                </w:p>
              </w:tc>
              <w:tc>
                <w:tcPr>
                  <w:tcW w:w="561"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3.2</w:t>
                  </w:r>
                </w:p>
              </w:tc>
              <w:tc>
                <w:tcPr>
                  <w:tcW w:w="766"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c>
                <w:tcPr>
                  <w:tcW w:w="604"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实验器皿前段清洗用水</w:t>
                  </w:r>
                </w:p>
              </w:tc>
              <w:tc>
                <w:tcPr>
                  <w:tcW w:w="1083"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1.5</w:t>
                  </w:r>
                </w:p>
              </w:tc>
              <w:tc>
                <w:tcPr>
                  <w:tcW w:w="561"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c>
                <w:tcPr>
                  <w:tcW w:w="766"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604"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实验器皿后段清洗用水</w:t>
                  </w:r>
                </w:p>
              </w:tc>
              <w:tc>
                <w:tcPr>
                  <w:tcW w:w="1083"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13.5</w:t>
                  </w:r>
                </w:p>
              </w:tc>
              <w:tc>
                <w:tcPr>
                  <w:tcW w:w="561"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c>
                <w:tcPr>
                  <w:tcW w:w="766"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c>
                <w:tcPr>
                  <w:tcW w:w="604"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88"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合计</w:t>
                  </w:r>
                </w:p>
              </w:tc>
              <w:tc>
                <w:tcPr>
                  <w:tcW w:w="1083"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94.6</w:t>
                  </w:r>
                </w:p>
              </w:tc>
              <w:tc>
                <w:tcPr>
                  <w:tcW w:w="561"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695"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3.2</w:t>
                  </w:r>
                </w:p>
              </w:tc>
              <w:tc>
                <w:tcPr>
                  <w:tcW w:w="766"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c>
                <w:tcPr>
                  <w:tcW w:w="604" w:type="pct"/>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74.9</w:t>
                  </w:r>
                </w:p>
              </w:tc>
            </w:tr>
          </w:tbl>
          <w:p>
            <w:pPr>
              <w:pStyle w:val="24"/>
              <w:keepNext w:val="0"/>
              <w:keepLines w:val="0"/>
              <w:pageBreakBefore w:val="0"/>
              <w:widowControl w:val="0"/>
              <w:kinsoku/>
              <w:wordWrap/>
              <w:overflowPunct/>
              <w:topLinePunct w:val="0"/>
              <w:autoSpaceDE/>
              <w:autoSpaceDN/>
              <w:bidi w:val="0"/>
              <w:spacing w:after="0"/>
              <w:ind w:left="0" w:leftChars="0" w:firstLine="0"/>
              <w:rPr>
                <w:rFonts w:hint="default" w:ascii="Times New Roman" w:hAnsi="Times New Roman" w:cs="Times New Roman"/>
                <w:color w:val="auto"/>
              </w:rPr>
            </w:pPr>
            <w:r>
              <w:rPr>
                <w:rFonts w:hint="default" w:ascii="Times New Roman" w:hAnsi="Times New Roman" w:cs="Times New Roman"/>
                <w:color w:val="auto"/>
              </w:rPr>
              <w:object>
                <v:shape id="_x0000_i1025" o:spt="75" type="#_x0000_t75" style="height:245.5pt;width:411.95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pPr>
              <w:keepNext w:val="0"/>
              <w:keepLines w:val="0"/>
              <w:pageBreakBefore w:val="0"/>
              <w:widowControl w:val="0"/>
              <w:kinsoku/>
              <w:wordWrap/>
              <w:overflowPunct/>
              <w:topLinePunct w:val="0"/>
              <w:autoSpaceDE/>
              <w:autoSpaceDN/>
              <w:bidi w:val="0"/>
              <w:jc w:val="center"/>
              <w:rPr>
                <w:rFonts w:hint="default" w:ascii="Times New Roman" w:hAnsi="Times New Roman" w:eastAsia="黑体" w:cs="Times New Roman"/>
                <w:color w:val="auto"/>
                <w:sz w:val="24"/>
                <w:szCs w:val="24"/>
                <w:highlight w:val="none"/>
              </w:rPr>
            </w:pPr>
            <w:r>
              <w:rPr>
                <w:rFonts w:hint="default" w:ascii="Times New Roman" w:hAnsi="Times New Roman" w:eastAsia="黑体" w:cs="Times New Roman"/>
                <w:color w:val="auto"/>
                <w:sz w:val="24"/>
                <w:szCs w:val="24"/>
                <w:highlight w:val="none"/>
              </w:rPr>
              <w:t>图2-</w:t>
            </w:r>
            <w:r>
              <w:rPr>
                <w:rFonts w:hint="default" w:ascii="Times New Roman" w:hAnsi="Times New Roman" w:eastAsia="黑体" w:cs="Times New Roman"/>
                <w:color w:val="auto"/>
                <w:sz w:val="24"/>
                <w:szCs w:val="24"/>
                <w:highlight w:val="none"/>
                <w:lang w:val="en-US" w:eastAsia="zh-CN"/>
              </w:rPr>
              <w:t>1</w:t>
            </w:r>
            <w:r>
              <w:rPr>
                <w:rFonts w:hint="default" w:ascii="Times New Roman" w:hAnsi="Times New Roman" w:eastAsia="黑体" w:cs="Times New Roman"/>
                <w:color w:val="auto"/>
                <w:sz w:val="24"/>
                <w:szCs w:val="24"/>
                <w:highlight w:val="none"/>
              </w:rPr>
              <w:t xml:space="preserve">  项目水平衡图  单位：m</w:t>
            </w:r>
            <w:r>
              <w:rPr>
                <w:rFonts w:hint="default" w:ascii="Times New Roman" w:hAnsi="Times New Roman" w:eastAsia="黑体" w:cs="Times New Roman"/>
                <w:color w:val="auto"/>
                <w:sz w:val="24"/>
                <w:szCs w:val="24"/>
                <w:highlight w:val="none"/>
                <w:vertAlign w:val="superscript"/>
              </w:rPr>
              <w:t>3</w:t>
            </w:r>
            <w:r>
              <w:rPr>
                <w:rFonts w:hint="default" w:ascii="Times New Roman" w:hAnsi="Times New Roman" w:eastAsia="黑体" w:cs="Times New Roman"/>
                <w:color w:val="auto"/>
                <w:sz w:val="24"/>
                <w:szCs w:val="24"/>
                <w:highlight w:val="none"/>
              </w:rPr>
              <w:t>/</w:t>
            </w:r>
            <w:r>
              <w:rPr>
                <w:rFonts w:hint="default" w:ascii="Times New Roman" w:hAnsi="Times New Roman" w:cs="Times New Roman"/>
                <w:color w:val="auto"/>
                <w:highlight w:val="none"/>
              </w:rPr>
              <w:t>a</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⑶ 供电</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本项目用电由市政供电电网提供。</w:t>
            </w:r>
          </w:p>
          <w:p>
            <w:pPr>
              <w:pStyle w:val="33"/>
              <w:keepNext w:val="0"/>
              <w:keepLines w:val="0"/>
              <w:pageBreakBefore w:val="0"/>
              <w:widowControl w:val="0"/>
              <w:kinsoku/>
              <w:wordWrap/>
              <w:overflowPunct/>
              <w:topLinePunct w:val="0"/>
              <w:autoSpaceDE/>
              <w:autoSpaceDN/>
              <w:bidi w:val="0"/>
              <w:spacing w:line="240" w:lineRule="auto"/>
              <w:ind w:firstLine="514"/>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⑷ 供暖</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本项目由城市供暖管网统一供暖。</w:t>
            </w:r>
          </w:p>
          <w:p>
            <w:pPr>
              <w:keepNext w:val="0"/>
              <w:keepLines w:val="0"/>
              <w:pageBreakBefore w:val="0"/>
              <w:widowControl w:val="0"/>
              <w:kinsoku/>
              <w:wordWrap/>
              <w:overflowPunct/>
              <w:topLinePunct w:val="0"/>
              <w:autoSpaceDE/>
              <w:autoSpaceDN/>
              <w:bidi w:val="0"/>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9</w:t>
            </w:r>
            <w:r>
              <w:rPr>
                <w:rFonts w:hint="default" w:ascii="Times New Roman" w:hAnsi="Times New Roman" w:eastAsia="黑体" w:cs="Times New Roman"/>
                <w:color w:val="auto"/>
                <w:sz w:val="28"/>
                <w:szCs w:val="28"/>
              </w:rPr>
              <w:t>、劳动定员与工作制度</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rPr>
            </w:pPr>
            <w:r>
              <w:rPr>
                <w:rFonts w:hint="default" w:ascii="Times New Roman" w:hAnsi="Times New Roman" w:cs="Times New Roman"/>
                <w:color w:val="auto"/>
                <w:sz w:val="24"/>
                <w:szCs w:val="24"/>
              </w:rPr>
              <w:t>本项目劳动定员</w:t>
            </w:r>
            <w:r>
              <w:rPr>
                <w:rFonts w:hint="default" w:ascii="Times New Roman" w:hAnsi="Times New Roman" w:cs="Times New Roman"/>
                <w:color w:val="auto"/>
                <w:sz w:val="24"/>
                <w:szCs w:val="24"/>
                <w:lang w:val="en-US" w:eastAsia="zh-CN"/>
              </w:rPr>
              <w:t>6</w:t>
            </w:r>
            <w:r>
              <w:rPr>
                <w:rFonts w:hint="default" w:ascii="Times New Roman" w:hAnsi="Times New Roman" w:cs="Times New Roman"/>
                <w:color w:val="auto"/>
                <w:sz w:val="24"/>
                <w:szCs w:val="24"/>
              </w:rPr>
              <w:t>人，采用一班工作制，管理及技术岗位每班8h，年运营250d，人均年工作时间2000h。</w:t>
            </w:r>
          </w:p>
          <w:p>
            <w:pPr>
              <w:keepNext w:val="0"/>
              <w:keepLines w:val="0"/>
              <w:pageBreakBefore w:val="0"/>
              <w:widowControl w:val="0"/>
              <w:kinsoku/>
              <w:wordWrap/>
              <w:overflowPunct/>
              <w:topLinePunct w:val="0"/>
              <w:autoSpaceDE/>
              <w:autoSpaceDN/>
              <w:bidi w:val="0"/>
              <w:adjustRightInd/>
              <w:snapToGrid/>
              <w:spacing w:before="240" w:after="60"/>
              <w:textAlignment w:val="auto"/>
              <w:rPr>
                <w:rFonts w:hint="default" w:ascii="Times New Roman" w:hAnsi="Times New Roman" w:cs="Times New Roman"/>
                <w:color w:val="auto"/>
              </w:rPr>
            </w:pPr>
            <w:r>
              <w:rPr>
                <w:rFonts w:hint="default" w:ascii="Times New Roman" w:hAnsi="Times New Roman" w:eastAsia="黑体" w:cs="Times New Roman"/>
                <w:color w:val="auto"/>
                <w:sz w:val="28"/>
                <w:szCs w:val="28"/>
                <w:lang w:val="en-US" w:eastAsia="zh-CN"/>
              </w:rPr>
              <w:t>10</w:t>
            </w:r>
            <w:r>
              <w:rPr>
                <w:rFonts w:hint="default" w:ascii="Times New Roman" w:hAnsi="Times New Roman" w:eastAsia="黑体" w:cs="Times New Roman"/>
                <w:color w:val="auto"/>
                <w:sz w:val="28"/>
                <w:szCs w:val="28"/>
              </w:rPr>
              <w:t>、</w:t>
            </w:r>
            <w:r>
              <w:rPr>
                <w:rFonts w:hint="default" w:ascii="Times New Roman" w:hAnsi="Times New Roman" w:eastAsia="黑体" w:cs="Times New Roman"/>
                <w:color w:val="auto"/>
                <w:sz w:val="28"/>
                <w:szCs w:val="28"/>
                <w:highlight w:val="none"/>
              </w:rPr>
              <w:t>平面布局情况</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本</w:t>
            </w:r>
            <w:r>
              <w:rPr>
                <w:rFonts w:hint="default" w:ascii="Times New Roman" w:hAnsi="Times New Roman" w:cs="Times New Roman"/>
                <w:color w:val="auto"/>
                <w:sz w:val="24"/>
                <w:szCs w:val="24"/>
              </w:rPr>
              <w:t>项目</w:t>
            </w:r>
            <w:r>
              <w:rPr>
                <w:rFonts w:hint="default" w:ascii="Times New Roman" w:hAnsi="Times New Roman" w:cs="Times New Roman"/>
                <w:color w:val="auto"/>
                <w:sz w:val="24"/>
                <w:szCs w:val="24"/>
                <w:lang w:val="en-US" w:eastAsia="zh-CN"/>
              </w:rPr>
              <w:t>使用中卫市职业技术学校提供的3号实训楼一</w:t>
            </w:r>
            <w:r>
              <w:rPr>
                <w:rFonts w:hint="default" w:ascii="Times New Roman" w:hAnsi="Times New Roman" w:cs="Times New Roman"/>
                <w:color w:val="auto"/>
                <w:sz w:val="24"/>
                <w:szCs w:val="24"/>
              </w:rPr>
              <w:t>层作为办公实验用房</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入口处设置有更衣柜；设通风系统；以中间走廊为分界，整个实验办公区分为南北两部分</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北部，从西到东依次为：大数据展示区、DHI检测室、冷库、采样储存间、培训室、卫生间及开水间、危废暂存库（独立布置于东侧楼梯间）；南部，从西到东依次为：大厅、血清及分子生物学实验室、前期处理室、样品及试剂室、会议室、独立办公室、多人办公室。</w:t>
            </w:r>
            <w:r>
              <w:rPr>
                <w:rFonts w:hint="default" w:ascii="Times New Roman" w:hAnsi="Times New Roman" w:cs="Times New Roman"/>
                <w:color w:val="auto"/>
                <w:sz w:val="24"/>
                <w:szCs w:val="24"/>
              </w:rPr>
              <w:t>总体而言，本项目分区明确，各区内部及之间均设置了通道，方便联系和管理。建筑空间利用率高，</w:t>
            </w:r>
            <w:r>
              <w:rPr>
                <w:rFonts w:hint="default" w:ascii="Times New Roman" w:hAnsi="Times New Roman" w:cs="Times New Roman"/>
                <w:color w:val="auto"/>
                <w:sz w:val="24"/>
                <w:szCs w:val="24"/>
                <w:lang w:val="en-US" w:eastAsia="zh-CN"/>
              </w:rPr>
              <w:t>物流顺畅，便于操作运转和管理，</w:t>
            </w:r>
            <w:r>
              <w:rPr>
                <w:rFonts w:hint="default" w:ascii="Times New Roman" w:hAnsi="Times New Roman" w:cs="Times New Roman"/>
                <w:color w:val="auto"/>
                <w:sz w:val="24"/>
                <w:szCs w:val="24"/>
              </w:rPr>
              <w:t>其总平面布置合理，项目平面布置详见附图</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snapToGrid/>
              <w:spacing w:before="240" w:after="60"/>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11、总投资及环保投资</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本项目总投资</w:t>
            </w:r>
            <w:r>
              <w:rPr>
                <w:rFonts w:hint="default" w:ascii="Times New Roman" w:hAnsi="Times New Roman" w:cs="Times New Roman"/>
                <w:color w:val="auto"/>
                <w:sz w:val="24"/>
                <w:szCs w:val="24"/>
                <w:lang w:val="en-US" w:eastAsia="zh-CN"/>
              </w:rPr>
              <w:t>470</w:t>
            </w:r>
            <w:r>
              <w:rPr>
                <w:rFonts w:hint="default" w:ascii="Times New Roman" w:hAnsi="Times New Roman" w:cs="Times New Roman"/>
                <w:color w:val="auto"/>
                <w:sz w:val="24"/>
                <w:szCs w:val="24"/>
              </w:rPr>
              <w:t>万元，其中环保投资</w:t>
            </w:r>
            <w:r>
              <w:rPr>
                <w:rFonts w:hint="default"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rPr>
              <w:t>万元，占总投资的</w:t>
            </w:r>
            <w:r>
              <w:rPr>
                <w:rFonts w:hint="default" w:ascii="Times New Roman" w:hAnsi="Times New Roman" w:cs="Times New Roman"/>
                <w:color w:val="auto"/>
                <w:sz w:val="24"/>
                <w:szCs w:val="24"/>
                <w:lang w:val="en-US" w:eastAsia="zh-CN"/>
              </w:rPr>
              <w:t>5.1</w:t>
            </w:r>
            <w:r>
              <w:rPr>
                <w:rFonts w:hint="default" w:ascii="Times New Roman" w:hAnsi="Times New Roman" w:cs="Times New Roman"/>
                <w:color w:val="auto"/>
                <w:sz w:val="24"/>
                <w:szCs w:val="24"/>
              </w:rPr>
              <w:t>%，环保投资用于废水、废气、噪声及固体废物防治等。具体投资见表2-</w:t>
            </w:r>
            <w:r>
              <w:rPr>
                <w:rFonts w:hint="default"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表2-</w:t>
            </w:r>
            <w:r>
              <w:rPr>
                <w:rFonts w:hint="default" w:ascii="Times New Roman" w:hAnsi="Times New Roman" w:eastAsia="黑体" w:cs="Times New Roman"/>
                <w:color w:val="auto"/>
                <w:sz w:val="24"/>
                <w:szCs w:val="24"/>
                <w:lang w:val="en-US" w:eastAsia="zh-CN"/>
              </w:rPr>
              <w:t>8</w:t>
            </w:r>
            <w:r>
              <w:rPr>
                <w:rFonts w:hint="default" w:ascii="Times New Roman" w:hAnsi="Times New Roman" w:eastAsia="黑体" w:cs="Times New Roman"/>
                <w:color w:val="auto"/>
                <w:sz w:val="24"/>
                <w:szCs w:val="24"/>
              </w:rPr>
              <w:t xml:space="preserve">  环保投资一览表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207"/>
              <w:gridCol w:w="4714"/>
              <w:gridCol w:w="15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13"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项目</w:t>
                  </w:r>
                </w:p>
              </w:tc>
              <w:tc>
                <w:tcPr>
                  <w:tcW w:w="4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环保措施</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投资（万元）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运营期</w:t>
                  </w:r>
                </w:p>
              </w:tc>
              <w:tc>
                <w:tcPr>
                  <w:tcW w:w="12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废气治理</w:t>
                  </w:r>
                </w:p>
              </w:tc>
              <w:tc>
                <w:tcPr>
                  <w:tcW w:w="4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项目共设置</w:t>
                  </w:r>
                  <w:r>
                    <w:rPr>
                      <w:rFonts w:hint="default" w:ascii="Times New Roman" w:hAnsi="Times New Roman" w:cs="Times New Roman"/>
                      <w:color w:val="auto"/>
                      <w:lang w:val="en-US" w:eastAsia="zh-CN"/>
                    </w:rPr>
                    <w:t>1</w:t>
                  </w:r>
                  <w:r>
                    <w:rPr>
                      <w:rFonts w:hint="default" w:ascii="Times New Roman" w:hAnsi="Times New Roman" w:cs="Times New Roman"/>
                      <w:color w:val="auto"/>
                    </w:rPr>
                    <w:t>台通风橱，产生的实验</w:t>
                  </w:r>
                  <w:r>
                    <w:rPr>
                      <w:rFonts w:hint="default" w:ascii="Times New Roman" w:hAnsi="Times New Roman" w:cs="Times New Roman"/>
                      <w:color w:val="auto"/>
                      <w:lang w:eastAsia="zh-CN"/>
                    </w:rPr>
                    <w:t>废气经通风橱收集</w:t>
                  </w:r>
                  <w:r>
                    <w:rPr>
                      <w:rFonts w:hint="default" w:ascii="Times New Roman" w:hAnsi="Times New Roman" w:cs="Times New Roman"/>
                      <w:color w:val="auto"/>
                      <w:lang w:val="en-US" w:eastAsia="zh-CN"/>
                    </w:rPr>
                    <w:t>+</w:t>
                  </w:r>
                  <w:r>
                    <w:rPr>
                      <w:rFonts w:hint="default" w:ascii="Times New Roman" w:hAnsi="Times New Roman" w:cs="Times New Roman"/>
                      <w:color w:val="auto"/>
                      <w:lang w:eastAsia="zh-CN"/>
                    </w:rPr>
                    <w:t>活性炭吸附处理后</w:t>
                  </w:r>
                  <w:r>
                    <w:rPr>
                      <w:rFonts w:hint="default" w:ascii="Times New Roman" w:hAnsi="Times New Roman" w:cs="Times New Roman"/>
                      <w:color w:val="auto"/>
                      <w:lang w:val="en-US" w:eastAsia="zh-CN"/>
                    </w:rPr>
                    <w:t>引至室外</w:t>
                  </w:r>
                  <w:r>
                    <w:rPr>
                      <w:rFonts w:hint="default" w:ascii="Times New Roman" w:hAnsi="Times New Roman" w:cs="Times New Roman"/>
                      <w:color w:val="auto"/>
                      <w:lang w:eastAsia="zh-CN"/>
                    </w:rPr>
                    <w:t>无组织排放</w:t>
                  </w:r>
                  <w:r>
                    <w:rPr>
                      <w:rFonts w:hint="default" w:ascii="Times New Roman" w:hAnsi="Times New Roman" w:cs="Times New Roman"/>
                      <w:color w:val="auto"/>
                    </w:rPr>
                    <w:t>。</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eastAsia="zh-CN"/>
                    </w:rPr>
                  </w:pPr>
                  <w:r>
                    <w:rPr>
                      <w:rFonts w:hint="default" w:ascii="Times New Roman" w:hAnsi="Times New Roman" w:cs="Times New Roman"/>
                      <w:color w:val="auto"/>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12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废水治理</w:t>
                  </w:r>
                </w:p>
              </w:tc>
              <w:tc>
                <w:tcPr>
                  <w:tcW w:w="4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项目综合废水</w:t>
                  </w:r>
                  <w:r>
                    <w:rPr>
                      <w:rFonts w:hint="default" w:ascii="Times New Roman" w:hAnsi="Times New Roman" w:cs="Times New Roman"/>
                      <w:color w:val="auto"/>
                      <w:lang w:val="en-US" w:eastAsia="zh-CN"/>
                    </w:rPr>
                    <w:t>通过现有化粪池处理后经</w:t>
                  </w:r>
                  <w:r>
                    <w:rPr>
                      <w:rFonts w:hint="default" w:ascii="Times New Roman" w:hAnsi="Times New Roman" w:cs="Times New Roman"/>
                      <w:color w:val="auto"/>
                    </w:rPr>
                    <w:t>市政污水管网进入</w:t>
                  </w:r>
                  <w:r>
                    <w:rPr>
                      <w:rFonts w:hint="default" w:ascii="Times New Roman" w:hAnsi="Times New Roman" w:cs="Times New Roman"/>
                      <w:color w:val="auto"/>
                      <w:lang w:eastAsia="zh-CN"/>
                    </w:rPr>
                    <w:t>中卫市第三污水处理厂</w:t>
                  </w:r>
                  <w:r>
                    <w:rPr>
                      <w:rFonts w:hint="default" w:ascii="Times New Roman" w:hAnsi="Times New Roman" w:cs="Times New Roman"/>
                      <w:color w:val="auto"/>
                    </w:rPr>
                    <w:t>集中处理。</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12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噪声治理</w:t>
                  </w:r>
                </w:p>
              </w:tc>
              <w:tc>
                <w:tcPr>
                  <w:tcW w:w="4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rPr>
                    <w:t>选用低噪声设备，对设备采取减振、隔声等措施。</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12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highlight w:val="none"/>
                    </w:rPr>
                    <w:t>固废治理</w:t>
                  </w:r>
                </w:p>
              </w:tc>
              <w:tc>
                <w:tcPr>
                  <w:tcW w:w="4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一般固体废物：未沾染</w:t>
                  </w:r>
                  <w:r>
                    <w:rPr>
                      <w:rFonts w:hint="default" w:ascii="Times New Roman" w:hAnsi="Times New Roman" w:eastAsia="宋体" w:cs="Times New Roman"/>
                      <w:color w:val="auto"/>
                      <w:sz w:val="21"/>
                      <w:szCs w:val="21"/>
                    </w:rPr>
                    <w:t>危险</w:t>
                  </w:r>
                  <w:r>
                    <w:rPr>
                      <w:rFonts w:hint="default" w:ascii="Times New Roman" w:hAnsi="Times New Roman" w:eastAsia="宋体" w:cs="Times New Roman"/>
                      <w:color w:val="auto"/>
                      <w:sz w:val="21"/>
                      <w:szCs w:val="21"/>
                      <w:lang w:val="en-US" w:eastAsia="zh-CN"/>
                    </w:rPr>
                    <w:t>物质的</w:t>
                  </w:r>
                  <w:r>
                    <w:rPr>
                      <w:rFonts w:hint="default" w:ascii="Times New Roman" w:hAnsi="Times New Roman" w:cs="Times New Roman"/>
                      <w:color w:val="auto"/>
                      <w:sz w:val="21"/>
                      <w:szCs w:val="21"/>
                      <w:lang w:val="en-US" w:eastAsia="zh-CN"/>
                    </w:rPr>
                    <w:t>废弃包装物</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废饲料以及</w:t>
                  </w:r>
                  <w:r>
                    <w:rPr>
                      <w:rFonts w:hint="default" w:ascii="Times New Roman" w:hAnsi="Times New Roman" w:cs="Times New Roman"/>
                      <w:color w:val="auto"/>
                      <w:sz w:val="21"/>
                      <w:szCs w:val="21"/>
                    </w:rPr>
                    <w:t>生活垃圾由环卫部门收集处置</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废离子交换树脂</w:t>
                  </w:r>
                  <w:r>
                    <w:rPr>
                      <w:rFonts w:hint="default" w:ascii="Times New Roman" w:hAnsi="Times New Roman" w:cs="Times New Roman"/>
                      <w:color w:val="auto"/>
                      <w:sz w:val="21"/>
                      <w:szCs w:val="21"/>
                      <w:lang w:val="en-US" w:eastAsia="zh-CN"/>
                    </w:rPr>
                    <w:t>厂家定期更换回收；</w:t>
                  </w:r>
                </w:p>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sz w:val="21"/>
                      <w:szCs w:val="21"/>
                      <w:lang w:val="en-US" w:eastAsia="zh-CN"/>
                    </w:rPr>
                    <w:t>危险废物：</w:t>
                  </w:r>
                  <w:r>
                    <w:rPr>
                      <w:rFonts w:hint="default" w:ascii="Times New Roman" w:hAnsi="Times New Roman" w:cs="Times New Roman"/>
                      <w:color w:val="auto"/>
                      <w:sz w:val="21"/>
                      <w:szCs w:val="21"/>
                    </w:rPr>
                    <w:t>实验废液、废一次性耗材、废弃化学试剂、废活性炭、沾染危险</w:t>
                  </w:r>
                  <w:r>
                    <w:rPr>
                      <w:rFonts w:hint="default" w:ascii="Times New Roman" w:hAnsi="Times New Roman" w:cs="Times New Roman"/>
                      <w:color w:val="auto"/>
                      <w:sz w:val="21"/>
                      <w:szCs w:val="21"/>
                      <w:lang w:val="en-US" w:eastAsia="zh-CN"/>
                    </w:rPr>
                    <w:t>物质</w:t>
                  </w:r>
                  <w:r>
                    <w:rPr>
                      <w:rFonts w:hint="default" w:ascii="Times New Roman" w:hAnsi="Times New Roman" w:cs="Times New Roman"/>
                      <w:color w:val="auto"/>
                      <w:sz w:val="21"/>
                      <w:szCs w:val="21"/>
                    </w:rPr>
                    <w:t>的废弃包装物暂存于</w:t>
                  </w:r>
                  <w:r>
                    <w:rPr>
                      <w:rFonts w:hint="default" w:ascii="Times New Roman" w:hAnsi="Times New Roman" w:cs="Times New Roman"/>
                      <w:color w:val="auto"/>
                      <w:sz w:val="21"/>
                      <w:szCs w:val="21"/>
                      <w:lang w:eastAsia="zh-CN"/>
                    </w:rPr>
                    <w:t>危废暂存库</w:t>
                  </w:r>
                  <w:r>
                    <w:rPr>
                      <w:rFonts w:hint="default" w:ascii="Times New Roman" w:hAnsi="Times New Roman" w:cs="Times New Roman"/>
                      <w:color w:val="auto"/>
                      <w:sz w:val="21"/>
                      <w:szCs w:val="21"/>
                    </w:rPr>
                    <w:t>，定期交由</w:t>
                  </w:r>
                  <w:r>
                    <w:rPr>
                      <w:rFonts w:hint="default" w:ascii="Times New Roman" w:hAnsi="Times New Roman" w:cs="Times New Roman"/>
                      <w:color w:val="auto"/>
                      <w:sz w:val="21"/>
                      <w:szCs w:val="21"/>
                      <w:lang w:eastAsia="zh-CN"/>
                    </w:rPr>
                    <w:t>宁夏宁东清大国华环境资源有限公司</w:t>
                  </w:r>
                  <w:r>
                    <w:rPr>
                      <w:rFonts w:hint="default" w:ascii="Times New Roman" w:hAnsi="Times New Roman" w:cs="Times New Roman"/>
                      <w:color w:val="auto"/>
                      <w:sz w:val="21"/>
                      <w:szCs w:val="21"/>
                    </w:rPr>
                    <w:t>进行处理。</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12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highlight w:val="none"/>
                    </w:rPr>
                    <w:t>地下水防渗措施</w:t>
                  </w:r>
                </w:p>
              </w:tc>
              <w:tc>
                <w:tcPr>
                  <w:tcW w:w="47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452"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cs="Times New Roman"/>
                      <w:color w:val="auto"/>
                      <w:highlight w:val="none"/>
                      <w:lang w:eastAsia="zh-CN"/>
                    </w:rPr>
                    <w:t>危废暂存库地面与裙脚基础防渗采用混凝土硬化，涂刷防渗涂料，设置防渗托盘</w:t>
                  </w:r>
                  <w:r>
                    <w:rPr>
                      <w:rFonts w:hint="default" w:ascii="Times New Roman" w:hAnsi="Times New Roman" w:cs="Times New Roman"/>
                      <w:color w:val="auto"/>
                      <w:highlight w:val="none"/>
                    </w:rPr>
                    <w:t>，防渗层渗透系数≤10</w:t>
                  </w:r>
                  <w:r>
                    <w:rPr>
                      <w:rFonts w:hint="default" w:ascii="Times New Roman" w:hAnsi="Times New Roman" w:cs="Times New Roman"/>
                      <w:color w:val="auto"/>
                      <w:highlight w:val="none"/>
                      <w:vertAlign w:val="superscript"/>
                    </w:rPr>
                    <w:t>-7</w:t>
                  </w:r>
                  <w:r>
                    <w:rPr>
                      <w:rFonts w:hint="default" w:ascii="Times New Roman" w:hAnsi="Times New Roman" w:cs="Times New Roman"/>
                      <w:color w:val="auto"/>
                      <w:highlight w:val="none"/>
                    </w:rPr>
                    <w:t>cm/s</w:t>
                  </w:r>
                  <w:r>
                    <w:rPr>
                      <w:rFonts w:hint="default" w:ascii="Times New Roman" w:hAnsi="Times New Roman" w:cs="Times New Roman"/>
                      <w:color w:val="auto"/>
                      <w:highlight w:val="none"/>
                      <w:lang w:eastAsia="zh-CN"/>
                    </w:rPr>
                    <w:t>。</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6"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p>
              </w:tc>
              <w:tc>
                <w:tcPr>
                  <w:tcW w:w="12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环境风险防范措施</w:t>
                  </w:r>
                </w:p>
              </w:tc>
              <w:tc>
                <w:tcPr>
                  <w:tcW w:w="471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ind w:firstLine="452" w:firstLineChars="200"/>
                    <w:rPr>
                      <w:rFonts w:hint="default" w:ascii="Times New Roman" w:hAnsi="Times New Roman" w:cs="Times New Roman"/>
                      <w:color w:val="auto"/>
                    </w:rPr>
                  </w:pPr>
                  <w:r>
                    <w:rPr>
                      <w:rFonts w:hint="default" w:ascii="Times New Roman" w:hAnsi="Times New Roman" w:cs="Times New Roman"/>
                      <w:color w:val="auto"/>
                      <w:highlight w:val="none"/>
                    </w:rPr>
                    <w:t>本项目涉及试剂种类较多，可能发生有毒有害物质泄漏及火灾爆炸事故，针对该类事故的预防，项目各分区配备有相应数量的消防栓、灭火器、防毒面具等应急设备</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公司针对该类事故，应按照应急预案中相关规范定期组织演练。</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2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合计</w:t>
                  </w:r>
                </w:p>
              </w:tc>
              <w:tc>
                <w:tcPr>
                  <w:tcW w:w="15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24</w:t>
                  </w:r>
                </w:p>
              </w:tc>
            </w:tr>
          </w:tbl>
          <w:p>
            <w:pP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825"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rPr>
              <w:t>工艺流程和产排污环节</w:t>
            </w:r>
          </w:p>
        </w:tc>
        <w:tc>
          <w:tcPr>
            <w:tcW w:w="8463" w:type="dxa"/>
            <w:vAlign w:val="center"/>
          </w:tcPr>
          <w:p>
            <w:pPr>
              <w:keepNext w:val="0"/>
              <w:keepLines w:val="0"/>
              <w:pageBreakBefore w:val="0"/>
              <w:widowControl w:val="0"/>
              <w:kinsoku/>
              <w:wordWrap/>
              <w:overflowPunct/>
              <w:topLinePunct w:val="0"/>
              <w:autoSpaceDE/>
              <w:autoSpaceDN/>
              <w:bidi w:val="0"/>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1、施工期工艺流程及产污环节</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lang w:val="en-US" w:eastAsia="zh-CN"/>
              </w:rPr>
              <w:t>本项目仅对职业技术学校3号实训楼一楼进行房屋改造和设备安装，本次评价对施工期产污及环境影响不进行评价。</w:t>
            </w:r>
          </w:p>
          <w:p>
            <w:pPr>
              <w:keepNext w:val="0"/>
              <w:keepLines w:val="0"/>
              <w:pageBreakBefore w:val="0"/>
              <w:widowControl w:val="0"/>
              <w:kinsoku/>
              <w:wordWrap/>
              <w:overflowPunct/>
              <w:topLinePunct w:val="0"/>
              <w:autoSpaceDE/>
              <w:autoSpaceDN/>
              <w:bidi w:val="0"/>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2、运营期工艺流程及产污环节分析</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highlight w:val="none"/>
              </w:rPr>
              <w:t>本项目实验室主要进行</w:t>
            </w:r>
            <w:r>
              <w:rPr>
                <w:rFonts w:hint="default" w:ascii="Times New Roman" w:hAnsi="Times New Roman" w:cs="Times New Roman"/>
                <w:color w:val="auto"/>
                <w:sz w:val="24"/>
                <w:szCs w:val="32"/>
                <w:highlight w:val="none"/>
                <w:lang w:val="en-US" w:eastAsia="zh-CN"/>
              </w:rPr>
              <w:t>牛奶成分检测、饲料营养检测、奶牛早孕检测以及牛的基因型检测</w:t>
            </w:r>
            <w:r>
              <w:rPr>
                <w:rFonts w:hint="default" w:ascii="Times New Roman" w:hAnsi="Times New Roman" w:cs="Times New Roman"/>
                <w:color w:val="auto"/>
                <w:sz w:val="24"/>
                <w:szCs w:val="32"/>
              </w:rPr>
              <w:t>。</w:t>
            </w:r>
          </w:p>
          <w:p>
            <w:pPr>
              <w:keepNext w:val="0"/>
              <w:keepLines w:val="0"/>
              <w:pageBreakBefore w:val="0"/>
              <w:widowControl w:val="0"/>
              <w:kinsoku/>
              <w:wordWrap/>
              <w:overflowPunct/>
              <w:topLinePunct w:val="0"/>
              <w:autoSpaceDE/>
              <w:autoSpaceDN/>
              <w:bidi w:val="0"/>
              <w:adjustRightInd/>
              <w:snapToGrid/>
              <w:spacing w:before="240" w:after="60"/>
              <w:ind w:firstLine="512" w:firstLineChars="200"/>
              <w:textAlignment w:val="auto"/>
              <w:rPr>
                <w:rFonts w:hint="default" w:ascii="Times New Roman" w:hAnsi="Times New Roman" w:eastAsia="宋体" w:cs="Times New Roman"/>
                <w:b/>
                <w:bCs/>
                <w:color w:val="auto"/>
                <w:sz w:val="24"/>
                <w:szCs w:val="32"/>
                <w:lang w:eastAsia="zh-CN"/>
              </w:rPr>
            </w:pPr>
            <w:r>
              <w:rPr>
                <w:rFonts w:hint="default" w:ascii="Times New Roman" w:hAnsi="Times New Roman" w:cs="Times New Roman"/>
                <w:b/>
                <w:bCs/>
                <w:color w:val="auto"/>
                <w:sz w:val="24"/>
                <w:szCs w:val="32"/>
                <w:highlight w:val="none"/>
                <w:lang w:val="en-US" w:eastAsia="zh-CN"/>
              </w:rPr>
              <w:t>A.饲料营养检测主要</w:t>
            </w:r>
            <w:r>
              <w:rPr>
                <w:rFonts w:hint="default" w:ascii="Times New Roman" w:hAnsi="Times New Roman" w:cs="Times New Roman"/>
                <w:b/>
                <w:bCs/>
                <w:color w:val="auto"/>
                <w:sz w:val="24"/>
                <w:szCs w:val="32"/>
              </w:rPr>
              <w:t>工艺流程说明</w:t>
            </w:r>
            <w:r>
              <w:rPr>
                <w:rFonts w:hint="default" w:ascii="Times New Roman" w:hAnsi="Times New Roman" w:cs="Times New Roman"/>
                <w:b/>
                <w:bCs/>
                <w:color w:val="auto"/>
                <w:sz w:val="24"/>
                <w:szCs w:val="32"/>
                <w:lang w:eastAsia="zh-CN"/>
              </w:rPr>
              <w:t>：</w:t>
            </w:r>
          </w:p>
          <w:p>
            <w:pPr>
              <w:keepNext w:val="0"/>
              <w:keepLines w:val="0"/>
              <w:pageBreakBefore w:val="0"/>
              <w:widowControl w:val="0"/>
              <w:numPr>
                <w:ilvl w:val="0"/>
                <w:numId w:val="9"/>
              </w:numPr>
              <w:kinsoku/>
              <w:wordWrap/>
              <w:overflowPunct/>
              <w:topLinePunct w:val="0"/>
              <w:autoSpaceDE/>
              <w:autoSpaceDN/>
              <w:bidi w:val="0"/>
              <w:adjustRightInd/>
              <w:snapToGrid/>
              <w:ind w:firstLine="512" w:firstLineChars="200"/>
              <w:textAlignment w:val="auto"/>
              <w:rPr>
                <w:rFonts w:hint="default" w:ascii="Times New Roman" w:hAnsi="Times New Roman"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t>饲料中水分的测定</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Times New Roman" w:hAnsi="Times New Roman"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object>
                <v:shape id="_x0000_i1026" o:spt="75" type="#_x0000_t75" style="height:81pt;width:411.85pt;" o:ole="t" filled="f" o:preferrelative="t" stroked="f" coordsize="21600,21600">
                  <v:path/>
                  <v:fill on="f" focussize="0,0"/>
                  <v:stroke on="f"/>
                  <v:imagedata r:id="rId12" o:title=""/>
                  <o:lock v:ext="edit" aspectratio="f"/>
                  <w10:wrap type="none"/>
                  <w10:anchorlock/>
                </v:shape>
                <o:OLEObject Type="Embed" ProgID="Visio.Drawing.15" ShapeID="_x0000_i1026" DrawAspect="Content" ObjectID="_1468075726" r:id="rId11">
                  <o:LockedField>false</o:LockedField>
                </o:OLEObject>
              </w:object>
            </w:r>
          </w:p>
          <w:p>
            <w:pPr>
              <w:keepNext w:val="0"/>
              <w:keepLines w:val="0"/>
              <w:pageBreakBefore w:val="0"/>
              <w:widowControl w:val="0"/>
              <w:kinsoku/>
              <w:wordWrap/>
              <w:overflowPunct/>
              <w:topLinePunct w:val="0"/>
              <w:autoSpaceDE/>
              <w:autoSpaceDN/>
              <w:bidi w:val="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图2-2  饲料中水分测定工艺流程及主要产污环节示意图</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kern w:val="0"/>
                <w:sz w:val="24"/>
                <w:lang w:bidi="ar"/>
              </w:rPr>
              <w:t>①</w:t>
            </w:r>
            <w:r>
              <w:rPr>
                <w:rFonts w:hint="default" w:ascii="Times New Roman" w:hAnsi="Times New Roman" w:cs="Times New Roman"/>
                <w:color w:val="auto"/>
                <w:kern w:val="0"/>
                <w:sz w:val="24"/>
                <w:lang w:val="en-US" w:eastAsia="zh-CN" w:bidi="ar"/>
              </w:rPr>
              <w:t>样品制备：</w:t>
            </w:r>
            <w:r>
              <w:rPr>
                <w:rFonts w:hint="default" w:ascii="Times New Roman" w:hAnsi="Times New Roman" w:cs="Times New Roman"/>
                <w:color w:val="auto"/>
                <w:sz w:val="24"/>
                <w:szCs w:val="32"/>
              </w:rPr>
              <w:t>样品放入粉碎机粉碎2-3min，过80目筛2遍</w:t>
            </w:r>
            <w:r>
              <w:rPr>
                <w:rFonts w:hint="default" w:ascii="Times New Roman" w:hAnsi="Times New Roman" w:cs="Times New Roman"/>
                <w:color w:val="auto"/>
                <w:sz w:val="24"/>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eastAsia="zh-CN"/>
              </w:rPr>
              <w:t>②</w:t>
            </w:r>
            <w:r>
              <w:rPr>
                <w:rFonts w:hint="default" w:ascii="Times New Roman" w:hAnsi="Times New Roman" w:cs="Times New Roman"/>
                <w:color w:val="auto"/>
                <w:sz w:val="24"/>
                <w:szCs w:val="32"/>
                <w:lang w:val="en-US" w:eastAsia="zh-CN"/>
              </w:rPr>
              <w:t>称量瓶称量：将洁净的称量瓶(直径5cm，高3cm)放入103℃±2℃干燥箱中，取下称量瓶盖并放在称量瓶的边上。干燥30 min±1min后盖上称量瓶盖，将称量瓶取出，放在干燥器中冷却至室温。称量其质量(m</w:t>
            </w:r>
            <w:r>
              <w:rPr>
                <w:rFonts w:hint="default" w:ascii="Times New Roman" w:hAnsi="Times New Roman" w:cs="Times New Roman"/>
                <w:color w:val="auto"/>
                <w:sz w:val="24"/>
                <w:szCs w:val="32"/>
                <w:vertAlign w:val="subscript"/>
                <w:lang w:val="en-US" w:eastAsia="zh-CN"/>
              </w:rPr>
              <w:t>1</w:t>
            </w:r>
            <w:r>
              <w:rPr>
                <w:rFonts w:hint="default" w:ascii="Times New Roman" w:hAnsi="Times New Roman" w:cs="Times New Roman"/>
                <w:color w:val="auto"/>
                <w:sz w:val="24"/>
                <w:szCs w:val="32"/>
                <w:lang w:val="en-US" w:eastAsia="zh-CN"/>
              </w:rPr>
              <w:t>)准确至1mg；</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lang w:eastAsia="zh-CN"/>
              </w:rPr>
              <w:t>③粉碎样品称量：取5g左右试料(m</w:t>
            </w:r>
            <w:r>
              <w:rPr>
                <w:rFonts w:hint="default" w:ascii="Times New Roman" w:hAnsi="Times New Roman" w:cs="Times New Roman"/>
                <w:color w:val="auto"/>
                <w:sz w:val="24"/>
                <w:szCs w:val="32"/>
                <w:vertAlign w:val="subscript"/>
                <w:lang w:eastAsia="zh-CN"/>
              </w:rPr>
              <w:t>2</w:t>
            </w:r>
            <w:r>
              <w:rPr>
                <w:rFonts w:hint="default" w:ascii="Times New Roman" w:hAnsi="Times New Roman" w:cs="Times New Roman"/>
                <w:color w:val="auto"/>
                <w:sz w:val="24"/>
                <w:szCs w:val="32"/>
                <w:lang w:eastAsia="zh-CN"/>
              </w:rPr>
              <w:t>)于称量瓶内，准确至1mg并摊平；</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lang w:eastAsia="zh-CN"/>
              </w:rPr>
              <w:t>④粉碎样品</w:t>
            </w:r>
            <w:r>
              <w:rPr>
                <w:rFonts w:hint="default" w:ascii="Times New Roman" w:hAnsi="Times New Roman" w:cs="Times New Roman"/>
                <w:color w:val="auto"/>
                <w:sz w:val="24"/>
                <w:szCs w:val="32"/>
                <w:lang w:val="en-US" w:eastAsia="zh-CN"/>
              </w:rPr>
              <w:t>烘干：将称量瓶放入103℃±2℃于燥箱内取下称量瓶盖并放在称量瓶的边上，注意称量瓶摆放密度不要过大。当干燥箱温度达103 C±2℃后，干燥 4 h±0.1h；</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eastAsia="zh-CN"/>
              </w:rPr>
              <w:t>⑤</w:t>
            </w:r>
            <w:r>
              <w:rPr>
                <w:rFonts w:hint="default" w:ascii="Times New Roman" w:hAnsi="Times New Roman" w:cs="Times New Roman"/>
                <w:color w:val="auto"/>
                <w:sz w:val="24"/>
                <w:szCs w:val="32"/>
                <w:lang w:val="en-US" w:eastAsia="zh-CN"/>
              </w:rPr>
              <w:t>烘干样品称量：盖上称量瓶盖，将称量瓶取出放入干燥器冷却至室温。称量其质量(m</w:t>
            </w:r>
            <w:r>
              <w:rPr>
                <w:rFonts w:hint="default" w:ascii="Times New Roman" w:hAnsi="Times New Roman" w:cs="Times New Roman"/>
                <w:color w:val="auto"/>
                <w:sz w:val="24"/>
                <w:szCs w:val="32"/>
                <w:vertAlign w:val="subscript"/>
                <w:lang w:val="en-US" w:eastAsia="zh-CN"/>
              </w:rPr>
              <w:t>3</w:t>
            </w:r>
            <w:r>
              <w:rPr>
                <w:rFonts w:hint="default" w:ascii="Times New Roman" w:hAnsi="Times New Roman" w:cs="Times New Roman"/>
                <w:color w:val="auto"/>
                <w:sz w:val="24"/>
                <w:szCs w:val="32"/>
                <w:lang w:val="en-US" w:eastAsia="zh-CN"/>
              </w:rPr>
              <w:t>)准确至1g。再于103℃±2℃燥箱中干燥30 min±1min，从干燥箱中取出，放入干燥器冷却至室温。称量其质量，准确至1mg；</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eastAsia="zh-CN"/>
              </w:rPr>
              <w:t>⑥</w:t>
            </w:r>
            <w:r>
              <w:rPr>
                <w:rFonts w:hint="default" w:ascii="Times New Roman" w:hAnsi="Times New Roman" w:cs="Times New Roman"/>
                <w:color w:val="auto"/>
                <w:sz w:val="24"/>
                <w:szCs w:val="32"/>
                <w:lang w:val="en-US" w:eastAsia="zh-CN"/>
              </w:rPr>
              <w:t>取值计算：如果两次称量值的变化≤试料质量的0.1%，以第一次称量的质量(m</w:t>
            </w:r>
            <w:r>
              <w:rPr>
                <w:rFonts w:hint="default" w:ascii="Times New Roman" w:hAnsi="Times New Roman" w:cs="Times New Roman"/>
                <w:color w:val="auto"/>
                <w:sz w:val="24"/>
                <w:szCs w:val="32"/>
                <w:vertAlign w:val="subscript"/>
                <w:lang w:val="en-US" w:eastAsia="zh-CN"/>
              </w:rPr>
              <w:t>3</w:t>
            </w:r>
            <w:r>
              <w:rPr>
                <w:rFonts w:hint="default" w:ascii="Times New Roman" w:hAnsi="Times New Roman" w:cs="Times New Roman"/>
                <w:color w:val="auto"/>
                <w:sz w:val="24"/>
                <w:szCs w:val="32"/>
                <w:lang w:val="en-US" w:eastAsia="zh-CN"/>
              </w:rPr>
              <w:t>)按公式计算水分量；若两次称量值的变化大于试料质量的0.1%，将称量瓶再次放入于燥箱中于103C±2℃干燥2+0.1h，移至干燥器中冷却至室温，称量其质量，准确至1 mg。若此次干燥后与第二次称量值的变化小于等于试料质量的0.2%，以第一次称量的质量(m</w:t>
            </w:r>
            <w:r>
              <w:rPr>
                <w:rFonts w:hint="default" w:ascii="Times New Roman" w:hAnsi="Times New Roman" w:cs="Times New Roman"/>
                <w:color w:val="auto"/>
                <w:sz w:val="24"/>
                <w:szCs w:val="32"/>
                <w:vertAlign w:val="subscript"/>
                <w:lang w:val="en-US" w:eastAsia="zh-CN"/>
              </w:rPr>
              <w:t>3</w:t>
            </w:r>
            <w:r>
              <w:rPr>
                <w:rFonts w:hint="default" w:ascii="Times New Roman" w:hAnsi="Times New Roman" w:cs="Times New Roman"/>
                <w:color w:val="auto"/>
                <w:sz w:val="24"/>
                <w:szCs w:val="32"/>
                <w:lang w:val="en-US" w:eastAsia="zh-CN"/>
              </w:rPr>
              <w:t>) 按公式计算水分量。</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ind w:left="0" w:leftChars="0" w:firstLine="512" w:firstLineChars="200"/>
              <w:jc w:val="left"/>
              <w:textAlignment w:val="auto"/>
              <w:rPr>
                <w:rFonts w:hint="default" w:ascii="Times New Roman" w:hAnsi="Times New Roman"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t>饲料中蛋白的测定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object>
                <v:shape id="_x0000_i1027" o:spt="75" type="#_x0000_t75" style="height:97.9pt;width:411.95pt;" o:ole="t" filled="f" o:preferrelative="t" stroked="f" coordsize="21600,21600">
                  <v:path/>
                  <v:fill on="f" focussize="0,0"/>
                  <v:stroke on="f"/>
                  <v:imagedata r:id="rId14" o:title=""/>
                  <o:lock v:ext="edit" aspectratio="f"/>
                  <w10:wrap type="none"/>
                  <w10:anchorlock/>
                </v:shape>
                <o:OLEObject Type="Embed" ProgID="Visio.Drawing.15" ShapeID="_x0000_i1027" DrawAspect="Content" ObjectID="_1468075727" r:id="rId13">
                  <o:LockedField>false</o:LockedField>
                </o:OLEObject>
              </w:object>
            </w:r>
          </w:p>
          <w:p>
            <w:pPr>
              <w:keepNext w:val="0"/>
              <w:keepLines w:val="0"/>
              <w:pageBreakBefore w:val="0"/>
              <w:widowControl w:val="0"/>
              <w:kinsoku/>
              <w:wordWrap/>
              <w:overflowPunct/>
              <w:topLinePunct w:val="0"/>
              <w:autoSpaceDE/>
              <w:autoSpaceDN/>
              <w:bidi w:val="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图2-3  饲料中蛋白测定工艺流程及主要产污环节示意图</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kern w:val="0"/>
                <w:sz w:val="24"/>
                <w:szCs w:val="24"/>
                <w:lang w:bidi="ar"/>
              </w:rPr>
              <w:object>
                <v:shape id="_x0000_i1028" o:spt="75" type="#_x0000_t75" style="height:0pt;width:0pt;" o:ole="t" filled="f" o:preferrelative="t" stroked="f" coordsize="21600,21600">
                  <v:path/>
                  <v:fill on="f" focussize="0,0"/>
                  <v:stroke on="f"/>
                  <v:imagedata r:id="rId16" o:title=""/>
                  <o:lock v:ext="edit" aspectratio="f"/>
                  <w10:wrap type="none"/>
                  <w10:anchorlock/>
                </v:shape>
                <o:OLEObject Type="Embed" ProgID="Visio.Drawing.15" ShapeID="_x0000_i1028" DrawAspect="Content" ObjectID="_1468075728" r:id="rId15">
                  <o:LockedField>false</o:LockedField>
                </o:OLEObject>
              </w:object>
            </w:r>
            <w:r>
              <w:rPr>
                <w:rFonts w:hint="default" w:ascii="Times New Roman" w:hAnsi="Times New Roman" w:cs="Times New Roman"/>
                <w:color w:val="auto"/>
                <w:kern w:val="0"/>
                <w:sz w:val="24"/>
                <w:szCs w:val="24"/>
                <w:lang w:bidi="ar"/>
              </w:rPr>
              <w:t>①</w:t>
            </w:r>
            <w:r>
              <w:rPr>
                <w:rFonts w:hint="default" w:ascii="Times New Roman" w:hAnsi="Times New Roman" w:cs="Times New Roman"/>
                <w:color w:val="auto"/>
                <w:kern w:val="0"/>
                <w:sz w:val="24"/>
                <w:szCs w:val="24"/>
                <w:lang w:val="en-US" w:eastAsia="zh-CN" w:bidi="ar"/>
              </w:rPr>
              <w:t>样品准备：</w:t>
            </w:r>
            <w:r>
              <w:rPr>
                <w:rFonts w:hint="default" w:ascii="Times New Roman" w:hAnsi="Times New Roman" w:eastAsia="宋体" w:cs="Times New Roman"/>
                <w:color w:val="auto"/>
                <w:sz w:val="24"/>
                <w:szCs w:val="24"/>
              </w:rPr>
              <w:t>取测定水分后的样品或单独制备（制备方法参照水分测定步骤）</w:t>
            </w:r>
            <w:r>
              <w:rPr>
                <w:rFonts w:hint="default"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②</w:t>
            </w:r>
            <w:r>
              <w:rPr>
                <w:rFonts w:hint="default" w:ascii="Times New Roman" w:hAnsi="Times New Roman" w:cs="Times New Roman"/>
                <w:color w:val="auto"/>
                <w:sz w:val="24"/>
                <w:szCs w:val="24"/>
                <w:lang w:val="en-US" w:eastAsia="zh-CN"/>
              </w:rPr>
              <w:t>试剂配制：</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a混合催化剂：</w:t>
            </w:r>
            <w:r>
              <w:rPr>
                <w:rFonts w:hint="default" w:ascii="Times New Roman" w:hAnsi="Times New Roman" w:eastAsia="宋体" w:cs="Times New Roman"/>
                <w:color w:val="auto"/>
                <w:sz w:val="24"/>
                <w:szCs w:val="24"/>
              </w:rPr>
              <w:t>称取0.4g五水硫酸铜、6.0g硫酸钾或硫酸钠，研磨混匀</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b硼酸吸收液：</w:t>
            </w:r>
            <w:r>
              <w:rPr>
                <w:rFonts w:hint="default" w:ascii="Times New Roman" w:hAnsi="Times New Roman" w:eastAsia="宋体" w:cs="Times New Roman"/>
                <w:color w:val="auto"/>
                <w:sz w:val="24"/>
                <w:szCs w:val="24"/>
              </w:rPr>
              <w:t>称取20g硼酸，用水溶解并稀释至1000ml</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c氢氧化钠溶液：称取40g氢氧化钠，用水溶解，待冷却至室温后，用水稀释至1000ml；</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d盐酸标准滴定溶液；</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③</w:t>
            </w:r>
            <w:r>
              <w:rPr>
                <w:rFonts w:hint="default" w:ascii="Times New Roman" w:hAnsi="Times New Roman" w:cs="Times New Roman"/>
                <w:color w:val="auto"/>
                <w:sz w:val="24"/>
                <w:szCs w:val="24"/>
                <w:lang w:val="en-US" w:eastAsia="zh-CN"/>
              </w:rPr>
              <w:t>消煮管消煮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平行做两份实验。打开通风橱及水龙头，称取样品0.5g~2g（准确值0.0001g），放入消煮管中，加入6.4g混合催化剂，12ml硫酸，于420℃消化炉上消化1h，取出，冷却至室温；</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④</w:t>
            </w:r>
            <w:r>
              <w:rPr>
                <w:rFonts w:hint="default" w:ascii="Times New Roman" w:hAnsi="Times New Roman" w:cs="Times New Roman"/>
                <w:color w:val="auto"/>
                <w:sz w:val="24"/>
                <w:szCs w:val="24"/>
                <w:lang w:val="en-US" w:eastAsia="zh-CN"/>
              </w:rPr>
              <w:t>氨的蒸馏（凯氏定氮仪）：</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a确认冷却水管接上冷却机或者自来水龙头（水龙头已打开）</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冷却水流量：蒸馏期间大约5L/min；</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  冷却水压力：最小0.5bar，最大6bar；</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b确认NaOH、H</w:t>
            </w:r>
            <w:r>
              <w:rPr>
                <w:rFonts w:hint="default" w:ascii="Times New Roman" w:hAnsi="Times New Roman" w:cs="Times New Roman"/>
                <w:color w:val="auto"/>
                <w:sz w:val="24"/>
                <w:szCs w:val="24"/>
                <w:vertAlign w:val="subscript"/>
                <w:lang w:val="en-US" w:eastAsia="zh-CN"/>
              </w:rPr>
              <w:t>2</w:t>
            </w:r>
            <w:r>
              <w:rPr>
                <w:rFonts w:hint="default" w:ascii="Times New Roman" w:hAnsi="Times New Roman" w:cs="Times New Roman"/>
                <w:color w:val="auto"/>
                <w:sz w:val="24"/>
                <w:szCs w:val="24"/>
                <w:lang w:val="en-US" w:eastAsia="zh-CN"/>
              </w:rPr>
              <w:t>O、H</w:t>
            </w:r>
            <w:r>
              <w:rPr>
                <w:rFonts w:hint="default" w:ascii="Times New Roman" w:hAnsi="Times New Roman" w:cs="Times New Roman"/>
                <w:color w:val="auto"/>
                <w:sz w:val="24"/>
                <w:szCs w:val="24"/>
                <w:vertAlign w:val="subscript"/>
                <w:lang w:val="en-US" w:eastAsia="zh-CN"/>
              </w:rPr>
              <w:t>3</w:t>
            </w:r>
            <w:r>
              <w:rPr>
                <w:rFonts w:hint="default" w:ascii="Times New Roman" w:hAnsi="Times New Roman" w:cs="Times New Roman"/>
                <w:color w:val="auto"/>
                <w:sz w:val="24"/>
                <w:szCs w:val="24"/>
                <w:lang w:val="en-US" w:eastAsia="zh-CN"/>
              </w:rPr>
              <w:t>BO</w:t>
            </w:r>
            <w:r>
              <w:rPr>
                <w:rFonts w:hint="default" w:ascii="Times New Roman" w:hAnsi="Times New Roman" w:cs="Times New Roman"/>
                <w:color w:val="auto"/>
                <w:sz w:val="24"/>
                <w:szCs w:val="24"/>
                <w:vertAlign w:val="subscript"/>
                <w:lang w:val="en-US" w:eastAsia="zh-CN"/>
              </w:rPr>
              <w:t>4</w:t>
            </w:r>
            <w:r>
              <w:rPr>
                <w:rFonts w:hint="default" w:ascii="Times New Roman" w:hAnsi="Times New Roman" w:cs="Times New Roman"/>
                <w:color w:val="auto"/>
                <w:sz w:val="24"/>
                <w:szCs w:val="24"/>
                <w:lang w:val="en-US" w:eastAsia="zh-CN"/>
              </w:rPr>
              <w:t>的存量。</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d</w:t>
            </w:r>
            <w:r>
              <w:rPr>
                <w:rFonts w:hint="default" w:ascii="Times New Roman" w:hAnsi="Times New Roman" w:eastAsia="宋体" w:cs="Times New Roman"/>
                <w:color w:val="auto"/>
                <w:sz w:val="24"/>
                <w:szCs w:val="24"/>
              </w:rPr>
              <w:t>排除滴定管道气泡</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开启总电源及仪器开关，把电极装入滴定缸里，装上空消化管，检查，关上安全门；</w:t>
            </w:r>
          </w:p>
          <w:p>
            <w:pPr>
              <w:keepNext w:val="0"/>
              <w:keepLines w:val="0"/>
              <w:pageBreakBefore w:val="0"/>
              <w:widowControl w:val="0"/>
              <w:kinsoku/>
              <w:wordWrap/>
              <w:overflowPunct/>
              <w:topLinePunct w:val="0"/>
              <w:autoSpaceDE/>
              <w:autoSpaceDN/>
              <w:bidi w:val="0"/>
              <w:adjustRightInd/>
              <w:snapToGrid/>
              <w:spacing w:line="240" w:lineRule="auto"/>
              <w:ind w:left="515" w:leftChars="228" w:firstLine="0" w:firstLineChars="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e操作仪器，进行检测，检测完毕后关闭开关，关闭自来水出水龙头</w:t>
            </w:r>
            <w:r>
              <w:rPr>
                <w:rFonts w:hint="default" w:ascii="Times New Roman" w:hAnsi="Times New Roman"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left="515" w:leftChars="228" w:firstLine="0" w:firstLineChars="0"/>
              <w:jc w:val="left"/>
              <w:textAlignment w:val="auto"/>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515" w:leftChars="228" w:firstLine="0" w:firstLineChars="0"/>
              <w:jc w:val="left"/>
              <w:textAlignment w:val="auto"/>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left="515" w:leftChars="228" w:firstLine="0" w:firstLineChars="0"/>
              <w:jc w:val="left"/>
              <w:textAlignment w:val="auto"/>
              <w:rPr>
                <w:rFonts w:hint="default" w:ascii="Times New Roman" w:hAnsi="Times New Roman"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t>（3）饲料中纤维的测定</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object>
                <v:shape id="_x0000_i1029" o:spt="75" type="#_x0000_t75" style="height:162.45pt;width:411.85pt;" o:ole="t" filled="f" o:preferrelative="t" stroked="f" coordsize="21600,21600">
                  <v:path/>
                  <v:fill on="f" focussize="0,0"/>
                  <v:stroke on="f"/>
                  <v:imagedata r:id="rId18" o:title=""/>
                  <o:lock v:ext="edit" aspectratio="f"/>
                  <w10:wrap type="none"/>
                  <w10:anchorlock/>
                </v:shape>
                <o:OLEObject Type="Embed" ProgID="Visio.Drawing.15" ShapeID="_x0000_i1029" DrawAspect="Content" ObjectID="_1468075729" r:id="rId17">
                  <o:LockedField>false</o:LockedField>
                </o:OLEObject>
              </w:object>
            </w:r>
          </w:p>
          <w:p>
            <w:pPr>
              <w:keepNext w:val="0"/>
              <w:keepLines w:val="0"/>
              <w:pageBreakBefore w:val="0"/>
              <w:widowControl w:val="0"/>
              <w:kinsoku/>
              <w:wordWrap/>
              <w:overflowPunct/>
              <w:topLinePunct w:val="0"/>
              <w:autoSpaceDE/>
              <w:autoSpaceDN/>
              <w:bidi w:val="0"/>
              <w:jc w:val="center"/>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图2-4  饲料中纤维测定工艺流程及主要产污环节示意图</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kern w:val="0"/>
                <w:sz w:val="24"/>
                <w:lang w:bidi="ar"/>
              </w:rPr>
              <w:t>①</w:t>
            </w:r>
            <w:r>
              <w:rPr>
                <w:rFonts w:hint="default" w:ascii="Times New Roman" w:hAnsi="Times New Roman" w:cs="Times New Roman"/>
                <w:color w:val="auto"/>
                <w:kern w:val="0"/>
                <w:sz w:val="24"/>
                <w:lang w:val="en-US" w:eastAsia="zh-CN" w:bidi="ar"/>
              </w:rPr>
              <w:t>样品准备：</w:t>
            </w:r>
            <w:r>
              <w:rPr>
                <w:rFonts w:hint="default" w:ascii="Times New Roman" w:hAnsi="Times New Roman" w:cs="Times New Roman"/>
                <w:color w:val="auto"/>
                <w:sz w:val="24"/>
                <w:szCs w:val="32"/>
              </w:rPr>
              <w:t>取测定水分后的样品或单独制备（制备方法参照水分测定步骤）</w:t>
            </w:r>
            <w:r>
              <w:rPr>
                <w:rFonts w:hint="default" w:ascii="Times New Roman" w:hAnsi="Times New Roman" w:cs="Times New Roman"/>
                <w:color w:val="auto"/>
                <w:sz w:val="24"/>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eastAsia="zh-CN"/>
              </w:rPr>
              <w:t>②</w:t>
            </w:r>
            <w:r>
              <w:rPr>
                <w:rFonts w:hint="default" w:ascii="Times New Roman" w:hAnsi="Times New Roman" w:cs="Times New Roman"/>
                <w:color w:val="auto"/>
                <w:sz w:val="24"/>
                <w:szCs w:val="32"/>
                <w:lang w:val="en-US" w:eastAsia="zh-CN"/>
              </w:rPr>
              <w:t>器皿烘干：将纤维滤袋在105℃±2℃干燥2h，在干器中冷却至室温；</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eastAsia="zh-CN"/>
              </w:rPr>
            </w:pPr>
            <w:r>
              <w:rPr>
                <w:rFonts w:hint="default" w:ascii="Times New Roman" w:hAnsi="Times New Roman" w:cs="Times New Roman"/>
                <w:color w:val="auto"/>
                <w:sz w:val="24"/>
                <w:szCs w:val="32"/>
                <w:lang w:eastAsia="zh-CN"/>
              </w:rPr>
              <w:t>③</w:t>
            </w:r>
            <w:r>
              <w:rPr>
                <w:rFonts w:hint="default" w:ascii="Times New Roman" w:hAnsi="Times New Roman" w:cs="Times New Roman"/>
                <w:color w:val="auto"/>
                <w:sz w:val="24"/>
                <w:szCs w:val="32"/>
                <w:lang w:val="en-US" w:eastAsia="zh-CN"/>
              </w:rPr>
              <w:t>试剂配制</w:t>
            </w:r>
            <w:r>
              <w:rPr>
                <w:rFonts w:hint="default" w:ascii="Times New Roman" w:hAnsi="Times New Roman" w:cs="Times New Roman"/>
                <w:color w:val="auto"/>
                <w:sz w:val="24"/>
                <w:szCs w:val="3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a</w:t>
            </w:r>
            <w:r>
              <w:rPr>
                <w:rFonts w:hint="default" w:ascii="Times New Roman" w:hAnsi="Times New Roman" w:eastAsia="宋体" w:cs="Times New Roman"/>
                <w:color w:val="auto"/>
                <w:sz w:val="24"/>
                <w:szCs w:val="24"/>
              </w:rPr>
              <w:t>硫酸溶液（0.50mol/L±0.025 mol/L 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rPr>
              <w:t>4</w:t>
            </w:r>
            <w:r>
              <w:rPr>
                <w:rFonts w:hint="default" w:ascii="Times New Roman" w:hAnsi="Times New Roman" w:eastAsia="宋体" w:cs="Times New Roman"/>
                <w:color w:val="auto"/>
                <w:sz w:val="24"/>
                <w:szCs w:val="24"/>
              </w:rPr>
              <w:t>）：按照GB/T601</w:t>
            </w:r>
            <w:r>
              <w:rPr>
                <w:rFonts w:hint="default" w:ascii="Times New Roman" w:hAnsi="Times New Roman" w:eastAsia="宋体" w:cs="Times New Roman"/>
                <w:color w:val="auto"/>
                <w:sz w:val="24"/>
                <w:szCs w:val="24"/>
                <w:lang w:val="en-US" w:eastAsia="zh-CN"/>
              </w:rPr>
              <w:t>配制</w:t>
            </w:r>
            <w:r>
              <w:rPr>
                <w:rFonts w:hint="default" w:ascii="Times New Roman" w:hAnsi="Times New Roman" w:eastAsia="宋体" w:cs="Times New Roman"/>
                <w:color w:val="auto"/>
                <w:sz w:val="24"/>
                <w:szCs w:val="24"/>
              </w:rPr>
              <w:t>和标定</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b</w:t>
            </w:r>
            <w:r>
              <w:rPr>
                <w:rFonts w:hint="default" w:ascii="Times New Roman" w:hAnsi="Times New Roman" w:eastAsia="宋体" w:cs="Times New Roman"/>
                <w:color w:val="auto"/>
                <w:sz w:val="24"/>
                <w:szCs w:val="24"/>
              </w:rPr>
              <w:t>酸性洗涤液：称取20g十六烷基三甲基溴化铵，加入100mL 0.50mol/L H</w:t>
            </w:r>
            <w:r>
              <w:rPr>
                <w:rFonts w:hint="default" w:ascii="Times New Roman" w:hAnsi="Times New Roman" w:eastAsia="宋体" w:cs="Times New Roman"/>
                <w:color w:val="auto"/>
                <w:sz w:val="24"/>
                <w:szCs w:val="24"/>
                <w:vertAlign w:val="subscript"/>
              </w:rPr>
              <w:t>2</w:t>
            </w:r>
            <w:r>
              <w:rPr>
                <w:rFonts w:hint="default" w:ascii="Times New Roman" w:hAnsi="Times New Roman" w:eastAsia="宋体" w:cs="Times New Roman"/>
                <w:color w:val="auto"/>
                <w:sz w:val="24"/>
                <w:szCs w:val="24"/>
              </w:rPr>
              <w:t>SO</w:t>
            </w:r>
            <w:r>
              <w:rPr>
                <w:rFonts w:hint="default" w:ascii="Times New Roman" w:hAnsi="Times New Roman" w:eastAsia="宋体" w:cs="Times New Roman"/>
                <w:color w:val="auto"/>
                <w:sz w:val="24"/>
                <w:szCs w:val="24"/>
                <w:vertAlign w:val="subscript"/>
                <w:lang w:val="en-US" w:eastAsia="zh-CN"/>
              </w:rPr>
              <w:t>4</w:t>
            </w:r>
            <w:r>
              <w:rPr>
                <w:rFonts w:hint="default" w:ascii="Times New Roman" w:hAnsi="Times New Roman" w:eastAsia="宋体" w:cs="Times New Roman"/>
                <w:color w:val="auto"/>
                <w:sz w:val="24"/>
                <w:szCs w:val="24"/>
                <w:vertAlign w:val="subscript"/>
              </w:rPr>
              <w:t xml:space="preserve"> </w:t>
            </w:r>
            <w:r>
              <w:rPr>
                <w:rFonts w:hint="default" w:ascii="Times New Roman" w:hAnsi="Times New Roman" w:eastAsia="宋体" w:cs="Times New Roman"/>
                <w:color w:val="auto"/>
                <w:sz w:val="24"/>
                <w:szCs w:val="24"/>
              </w:rPr>
              <w:t>硫酸溶液</w:t>
            </w:r>
            <w:r>
              <w:rPr>
                <w:rFonts w:hint="default" w:ascii="Times New Roman" w:hAnsi="Times New Roman" w:eastAsia="宋体" w:cs="Times New Roman"/>
                <w:color w:val="auto"/>
                <w:sz w:val="24"/>
                <w:szCs w:val="24"/>
                <w:lang w:val="en-US" w:eastAsia="zh-CN"/>
              </w:rPr>
              <w:t>a</w:t>
            </w:r>
            <w:r>
              <w:rPr>
                <w:rFonts w:hint="default" w:ascii="Times New Roman" w:hAnsi="Times New Roman" w:eastAsia="宋体" w:cs="Times New Roman"/>
                <w:color w:val="auto"/>
                <w:sz w:val="24"/>
                <w:szCs w:val="24"/>
              </w:rPr>
              <w:t>，搅拌溶解，混匀</w:t>
            </w:r>
            <w:r>
              <w:rPr>
                <w:rFonts w:hint="default"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c消泡剂：硅油消泡剂；</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eastAsia="zh-CN"/>
              </w:rPr>
              <w:t>④</w:t>
            </w:r>
            <w:r>
              <w:rPr>
                <w:rFonts w:hint="default" w:ascii="Times New Roman" w:hAnsi="Times New Roman" w:cs="Times New Roman"/>
                <w:color w:val="auto"/>
                <w:sz w:val="24"/>
                <w:szCs w:val="24"/>
                <w:lang w:val="en-US" w:eastAsia="zh-CN"/>
              </w:rPr>
              <w:t>称量：滤袋称量，试样称量；</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eastAsia="zh-CN"/>
              </w:rPr>
              <w:t>⑤</w:t>
            </w:r>
            <w:r>
              <w:rPr>
                <w:rFonts w:hint="default" w:ascii="Times New Roman" w:hAnsi="Times New Roman" w:cs="Times New Roman"/>
                <w:color w:val="auto"/>
                <w:sz w:val="24"/>
                <w:szCs w:val="32"/>
                <w:lang w:val="en-US" w:eastAsia="zh-CN"/>
              </w:rPr>
              <w:t>预先脱脂（试样脂肪含量超过5%时，进行此过程）：将装有试样的滤袋放入烧杯中，置于通风橱内，加人丙酮或石油醚，使样品完全浸没，浸泡5 min，期间用玻璃棒轻轻搅拌翻动2次或取出滤袋反复浸没2次，倒去烧杯中的丙酮或石油醚。重复操作3次。取出滤袋，放在滤纸上，轻轻挤压去除滤袋上的丙酮或石油醚，在通风橱中挥发30min，去除残余的丙酮或石油醚；</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eastAsia="zh-CN"/>
              </w:rPr>
              <w:t>⑥</w:t>
            </w:r>
            <w:r>
              <w:rPr>
                <w:rFonts w:hint="default" w:ascii="Times New Roman" w:hAnsi="Times New Roman" w:cs="Times New Roman"/>
                <w:color w:val="auto"/>
                <w:sz w:val="24"/>
                <w:szCs w:val="32"/>
                <w:lang w:val="en-US" w:eastAsia="zh-CN"/>
              </w:rPr>
              <w:t>上机消煮：打开主机电源、自来水，将1.3L酸性纤维洗涤液倒入消煮锅中，加入装有试样的滤袋。进入Execution程序，选择NO.3，运行酸性洗涤纤维检测程序，开始消煮；</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⑦脱脂：将消煮后的滤袋放入干净烧杯，置于通风橱中，加入适量丙酮，使样品完全浸没，浸泡5min，期间用玻璃棒轻轻搅拌翻动2次，或取出滤袋反复浸没2次，倒去烧杯中的丙酮。重复操作2次。如果滤出物仍有颜色，需再次用丙酮重复清洗、挤压，直至浸出液为无色。取出滤袋，放在滤纸上轻轻挤压去除滤袋上的丙酮，在通风橱中挥发30min，去除残余丙酮；</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⑧烘干：将脱脂后的滤袋于105℃±4℃，取出置于干燥器中冷却至室温（30min），迅速称量，精确至0.0001g，直至连续2次称重的差值不超过2mg；</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200"/>
              <w:jc w:val="left"/>
              <w:textAlignment w:val="auto"/>
              <w:rPr>
                <w:rFonts w:hint="default" w:ascii="Times New Roman" w:hAnsi="Times New Roman" w:cs="Times New Roman"/>
                <w:b/>
                <w:bCs/>
                <w:color w:val="auto"/>
                <w:kern w:val="0"/>
                <w:sz w:val="24"/>
                <w:lang w:val="en-US" w:eastAsia="zh-CN" w:bidi="ar"/>
              </w:rPr>
            </w:pPr>
            <w:r>
              <w:rPr>
                <w:rFonts w:hint="default" w:ascii="Times New Roman" w:hAnsi="Times New Roman" w:cs="Times New Roman"/>
                <w:b/>
                <w:bCs/>
                <w:color w:val="auto"/>
                <w:kern w:val="0"/>
                <w:sz w:val="24"/>
                <w:lang w:val="en-US" w:eastAsia="zh-CN" w:bidi="ar"/>
              </w:rPr>
              <w:t>（4）饲料中脂肪的测定</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object>
                <v:shape id="_x0000_i1030" o:spt="75" type="#_x0000_t75" style="height:96.1pt;width:411.95pt;" o:ole="t" filled="f" o:preferrelative="t" stroked="f" coordsize="21600,21600">
                  <v:path/>
                  <v:fill on="f" focussize="0,0"/>
                  <v:stroke on="f"/>
                  <v:imagedata r:id="rId20" o:title=""/>
                  <o:lock v:ext="edit" aspectratio="f"/>
                  <w10:wrap type="none"/>
                  <w10:anchorlock/>
                </v:shape>
                <o:OLEObject Type="Embed" ProgID="Visio.Drawing.15" ShapeID="_x0000_i1030" DrawAspect="Content" ObjectID="_1468075730" r:id="rId19">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图2-5  饲料中脂肪测定工艺流程及主要产污环节示意图</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①样品准备：取测定水分后的样品或单独制备（制备方法参照水分测定步骤）；</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②器皿烘干：将洁净的浸提杯加入3粒沸石后放入103℃±2℃干燥箱中，干燥30 min±1min；</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③称量：</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a浸提杯称量：浸提杯烘干完成后，将干燥的浸提杯放在干燥器中冷却至室温。恒重称重其质量准确至1mg；</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b样品称量：取干燥后的样品2g左右，称量其重量（W）准确至1mg，加入滤纸筒，将加入样品后的滤纸筒填满脱脂棉，放入洁净的烧杯中备用；</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④上机操作</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a打开冷却水龙头、空气压缩机以及主机电源；</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color w:val="auto"/>
                <w:sz w:val="22"/>
                <w:lang w:val="en-US" w:eastAsia="zh-CN"/>
              </w:rPr>
            </w:pPr>
            <w:r>
              <w:rPr>
                <w:rFonts w:hint="default" w:ascii="Times New Roman" w:hAnsi="Times New Roman" w:cs="Times New Roman"/>
                <w:color w:val="auto"/>
                <w:sz w:val="24"/>
                <w:szCs w:val="32"/>
                <w:lang w:val="en-US" w:eastAsia="zh-CN"/>
              </w:rPr>
              <w:t>b</w:t>
            </w:r>
            <w:r>
              <w:rPr>
                <w:rFonts w:hint="default" w:ascii="Times New Roman" w:hAnsi="Times New Roman" w:eastAsia="宋体" w:cs="Times New Roman"/>
                <w:color w:val="auto"/>
                <w:sz w:val="22"/>
              </w:rPr>
              <w:t>将加入样品及脱脂棉的滤纸筒放入浸提杯中</w:t>
            </w:r>
            <w:r>
              <w:rPr>
                <w:rFonts w:hint="default" w:ascii="Times New Roman" w:hAnsi="Times New Roman" w:cs="Times New Roman"/>
                <w:color w:val="auto"/>
                <w:sz w:val="22"/>
                <w:lang w:val="en-US" w:eastAsia="zh-CN"/>
              </w:rPr>
              <w:t>，</w:t>
            </w:r>
            <w:r>
              <w:rPr>
                <w:rFonts w:hint="default" w:ascii="Times New Roman" w:hAnsi="Times New Roman" w:eastAsia="宋体" w:cs="Times New Roman"/>
                <w:color w:val="auto"/>
                <w:sz w:val="22"/>
                <w:lang w:val="en-US" w:eastAsia="zh-CN"/>
              </w:rPr>
              <w:t xml:space="preserve">在浸提杯中加入150ml石油醚，立即卡入仪器上； </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c电脑操作，进行浸提；</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color w:val="auto"/>
                <w:sz w:val="22"/>
                <w:lang w:eastAsia="zh-CN"/>
              </w:rPr>
            </w:pPr>
            <w:r>
              <w:rPr>
                <w:rFonts w:hint="default" w:ascii="Times New Roman" w:hAnsi="Times New Roman" w:cs="Times New Roman"/>
                <w:color w:val="auto"/>
                <w:sz w:val="24"/>
                <w:szCs w:val="32"/>
                <w:lang w:val="en-US" w:eastAsia="zh-CN"/>
              </w:rPr>
              <w:t>d</w:t>
            </w:r>
            <w:r>
              <w:rPr>
                <w:rFonts w:hint="default" w:ascii="Times New Roman" w:hAnsi="Times New Roman" w:eastAsia="宋体" w:cs="Times New Roman"/>
                <w:color w:val="auto"/>
                <w:sz w:val="22"/>
              </w:rPr>
              <w:t>浸提杯称量：浸提程序运行结束后，取下浸提杯，取出滤纸筒，将浸提杯中的石油醚风干后，放入103 ℃±2℃干燥箱中干燥，称</w:t>
            </w:r>
            <w:r>
              <w:rPr>
                <w:rFonts w:hint="default" w:ascii="Times New Roman" w:hAnsi="Times New Roman" w:eastAsia="宋体" w:cs="Times New Roman"/>
                <w:color w:val="auto"/>
                <w:sz w:val="22"/>
                <w:lang w:val="en-US" w:eastAsia="zh-CN"/>
              </w:rPr>
              <w:t>量</w:t>
            </w:r>
            <w:r>
              <w:rPr>
                <w:rFonts w:hint="default" w:ascii="Times New Roman" w:hAnsi="Times New Roman" w:eastAsia="宋体" w:cs="Times New Roman"/>
                <w:color w:val="auto"/>
                <w:sz w:val="22"/>
              </w:rPr>
              <w:t>其质量</w:t>
            </w:r>
            <w:r>
              <w:rPr>
                <w:rFonts w:hint="default" w:ascii="Times New Roman" w:hAnsi="Times New Roman" w:eastAsia="宋体" w:cs="Times New Roman"/>
                <w:color w:val="auto"/>
                <w:sz w:val="2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color w:val="auto"/>
                <w:sz w:val="22"/>
                <w:lang w:eastAsia="zh-CN"/>
              </w:rPr>
            </w:pPr>
            <w:r>
              <w:rPr>
                <w:rFonts w:hint="default" w:ascii="Times New Roman" w:hAnsi="Times New Roman" w:cs="Times New Roman"/>
                <w:color w:val="auto"/>
                <w:sz w:val="24"/>
                <w:szCs w:val="32"/>
                <w:lang w:val="en-US" w:eastAsia="zh-CN"/>
              </w:rPr>
              <w:t>e石油醚回收：</w:t>
            </w:r>
            <w:r>
              <w:rPr>
                <w:rFonts w:hint="default" w:ascii="Times New Roman" w:hAnsi="Times New Roman" w:eastAsia="宋体" w:cs="Times New Roman"/>
                <w:color w:val="auto"/>
                <w:sz w:val="22"/>
              </w:rPr>
              <w:t>把溶剂回收筒中的</w:t>
            </w:r>
            <w:r>
              <w:rPr>
                <w:rFonts w:hint="default" w:ascii="Times New Roman" w:hAnsi="Times New Roman" w:eastAsia="宋体" w:cs="Times New Roman"/>
                <w:color w:val="auto"/>
                <w:sz w:val="22"/>
                <w:lang w:val="en-US" w:eastAsia="zh-CN"/>
              </w:rPr>
              <w:t>石油醚</w:t>
            </w:r>
            <w:r>
              <w:rPr>
                <w:rFonts w:hint="default" w:ascii="Times New Roman" w:hAnsi="Times New Roman" w:eastAsia="宋体" w:cs="Times New Roman"/>
                <w:color w:val="auto"/>
                <w:sz w:val="22"/>
              </w:rPr>
              <w:t>收集装瓶。回收的溶剂是干净溶剂，可以立即用于下一个处理，需混合一半新溶剂再用</w:t>
            </w:r>
            <w:r>
              <w:rPr>
                <w:rFonts w:hint="default" w:ascii="Times New Roman" w:hAnsi="Times New Roman" w:eastAsia="宋体" w:cs="Times New Roman"/>
                <w:color w:val="auto"/>
                <w:sz w:val="22"/>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f托架、脱脂棉、滤纸筒可以立即用于下一个样品的测试；保存用过的脱脂棉、滤纸筒、一般用干燥器（待溶剂挥发完之后）。滤纸筒中的样品一般扣倒出即可。</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b/>
                <w:bCs/>
                <w:color w:val="auto"/>
                <w:sz w:val="24"/>
                <w:szCs w:val="32"/>
                <w:lang w:eastAsia="zh-CN"/>
              </w:rPr>
            </w:pPr>
            <w:r>
              <w:rPr>
                <w:rFonts w:hint="default" w:ascii="Times New Roman" w:hAnsi="Times New Roman" w:cs="Times New Roman"/>
                <w:b/>
                <w:bCs/>
                <w:color w:val="auto"/>
                <w:sz w:val="24"/>
                <w:szCs w:val="32"/>
                <w:highlight w:val="none"/>
                <w:lang w:val="en-US" w:eastAsia="zh-CN"/>
              </w:rPr>
              <w:t>DHI检测主要</w:t>
            </w:r>
            <w:r>
              <w:rPr>
                <w:rFonts w:hint="default" w:ascii="Times New Roman" w:hAnsi="Times New Roman" w:cs="Times New Roman"/>
                <w:b/>
                <w:bCs/>
                <w:color w:val="auto"/>
                <w:sz w:val="24"/>
                <w:szCs w:val="32"/>
              </w:rPr>
              <w:t>工艺流程说明</w:t>
            </w:r>
            <w:r>
              <w:rPr>
                <w:rFonts w:hint="default" w:ascii="Times New Roman" w:hAnsi="Times New Roman" w:cs="Times New Roman"/>
                <w:b/>
                <w:bCs/>
                <w:color w:val="auto"/>
                <w:sz w:val="24"/>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b/>
                <w:bCs/>
                <w:color w:val="auto"/>
                <w:sz w:val="24"/>
                <w:szCs w:val="32"/>
                <w:lang w:eastAsia="zh-CN"/>
              </w:rPr>
            </w:pPr>
            <w:r>
              <w:rPr>
                <w:rFonts w:hint="default" w:ascii="Times New Roman" w:hAnsi="Times New Roman" w:cs="Times New Roman"/>
                <w:b/>
                <w:bCs/>
                <w:color w:val="auto"/>
                <w:sz w:val="24"/>
                <w:szCs w:val="32"/>
                <w:lang w:eastAsia="zh-CN"/>
              </w:rPr>
              <w:object>
                <v:shape id="_x0000_i1031" o:spt="75" type="#_x0000_t75" style="height:151.8pt;width:411.8pt;" o:ole="t" filled="f" o:preferrelative="t" stroked="f" coordsize="21600,21600">
                  <v:path/>
                  <v:fill on="f" focussize="0,0"/>
                  <v:stroke on="f"/>
                  <v:imagedata r:id="rId22" o:title=""/>
                  <o:lock v:ext="edit" aspectratio="f"/>
                  <w10:wrap type="none"/>
                  <w10:anchorlock/>
                </v:shape>
                <o:OLEObject Type="Embed" ProgID="Visio.Drawing.15" ShapeID="_x0000_i1031" DrawAspect="Content" ObjectID="_1468075731" r:id="rId21">
                  <o:LockedField>false</o:LockedField>
                </o:OLEObject>
              </w:objec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4"/>
                <w:szCs w:val="24"/>
                <w:highlight w:val="none"/>
                <w:lang w:val="en-US" w:eastAsia="zh-CN"/>
              </w:rPr>
            </w:pPr>
            <w:r>
              <w:rPr>
                <w:rFonts w:hint="default" w:ascii="Times New Roman" w:hAnsi="Times New Roman" w:eastAsia="黑体" w:cs="Times New Roman"/>
                <w:color w:val="auto"/>
                <w:sz w:val="24"/>
                <w:szCs w:val="24"/>
                <w:highlight w:val="none"/>
                <w:lang w:val="en-US" w:eastAsia="zh-CN"/>
              </w:rPr>
              <w:t>图2-6  DHI检测工艺流程及主要产污环节示意图</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DHI实验室主要利用FOSS乳成分分析仪和FOSS体细胞分析仪进行乳成分分析和体细胞分析，仪器清洗液、调零液、强力清洗剂、染色剂为成品试剂，直接使用或稀释后使用。主要工艺流程如下：</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①采样：用采样器收集鲜牛奶于奶样瓶中，加入防腐剂；</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②样品准备：选用正常样品检测，筛除异常奶样；若为体细胞分析，还需用染色剂对奶样染色；</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③检测：</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a仪器检查:检查仪器所需试剂是否充足，是否超过保质期；检查仪器周边环境，是否有水渍、杂物等影响正常运行的因素；</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b开机：分别打开电脑、乳成份测定仪、体细胞计数仪的主机电源；</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④清洗调零：将一杯40℃左右的温纯水放在取样器下面，设置手动清洗10次，让水冲刷仪器各部位管路，再在左侧菜单中选择运行清洗程序；在左侧菜单中双击MSC+Zero-setting，进行调零；</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⑤监控样检测：每日检测工作开始前和结束后，使用监控样进行仪器性能监测；</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⑥监控样数值的录入：将早晚两次监控样检测的数值保存到电脑中，保存文件；</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⑦样品检测：将待检样品从水浴锅中取出，将预热好的样品进行上下颠倒9次，水平振摇6次，使样品充分混合均匀，按顺序放入样品轨道上，点击电脑操作进行检测；</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lang w:val="en-US" w:eastAsia="zh-CN"/>
              </w:rPr>
              <w:t>⑧保存：</w:t>
            </w:r>
            <w:r>
              <w:rPr>
                <w:rFonts w:hint="default" w:ascii="Times New Roman" w:hAnsi="Times New Roman" w:cs="Times New Roman"/>
                <w:color w:val="auto"/>
                <w:sz w:val="24"/>
              </w:rPr>
              <w:t>检测结束后，保存检测结果</w:t>
            </w:r>
            <w:r>
              <w:rPr>
                <w:rFonts w:hint="default" w:ascii="Times New Roman" w:hAnsi="Times New Roman" w:cs="Times New Roman"/>
                <w:color w:val="auto"/>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color w:val="auto"/>
                <w:sz w:val="24"/>
                <w:szCs w:val="32"/>
                <w:lang w:val="en-US" w:eastAsia="zh-CN"/>
              </w:rPr>
            </w:pPr>
            <w:r>
              <w:rPr>
                <w:rFonts w:hint="default" w:ascii="Times New Roman" w:hAnsi="Times New Roman" w:cs="Times New Roman"/>
                <w:color w:val="auto"/>
                <w:sz w:val="24"/>
                <w:szCs w:val="32"/>
                <w:lang w:val="en-US" w:eastAsia="zh-CN"/>
              </w:rPr>
              <w:t>⑨仪器清洗：使用纯水和FOSS清洗液清洗仪器。</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C.奶牛早孕检测、奶牛基因检测</w:t>
            </w:r>
          </w:p>
          <w:p>
            <w:pPr>
              <w:keepNext w:val="0"/>
              <w:keepLines w:val="0"/>
              <w:pageBreakBefore w:val="0"/>
              <w:widowControl w:val="0"/>
              <w:kinsoku/>
              <w:wordWrap/>
              <w:overflowPunct/>
              <w:topLinePunct w:val="0"/>
              <w:autoSpaceDE/>
              <w:autoSpaceDN/>
              <w:bidi w:val="0"/>
              <w:adjustRightInd/>
              <w:snapToGrid/>
              <w:spacing w:line="240" w:lineRule="auto"/>
              <w:ind w:firstLine="512" w:firstLineChars="200"/>
              <w:jc w:val="left"/>
              <w:textAlignment w:val="auto"/>
              <w:rPr>
                <w:rFonts w:hint="default" w:ascii="Times New Roman" w:hAnsi="Times New Roman" w:cs="Times New Roman"/>
                <w:b w:val="0"/>
                <w:bCs w:val="0"/>
                <w:color w:val="auto"/>
                <w:sz w:val="24"/>
                <w:szCs w:val="32"/>
                <w:highlight w:val="none"/>
                <w:lang w:val="en-US" w:eastAsia="zh-CN"/>
              </w:rPr>
            </w:pPr>
            <w:r>
              <w:rPr>
                <w:rFonts w:hint="default" w:ascii="Times New Roman" w:hAnsi="Times New Roman" w:cs="Times New Roman"/>
                <w:b w:val="0"/>
                <w:bCs w:val="0"/>
                <w:color w:val="auto"/>
                <w:sz w:val="24"/>
                <w:szCs w:val="32"/>
                <w:highlight w:val="none"/>
                <w:lang w:val="en-US" w:eastAsia="zh-CN"/>
              </w:rPr>
              <w:t>奶牛早孕检测和奶牛基因检测都是直接使用成品试剂盒进行检测，采样时为奶牛静脉血（本实验室不进行采样，直接使用测好的成品检测），检测时按照试剂盒操作说明进行检测。</w:t>
            </w:r>
          </w:p>
          <w:p>
            <w:pPr>
              <w:keepNext w:val="0"/>
              <w:keepLines w:val="0"/>
              <w:pageBreakBefore w:val="0"/>
              <w:widowControl w:val="0"/>
              <w:numPr>
                <w:ilvl w:val="0"/>
                <w:numId w:val="8"/>
              </w:numPr>
              <w:kinsoku/>
              <w:wordWrap/>
              <w:overflowPunct/>
              <w:topLinePunct w:val="0"/>
              <w:autoSpaceDE/>
              <w:autoSpaceDN/>
              <w:bidi w:val="0"/>
              <w:spacing w:before="240" w:after="60"/>
              <w:ind w:left="0" w:leftChars="0" w:firstLine="0" w:firstLineChars="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产污环节分析</w:t>
            </w:r>
          </w:p>
          <w:p>
            <w:pPr>
              <w:keepNext w:val="0"/>
              <w:keepLines w:val="0"/>
              <w:pageBreakBefore w:val="0"/>
              <w:widowControl w:val="0"/>
              <w:numPr>
                <w:ilvl w:val="0"/>
                <w:numId w:val="0"/>
              </w:numPr>
              <w:kinsoku/>
              <w:wordWrap/>
              <w:overflowPunct/>
              <w:topLinePunct w:val="0"/>
              <w:autoSpaceDE/>
              <w:autoSpaceDN/>
              <w:bidi w:val="0"/>
              <w:ind w:leftChars="0" w:firstLine="512" w:firstLineChars="200"/>
              <w:rPr>
                <w:rFonts w:hint="default" w:ascii="Times New Roman" w:hAnsi="Times New Roman"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（1）废气</w:t>
            </w:r>
          </w:p>
          <w:p>
            <w:pPr>
              <w:keepNext w:val="0"/>
              <w:keepLines w:val="0"/>
              <w:pageBreakBefore w:val="0"/>
              <w:widowControl w:val="0"/>
              <w:kinsoku/>
              <w:wordWrap/>
              <w:overflowPunct/>
              <w:topLinePunct w:val="0"/>
              <w:autoSpaceDE/>
              <w:autoSpaceDN/>
              <w:bidi w:val="0"/>
              <w:ind w:firstLine="512"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kern w:val="2"/>
                <w:sz w:val="24"/>
                <w:szCs w:val="32"/>
                <w:lang w:val="en-US" w:eastAsia="zh-CN" w:bidi="ar-SA"/>
              </w:rPr>
              <w:t>本项目废气主要是实验室运营过程中化验、配制试剂时产生的极少量废气。根据样品处理工艺的不同，项目主要废气包括二个部分</w:t>
            </w:r>
            <w:r>
              <w:rPr>
                <w:rFonts w:hint="default" w:ascii="Times New Roman" w:hAnsi="Times New Roman" w:cs="Times New Roman"/>
                <w:color w:val="auto"/>
                <w:kern w:val="2"/>
                <w:sz w:val="24"/>
                <w:szCs w:val="32"/>
                <w:lang w:val="en-US" w:eastAsia="zh-CN" w:bidi="ar-SA"/>
              </w:rPr>
              <w:t>：</w:t>
            </w:r>
            <w:r>
              <w:rPr>
                <w:rFonts w:hint="default" w:ascii="Times New Roman" w:hAnsi="Times New Roman" w:eastAsia="宋体" w:cs="Times New Roman"/>
                <w:color w:val="auto"/>
                <w:kern w:val="2"/>
                <w:sz w:val="24"/>
                <w:szCs w:val="32"/>
                <w:lang w:val="en-US" w:eastAsia="zh-CN" w:bidi="ar-SA"/>
              </w:rPr>
              <w:t>有机废气和无机废气。其中有机废气主要为石油醚、丙酮挥发性有机废气（有机废气污染因子以非甲烷总烃计）；无机废气污染因子主要为氯化氢和硫酸雾。</w:t>
            </w:r>
          </w:p>
          <w:p>
            <w:pPr>
              <w:keepNext w:val="0"/>
              <w:keepLines w:val="0"/>
              <w:pageBreakBefore w:val="0"/>
              <w:widowControl w:val="0"/>
              <w:numPr>
                <w:ilvl w:val="0"/>
                <w:numId w:val="0"/>
              </w:numPr>
              <w:kinsoku/>
              <w:wordWrap/>
              <w:overflowPunct/>
              <w:topLinePunct w:val="0"/>
              <w:autoSpaceDE/>
              <w:autoSpaceDN/>
              <w:bidi w:val="0"/>
              <w:ind w:leftChars="0" w:firstLine="512" w:firstLineChars="200"/>
              <w:rPr>
                <w:rFonts w:hint="default" w:ascii="Times New Roman" w:hAnsi="Times New Roman" w:cs="Times New Roman"/>
                <w:b/>
                <w:bCs/>
                <w:color w:val="auto"/>
                <w:sz w:val="24"/>
                <w:szCs w:val="32"/>
                <w:lang w:val="en-US" w:eastAsia="zh-CN"/>
              </w:rPr>
            </w:pPr>
            <w:r>
              <w:rPr>
                <w:rFonts w:hint="default" w:ascii="Times New Roman" w:hAnsi="Times New Roman" w:cs="Times New Roman"/>
                <w:b/>
                <w:bCs/>
                <w:color w:val="auto"/>
                <w:sz w:val="24"/>
                <w:szCs w:val="32"/>
                <w:lang w:val="en-US" w:eastAsia="zh-CN"/>
              </w:rPr>
              <w:t>（2）废水</w:t>
            </w: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eastAsia="宋体" w:cs="Times New Roman"/>
                <w:color w:val="auto"/>
                <w:kern w:val="2"/>
                <w:sz w:val="24"/>
                <w:szCs w:val="32"/>
                <w:lang w:val="en-US" w:eastAsia="zh-CN" w:bidi="ar-SA"/>
              </w:rPr>
            </w:pPr>
            <w:r>
              <w:rPr>
                <w:rFonts w:hint="default" w:ascii="Times New Roman" w:hAnsi="Times New Roman" w:eastAsia="宋体" w:cs="Times New Roman"/>
                <w:color w:val="auto"/>
                <w:kern w:val="2"/>
                <w:sz w:val="24"/>
                <w:szCs w:val="32"/>
                <w:lang w:val="en-US" w:eastAsia="zh-CN" w:bidi="ar-SA"/>
              </w:rPr>
              <w:t>本项目</w:t>
            </w:r>
            <w:r>
              <w:rPr>
                <w:rFonts w:hint="default" w:ascii="Times New Roman" w:hAnsi="Times New Roman" w:cs="Times New Roman"/>
                <w:color w:val="auto"/>
                <w:kern w:val="2"/>
                <w:sz w:val="24"/>
                <w:szCs w:val="32"/>
                <w:lang w:val="en-US" w:eastAsia="zh-CN" w:bidi="ar-SA"/>
              </w:rPr>
              <w:t>废水</w:t>
            </w:r>
            <w:r>
              <w:rPr>
                <w:rFonts w:hint="default" w:ascii="Times New Roman" w:hAnsi="Times New Roman" w:eastAsia="宋体" w:cs="Times New Roman"/>
                <w:color w:val="auto"/>
                <w:kern w:val="2"/>
                <w:sz w:val="24"/>
                <w:szCs w:val="32"/>
                <w:lang w:val="en-US" w:eastAsia="zh-CN" w:bidi="ar-SA"/>
              </w:rPr>
              <w:t>主要是实验</w:t>
            </w:r>
            <w:r>
              <w:rPr>
                <w:rFonts w:hint="default" w:ascii="Times New Roman" w:hAnsi="Times New Roman" w:cs="Times New Roman"/>
                <w:color w:val="auto"/>
                <w:kern w:val="2"/>
                <w:sz w:val="24"/>
                <w:szCs w:val="32"/>
                <w:lang w:val="en-US" w:eastAsia="zh-CN" w:bidi="ar-SA"/>
              </w:rPr>
              <w:t>制备纯水</w:t>
            </w:r>
            <w:r>
              <w:rPr>
                <w:rFonts w:hint="default" w:ascii="Times New Roman" w:hAnsi="Times New Roman" w:eastAsia="宋体" w:cs="Times New Roman"/>
                <w:color w:val="auto"/>
                <w:kern w:val="2"/>
                <w:sz w:val="24"/>
                <w:szCs w:val="32"/>
                <w:lang w:val="en-US" w:eastAsia="zh-CN" w:bidi="ar-SA"/>
              </w:rPr>
              <w:t>时</w:t>
            </w:r>
            <w:r>
              <w:rPr>
                <w:rFonts w:hint="default" w:ascii="Times New Roman" w:hAnsi="Times New Roman" w:cs="Times New Roman"/>
                <w:color w:val="auto"/>
                <w:kern w:val="2"/>
                <w:sz w:val="24"/>
                <w:szCs w:val="32"/>
                <w:lang w:val="en-US" w:eastAsia="zh-CN" w:bidi="ar-SA"/>
              </w:rPr>
              <w:t>产生的浓盐水、实验器皿后段清洗废水及生活污水。</w:t>
            </w:r>
            <w:r>
              <w:rPr>
                <w:rFonts w:hint="default" w:ascii="Times New Roman" w:hAnsi="Times New Roman" w:eastAsia="宋体" w:cs="Times New Roman"/>
                <w:color w:val="auto"/>
                <w:kern w:val="2"/>
                <w:sz w:val="24"/>
                <w:szCs w:val="32"/>
                <w:lang w:val="en-US" w:eastAsia="zh-CN" w:bidi="ar-SA"/>
              </w:rPr>
              <w:t>实验器皿后段清洗废水经中和调节桶调节pH至6-9后，与生活污水和纯水制备系统产生的浓盐水一起排入现有化粪池处理后经市政污水管网最终进入中卫市第三污水处理厂集中处理。</w:t>
            </w:r>
          </w:p>
          <w:p>
            <w:pPr>
              <w:keepNext w:val="0"/>
              <w:keepLines w:val="0"/>
              <w:pageBreakBefore w:val="0"/>
              <w:widowControl w:val="0"/>
              <w:numPr>
                <w:ilvl w:val="0"/>
                <w:numId w:val="0"/>
              </w:numPr>
              <w:kinsoku/>
              <w:wordWrap/>
              <w:overflowPunct/>
              <w:topLinePunct w:val="0"/>
              <w:autoSpaceDE/>
              <w:autoSpaceDN/>
              <w:bidi w:val="0"/>
              <w:ind w:leftChars="0" w:firstLine="512" w:firstLineChars="200"/>
              <w:rPr>
                <w:rFonts w:hint="default" w:ascii="Times New Roman" w:hAnsi="Times New Roman" w:cs="Times New Roman"/>
                <w:color w:val="auto"/>
                <w:sz w:val="24"/>
                <w:szCs w:val="32"/>
              </w:rPr>
            </w:pPr>
            <w:r>
              <w:rPr>
                <w:rFonts w:hint="default" w:ascii="Times New Roman" w:hAnsi="Times New Roman" w:cs="Times New Roman"/>
                <w:b/>
                <w:bCs/>
                <w:color w:val="auto"/>
                <w:sz w:val="24"/>
                <w:szCs w:val="32"/>
                <w:lang w:eastAsia="zh-CN"/>
              </w:rPr>
              <w:t>（</w:t>
            </w:r>
            <w:r>
              <w:rPr>
                <w:rFonts w:hint="default" w:ascii="Times New Roman" w:hAnsi="Times New Roman" w:cs="Times New Roman"/>
                <w:b/>
                <w:bCs/>
                <w:color w:val="auto"/>
                <w:sz w:val="24"/>
                <w:szCs w:val="32"/>
                <w:lang w:val="en-US" w:eastAsia="zh-CN"/>
              </w:rPr>
              <w:t>3</w:t>
            </w:r>
            <w:r>
              <w:rPr>
                <w:rFonts w:hint="default" w:ascii="Times New Roman" w:hAnsi="Times New Roman" w:cs="Times New Roman"/>
                <w:b/>
                <w:bCs/>
                <w:color w:val="auto"/>
                <w:sz w:val="24"/>
                <w:szCs w:val="32"/>
                <w:lang w:eastAsia="zh-CN"/>
              </w:rPr>
              <w:t>）</w:t>
            </w:r>
            <w:r>
              <w:rPr>
                <w:rFonts w:hint="default" w:ascii="Times New Roman" w:hAnsi="Times New Roman" w:cs="Times New Roman"/>
                <w:b/>
                <w:bCs/>
                <w:color w:val="auto"/>
                <w:sz w:val="24"/>
                <w:szCs w:val="32"/>
              </w:rPr>
              <w:t>噪声</w:t>
            </w:r>
            <w:r>
              <w:rPr>
                <w:rFonts w:hint="default" w:ascii="Times New Roman" w:hAnsi="Times New Roman" w:cs="Times New Roman"/>
                <w:color w:val="auto"/>
                <w:sz w:val="24"/>
                <w:szCs w:val="32"/>
              </w:rPr>
              <w:t>：</w:t>
            </w:r>
          </w:p>
          <w:p>
            <w:pPr>
              <w:keepNext w:val="0"/>
              <w:keepLines w:val="0"/>
              <w:pageBreakBefore w:val="0"/>
              <w:widowControl w:val="0"/>
              <w:numPr>
                <w:ilvl w:val="0"/>
                <w:numId w:val="0"/>
              </w:numPr>
              <w:kinsoku/>
              <w:wordWrap/>
              <w:overflowPunct/>
              <w:topLinePunct w:val="0"/>
              <w:autoSpaceDE/>
              <w:autoSpaceDN/>
              <w:bidi w:val="0"/>
              <w:adjustRightInd/>
              <w:snapToGrid/>
              <w:ind w:firstLine="512" w:firstLineChars="200"/>
              <w:textAlignment w:val="auto"/>
              <w:rPr>
                <w:rFonts w:hint="default" w:ascii="Times New Roman" w:hAnsi="Times New Roman" w:cs="Times New Roman"/>
                <w:color w:val="auto"/>
                <w:sz w:val="24"/>
                <w:szCs w:val="32"/>
              </w:rPr>
            </w:pPr>
            <w:r>
              <w:rPr>
                <w:rFonts w:hint="default" w:ascii="Times New Roman" w:hAnsi="Times New Roman" w:cs="Times New Roman"/>
                <w:color w:val="auto"/>
                <w:sz w:val="24"/>
                <w:szCs w:val="32"/>
              </w:rPr>
              <w:t>项目噪声主要来源于实验设备运行过程中产生的噪声，对周围环境影响较小。</w:t>
            </w:r>
          </w:p>
          <w:p>
            <w:pPr>
              <w:pStyle w:val="3"/>
              <w:keepNext w:val="0"/>
              <w:keepLines w:val="0"/>
              <w:pageBreakBefore w:val="0"/>
              <w:widowControl w:val="0"/>
              <w:numPr>
                <w:ilvl w:val="0"/>
                <w:numId w:val="0"/>
              </w:numPr>
              <w:kinsoku/>
              <w:wordWrap/>
              <w:overflowPunct/>
              <w:topLinePunct w:val="0"/>
              <w:autoSpaceDE/>
              <w:autoSpaceDN/>
              <w:bidi w:val="0"/>
              <w:spacing w:line="240" w:lineRule="auto"/>
              <w:ind w:leftChars="0"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b/>
                <w:bCs w:val="0"/>
                <w:color w:val="auto"/>
                <w:sz w:val="24"/>
                <w:highlight w:val="none"/>
                <w:lang w:eastAsia="zh-CN"/>
              </w:rPr>
              <w:t>（</w:t>
            </w:r>
            <w:r>
              <w:rPr>
                <w:rFonts w:hint="default" w:ascii="Times New Roman" w:hAnsi="Times New Roman" w:eastAsia="宋体" w:cs="Times New Roman"/>
                <w:b/>
                <w:bCs w:val="0"/>
                <w:color w:val="auto"/>
                <w:sz w:val="24"/>
                <w:highlight w:val="none"/>
                <w:lang w:val="en-US" w:eastAsia="zh-CN"/>
              </w:rPr>
              <w:t>4</w:t>
            </w:r>
            <w:r>
              <w:rPr>
                <w:rFonts w:hint="default" w:ascii="Times New Roman" w:hAnsi="Times New Roman" w:eastAsia="宋体" w:cs="Times New Roman"/>
                <w:b/>
                <w:bCs w:val="0"/>
                <w:color w:val="auto"/>
                <w:sz w:val="24"/>
                <w:highlight w:val="none"/>
                <w:lang w:eastAsia="zh-CN"/>
              </w:rPr>
              <w:t>）</w:t>
            </w:r>
            <w:r>
              <w:rPr>
                <w:rFonts w:hint="default" w:ascii="Times New Roman" w:hAnsi="Times New Roman" w:eastAsia="宋体" w:cs="Times New Roman"/>
                <w:b/>
                <w:bCs w:val="0"/>
                <w:color w:val="auto"/>
                <w:sz w:val="24"/>
                <w:highlight w:val="none"/>
              </w:rPr>
              <w:t>固体废物</w:t>
            </w:r>
            <w:r>
              <w:rPr>
                <w:rFonts w:hint="default" w:ascii="Times New Roman" w:hAnsi="Times New Roman" w:eastAsia="宋体" w:cs="Times New Roman"/>
                <w:color w:val="auto"/>
                <w:sz w:val="24"/>
              </w:rPr>
              <w:t>：</w:t>
            </w:r>
          </w:p>
          <w:p>
            <w:pPr>
              <w:pStyle w:val="3"/>
              <w:keepNext w:val="0"/>
              <w:keepLines w:val="0"/>
              <w:pageBreakBefore w:val="0"/>
              <w:widowControl w:val="0"/>
              <w:numPr>
                <w:ilvl w:val="0"/>
                <w:numId w:val="0"/>
              </w:numPr>
              <w:kinsoku/>
              <w:wordWrap/>
              <w:overflowPunct/>
              <w:topLinePunct w:val="0"/>
              <w:autoSpaceDE/>
              <w:autoSpaceDN/>
              <w:bidi w:val="0"/>
              <w:spacing w:line="240" w:lineRule="auto"/>
              <w:ind w:leftChars="0" w:firstLine="512"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①一般工业固体废物：</w:t>
            </w:r>
            <w:r>
              <w:rPr>
                <w:rFonts w:hint="default" w:ascii="Times New Roman" w:hAnsi="Times New Roman" w:eastAsia="宋体" w:cs="Times New Roman"/>
                <w:color w:val="auto"/>
                <w:sz w:val="24"/>
                <w:lang w:val="en-US" w:eastAsia="zh-CN"/>
              </w:rPr>
              <w:t>在实验室运行过程中，配制试剂、检测样品时会产生未沾染</w:t>
            </w:r>
            <w:r>
              <w:rPr>
                <w:rFonts w:hint="default" w:ascii="Times New Roman" w:hAnsi="Times New Roman" w:eastAsia="宋体" w:cs="Times New Roman"/>
                <w:color w:val="auto"/>
                <w:sz w:val="24"/>
              </w:rPr>
              <w:t>危险</w:t>
            </w:r>
            <w:r>
              <w:rPr>
                <w:rFonts w:hint="default" w:ascii="Times New Roman" w:hAnsi="Times New Roman" w:eastAsia="宋体" w:cs="Times New Roman"/>
                <w:color w:val="auto"/>
                <w:sz w:val="24"/>
                <w:lang w:val="en-US" w:eastAsia="zh-CN"/>
              </w:rPr>
              <w:t>物质</w:t>
            </w:r>
            <w:r>
              <w:rPr>
                <w:rFonts w:hint="default" w:ascii="Times New Roman" w:hAnsi="Times New Roman" w:eastAsia="宋体" w:cs="Times New Roman"/>
                <w:color w:val="auto"/>
                <w:sz w:val="24"/>
              </w:rPr>
              <w:t>的</w:t>
            </w:r>
            <w:r>
              <w:rPr>
                <w:rFonts w:hint="default" w:ascii="Times New Roman" w:hAnsi="Times New Roman" w:eastAsia="宋体" w:cs="Times New Roman"/>
                <w:color w:val="auto"/>
                <w:sz w:val="24"/>
                <w:lang w:val="en-US" w:eastAsia="zh-CN"/>
              </w:rPr>
              <w:t>废弃包装物</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废饲料、废离子交换树脂和</w:t>
            </w:r>
            <w:r>
              <w:rPr>
                <w:rFonts w:hint="default" w:ascii="Times New Roman" w:hAnsi="Times New Roman" w:eastAsia="宋体" w:cs="Times New Roman"/>
                <w:color w:val="auto"/>
                <w:sz w:val="24"/>
              </w:rPr>
              <w:t>职工生活垃圾</w:t>
            </w:r>
            <w:r>
              <w:rPr>
                <w:rFonts w:hint="default" w:ascii="Times New Roman" w:hAnsi="Times New Roman" w:eastAsia="宋体" w:cs="Times New Roman"/>
                <w:color w:val="auto"/>
                <w:sz w:val="24"/>
                <w:lang w:eastAsia="zh-CN"/>
              </w:rPr>
              <w:t>。</w:t>
            </w:r>
          </w:p>
          <w:p>
            <w:pPr>
              <w:pStyle w:val="3"/>
              <w:keepNext w:val="0"/>
              <w:keepLines w:val="0"/>
              <w:pageBreakBefore w:val="0"/>
              <w:widowControl w:val="0"/>
              <w:numPr>
                <w:ilvl w:val="0"/>
                <w:numId w:val="0"/>
              </w:numPr>
              <w:kinsoku/>
              <w:wordWrap/>
              <w:overflowPunct/>
              <w:topLinePunct w:val="0"/>
              <w:autoSpaceDE/>
              <w:autoSpaceDN/>
              <w:bidi w:val="0"/>
              <w:spacing w:line="240" w:lineRule="auto"/>
              <w:ind w:leftChars="0"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②危险废物：</w:t>
            </w:r>
          </w:p>
          <w:p>
            <w:pPr>
              <w:pStyle w:val="3"/>
              <w:keepNext w:val="0"/>
              <w:keepLines w:val="0"/>
              <w:pageBreakBefore w:val="0"/>
              <w:widowControl w:val="0"/>
              <w:numPr>
                <w:ilvl w:val="0"/>
                <w:numId w:val="0"/>
              </w:numPr>
              <w:kinsoku/>
              <w:wordWrap/>
              <w:overflowPunct/>
              <w:topLinePunct w:val="0"/>
              <w:autoSpaceDE/>
              <w:autoSpaceDN/>
              <w:bidi w:val="0"/>
              <w:spacing w:line="240" w:lineRule="auto"/>
              <w:ind w:leftChars="0" w:firstLine="512" w:firstLineChars="200"/>
              <w:rPr>
                <w:rFonts w:hint="default" w:ascii="Times New Roman" w:hAnsi="Times New Roman" w:cs="Times New Roman"/>
                <w:color w:val="auto"/>
              </w:rPr>
            </w:pPr>
            <w:r>
              <w:rPr>
                <w:rFonts w:hint="default" w:ascii="Times New Roman" w:hAnsi="Times New Roman" w:eastAsia="宋体" w:cs="Times New Roman"/>
                <w:color w:val="auto"/>
                <w:sz w:val="24"/>
                <w:lang w:val="en-US" w:eastAsia="zh-CN"/>
              </w:rPr>
              <w:t>在实验过程中，配制试剂、检测样品时会产生</w:t>
            </w:r>
            <w:r>
              <w:rPr>
                <w:rFonts w:hint="default" w:ascii="Times New Roman" w:hAnsi="Times New Roman" w:eastAsia="宋体" w:cs="Times New Roman"/>
                <w:color w:val="auto"/>
                <w:sz w:val="24"/>
              </w:rPr>
              <w:t>实验废液</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主要为</w:t>
            </w:r>
            <w:r>
              <w:rPr>
                <w:rFonts w:hint="default" w:ascii="Times New Roman" w:hAnsi="Times New Roman" w:eastAsia="宋体" w:cs="Times New Roman"/>
                <w:color w:val="auto"/>
                <w:sz w:val="24"/>
              </w:rPr>
              <w:t>实验</w:t>
            </w:r>
            <w:r>
              <w:rPr>
                <w:rFonts w:hint="default" w:ascii="Times New Roman" w:hAnsi="Times New Roman" w:eastAsia="宋体" w:cs="Times New Roman"/>
                <w:color w:val="auto"/>
                <w:sz w:val="24"/>
                <w:lang w:val="en-US" w:eastAsia="zh-CN"/>
              </w:rPr>
              <w:t>器皿</w:t>
            </w:r>
            <w:r>
              <w:rPr>
                <w:rFonts w:hint="default" w:ascii="Times New Roman" w:hAnsi="Times New Roman" w:eastAsia="宋体" w:cs="Times New Roman"/>
                <w:color w:val="auto"/>
                <w:sz w:val="24"/>
              </w:rPr>
              <w:t>前段清洗废水、配制试剂废液</w:t>
            </w:r>
            <w:r>
              <w:rPr>
                <w:rFonts w:hint="default" w:ascii="Times New Roman" w:hAnsi="Times New Roman" w:cs="Times New Roman"/>
                <w:color w:val="auto"/>
                <w:lang w:eastAsia="zh-CN"/>
              </w:rPr>
              <w:t>（</w:t>
            </w:r>
            <w:r>
              <w:rPr>
                <w:rFonts w:hint="default" w:ascii="Times New Roman" w:hAnsi="Times New Roman" w:eastAsia="宋体" w:cs="Times New Roman"/>
                <w:color w:val="auto"/>
                <w:kern w:val="2"/>
                <w:sz w:val="24"/>
                <w:szCs w:val="24"/>
                <w:lang w:val="en-US" w:eastAsia="zh-CN" w:bidi="ar-SA"/>
              </w:rPr>
              <w:t>配制试剂废液按试剂配制用水的3%计</w:t>
            </w:r>
            <w:r>
              <w:rPr>
                <w:rFonts w:hint="default" w:ascii="Times New Roman" w:hAnsi="Times New Roman" w:cs="Times New Roman"/>
                <w:color w:val="auto"/>
                <w:lang w:eastAsia="zh-CN"/>
              </w:rPr>
              <w:t>）</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4"/>
                <w:lang w:val="en-US" w:eastAsia="zh-CN"/>
              </w:rPr>
              <w:t>废牛奶、废牛血</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废弃化学试剂</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废一次性耗材</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废活性炭；沾染危险物质的废弃包装物</w:t>
            </w:r>
            <w:r>
              <w:rPr>
                <w:rFonts w:hint="default" w:ascii="Times New Roman" w:hAnsi="Times New Roman" w:eastAsia="宋体" w:cs="Times New Roman"/>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2" w:hRule="atLeast"/>
          <w:jc w:val="center"/>
        </w:trPr>
        <w:tc>
          <w:tcPr>
            <w:tcW w:w="825" w:type="dxa"/>
            <w:vAlign w:val="center"/>
          </w:tcPr>
          <w:p>
            <w:pPr>
              <w:keepNext w:val="0"/>
              <w:keepLines w:val="0"/>
              <w:pageBreakBefore w:val="0"/>
              <w:widowControl w:val="0"/>
              <w:kinsoku/>
              <w:wordWrap/>
              <w:overflowPunct/>
              <w:topLinePunct w:val="0"/>
              <w:autoSpaceDE/>
              <w:autoSpaceDN/>
              <w:bidi w:val="0"/>
              <w:adjustRightInd w:val="0"/>
              <w:snapToGrid w:val="0"/>
              <w:jc w:val="center"/>
              <w:rPr>
                <w:rFonts w:hint="default" w:ascii="Times New Roman" w:hAnsi="Times New Roman" w:cs="Times New Roman"/>
                <w:b/>
                <w:bCs/>
                <w:color w:val="auto"/>
                <w:sz w:val="24"/>
                <w:szCs w:val="32"/>
              </w:rPr>
            </w:pPr>
            <w:r>
              <w:rPr>
                <w:rFonts w:hint="default" w:ascii="Times New Roman" w:hAnsi="Times New Roman" w:cs="Times New Roman"/>
                <w:b/>
                <w:bCs/>
                <w:color w:val="auto"/>
                <w:sz w:val="24"/>
                <w:szCs w:val="32"/>
                <w:highlight w:val="none"/>
              </w:rPr>
              <w:t>与项目有关的原有环境污染问题</w:t>
            </w:r>
          </w:p>
        </w:tc>
        <w:tc>
          <w:tcPr>
            <w:tcW w:w="8463" w:type="dxa"/>
            <w:vAlign w:val="center"/>
          </w:tcPr>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本项目使用中卫市职业技术学校3号实训楼一楼作为办公实验用房，对其内部进行改造，装修翻新、设备安装等。经过现场踏勘，发现楼梯间危废暂存库无明显标识、无隔离措施。建设单位应严格按照</w:t>
            </w:r>
            <w:r>
              <w:rPr>
                <w:rFonts w:hint="default" w:ascii="Times New Roman" w:hAnsi="Times New Roman" w:cs="Times New Roman"/>
                <w:color w:val="auto"/>
                <w:sz w:val="24"/>
                <w:szCs w:val="24"/>
              </w:rPr>
              <w:t>《危险废物贮存污染控制标准》(GB 18597—2023)要求</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对危废暂存库进行张贴标识，采取符合要求的隔离措施等。</w:t>
            </w: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ind w:firstLine="512" w:firstLineChars="200"/>
              <w:rPr>
                <w:rFonts w:hint="default" w:ascii="Times New Roman" w:hAnsi="Times New Roman" w:cs="Times New Roman"/>
                <w:color w:val="auto"/>
                <w:sz w:val="24"/>
                <w:szCs w:val="24"/>
                <w:lang w:val="en-US" w:eastAsia="zh-CN"/>
              </w:rPr>
            </w:pPr>
          </w:p>
          <w:p>
            <w:pPr>
              <w:keepNext w:val="0"/>
              <w:keepLines w:val="0"/>
              <w:pageBreakBefore w:val="0"/>
              <w:widowControl w:val="0"/>
              <w:kinsoku/>
              <w:wordWrap/>
              <w:overflowPunct/>
              <w:topLinePunct w:val="0"/>
              <w:autoSpaceDE/>
              <w:autoSpaceDN/>
              <w:bidi w:val="0"/>
              <w:adjustRightInd w:val="0"/>
              <w:rPr>
                <w:rFonts w:hint="default" w:ascii="Times New Roman" w:hAnsi="Times New Roman" w:cs="Times New Roman"/>
                <w:color w:val="auto"/>
                <w:sz w:val="24"/>
                <w:szCs w:val="24"/>
                <w:lang w:val="en-US" w:eastAsia="zh-CN"/>
              </w:rPr>
            </w:pPr>
          </w:p>
        </w:tc>
      </w:tr>
    </w:tbl>
    <w:p>
      <w:pPr>
        <w:pStyle w:val="20"/>
        <w:keepNext w:val="0"/>
        <w:keepLines w:val="0"/>
        <w:pageBreakBefore w:val="0"/>
        <w:widowControl w:val="0"/>
        <w:kinsoku/>
        <w:wordWrap/>
        <w:overflowPunct/>
        <w:topLinePunct w:val="0"/>
        <w:autoSpaceDE/>
        <w:autoSpaceDN/>
        <w:bidi w:val="0"/>
        <w:adjustRightInd w:val="0"/>
        <w:snapToGrid w:val="0"/>
        <w:spacing w:before="0" w:beforeAutospacing="0" w:after="0" w:afterAutospacing="0"/>
        <w:jc w:val="both"/>
        <w:rPr>
          <w:rFonts w:hint="default" w:ascii="Times New Roman" w:hAnsi="Times New Roman" w:cs="Times New Roman"/>
          <w:b/>
          <w:bCs/>
          <w:color w:val="auto"/>
          <w:sz w:val="21"/>
          <w:szCs w:val="21"/>
        </w:rPr>
        <w:sectPr>
          <w:type w:val="continuous"/>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AndChars" w:linePitch="466" w:charSpace="3440"/>
        </w:sectPr>
      </w:pPr>
    </w:p>
    <w:p>
      <w:pPr>
        <w:pStyle w:val="16"/>
        <w:rPr>
          <w:rFonts w:hint="default" w:ascii="Times New Roman" w:hAnsi="Times New Roman" w:cs="Times New Roman"/>
          <w:color w:val="auto"/>
        </w:rPr>
        <w:sectPr>
          <w:type w:val="continuous"/>
          <w:pgSz w:w="11906" w:h="16838"/>
          <w:pgMar w:top="1417" w:right="1417" w:bottom="1417" w:left="1417" w:header="851" w:footer="992" w:gutter="0"/>
          <w:pgBorders>
            <w:top w:val="none" w:sz="0" w:space="0"/>
            <w:left w:val="none" w:sz="0" w:space="0"/>
            <w:bottom w:val="none" w:sz="0" w:space="0"/>
            <w:right w:val="none" w:sz="0" w:space="0"/>
          </w:pgBorders>
          <w:cols w:space="720" w:num="1"/>
          <w:docGrid w:type="linesAndChars" w:linePitch="466" w:charSpace="3440"/>
        </w:sectPr>
      </w:pPr>
    </w:p>
    <w:p>
      <w:pPr>
        <w:pStyle w:val="20"/>
        <w:keepNext w:val="0"/>
        <w:keepLines w:val="0"/>
        <w:pageBreakBefore w:val="0"/>
        <w:widowControl/>
        <w:numPr>
          <w:ilvl w:val="0"/>
          <w:numId w:val="0"/>
        </w:numPr>
        <w:kinsoku/>
        <w:wordWrap/>
        <w:overflowPunct/>
        <w:topLinePunct w:val="0"/>
        <w:autoSpaceDE/>
        <w:autoSpaceDN/>
        <w:bidi w:val="0"/>
        <w:adjustRightInd/>
        <w:snapToGrid/>
        <w:spacing w:before="240" w:beforeAutospacing="0" w:after="60" w:afterAutospacing="0"/>
        <w:jc w:val="center"/>
        <w:textAlignment w:val="auto"/>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lang w:val="en-US" w:eastAsia="zh-CN"/>
        </w:rPr>
        <w:t>三、</w:t>
      </w:r>
      <w:r>
        <w:rPr>
          <w:rFonts w:hint="default" w:ascii="Times New Roman" w:hAnsi="Times New Roman" w:eastAsia="黑体" w:cs="Times New Roman"/>
          <w:snapToGrid w:val="0"/>
          <w:color w:val="auto"/>
          <w:sz w:val="30"/>
          <w:szCs w:val="30"/>
        </w:rPr>
        <w:t>区域环境质量现状、环境保护目标及评价标准</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5"/>
        <w:gridCol w:w="84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444" w:type="pct"/>
            <w:tcBorders>
              <w:tl2br w:val="nil"/>
              <w:tr2bl w:val="nil"/>
            </w:tcBorders>
            <w:vAlign w:val="center"/>
          </w:tcPr>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区域</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质量</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现状</w:t>
            </w:r>
          </w:p>
        </w:tc>
        <w:tc>
          <w:tcPr>
            <w:tcW w:w="4555" w:type="pct"/>
            <w:tcBorders>
              <w:tl2br w:val="nil"/>
              <w:tr2bl w:val="nil"/>
            </w:tcBorders>
          </w:tcPr>
          <w:p>
            <w:pPr>
              <w:widowControl/>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1、大气环境质量现状</w:t>
            </w:r>
          </w:p>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本项目位于</w:t>
            </w:r>
            <w:r>
              <w:rPr>
                <w:rFonts w:hint="default" w:ascii="Times New Roman" w:hAnsi="Times New Roman" w:cs="Times New Roman"/>
                <w:color w:val="auto"/>
                <w:kern w:val="0"/>
                <w:sz w:val="24"/>
                <w:lang w:eastAsia="zh-CN"/>
              </w:rPr>
              <w:t>中卫</w:t>
            </w:r>
            <w:r>
              <w:rPr>
                <w:rFonts w:hint="default" w:ascii="Times New Roman" w:hAnsi="Times New Roman" w:cs="Times New Roman"/>
                <w:color w:val="auto"/>
                <w:kern w:val="0"/>
                <w:sz w:val="24"/>
              </w:rPr>
              <w:t>市</w:t>
            </w:r>
            <w:r>
              <w:rPr>
                <w:rFonts w:hint="default" w:ascii="Times New Roman" w:hAnsi="Times New Roman" w:cs="Times New Roman"/>
                <w:color w:val="auto"/>
                <w:kern w:val="0"/>
                <w:sz w:val="24"/>
                <w:lang w:val="en-US" w:eastAsia="zh-CN"/>
              </w:rPr>
              <w:t>沙坡头区</w:t>
            </w:r>
            <w:r>
              <w:rPr>
                <w:rFonts w:hint="default" w:ascii="Times New Roman" w:hAnsi="Times New Roman" w:cs="Times New Roman"/>
                <w:color w:val="auto"/>
                <w:kern w:val="0"/>
                <w:sz w:val="24"/>
              </w:rPr>
              <w:t>，按照《环境空气质量标准》（GB3095-2012）中环境功能区划，</w:t>
            </w:r>
            <w:r>
              <w:rPr>
                <w:rFonts w:hint="default" w:ascii="Times New Roman" w:hAnsi="Times New Roman" w:cs="Times New Roman"/>
                <w:color w:val="auto"/>
                <w:kern w:val="0"/>
                <w:sz w:val="24"/>
                <w:highlight w:val="none"/>
              </w:rPr>
              <w:t>评价区环境空气质量属二类</w:t>
            </w:r>
            <w:r>
              <w:rPr>
                <w:rFonts w:hint="default" w:ascii="Times New Roman" w:hAnsi="Times New Roman" w:cs="Times New Roman"/>
                <w:color w:val="auto"/>
                <w:kern w:val="0"/>
                <w:sz w:val="24"/>
              </w:rPr>
              <w:t>区，执行《环境空气质量标准》（GB3095-2012）</w:t>
            </w:r>
            <w:r>
              <w:rPr>
                <w:rFonts w:hint="default" w:ascii="Times New Roman" w:hAnsi="Times New Roman" w:cs="Times New Roman"/>
                <w:color w:val="auto"/>
                <w:kern w:val="0"/>
                <w:sz w:val="24"/>
                <w:lang w:val="en-US" w:eastAsia="zh-CN"/>
              </w:rPr>
              <w:t>及修改单</w:t>
            </w:r>
            <w:r>
              <w:rPr>
                <w:rFonts w:hint="default" w:ascii="Times New Roman" w:hAnsi="Times New Roman" w:cs="Times New Roman"/>
                <w:color w:val="auto"/>
                <w:kern w:val="0"/>
                <w:sz w:val="24"/>
              </w:rPr>
              <w:t>中二级标准。本次评价环境空气基本污染物数据引用《202</w:t>
            </w:r>
            <w:r>
              <w:rPr>
                <w:rFonts w:hint="default"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年宁夏生态环境质量状况》中</w:t>
            </w:r>
            <w:r>
              <w:rPr>
                <w:rFonts w:hint="default" w:ascii="Times New Roman" w:hAnsi="Times New Roman" w:cs="Times New Roman"/>
                <w:color w:val="auto"/>
                <w:kern w:val="0"/>
                <w:sz w:val="24"/>
                <w:lang w:val="en-US" w:eastAsia="zh-CN"/>
              </w:rPr>
              <w:t>沙坡头区</w:t>
            </w:r>
            <w:r>
              <w:rPr>
                <w:rFonts w:hint="default" w:ascii="Times New Roman" w:hAnsi="Times New Roman" w:cs="Times New Roman"/>
                <w:color w:val="auto"/>
                <w:kern w:val="0"/>
                <w:sz w:val="24"/>
              </w:rPr>
              <w:t>202</w:t>
            </w:r>
            <w:r>
              <w:rPr>
                <w:rFonts w:hint="default" w:ascii="Times New Roman" w:hAnsi="Times New Roman" w:cs="Times New Roman"/>
                <w:color w:val="auto"/>
                <w:kern w:val="0"/>
                <w:sz w:val="24"/>
                <w:lang w:val="en-US" w:eastAsia="zh-CN"/>
              </w:rPr>
              <w:t>3</w:t>
            </w:r>
            <w:r>
              <w:rPr>
                <w:rFonts w:hint="default" w:ascii="Times New Roman" w:hAnsi="Times New Roman" w:cs="Times New Roman"/>
                <w:color w:val="auto"/>
                <w:kern w:val="0"/>
                <w:sz w:val="24"/>
              </w:rPr>
              <w:t>年空气质量公报数据，具体数据见表3-1。</w:t>
            </w:r>
          </w:p>
          <w:p>
            <w:pPr>
              <w:adjustRightInd w:val="0"/>
              <w:snapToGri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表3-1  </w:t>
            </w:r>
            <w:r>
              <w:rPr>
                <w:rFonts w:hint="default" w:ascii="Times New Roman" w:hAnsi="Times New Roman" w:eastAsia="黑体" w:cs="Times New Roman"/>
                <w:color w:val="auto"/>
                <w:sz w:val="24"/>
                <w:lang w:val="en-US" w:eastAsia="zh-CN"/>
              </w:rPr>
              <w:t>沙坡头区</w:t>
            </w:r>
            <w:r>
              <w:rPr>
                <w:rFonts w:hint="default" w:ascii="Times New Roman" w:hAnsi="Times New Roman" w:eastAsia="黑体" w:cs="Times New Roman"/>
                <w:color w:val="auto"/>
                <w:sz w:val="24"/>
              </w:rPr>
              <w:t>202</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年环境空气质量达标情况一览表</w:t>
            </w:r>
          </w:p>
          <w:p>
            <w:pPr>
              <w:topLinePunct/>
              <w:adjustRightInd w:val="0"/>
              <w:snapToGrid w:val="0"/>
              <w:jc w:val="right"/>
              <w:rPr>
                <w:rFonts w:hint="default" w:ascii="Times New Roman" w:hAnsi="Times New Roman" w:eastAsia="黑体" w:cs="Times New Roman"/>
                <w:bCs/>
                <w:color w:val="auto"/>
                <w:kern w:val="0"/>
                <w:szCs w:val="21"/>
              </w:rPr>
            </w:pPr>
            <w:r>
              <w:rPr>
                <w:rFonts w:hint="default" w:ascii="Times New Roman" w:hAnsi="Times New Roman" w:eastAsia="黑体" w:cs="Times New Roman"/>
                <w:bCs/>
                <w:color w:val="auto"/>
                <w:kern w:val="0"/>
                <w:szCs w:val="21"/>
              </w:rPr>
              <w:t>单位：μg/m</w:t>
            </w:r>
            <w:r>
              <w:rPr>
                <w:rFonts w:hint="default" w:ascii="Times New Roman" w:hAnsi="Times New Roman" w:eastAsia="黑体" w:cs="Times New Roman"/>
                <w:bCs/>
                <w:color w:val="auto"/>
                <w:kern w:val="0"/>
                <w:szCs w:val="21"/>
                <w:vertAlign w:val="superscript"/>
              </w:rPr>
              <w:t>3</w:t>
            </w:r>
            <w:r>
              <w:rPr>
                <w:rFonts w:hint="default" w:ascii="Times New Roman" w:hAnsi="Times New Roman" w:eastAsia="黑体" w:cs="Times New Roman"/>
                <w:bCs/>
                <w:color w:val="auto"/>
                <w:kern w:val="0"/>
                <w:szCs w:val="21"/>
              </w:rPr>
              <w:t>（CO：mg/m</w:t>
            </w:r>
            <w:r>
              <w:rPr>
                <w:rFonts w:hint="default" w:ascii="Times New Roman" w:hAnsi="Times New Roman" w:eastAsia="黑体" w:cs="Times New Roman"/>
                <w:bCs/>
                <w:color w:val="auto"/>
                <w:kern w:val="0"/>
                <w:szCs w:val="21"/>
                <w:vertAlign w:val="superscript"/>
              </w:rPr>
              <w:t>3</w:t>
            </w:r>
            <w:r>
              <w:rPr>
                <w:rFonts w:hint="default" w:ascii="Times New Roman" w:hAnsi="Times New Roman" w:eastAsia="黑体" w:cs="Times New Roman"/>
                <w:bCs/>
                <w:color w:val="auto"/>
                <w:kern w:val="0"/>
                <w:szCs w:val="21"/>
              </w:rPr>
              <w:t>）</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1056"/>
              <w:gridCol w:w="1056"/>
              <w:gridCol w:w="1056"/>
              <w:gridCol w:w="1056"/>
              <w:gridCol w:w="1056"/>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tcBorders>
                    <w:tl2br w:val="nil"/>
                    <w:tr2bl w:val="nil"/>
                  </w:tcBorders>
                  <w:vAlign w:val="center"/>
                </w:tcPr>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项目</w:t>
                  </w:r>
                </w:p>
              </w:tc>
              <w:tc>
                <w:tcPr>
                  <w:tcW w:w="737" w:type="dxa"/>
                  <w:tcBorders>
                    <w:tl2br w:val="nil"/>
                    <w:tr2bl w:val="nil"/>
                  </w:tcBorders>
                  <w:vAlign w:val="center"/>
                </w:tcPr>
                <w:p>
                  <w:pPr>
                    <w:adjustRightInd w:val="0"/>
                    <w:snapToGrid w:val="0"/>
                    <w:jc w:val="center"/>
                    <w:rPr>
                      <w:rFonts w:hint="default" w:ascii="Times New Roman" w:hAnsi="Times New Roman" w:cs="Times New Roman"/>
                      <w:b/>
                      <w:bCs/>
                      <w:color w:val="auto"/>
                      <w:kern w:val="0"/>
                      <w:szCs w:val="21"/>
                      <w:vertAlign w:val="subscript"/>
                    </w:rPr>
                  </w:pPr>
                  <w:r>
                    <w:rPr>
                      <w:rFonts w:hint="default" w:ascii="Times New Roman" w:hAnsi="Times New Roman" w:cs="Times New Roman"/>
                      <w:b/>
                      <w:bCs/>
                      <w:color w:val="auto"/>
                      <w:kern w:val="0"/>
                      <w:szCs w:val="21"/>
                    </w:rPr>
                    <w:t>PM</w:t>
                  </w:r>
                  <w:r>
                    <w:rPr>
                      <w:rFonts w:hint="default" w:ascii="Times New Roman" w:hAnsi="Times New Roman" w:cs="Times New Roman"/>
                      <w:b/>
                      <w:bCs/>
                      <w:color w:val="auto"/>
                      <w:kern w:val="0"/>
                      <w:szCs w:val="21"/>
                      <w:vertAlign w:val="subscript"/>
                    </w:rPr>
                    <w:t>10</w:t>
                  </w:r>
                </w:p>
              </w:tc>
              <w:tc>
                <w:tcPr>
                  <w:tcW w:w="737" w:type="dxa"/>
                  <w:tcBorders>
                    <w:tl2br w:val="nil"/>
                    <w:tr2bl w:val="nil"/>
                  </w:tcBorders>
                  <w:vAlign w:val="center"/>
                </w:tcPr>
                <w:p>
                  <w:pPr>
                    <w:adjustRightInd w:val="0"/>
                    <w:snapToGrid w:val="0"/>
                    <w:jc w:val="center"/>
                    <w:rPr>
                      <w:rFonts w:hint="default" w:ascii="Times New Roman" w:hAnsi="Times New Roman" w:cs="Times New Roman"/>
                      <w:b/>
                      <w:bCs/>
                      <w:color w:val="auto"/>
                      <w:kern w:val="0"/>
                      <w:szCs w:val="21"/>
                      <w:vertAlign w:val="subscript"/>
                    </w:rPr>
                  </w:pPr>
                  <w:r>
                    <w:rPr>
                      <w:rFonts w:hint="default" w:ascii="Times New Roman" w:hAnsi="Times New Roman" w:cs="Times New Roman"/>
                      <w:b/>
                      <w:bCs/>
                      <w:color w:val="auto"/>
                      <w:kern w:val="0"/>
                      <w:szCs w:val="21"/>
                    </w:rPr>
                    <w:t>PM</w:t>
                  </w:r>
                  <w:r>
                    <w:rPr>
                      <w:rFonts w:hint="default" w:ascii="Times New Roman" w:hAnsi="Times New Roman" w:cs="Times New Roman"/>
                      <w:b/>
                      <w:bCs/>
                      <w:color w:val="auto"/>
                      <w:kern w:val="0"/>
                      <w:szCs w:val="21"/>
                      <w:vertAlign w:val="subscript"/>
                    </w:rPr>
                    <w:t>2.5</w:t>
                  </w:r>
                </w:p>
              </w:tc>
              <w:tc>
                <w:tcPr>
                  <w:tcW w:w="737" w:type="dxa"/>
                  <w:tcBorders>
                    <w:tl2br w:val="nil"/>
                    <w:tr2bl w:val="nil"/>
                  </w:tcBorders>
                  <w:vAlign w:val="center"/>
                </w:tcPr>
                <w:p>
                  <w:pPr>
                    <w:adjustRightInd w:val="0"/>
                    <w:snapToGrid w:val="0"/>
                    <w:jc w:val="center"/>
                    <w:rPr>
                      <w:rFonts w:hint="default" w:ascii="Times New Roman" w:hAnsi="Times New Roman" w:cs="Times New Roman"/>
                      <w:b/>
                      <w:bCs/>
                      <w:color w:val="auto"/>
                      <w:kern w:val="0"/>
                      <w:szCs w:val="21"/>
                      <w:vertAlign w:val="subscript"/>
                    </w:rPr>
                  </w:pPr>
                  <w:r>
                    <w:rPr>
                      <w:rFonts w:hint="default" w:ascii="Times New Roman" w:hAnsi="Times New Roman" w:cs="Times New Roman"/>
                      <w:b/>
                      <w:bCs/>
                      <w:color w:val="auto"/>
                      <w:kern w:val="0"/>
                      <w:szCs w:val="21"/>
                    </w:rPr>
                    <w:t>SO</w:t>
                  </w:r>
                  <w:r>
                    <w:rPr>
                      <w:rFonts w:hint="default" w:ascii="Times New Roman" w:hAnsi="Times New Roman" w:cs="Times New Roman"/>
                      <w:b/>
                      <w:bCs/>
                      <w:color w:val="auto"/>
                      <w:kern w:val="0"/>
                      <w:szCs w:val="21"/>
                      <w:vertAlign w:val="subscript"/>
                    </w:rPr>
                    <w:t>2</w:t>
                  </w:r>
                </w:p>
              </w:tc>
              <w:tc>
                <w:tcPr>
                  <w:tcW w:w="737" w:type="dxa"/>
                  <w:tcBorders>
                    <w:tl2br w:val="nil"/>
                    <w:tr2bl w:val="nil"/>
                  </w:tcBorders>
                  <w:vAlign w:val="center"/>
                </w:tcPr>
                <w:p>
                  <w:pPr>
                    <w:adjustRightInd w:val="0"/>
                    <w:snapToGrid w:val="0"/>
                    <w:jc w:val="center"/>
                    <w:rPr>
                      <w:rFonts w:hint="default" w:ascii="Times New Roman" w:hAnsi="Times New Roman" w:cs="Times New Roman"/>
                      <w:b/>
                      <w:bCs/>
                      <w:color w:val="auto"/>
                      <w:kern w:val="0"/>
                      <w:szCs w:val="21"/>
                      <w:vertAlign w:val="subscript"/>
                    </w:rPr>
                  </w:pPr>
                  <w:r>
                    <w:rPr>
                      <w:rFonts w:hint="default" w:ascii="Times New Roman" w:hAnsi="Times New Roman" w:cs="Times New Roman"/>
                      <w:b/>
                      <w:bCs/>
                      <w:color w:val="auto"/>
                      <w:kern w:val="0"/>
                      <w:szCs w:val="21"/>
                    </w:rPr>
                    <w:t>NO</w:t>
                  </w:r>
                  <w:r>
                    <w:rPr>
                      <w:rFonts w:hint="default" w:ascii="Times New Roman" w:hAnsi="Times New Roman" w:cs="Times New Roman"/>
                      <w:b/>
                      <w:bCs/>
                      <w:color w:val="auto"/>
                      <w:kern w:val="0"/>
                      <w:szCs w:val="21"/>
                      <w:vertAlign w:val="subscript"/>
                    </w:rPr>
                    <w:t>2</w:t>
                  </w:r>
                </w:p>
              </w:tc>
              <w:tc>
                <w:tcPr>
                  <w:tcW w:w="738" w:type="dxa"/>
                  <w:tcBorders>
                    <w:tl2br w:val="nil"/>
                    <w:tr2bl w:val="nil"/>
                  </w:tcBorders>
                  <w:vAlign w:val="center"/>
                </w:tcPr>
                <w:p>
                  <w:pPr>
                    <w:pStyle w:val="36"/>
                    <w:adjustRightInd w:val="0"/>
                    <w:snapToGrid w:val="0"/>
                    <w:jc w:val="center"/>
                    <w:rPr>
                      <w:rFonts w:hint="default" w:ascii="Times New Roman" w:hAnsi="Times New Roman" w:cs="Times New Roman"/>
                      <w:b/>
                      <w:bCs/>
                      <w:color w:val="auto"/>
                      <w:szCs w:val="21"/>
                      <w:vertAlign w:val="superscript"/>
                    </w:rPr>
                  </w:pPr>
                  <w:r>
                    <w:rPr>
                      <w:rFonts w:hint="default" w:ascii="Times New Roman" w:hAnsi="Times New Roman" w:cs="Times New Roman"/>
                      <w:b/>
                      <w:bCs/>
                      <w:color w:val="auto"/>
                      <w:kern w:val="0"/>
                      <w:szCs w:val="21"/>
                    </w:rPr>
                    <w:t>CO</w:t>
                  </w:r>
                </w:p>
              </w:tc>
              <w:tc>
                <w:tcPr>
                  <w:tcW w:w="838" w:type="dxa"/>
                  <w:tcBorders>
                    <w:tl2br w:val="nil"/>
                    <w:tr2bl w:val="nil"/>
                  </w:tcBorders>
                  <w:vAlign w:val="center"/>
                </w:tcPr>
                <w:p>
                  <w:pPr>
                    <w:adjustRightInd w:val="0"/>
                    <w:snapToGrid w:val="0"/>
                    <w:jc w:val="center"/>
                    <w:rPr>
                      <w:rFonts w:hint="default" w:ascii="Times New Roman" w:hAnsi="Times New Roman" w:cs="Times New Roman"/>
                      <w:b/>
                      <w:bCs/>
                      <w:color w:val="auto"/>
                      <w:kern w:val="0"/>
                      <w:szCs w:val="21"/>
                      <w:vertAlign w:val="subscript"/>
                    </w:rPr>
                  </w:pPr>
                  <w:r>
                    <w:rPr>
                      <w:rFonts w:hint="default" w:ascii="Times New Roman" w:hAnsi="Times New Roman" w:cs="Times New Roman"/>
                      <w:b/>
                      <w:bCs/>
                      <w:color w:val="auto"/>
                      <w:kern w:val="0"/>
                      <w:szCs w:val="21"/>
                    </w:rPr>
                    <w:t>O</w:t>
                  </w:r>
                  <w:r>
                    <w:rPr>
                      <w:rFonts w:hint="default" w:ascii="Times New Roman" w:hAnsi="Times New Roman" w:cs="Times New Roman"/>
                      <w:b/>
                      <w:bCs/>
                      <w:color w:val="auto"/>
                      <w:kern w:val="0"/>
                      <w:szCs w:val="21"/>
                      <w:vertAlign w:val="subscript"/>
                    </w:rPr>
                    <w:t>3-8H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年平均</w:t>
                  </w:r>
                </w:p>
              </w:tc>
              <w:tc>
                <w:tcPr>
                  <w:tcW w:w="73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66</w:t>
                  </w:r>
                </w:p>
              </w:tc>
              <w:tc>
                <w:tcPr>
                  <w:tcW w:w="73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28</w:t>
                  </w:r>
                </w:p>
              </w:tc>
              <w:tc>
                <w:tcPr>
                  <w:tcW w:w="73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10</w:t>
                  </w:r>
                </w:p>
              </w:tc>
              <w:tc>
                <w:tcPr>
                  <w:tcW w:w="737"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23</w:t>
                  </w:r>
                </w:p>
              </w:tc>
              <w:tc>
                <w:tcPr>
                  <w:tcW w:w="738"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0.7</w:t>
                  </w:r>
                </w:p>
              </w:tc>
              <w:tc>
                <w:tcPr>
                  <w:tcW w:w="838" w:type="dxa"/>
                  <w:tcBorders>
                    <w:tl2br w:val="nil"/>
                    <w:tr2bl w:val="nil"/>
                  </w:tcBorders>
                  <w:vAlign w:val="center"/>
                </w:tcPr>
                <w:p>
                  <w:pPr>
                    <w:adjustRightInd w:val="0"/>
                    <w:snapToGrid w:val="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评价标准</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c>
                <w:tcPr>
                  <w:tcW w:w="738"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838"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rPr>
                    <w:t>占标率%</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94.29</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80.00</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16.67</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57.50</w:t>
                  </w:r>
                </w:p>
              </w:tc>
              <w:tc>
                <w:tcPr>
                  <w:tcW w:w="738"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17.50</w:t>
                  </w:r>
                </w:p>
              </w:tc>
              <w:tc>
                <w:tcPr>
                  <w:tcW w:w="838"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87.50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1"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达标情况</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737"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738"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c>
                <w:tcPr>
                  <w:tcW w:w="838" w:type="dxa"/>
                  <w:tcBorders>
                    <w:tl2br w:val="nil"/>
                    <w:tr2bl w:val="nil"/>
                  </w:tcBorders>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达标</w:t>
                  </w:r>
                </w:p>
              </w:tc>
            </w:tr>
          </w:tbl>
          <w:p>
            <w:pPr>
              <w:ind w:firstLine="512"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根据上表数据，</w:t>
            </w:r>
            <w:r>
              <w:rPr>
                <w:rFonts w:hint="default" w:ascii="Times New Roman" w:hAnsi="Times New Roman" w:cs="Times New Roman"/>
                <w:color w:val="auto"/>
                <w:sz w:val="24"/>
                <w:szCs w:val="24"/>
                <w:lang w:val="en-US" w:eastAsia="zh-CN"/>
              </w:rPr>
              <w:t>沙坡头区</w:t>
            </w:r>
            <w:r>
              <w:rPr>
                <w:rFonts w:hint="default" w:ascii="Times New Roman" w:hAnsi="Times New Roman" w:cs="Times New Roman"/>
                <w:color w:val="auto"/>
                <w:sz w:val="24"/>
                <w:szCs w:val="24"/>
              </w:rPr>
              <w:t>202</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年度SO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、NO</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年均浓度及CO、O</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的相应百分位数24h平均或8h平均质量浓度均满足《环境空气质量标准》（GB3095-2012）</w:t>
            </w:r>
            <w:r>
              <w:rPr>
                <w:rFonts w:hint="default" w:ascii="Times New Roman" w:hAnsi="Times New Roman" w:cs="Times New Roman"/>
                <w:color w:val="auto"/>
                <w:sz w:val="24"/>
                <w:szCs w:val="24"/>
                <w:lang w:val="en-US" w:eastAsia="zh-CN"/>
              </w:rPr>
              <w:t>及修改单</w:t>
            </w:r>
            <w:r>
              <w:rPr>
                <w:rFonts w:hint="default" w:ascii="Times New Roman" w:hAnsi="Times New Roman" w:cs="Times New Roman"/>
                <w:color w:val="auto"/>
                <w:sz w:val="24"/>
                <w:szCs w:val="24"/>
              </w:rPr>
              <w:t>中二级浓度限值</w:t>
            </w:r>
            <w:r>
              <w:rPr>
                <w:rFonts w:hint="default" w:ascii="Times New Roman" w:hAnsi="Times New Roman" w:cs="Times New Roman"/>
                <w:color w:val="auto"/>
                <w:kern w:val="0"/>
                <w:sz w:val="24"/>
              </w:rPr>
              <w:t>，项目所在区域属于环境空气质量达标区。</w:t>
            </w:r>
          </w:p>
          <w:p>
            <w:pPr>
              <w:widowControl/>
              <w:numPr>
                <w:ilvl w:val="0"/>
                <w:numId w:val="11"/>
              </w:numPr>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地表水环境质量现状</w:t>
            </w:r>
          </w:p>
          <w:p>
            <w:pPr>
              <w:ind w:firstLine="512" w:firstLineChars="200"/>
              <w:rPr>
                <w:rFonts w:hint="default" w:ascii="Times New Roman" w:hAnsi="Times New Roman" w:cs="Times New Roman"/>
                <w:color w:val="auto"/>
              </w:rPr>
            </w:pPr>
            <w:r>
              <w:rPr>
                <w:rFonts w:hint="default" w:ascii="Times New Roman" w:hAnsi="Times New Roman" w:cs="Times New Roman"/>
                <w:color w:val="auto"/>
                <w:kern w:val="0"/>
                <w:sz w:val="24"/>
              </w:rPr>
              <w:t>本项目位于</w:t>
            </w:r>
            <w:r>
              <w:rPr>
                <w:rFonts w:hint="default" w:ascii="Times New Roman" w:hAnsi="Times New Roman" w:cs="Times New Roman"/>
                <w:color w:val="auto"/>
                <w:kern w:val="0"/>
                <w:sz w:val="24"/>
                <w:highlight w:val="none"/>
                <w:lang w:eastAsia="zh-CN"/>
              </w:rPr>
              <w:t>中卫市职业技术学校3号实训楼一楼</w:t>
            </w:r>
            <w:r>
              <w:rPr>
                <w:rFonts w:hint="default" w:ascii="Times New Roman" w:hAnsi="Times New Roman" w:cs="Times New Roman"/>
                <w:color w:val="auto"/>
                <w:kern w:val="0"/>
                <w:sz w:val="24"/>
                <w:highlight w:val="none"/>
              </w:rPr>
              <w:t>，项目区域附近地表水体为</w:t>
            </w:r>
            <w:r>
              <w:rPr>
                <w:rFonts w:hint="default" w:ascii="Times New Roman" w:hAnsi="Times New Roman" w:cs="Times New Roman"/>
                <w:color w:val="auto"/>
                <w:kern w:val="0"/>
                <w:sz w:val="24"/>
                <w:highlight w:val="none"/>
                <w:lang w:val="en-US" w:eastAsia="zh-CN"/>
              </w:rPr>
              <w:t>香山湖</w:t>
            </w:r>
            <w:r>
              <w:rPr>
                <w:rFonts w:hint="default" w:ascii="Times New Roman" w:hAnsi="Times New Roman" w:cs="Times New Roman"/>
                <w:color w:val="auto"/>
                <w:kern w:val="0"/>
                <w:sz w:val="24"/>
                <w:highlight w:val="none"/>
              </w:rPr>
              <w:t>，位于项目</w:t>
            </w:r>
            <w:r>
              <w:rPr>
                <w:rFonts w:hint="default" w:ascii="Times New Roman" w:hAnsi="Times New Roman" w:cs="Times New Roman"/>
                <w:color w:val="auto"/>
                <w:kern w:val="0"/>
                <w:sz w:val="24"/>
                <w:highlight w:val="none"/>
                <w:lang w:val="en-US" w:eastAsia="zh-CN"/>
              </w:rPr>
              <w:t>东南</w:t>
            </w:r>
            <w:r>
              <w:rPr>
                <w:rFonts w:hint="default" w:ascii="Times New Roman" w:hAnsi="Times New Roman" w:cs="Times New Roman"/>
                <w:color w:val="auto"/>
                <w:kern w:val="0"/>
                <w:sz w:val="24"/>
                <w:highlight w:val="none"/>
              </w:rPr>
              <w:t>侧</w:t>
            </w:r>
            <w:r>
              <w:rPr>
                <w:rFonts w:hint="default" w:ascii="Times New Roman" w:hAnsi="Times New Roman" w:cs="Times New Roman"/>
                <w:color w:val="auto"/>
                <w:kern w:val="0"/>
                <w:sz w:val="24"/>
                <w:highlight w:val="none"/>
                <w:lang w:val="en-US" w:eastAsia="zh-CN"/>
              </w:rPr>
              <w:t>1800</w:t>
            </w:r>
            <w:r>
              <w:rPr>
                <w:rFonts w:hint="default" w:ascii="Times New Roman" w:hAnsi="Times New Roman" w:cs="Times New Roman"/>
                <w:color w:val="auto"/>
                <w:kern w:val="0"/>
                <w:sz w:val="24"/>
                <w:highlight w:val="none"/>
              </w:rPr>
              <w:t>m处。</w:t>
            </w:r>
            <w:r>
              <w:rPr>
                <w:rFonts w:hint="default" w:ascii="Times New Roman" w:hAnsi="Times New Roman" w:cs="Times New Roman"/>
                <w:color w:val="auto"/>
                <w:kern w:val="0"/>
                <w:sz w:val="24"/>
              </w:rPr>
              <w:t>本次评价采用</w:t>
            </w:r>
            <w:r>
              <w:rPr>
                <w:rFonts w:hint="default" w:ascii="Times New Roman" w:hAnsi="Times New Roman" w:cs="Times New Roman"/>
                <w:color w:val="auto"/>
                <w:sz w:val="24"/>
              </w:rPr>
              <w:t>《20</w:t>
            </w:r>
            <w:r>
              <w:rPr>
                <w:rFonts w:hint="default" w:ascii="Times New Roman" w:hAnsi="Times New Roman" w:cs="Times New Roman"/>
                <w:color w:val="auto"/>
                <w:sz w:val="24"/>
                <w:lang w:val="en-US" w:eastAsia="zh-CN"/>
              </w:rPr>
              <w:t>23</w:t>
            </w:r>
            <w:r>
              <w:rPr>
                <w:rFonts w:hint="default" w:ascii="Times New Roman" w:hAnsi="Times New Roman" w:cs="Times New Roman"/>
                <w:color w:val="auto"/>
                <w:sz w:val="24"/>
              </w:rPr>
              <w:t>年宁夏生态环境质量状况》</w:t>
            </w:r>
            <w:r>
              <w:rPr>
                <w:rFonts w:hint="default" w:ascii="Times New Roman" w:hAnsi="Times New Roman" w:cs="Times New Roman"/>
                <w:color w:val="auto"/>
                <w:kern w:val="0"/>
                <w:sz w:val="24"/>
                <w:lang w:val="en-US" w:eastAsia="zh-CN"/>
              </w:rPr>
              <w:t>中2023年香山湖</w:t>
            </w:r>
            <w:r>
              <w:rPr>
                <w:rFonts w:hint="default" w:ascii="Times New Roman" w:hAnsi="Times New Roman" w:cs="Times New Roman"/>
                <w:color w:val="auto"/>
                <w:kern w:val="0"/>
                <w:sz w:val="24"/>
              </w:rPr>
              <w:t>水环境质量状况</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rPr>
              <w:t>来说明评价区地表水环境质量现状</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结果表明，香山湖</w:t>
            </w:r>
            <w:r>
              <w:rPr>
                <w:rFonts w:hint="default" w:ascii="Times New Roman" w:hAnsi="Times New Roman" w:cs="Times New Roman"/>
                <w:color w:val="auto"/>
                <w:kern w:val="0"/>
                <w:sz w:val="24"/>
              </w:rPr>
              <w:t>为Ⅱ类水</w:t>
            </w:r>
            <w:r>
              <w:rPr>
                <w:rFonts w:hint="default" w:ascii="Times New Roman" w:hAnsi="Times New Roman" w:cs="Times New Roman"/>
                <w:color w:val="auto"/>
                <w:kern w:val="0"/>
                <w:sz w:val="24"/>
                <w:lang w:val="en-US" w:eastAsia="zh-CN"/>
              </w:rPr>
              <w:t>体</w:t>
            </w:r>
            <w:r>
              <w:rPr>
                <w:rFonts w:hint="default" w:ascii="Times New Roman" w:hAnsi="Times New Roman" w:cs="Times New Roman"/>
                <w:color w:val="auto"/>
                <w:kern w:val="0"/>
                <w:sz w:val="24"/>
              </w:rPr>
              <w:t>，与上年同期相比水质无明显变化。根据数据，评价区域内</w:t>
            </w:r>
            <w:r>
              <w:rPr>
                <w:rFonts w:hint="default" w:ascii="Times New Roman" w:hAnsi="Times New Roman" w:cs="Times New Roman"/>
                <w:color w:val="auto"/>
                <w:kern w:val="0"/>
                <w:sz w:val="24"/>
                <w:lang w:val="en-US" w:eastAsia="zh-CN"/>
              </w:rPr>
              <w:t>香山湖</w:t>
            </w:r>
            <w:r>
              <w:rPr>
                <w:rFonts w:hint="default" w:ascii="Times New Roman" w:hAnsi="Times New Roman" w:cs="Times New Roman"/>
                <w:color w:val="auto"/>
                <w:kern w:val="0"/>
                <w:sz w:val="24"/>
              </w:rPr>
              <w:t>水质指标符合《地表水环境质量标准》（GB3838-2002）中的Ⅱ类标准。</w:t>
            </w:r>
          </w:p>
          <w:p>
            <w:pPr>
              <w:widowControl/>
              <w:numPr>
                <w:ilvl w:val="0"/>
                <w:numId w:val="11"/>
              </w:numPr>
              <w:spacing w:before="240" w:after="60"/>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声环境质量现状</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根据《建设项目环境影响报告表编制技术指南（污染影响类）》“厂界外周边50m范围内存在声环境保护目标的建设项目，应监测保护目标声环境质量现状并评价达标情况。各点位应监测昼夜间噪声，监测时间不少于1天，项目夜间不生产则仅监测昼间噪声”。本次声环境质量现状委托宁夏安谱检测有限公司（证书编号：223012050360）于2024年8月21日～2024年8月22日对项目敏感点进行了现状监测，声环境质量现状监测结果统计情况见表3-2。</w:t>
            </w:r>
          </w:p>
          <w:p>
            <w:pPr>
              <w:widowControl/>
              <w:jc w:val="center"/>
              <w:rPr>
                <w:rFonts w:hint="default" w:ascii="Times New Roman" w:hAnsi="Times New Roman" w:eastAsia="宋体" w:cs="Times New Roman"/>
                <w:color w:val="auto"/>
                <w:kern w:val="0"/>
                <w:sz w:val="24"/>
                <w:lang w:bidi="ar"/>
              </w:rPr>
            </w:pPr>
            <w:r>
              <w:rPr>
                <w:rFonts w:hint="default" w:ascii="Times New Roman" w:hAnsi="Times New Roman" w:eastAsia="黑体" w:cs="Times New Roman"/>
                <w:color w:val="auto"/>
                <w:kern w:val="0"/>
                <w:sz w:val="24"/>
                <w:lang w:bidi="ar"/>
              </w:rPr>
              <w:t>表3-</w:t>
            </w:r>
            <w:r>
              <w:rPr>
                <w:rFonts w:hint="default" w:ascii="Times New Roman" w:hAnsi="Times New Roman" w:eastAsia="黑体" w:cs="Times New Roman"/>
                <w:color w:val="auto"/>
                <w:kern w:val="0"/>
                <w:sz w:val="24"/>
                <w:lang w:val="en-US" w:eastAsia="zh-CN" w:bidi="ar"/>
              </w:rPr>
              <w:t>2</w:t>
            </w:r>
            <w:r>
              <w:rPr>
                <w:rFonts w:hint="default" w:ascii="Times New Roman" w:hAnsi="Times New Roman" w:eastAsia="黑体" w:cs="Times New Roman"/>
                <w:color w:val="auto"/>
                <w:kern w:val="0"/>
                <w:sz w:val="24"/>
                <w:lang w:bidi="ar"/>
              </w:rPr>
              <w:t xml:space="preserve">  噪声监测结果一览表  单位dB(A)</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819"/>
              <w:gridCol w:w="2407"/>
              <w:gridCol w:w="1197"/>
              <w:gridCol w:w="1177"/>
              <w:gridCol w:w="1423"/>
              <w:gridCol w:w="119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9" w:type="dxa"/>
                  <w:vMerge w:val="restart"/>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2407" w:type="dxa"/>
                  <w:vMerge w:val="restart"/>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测点位置</w:t>
                  </w:r>
                </w:p>
              </w:tc>
              <w:tc>
                <w:tcPr>
                  <w:tcW w:w="1197" w:type="dxa"/>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cs="Times New Roman"/>
                      <w:b/>
                      <w:bCs/>
                      <w:color w:val="auto"/>
                      <w:szCs w:val="21"/>
                      <w:lang w:val="en-US" w:eastAsia="zh-CN"/>
                    </w:rPr>
                    <w:t>8</w:t>
                  </w:r>
                  <w:r>
                    <w:rPr>
                      <w:rFonts w:hint="default" w:ascii="Times New Roman" w:hAnsi="Times New Roman" w:eastAsia="宋体" w:cs="Times New Roman"/>
                      <w:b/>
                      <w:bCs/>
                      <w:color w:val="auto"/>
                      <w:szCs w:val="21"/>
                    </w:rPr>
                    <w:t>月</w:t>
                  </w:r>
                  <w:r>
                    <w:rPr>
                      <w:rFonts w:hint="default" w:ascii="Times New Roman" w:hAnsi="Times New Roman" w:cs="Times New Roman"/>
                      <w:b/>
                      <w:bCs/>
                      <w:color w:val="auto"/>
                      <w:szCs w:val="21"/>
                      <w:lang w:val="en-US" w:eastAsia="zh-CN"/>
                    </w:rPr>
                    <w:t>21</w:t>
                  </w:r>
                  <w:r>
                    <w:rPr>
                      <w:rFonts w:hint="default" w:ascii="Times New Roman" w:hAnsi="Times New Roman" w:eastAsia="宋体" w:cs="Times New Roman"/>
                      <w:b/>
                      <w:bCs/>
                      <w:color w:val="auto"/>
                      <w:szCs w:val="21"/>
                    </w:rPr>
                    <w:t>日</w:t>
                  </w:r>
                </w:p>
              </w:tc>
              <w:tc>
                <w:tcPr>
                  <w:tcW w:w="1177" w:type="dxa"/>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cs="Times New Roman"/>
                      <w:b/>
                      <w:bCs/>
                      <w:color w:val="auto"/>
                      <w:szCs w:val="21"/>
                      <w:lang w:val="en-US" w:eastAsia="zh-CN"/>
                    </w:rPr>
                    <w:t>8</w:t>
                  </w:r>
                  <w:r>
                    <w:rPr>
                      <w:rFonts w:hint="default" w:ascii="Times New Roman" w:hAnsi="Times New Roman" w:eastAsia="宋体" w:cs="Times New Roman"/>
                      <w:b/>
                      <w:bCs/>
                      <w:color w:val="auto"/>
                      <w:szCs w:val="21"/>
                    </w:rPr>
                    <w:t>月</w:t>
                  </w:r>
                  <w:r>
                    <w:rPr>
                      <w:rFonts w:hint="default" w:ascii="Times New Roman" w:hAnsi="Times New Roman" w:cs="Times New Roman"/>
                      <w:b/>
                      <w:bCs/>
                      <w:color w:val="auto"/>
                      <w:szCs w:val="21"/>
                      <w:lang w:val="en-US" w:eastAsia="zh-CN"/>
                    </w:rPr>
                    <w:t>22</w:t>
                  </w:r>
                  <w:r>
                    <w:rPr>
                      <w:rFonts w:hint="default" w:ascii="Times New Roman" w:hAnsi="Times New Roman" w:eastAsia="宋体" w:cs="Times New Roman"/>
                      <w:b/>
                      <w:bCs/>
                      <w:color w:val="auto"/>
                      <w:szCs w:val="21"/>
                    </w:rPr>
                    <w:t>日</w:t>
                  </w:r>
                </w:p>
              </w:tc>
              <w:tc>
                <w:tcPr>
                  <w:tcW w:w="1423" w:type="dxa"/>
                  <w:vMerge w:val="restart"/>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c>
                <w:tcPr>
                  <w:tcW w:w="1191" w:type="dxa"/>
                  <w:vMerge w:val="restart"/>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是否达标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9" w:type="dxa"/>
                  <w:vMerge w:val="continue"/>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p>
              </w:tc>
              <w:tc>
                <w:tcPr>
                  <w:tcW w:w="2407" w:type="dxa"/>
                  <w:vMerge w:val="continue"/>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p>
              </w:tc>
              <w:tc>
                <w:tcPr>
                  <w:tcW w:w="1197" w:type="dxa"/>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1177" w:type="dxa"/>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1423" w:type="dxa"/>
                  <w:vMerge w:val="continue"/>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p>
              </w:tc>
              <w:tc>
                <w:tcPr>
                  <w:tcW w:w="1191" w:type="dxa"/>
                  <w:vMerge w:val="continue"/>
                  <w:tcBorders>
                    <w:tl2br w:val="nil"/>
                    <w:tr2bl w:val="nil"/>
                  </w:tcBorders>
                  <w:noWrap/>
                  <w:vAlign w:val="center"/>
                </w:tcPr>
                <w:p>
                  <w:pPr>
                    <w:adjustRightInd w:val="0"/>
                    <w:snapToGrid w:val="0"/>
                    <w:jc w:val="center"/>
                    <w:rPr>
                      <w:rFonts w:hint="default" w:ascii="Times New Roman" w:hAnsi="Times New Roman" w:eastAsia="宋体" w:cs="Times New Roman"/>
                      <w:b/>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9" w:type="dxa"/>
                  <w:tcBorders>
                    <w:tl2br w:val="nil"/>
                    <w:tr2bl w:val="nil"/>
                  </w:tcBorders>
                  <w:noWrap/>
                  <w:vAlign w:val="center"/>
                </w:tcPr>
                <w:p>
                  <w:pPr>
                    <w:widowControl/>
                    <w:adjustRightInd w:val="0"/>
                    <w:snapToGrid w:val="0"/>
                    <w:jc w:val="center"/>
                    <w:textAlignment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407" w:type="dxa"/>
                  <w:tcBorders>
                    <w:tl2br w:val="nil"/>
                    <w:tr2bl w:val="nil"/>
                  </w:tcBorders>
                  <w:noWrap/>
                  <w:vAlign w:val="center"/>
                </w:tcPr>
                <w:p>
                  <w:pPr>
                    <w:widowControl/>
                    <w:adjustRightInd w:val="0"/>
                    <w:snapToGrid w:val="0"/>
                    <w:jc w:val="center"/>
                    <w:rPr>
                      <w:rFonts w:hint="default" w:ascii="Times New Roman" w:hAnsi="Times New Roman" w:eastAsia="宋体" w:cs="Times New Roman"/>
                      <w:color w:val="auto"/>
                      <w:szCs w:val="21"/>
                    </w:rPr>
                  </w:pPr>
                  <w:r>
                    <w:rPr>
                      <w:rFonts w:hint="default" w:ascii="Times New Roman" w:hAnsi="Times New Roman" w:cs="Times New Roman"/>
                      <w:color w:val="auto"/>
                      <w:szCs w:val="21"/>
                      <w:lang w:val="en-US" w:eastAsia="zh-CN"/>
                    </w:rPr>
                    <w:t>二楼室内</w:t>
                  </w:r>
                  <w:r>
                    <w:rPr>
                      <w:rFonts w:hint="default" w:ascii="Times New Roman" w:hAnsi="Times New Roman" w:cs="Times New Roman"/>
                      <w:color w:val="auto"/>
                      <w:sz w:val="21"/>
                      <w:szCs w:val="21"/>
                      <w:highlight w:val="none"/>
                      <w:lang w:val="en-US" w:eastAsia="zh-CN"/>
                    </w:rPr>
                    <w:t>E:105°10′28.458″，N:37°30′18.484″</w:t>
                  </w:r>
                </w:p>
              </w:tc>
              <w:tc>
                <w:tcPr>
                  <w:tcW w:w="1197" w:type="dxa"/>
                  <w:tcBorders>
                    <w:tl2br w:val="nil"/>
                    <w:tr2bl w:val="nil"/>
                  </w:tcBorders>
                  <w:noWrap/>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49</w:t>
                  </w:r>
                </w:p>
              </w:tc>
              <w:tc>
                <w:tcPr>
                  <w:tcW w:w="1177" w:type="dxa"/>
                  <w:tcBorders>
                    <w:tl2br w:val="nil"/>
                    <w:tr2bl w:val="nil"/>
                  </w:tcBorders>
                  <w:noWrap/>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42</w:t>
                  </w:r>
                </w:p>
              </w:tc>
              <w:tc>
                <w:tcPr>
                  <w:tcW w:w="1423" w:type="dxa"/>
                  <w:vMerge w:val="restart"/>
                  <w:tcBorders>
                    <w:tl2br w:val="nil"/>
                    <w:tr2bl w:val="nil"/>
                  </w:tcBorders>
                  <w:noWrap/>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《声环境质量标准》(GB3096-2008)</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类区标准限值</w:t>
                  </w:r>
                </w:p>
              </w:tc>
              <w:tc>
                <w:tcPr>
                  <w:tcW w:w="1191" w:type="dxa"/>
                  <w:tcBorders>
                    <w:tl2br w:val="nil"/>
                    <w:tr2bl w:val="nil"/>
                  </w:tcBorders>
                  <w:noWrap/>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819" w:type="dxa"/>
                  <w:tcBorders>
                    <w:tl2br w:val="nil"/>
                    <w:tr2bl w:val="nil"/>
                  </w:tcBorders>
                  <w:noWrap/>
                  <w:vAlign w:val="center"/>
                </w:tcPr>
                <w:p>
                  <w:pPr>
                    <w:widowControl/>
                    <w:adjustRightInd w:val="0"/>
                    <w:snapToGrid w:val="0"/>
                    <w:jc w:val="center"/>
                    <w:textAlignment w:val="center"/>
                    <w:rPr>
                      <w:rFonts w:hint="default" w:ascii="Times New Roman" w:hAnsi="Times New Roman" w:eastAsia="宋体" w:cs="Times New Roman"/>
                      <w:color w:val="auto"/>
                      <w:kern w:val="0"/>
                      <w:szCs w:val="21"/>
                      <w:lang w:bidi="ar"/>
                    </w:rPr>
                  </w:pPr>
                  <w:r>
                    <w:rPr>
                      <w:rFonts w:hint="default" w:ascii="Times New Roman" w:hAnsi="Times New Roman" w:eastAsia="宋体" w:cs="Times New Roman"/>
                      <w:color w:val="auto"/>
                      <w:szCs w:val="21"/>
                    </w:rPr>
                    <w:t>2#</w:t>
                  </w:r>
                </w:p>
              </w:tc>
              <w:tc>
                <w:tcPr>
                  <w:tcW w:w="2407" w:type="dxa"/>
                  <w:tcBorders>
                    <w:tl2br w:val="nil"/>
                    <w:tr2bl w:val="nil"/>
                  </w:tcBorders>
                  <w:noWrap/>
                  <w:vAlign w:val="center"/>
                </w:tcPr>
                <w:p>
                  <w:pPr>
                    <w:widowControl/>
                    <w:adjustRightInd w:val="0"/>
                    <w:snapToGrid w:val="0"/>
                    <w:jc w:val="center"/>
                    <w:rPr>
                      <w:rFonts w:hint="default" w:ascii="Times New Roman" w:hAnsi="Times New Roman" w:eastAsia="宋体" w:cs="Times New Roman"/>
                      <w:color w:val="auto"/>
                      <w:kern w:val="0"/>
                      <w:szCs w:val="21"/>
                      <w:lang w:bidi="ar"/>
                    </w:rPr>
                  </w:pPr>
                  <w:r>
                    <w:rPr>
                      <w:rFonts w:hint="default" w:ascii="Times New Roman" w:hAnsi="Times New Roman" w:cs="Times New Roman"/>
                      <w:color w:val="auto"/>
                      <w:szCs w:val="21"/>
                      <w:lang w:val="en-US" w:eastAsia="zh-CN"/>
                    </w:rPr>
                    <w:t>4号实训楼南侧1m处</w:t>
                  </w:r>
                  <w:r>
                    <w:rPr>
                      <w:rFonts w:hint="default"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lang w:val="en-US" w:eastAsia="zh-CN"/>
                    </w:rPr>
                    <w:t>105°10′28.574″，</w:t>
                  </w:r>
                  <w:r>
                    <w:rPr>
                      <w:rFonts w:hint="default" w:ascii="Times New Roman" w:hAnsi="Times New Roman" w:cs="Times New Roman"/>
                      <w:color w:val="auto"/>
                      <w:sz w:val="21"/>
                      <w:szCs w:val="21"/>
                      <w:highlight w:val="none"/>
                      <w:lang w:val="en-US" w:eastAsia="zh-CN"/>
                    </w:rPr>
                    <w:t>N:37°30′19.3724″</w:t>
                  </w:r>
                </w:p>
              </w:tc>
              <w:tc>
                <w:tcPr>
                  <w:tcW w:w="1197" w:type="dxa"/>
                  <w:tcBorders>
                    <w:tl2br w:val="nil"/>
                    <w:tr2bl w:val="nil"/>
                  </w:tcBorders>
                  <w:noWrap/>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52</w:t>
                  </w:r>
                </w:p>
              </w:tc>
              <w:tc>
                <w:tcPr>
                  <w:tcW w:w="1177" w:type="dxa"/>
                  <w:tcBorders>
                    <w:tl2br w:val="nil"/>
                    <w:tr2bl w:val="nil"/>
                  </w:tcBorders>
                  <w:noWrap/>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c>
                <w:tcPr>
                  <w:tcW w:w="1423" w:type="dxa"/>
                  <w:vMerge w:val="continue"/>
                  <w:tcBorders>
                    <w:tl2br w:val="nil"/>
                    <w:tr2bl w:val="nil"/>
                  </w:tcBorders>
                  <w:noWrap/>
                  <w:vAlign w:val="center"/>
                </w:tcPr>
                <w:p>
                  <w:pPr>
                    <w:adjustRightInd w:val="0"/>
                    <w:snapToGrid w:val="0"/>
                    <w:jc w:val="center"/>
                    <w:rPr>
                      <w:rFonts w:hint="default" w:ascii="Times New Roman" w:hAnsi="Times New Roman" w:eastAsia="宋体" w:cs="Times New Roman"/>
                      <w:color w:val="auto"/>
                      <w:szCs w:val="21"/>
                    </w:rPr>
                  </w:pPr>
                </w:p>
              </w:tc>
              <w:tc>
                <w:tcPr>
                  <w:tcW w:w="1191" w:type="dxa"/>
                  <w:tcBorders>
                    <w:tl2br w:val="nil"/>
                    <w:tr2bl w:val="nil"/>
                  </w:tcBorders>
                  <w:noWrap/>
                  <w:vAlign w:val="center"/>
                </w:tcPr>
                <w:p>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达标</w:t>
                  </w:r>
                </w:p>
              </w:tc>
            </w:tr>
          </w:tbl>
          <w:p>
            <w:pP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264150" cy="3314065"/>
                  <wp:effectExtent l="0" t="0" r="12700" b="635"/>
                  <wp:docPr id="10" name="图片 3" descr="奶业监测点位"/>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 descr="奶业监测点位"/>
                          <pic:cNvPicPr>
                            <a:picLocks noChangeAspect="true"/>
                          </pic:cNvPicPr>
                        </pic:nvPicPr>
                        <pic:blipFill>
                          <a:blip r:embed="rId23"/>
                          <a:stretch>
                            <a:fillRect/>
                          </a:stretch>
                        </pic:blipFill>
                        <pic:spPr>
                          <a:xfrm>
                            <a:off x="0" y="0"/>
                            <a:ext cx="5264150" cy="33140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4"/>
                <w:szCs w:val="24"/>
                <w:highlight w:val="none"/>
                <w:lang w:val="en-US" w:eastAsia="zh-CN"/>
              </w:rPr>
              <w:t>图3-1  监测点位示意图</w:t>
            </w:r>
          </w:p>
          <w:p>
            <w:pPr>
              <w:widowControl/>
              <w:numPr>
                <w:ilvl w:val="0"/>
                <w:numId w:val="11"/>
              </w:numPr>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lang w:val="en-US" w:eastAsia="zh-CN"/>
              </w:rPr>
              <w:t>土壤、地下水</w:t>
            </w:r>
            <w:r>
              <w:rPr>
                <w:rFonts w:hint="default" w:ascii="Times New Roman" w:hAnsi="Times New Roman" w:eastAsia="黑体" w:cs="Times New Roman"/>
                <w:color w:val="auto"/>
                <w:sz w:val="28"/>
                <w:szCs w:val="28"/>
              </w:rPr>
              <w:t>质量现状</w:t>
            </w:r>
          </w:p>
          <w:p>
            <w:pPr>
              <w:ind w:firstLine="512"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4"/>
              </w:rPr>
              <w:t>本项目实验区位于</w:t>
            </w:r>
            <w:r>
              <w:rPr>
                <w:rFonts w:hint="default" w:ascii="Times New Roman" w:hAnsi="Times New Roman" w:cs="Times New Roman"/>
                <w:color w:val="auto"/>
                <w:kern w:val="0"/>
                <w:sz w:val="24"/>
                <w:highlight w:val="none"/>
                <w:lang w:eastAsia="zh-CN"/>
              </w:rPr>
              <w:t>中卫市职业技术学校3号实训楼一楼</w:t>
            </w:r>
            <w:r>
              <w:rPr>
                <w:rFonts w:hint="default" w:ascii="Times New Roman" w:hAnsi="Times New Roman" w:eastAsia="宋体" w:cs="Times New Roman"/>
                <w:color w:val="auto"/>
                <w:sz w:val="24"/>
                <w:szCs w:val="24"/>
              </w:rPr>
              <w:t>，依据《建设项目环境影响报告表编制技术指南（污染影响类）（试行）》“原则上不开展环境质量现状调查。建设项目存在土壤、地下水污染途径的，应结合污染源、保护目标分布情况开展现状调查以留作背景值”。本项目</w:t>
            </w:r>
            <w:r>
              <w:rPr>
                <w:rFonts w:hint="default" w:ascii="Times New Roman" w:hAnsi="Times New Roman" w:cs="Times New Roman"/>
                <w:color w:val="auto"/>
                <w:sz w:val="24"/>
                <w:szCs w:val="24"/>
                <w:highlight w:val="none"/>
                <w:lang w:eastAsia="zh-CN"/>
              </w:rPr>
              <w:t>危废暂存库地面与裙脚基础防渗采用混凝土硬化，涂刷防渗涂料，设置防渗托盘</w:t>
            </w:r>
            <w:r>
              <w:rPr>
                <w:rFonts w:hint="default" w:ascii="Times New Roman" w:hAnsi="Times New Roman" w:cs="Times New Roman"/>
                <w:color w:val="auto"/>
                <w:sz w:val="24"/>
                <w:szCs w:val="24"/>
                <w:highlight w:val="none"/>
              </w:rPr>
              <w:t>，防渗层渗透系数≤10</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cm/s</w:t>
            </w:r>
            <w:r>
              <w:rPr>
                <w:rFonts w:hint="default"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rPr>
              <w:t>正常工况下不存在地下水及土壤环境污染途径，同时，项目厂界外500米范围内的无地下水及土壤环境保护目标，因此本次不开展地下水现状调查。</w:t>
            </w:r>
          </w:p>
          <w:p>
            <w:pPr>
              <w:widowControl/>
              <w:numPr>
                <w:ilvl w:val="0"/>
                <w:numId w:val="11"/>
              </w:numPr>
              <w:spacing w:before="240" w:after="60"/>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生态环境现状</w:t>
            </w:r>
          </w:p>
          <w:p>
            <w:pPr>
              <w:ind w:firstLine="512" w:firstLineChars="200"/>
              <w:rPr>
                <w:rFonts w:hint="default" w:ascii="Times New Roman" w:hAnsi="Times New Roman" w:cs="Times New Roman"/>
                <w:color w:val="auto"/>
                <w:kern w:val="0"/>
                <w:sz w:val="24"/>
              </w:rPr>
            </w:pPr>
            <w:r>
              <w:rPr>
                <w:rFonts w:hint="default" w:ascii="Times New Roman" w:hAnsi="Times New Roman" w:eastAsia="宋体" w:cs="Times New Roman"/>
                <w:color w:val="auto"/>
                <w:sz w:val="24"/>
                <w:szCs w:val="24"/>
                <w:lang w:val="en-US" w:eastAsia="zh-CN"/>
              </w:rPr>
              <w:t>本项目</w:t>
            </w:r>
            <w:r>
              <w:rPr>
                <w:rFonts w:hint="default" w:ascii="Times New Roman" w:hAnsi="Times New Roman" w:cs="Times New Roman"/>
                <w:color w:val="auto"/>
                <w:sz w:val="24"/>
                <w:szCs w:val="24"/>
                <w:lang w:val="en-US" w:eastAsia="zh-CN"/>
              </w:rPr>
              <w:t>使用</w:t>
            </w:r>
            <w:r>
              <w:rPr>
                <w:rFonts w:hint="default" w:ascii="Times New Roman" w:hAnsi="Times New Roman" w:cs="Times New Roman"/>
                <w:color w:val="auto"/>
                <w:kern w:val="0"/>
                <w:sz w:val="24"/>
                <w:highlight w:val="none"/>
                <w:lang w:eastAsia="zh-CN"/>
              </w:rPr>
              <w:t>中卫市职业技术学校</w:t>
            </w:r>
            <w:r>
              <w:rPr>
                <w:rFonts w:hint="default" w:ascii="Times New Roman" w:hAnsi="Times New Roman" w:cs="Times New Roman"/>
                <w:color w:val="auto"/>
                <w:sz w:val="24"/>
                <w:szCs w:val="24"/>
                <w:lang w:val="en-US" w:eastAsia="zh-CN"/>
              </w:rPr>
              <w:t>提供的</w:t>
            </w:r>
            <w:r>
              <w:rPr>
                <w:rFonts w:hint="default" w:ascii="Times New Roman" w:hAnsi="Times New Roman" w:cs="Times New Roman"/>
                <w:color w:val="auto"/>
                <w:kern w:val="0"/>
                <w:sz w:val="24"/>
                <w:highlight w:val="none"/>
                <w:lang w:eastAsia="zh-CN"/>
              </w:rPr>
              <w:t>3号实训楼一楼</w:t>
            </w:r>
            <w:r>
              <w:rPr>
                <w:rFonts w:hint="default" w:ascii="Times New Roman" w:hAnsi="Times New Roman" w:cs="Times New Roman"/>
                <w:color w:val="auto"/>
                <w:kern w:val="0"/>
                <w:sz w:val="24"/>
                <w:highlight w:val="none"/>
                <w:lang w:val="en-US" w:eastAsia="zh-CN"/>
              </w:rPr>
              <w:t>作为实验办公用房</w:t>
            </w:r>
            <w:r>
              <w:rPr>
                <w:rFonts w:hint="default" w:ascii="Times New Roman" w:hAnsi="Times New Roman" w:eastAsia="宋体" w:cs="Times New Roman"/>
                <w:color w:val="auto"/>
                <w:sz w:val="24"/>
                <w:szCs w:val="24"/>
                <w:lang w:val="en-US" w:eastAsia="zh-CN"/>
              </w:rPr>
              <w:t>，不新增占地且周边不涉及生态环境保护目标，因此无需进行生态现状调查。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06" w:hRule="atLeast"/>
          <w:jc w:val="center"/>
        </w:trPr>
        <w:tc>
          <w:tcPr>
            <w:tcW w:w="444" w:type="pct"/>
            <w:tcBorders>
              <w:tl2br w:val="nil"/>
              <w:tr2bl w:val="nil"/>
            </w:tcBorders>
            <w:vAlign w:val="center"/>
          </w:tcPr>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w:t>
            </w:r>
          </w:p>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目标</w:t>
            </w:r>
          </w:p>
        </w:tc>
        <w:tc>
          <w:tcPr>
            <w:tcW w:w="4555" w:type="pct"/>
            <w:tcBorders>
              <w:tl2br w:val="nil"/>
              <w:tr2bl w:val="nil"/>
            </w:tcBorders>
          </w:tcPr>
          <w:p>
            <w:pPr>
              <w:ind w:firstLine="51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本项目位于</w:t>
            </w:r>
            <w:r>
              <w:rPr>
                <w:rFonts w:hint="default" w:ascii="Times New Roman" w:hAnsi="Times New Roman" w:cs="Times New Roman"/>
                <w:color w:val="auto"/>
                <w:kern w:val="0"/>
                <w:sz w:val="24"/>
                <w:highlight w:val="none"/>
                <w:lang w:eastAsia="zh-CN"/>
              </w:rPr>
              <w:t>中卫市职业技术学校3号实训楼一楼</w:t>
            </w:r>
            <w:r>
              <w:rPr>
                <w:rFonts w:hint="default" w:ascii="Times New Roman" w:hAnsi="Times New Roman" w:cs="Times New Roman"/>
                <w:color w:val="auto"/>
                <w:sz w:val="24"/>
                <w:szCs w:val="24"/>
              </w:rPr>
              <w:t>。根据项目选址周围环境状况及其排污特点和环境影响特征，</w:t>
            </w:r>
            <w:r>
              <w:rPr>
                <w:rFonts w:hint="default" w:ascii="Times New Roman" w:hAnsi="Times New Roman" w:cs="Times New Roman"/>
                <w:color w:val="auto"/>
                <w:sz w:val="24"/>
                <w:szCs w:val="24"/>
                <w:lang w:val="en-US" w:eastAsia="zh-CN"/>
              </w:rPr>
              <w:t>本项目周边环境目标调查情况如下:</w:t>
            </w:r>
          </w:p>
          <w:p>
            <w:pPr>
              <w:numPr>
                <w:ilvl w:val="0"/>
                <w:numId w:val="12"/>
              </w:numPr>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大气环境</w:t>
            </w:r>
          </w:p>
          <w:p>
            <w:pPr>
              <w:ind w:firstLine="512"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4"/>
                <w:szCs w:val="24"/>
              </w:rPr>
              <w:t>项目500m范围内</w:t>
            </w:r>
            <w:r>
              <w:rPr>
                <w:rFonts w:hint="default" w:ascii="Times New Roman" w:hAnsi="Times New Roman" w:cs="Times New Roman"/>
                <w:color w:val="auto"/>
                <w:sz w:val="24"/>
                <w:szCs w:val="24"/>
                <w:lang w:val="en-US" w:eastAsia="zh-CN"/>
              </w:rPr>
              <w:t>无</w:t>
            </w:r>
            <w:r>
              <w:rPr>
                <w:rFonts w:hint="default" w:ascii="Times New Roman" w:hAnsi="Times New Roman" w:cs="Times New Roman"/>
                <w:color w:val="auto"/>
                <w:sz w:val="24"/>
                <w:szCs w:val="32"/>
              </w:rPr>
              <w:t>自然保护区、风景名胜区等，</w:t>
            </w:r>
            <w:r>
              <w:rPr>
                <w:rFonts w:hint="default" w:ascii="Times New Roman" w:hAnsi="Times New Roman" w:cs="Times New Roman"/>
                <w:color w:val="auto"/>
                <w:sz w:val="24"/>
                <w:szCs w:val="32"/>
                <w:lang w:val="en-US" w:eastAsia="zh-CN"/>
              </w:rPr>
              <w:t>主要为居住区，</w:t>
            </w:r>
            <w:r>
              <w:rPr>
                <w:rFonts w:hint="default" w:ascii="Times New Roman" w:hAnsi="Times New Roman" w:cs="Times New Roman"/>
                <w:color w:val="auto"/>
                <w:sz w:val="24"/>
                <w:szCs w:val="24"/>
              </w:rPr>
              <w:t>大气环境保护目标见</w:t>
            </w:r>
            <w:r>
              <w:rPr>
                <w:rFonts w:hint="default" w:ascii="Times New Roman" w:hAnsi="Times New Roman" w:cs="Times New Roman"/>
                <w:color w:val="auto"/>
                <w:sz w:val="24"/>
                <w:szCs w:val="24"/>
                <w:lang w:val="en-US" w:eastAsia="zh-CN"/>
              </w:rPr>
              <w:t>下</w:t>
            </w:r>
            <w:r>
              <w:rPr>
                <w:rFonts w:hint="default" w:ascii="Times New Roman" w:hAnsi="Times New Roman" w:cs="Times New Roman"/>
                <w:color w:val="auto"/>
                <w:sz w:val="24"/>
                <w:szCs w:val="24"/>
              </w:rPr>
              <w:t>表</w:t>
            </w:r>
            <w:r>
              <w:rPr>
                <w:rFonts w:hint="default" w:ascii="Times New Roman" w:hAnsi="Times New Roman" w:cs="Times New Roman"/>
                <w:color w:val="auto"/>
                <w:sz w:val="24"/>
                <w:szCs w:val="24"/>
                <w:lang w:val="en-US" w:eastAsia="zh-CN"/>
              </w:rPr>
              <w:t>:</w:t>
            </w:r>
          </w:p>
          <w:p>
            <w:pPr>
              <w:adjustRightInd w:val="0"/>
              <w:snapToGrid w:val="0"/>
              <w:jc w:val="center"/>
              <w:rPr>
                <w:rFonts w:hint="default" w:ascii="Times New Roman" w:hAnsi="Times New Roman" w:cs="Times New Roman"/>
                <w:color w:val="auto"/>
              </w:rPr>
            </w:pPr>
            <w:r>
              <w:rPr>
                <w:rFonts w:hint="default" w:ascii="Times New Roman" w:hAnsi="Times New Roman" w:eastAsia="黑体" w:cs="Times New Roman"/>
                <w:color w:val="auto"/>
                <w:sz w:val="24"/>
                <w:szCs w:val="24"/>
              </w:rPr>
              <w:t>表3-2  本项目</w:t>
            </w:r>
            <w:r>
              <w:rPr>
                <w:rFonts w:hint="default" w:ascii="Times New Roman" w:hAnsi="Times New Roman" w:eastAsia="黑体" w:cs="Times New Roman"/>
                <w:color w:val="auto"/>
                <w:sz w:val="24"/>
                <w:szCs w:val="24"/>
                <w:lang w:val="en-US" w:eastAsia="zh-CN"/>
              </w:rPr>
              <w:t>大气</w:t>
            </w:r>
            <w:r>
              <w:rPr>
                <w:rFonts w:hint="default" w:ascii="Times New Roman" w:hAnsi="Times New Roman" w:eastAsia="黑体" w:cs="Times New Roman"/>
                <w:color w:val="auto"/>
                <w:sz w:val="24"/>
                <w:szCs w:val="24"/>
              </w:rPr>
              <w:t>环境保护目标一览表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405"/>
              <w:gridCol w:w="1875"/>
              <w:gridCol w:w="825"/>
              <w:gridCol w:w="1087"/>
              <w:gridCol w:w="1088"/>
              <w:gridCol w:w="1144"/>
              <w:gridCol w:w="79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保护对象</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坐标</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功能</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规模/人</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相对厂址方位</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相对厂界距离/m</w:t>
                  </w:r>
                </w:p>
              </w:tc>
              <w:tc>
                <w:tcPr>
                  <w:tcW w:w="480" w:type="pct"/>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lang w:val="en-US" w:eastAsia="zh-CN"/>
                    </w:rPr>
                    <w:t>标准要求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沙坡头区税务局</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eastAsia="宋体" w:cs="Times New Roman"/>
                      <w:color w:val="auto"/>
                      <w:sz w:val="21"/>
                      <w:szCs w:val="21"/>
                      <w:lang w:val="en-US" w:eastAsia="zh-CN"/>
                    </w:rPr>
                    <w:t>105°11′11.34″</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cs="Times New Roman"/>
                      <w:color w:val="auto"/>
                      <w:sz w:val="21"/>
                      <w:szCs w:val="21"/>
                      <w:highlight w:val="none"/>
                      <w:lang w:val="en-US" w:eastAsia="zh-CN"/>
                    </w:rPr>
                    <w:t>N:</w:t>
                  </w:r>
                  <w:r>
                    <w:rPr>
                      <w:rFonts w:hint="default" w:ascii="Times New Roman" w:hAnsi="Times New Roman" w:eastAsia="宋体" w:cs="Times New Roman"/>
                      <w:color w:val="auto"/>
                      <w:sz w:val="21"/>
                      <w:szCs w:val="21"/>
                      <w:lang w:val="en-US" w:eastAsia="zh-CN"/>
                    </w:rPr>
                    <w:t>37°30′41.29″</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办公</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东侧</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480" w:type="pct"/>
                  <w:vMerge w:val="restart"/>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《环境空气质量标准》(GB3095-2012)</w:t>
                  </w:r>
                  <w:r>
                    <w:rPr>
                      <w:rFonts w:hint="default" w:ascii="Times New Roman" w:hAnsi="Times New Roman" w:cs="Times New Roman"/>
                      <w:color w:val="auto"/>
                      <w:sz w:val="21"/>
                      <w:szCs w:val="21"/>
                      <w:lang w:val="en-US" w:eastAsia="zh-CN"/>
                    </w:rPr>
                    <w:t>及修改单中</w:t>
                  </w:r>
                  <w:r>
                    <w:rPr>
                      <w:rFonts w:hint="default" w:ascii="Times New Roman" w:hAnsi="Times New Roman" w:cs="Times New Roman"/>
                      <w:color w:val="auto"/>
                      <w:sz w:val="21"/>
                      <w:szCs w:val="21"/>
                    </w:rPr>
                    <w:t>二级标准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宁夏公路局中卫分局</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lang w:val="en-US" w:eastAsia="zh-CN"/>
                    </w:rPr>
                    <w:t xml:space="preserve">105°11′16.74″， </w:t>
                  </w: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lang w:val="en-US" w:eastAsia="zh-CN"/>
                    </w:rPr>
                    <w:t>37°30′39.57″</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办公</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40</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东侧</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272</w:t>
                  </w:r>
                </w:p>
              </w:tc>
              <w:tc>
                <w:tcPr>
                  <w:tcW w:w="480" w:type="pct"/>
                  <w:vMerge w:val="continue"/>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新世家</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lang w:val="en-US" w:eastAsia="zh-CN"/>
                    </w:rPr>
                    <w:t xml:space="preserve">105°11′16.65″， </w:t>
                  </w: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lang w:val="en-US" w:eastAsia="zh-CN"/>
                    </w:rPr>
                    <w:t>37°30′43.3″</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居住区</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540</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东北侧</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210</w:t>
                  </w:r>
                </w:p>
              </w:tc>
              <w:tc>
                <w:tcPr>
                  <w:tcW w:w="480" w:type="pct"/>
                  <w:vMerge w:val="continue"/>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禹都新村</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lang w:val="en-US" w:eastAsia="zh-CN"/>
                    </w:rPr>
                    <w:t xml:space="preserve">105°11′16.84″， </w:t>
                  </w: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lang w:val="en-US" w:eastAsia="zh-CN"/>
                    </w:rPr>
                    <w:t>37°30′47.63″</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居住区</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1080</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东北侧</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240</w:t>
                  </w:r>
                </w:p>
              </w:tc>
              <w:tc>
                <w:tcPr>
                  <w:tcW w:w="480" w:type="pct"/>
                  <w:vMerge w:val="continue"/>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南关新村</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lang w:val="en-US" w:eastAsia="zh-CN"/>
                    </w:rPr>
                    <w:t xml:space="preserve">105°11′22.89″， </w:t>
                  </w: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lang w:val="en-US" w:eastAsia="zh-CN"/>
                    </w:rPr>
                    <w:t>37°30′46.62″</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居住区</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1404</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东北侧</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380</w:t>
                  </w:r>
                </w:p>
              </w:tc>
              <w:tc>
                <w:tcPr>
                  <w:tcW w:w="480" w:type="pct"/>
                  <w:vMerge w:val="continue"/>
                  <w:tcBorders>
                    <w:tl2br w:val="nil"/>
                    <w:tr2bl w:val="nil"/>
                  </w:tcBorders>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中卫市职业技术学校</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eastAsia="宋体" w:cs="Times New Roman"/>
                      <w:color w:val="auto"/>
                      <w:sz w:val="21"/>
                      <w:szCs w:val="21"/>
                      <w:lang w:eastAsia="zh-CN"/>
                    </w:rPr>
                    <w:t>105°10′52.88″</w:t>
                  </w:r>
                  <w:r>
                    <w:rPr>
                      <w:rFonts w:hint="default"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lang w:eastAsia="zh-CN"/>
                    </w:rPr>
                    <w:t xml:space="preserve"> </w:t>
                  </w:r>
                  <w:r>
                    <w:rPr>
                      <w:rFonts w:hint="default" w:ascii="Times New Roman" w:hAnsi="Times New Roman" w:cs="Times New Roman"/>
                      <w:color w:val="auto"/>
                      <w:sz w:val="21"/>
                      <w:szCs w:val="21"/>
                      <w:highlight w:val="none"/>
                      <w:lang w:val="en-US" w:eastAsia="zh-CN"/>
                    </w:rPr>
                    <w:t>N:</w:t>
                  </w:r>
                  <w:r>
                    <w:rPr>
                      <w:rFonts w:hint="default" w:ascii="Times New Roman" w:hAnsi="Times New Roman" w:eastAsia="宋体" w:cs="Times New Roman"/>
                      <w:color w:val="auto"/>
                      <w:sz w:val="21"/>
                      <w:szCs w:val="21"/>
                      <w:lang w:eastAsia="zh-CN"/>
                    </w:rPr>
                    <w:t>37°30′49.87″</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学校</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1000</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西侧</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60</w:t>
                  </w:r>
                </w:p>
              </w:tc>
              <w:tc>
                <w:tcPr>
                  <w:tcW w:w="480" w:type="pct"/>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中卫市职业技术学校</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号实训楼</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lang w:val="en-US" w:eastAsia="zh-CN"/>
                    </w:rPr>
                    <w:t>105°10′28.574″，</w:t>
                  </w:r>
                  <w:r>
                    <w:rPr>
                      <w:rFonts w:hint="default" w:ascii="Times New Roman" w:hAnsi="Times New Roman" w:cs="Times New Roman"/>
                      <w:color w:val="auto"/>
                      <w:sz w:val="21"/>
                      <w:szCs w:val="21"/>
                      <w:highlight w:val="none"/>
                      <w:lang w:val="en-US" w:eastAsia="zh-CN"/>
                    </w:rPr>
                    <w:t>N:37°30′19.3724″</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学校</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100</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北侧</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25</w:t>
                  </w:r>
                </w:p>
              </w:tc>
              <w:tc>
                <w:tcPr>
                  <w:tcW w:w="480" w:type="pct"/>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瑞丰家园</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cs="Times New Roman"/>
                      <w:color w:val="auto"/>
                      <w:sz w:val="21"/>
                      <w:szCs w:val="21"/>
                      <w:lang w:val="en-US" w:eastAsia="zh-CN"/>
                    </w:rPr>
                    <w:t xml:space="preserve">105°11′6.65″， </w:t>
                  </w:r>
                  <w:r>
                    <w:rPr>
                      <w:rFonts w:hint="default" w:ascii="Times New Roman" w:hAnsi="Times New Roman" w:cs="Times New Roman"/>
                      <w:color w:val="auto"/>
                      <w:sz w:val="21"/>
                      <w:szCs w:val="21"/>
                      <w:highlight w:val="none"/>
                      <w:lang w:val="en-US" w:eastAsia="zh-CN"/>
                    </w:rPr>
                    <w:t>N:</w:t>
                  </w:r>
                  <w:r>
                    <w:rPr>
                      <w:rFonts w:hint="default" w:ascii="Times New Roman" w:hAnsi="Times New Roman" w:cs="Times New Roman"/>
                      <w:color w:val="auto"/>
                      <w:sz w:val="21"/>
                      <w:szCs w:val="21"/>
                      <w:lang w:val="en-US" w:eastAsia="zh-CN"/>
                    </w:rPr>
                    <w:t>37°30′55.49″</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居住区</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2916</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北侧</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210</w:t>
                  </w:r>
                </w:p>
              </w:tc>
              <w:tc>
                <w:tcPr>
                  <w:tcW w:w="480" w:type="pct"/>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855" w:type="pct"/>
                  <w:tcBorders>
                    <w:tl2br w:val="nil"/>
                    <w:tr2bl w:val="nil"/>
                  </w:tcBorders>
                  <w:tcMar>
                    <w:left w:w="28" w:type="dxa"/>
                    <w:right w:w="28" w:type="dxa"/>
                  </w:tcMar>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旭日隆祥</w:t>
                  </w:r>
                </w:p>
              </w:tc>
              <w:tc>
                <w:tcPr>
                  <w:tcW w:w="114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E:</w:t>
                  </w:r>
                  <w:r>
                    <w:rPr>
                      <w:rFonts w:hint="default" w:ascii="Times New Roman" w:hAnsi="Times New Roman" w:eastAsia="宋体" w:cs="Times New Roman"/>
                      <w:color w:val="auto"/>
                      <w:sz w:val="21"/>
                      <w:szCs w:val="21"/>
                      <w:lang w:val="en-US" w:eastAsia="zh-CN"/>
                    </w:rPr>
                    <w:t>105°11′18.78″</w:t>
                  </w:r>
                  <w:r>
                    <w:rPr>
                      <w:rFonts w:hint="default" w:ascii="Times New Roman" w:hAnsi="Times New Roman"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cs="Times New Roman"/>
                      <w:color w:val="auto"/>
                      <w:sz w:val="21"/>
                      <w:szCs w:val="21"/>
                      <w:highlight w:val="none"/>
                      <w:lang w:val="en-US" w:eastAsia="zh-CN"/>
                    </w:rPr>
                    <w:t>N:</w:t>
                  </w:r>
                  <w:r>
                    <w:rPr>
                      <w:rFonts w:hint="default" w:ascii="Times New Roman" w:hAnsi="Times New Roman" w:eastAsia="宋体" w:cs="Times New Roman"/>
                      <w:color w:val="auto"/>
                      <w:sz w:val="21"/>
                      <w:szCs w:val="21"/>
                      <w:lang w:val="en-US" w:eastAsia="zh-CN"/>
                    </w:rPr>
                    <w:t>37°30′28.82″</w:t>
                  </w:r>
                </w:p>
              </w:tc>
              <w:tc>
                <w:tcPr>
                  <w:tcW w:w="50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居住区</w:t>
                  </w:r>
                </w:p>
              </w:tc>
              <w:tc>
                <w:tcPr>
                  <w:tcW w:w="661"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1188</w:t>
                  </w:r>
                </w:p>
              </w:tc>
              <w:tc>
                <w:tcPr>
                  <w:tcW w:w="662"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东南侧</w:t>
                  </w:r>
                </w:p>
              </w:tc>
              <w:tc>
                <w:tcPr>
                  <w:tcW w:w="696" w:type="pct"/>
                  <w:tcBorders>
                    <w:tl2br w:val="nil"/>
                    <w:tr2bl w:val="nil"/>
                  </w:tcBorders>
                  <w:tcMar>
                    <w:left w:w="28" w:type="dxa"/>
                    <w:right w:w="28" w:type="dxa"/>
                  </w:tcMar>
                  <w:vAlign w:val="center"/>
                </w:tcPr>
                <w:p>
                  <w:pPr>
                    <w:keepNext w:val="0"/>
                    <w:keepLines w:val="0"/>
                    <w:pageBreakBefore w:val="0"/>
                    <w:widowControl w:val="0"/>
                    <w:kinsoku w:val="0"/>
                    <w:wordWrap/>
                    <w:overflowPunct w:val="0"/>
                    <w:topLinePunct w:val="0"/>
                    <w:autoSpaceDE w:val="0"/>
                    <w:autoSpaceDN w:val="0"/>
                    <w:bidi w:val="0"/>
                    <w:adjustRightInd w:val="0"/>
                    <w:snapToGrid w:val="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370</w:t>
                  </w:r>
                </w:p>
              </w:tc>
              <w:tc>
                <w:tcPr>
                  <w:tcW w:w="480" w:type="pct"/>
                  <w:vMerge w:val="continue"/>
                  <w:tcBorders>
                    <w:tl2br w:val="nil"/>
                    <w:tr2bl w:val="nil"/>
                  </w:tcBorders>
                  <w:vAlign w:val="center"/>
                </w:tcPr>
                <w:p>
                  <w:pPr>
                    <w:keepNext w:val="0"/>
                    <w:keepLines w:val="0"/>
                    <w:pageBreakBefore w:val="0"/>
                    <w:widowControl w:val="0"/>
                    <w:wordWrap/>
                    <w:topLinePunct w:val="0"/>
                    <w:bidi w:val="0"/>
                    <w:adjustRightInd w:val="0"/>
                    <w:snapToGrid w:val="0"/>
                    <w:jc w:val="center"/>
                    <w:textAlignment w:val="auto"/>
                    <w:rPr>
                      <w:rFonts w:hint="default" w:ascii="Times New Roman" w:hAnsi="Times New Roman" w:cs="Times New Roman"/>
                      <w:color w:val="auto"/>
                      <w:sz w:val="21"/>
                      <w:szCs w:val="21"/>
                    </w:rPr>
                  </w:pPr>
                </w:p>
              </w:tc>
            </w:tr>
          </w:tbl>
          <w:p>
            <w:pPr>
              <w:widowControl/>
              <w:numPr>
                <w:ilvl w:val="0"/>
                <w:numId w:val="0"/>
              </w:numPr>
              <w:spacing w:before="240" w:after="60"/>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2、</w:t>
            </w:r>
            <w:r>
              <w:rPr>
                <w:rFonts w:hint="default" w:ascii="Times New Roman" w:hAnsi="Times New Roman" w:eastAsia="黑体" w:cs="Times New Roman"/>
                <w:color w:val="auto"/>
                <w:sz w:val="28"/>
                <w:szCs w:val="28"/>
                <w:highlight w:val="none"/>
                <w:lang w:val="en-US" w:eastAsia="zh-CN"/>
              </w:rPr>
              <w:t>声环境</w:t>
            </w:r>
          </w:p>
          <w:p>
            <w:pPr>
              <w:ind w:firstLine="512" w:firstLineChars="200"/>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本项目厂界外周围50m范围内声环境保护目标</w:t>
            </w:r>
            <w:r>
              <w:rPr>
                <w:rFonts w:hint="default" w:ascii="Times New Roman" w:hAnsi="Times New Roman" w:cs="Times New Roman"/>
                <w:color w:val="auto"/>
                <w:sz w:val="24"/>
                <w:szCs w:val="24"/>
                <w:lang w:val="en-US" w:eastAsia="zh-CN"/>
              </w:rPr>
              <w:t>为中卫市职业技术学校4号实训楼</w:t>
            </w:r>
            <w:r>
              <w:rPr>
                <w:rFonts w:hint="default" w:ascii="Times New Roman" w:hAnsi="Times New Roman" w:cs="Times New Roman"/>
                <w:color w:val="auto"/>
                <w:sz w:val="24"/>
                <w:szCs w:val="24"/>
                <w:lang w:eastAsia="zh-CN"/>
              </w:rPr>
              <w:t>。</w:t>
            </w:r>
          </w:p>
          <w:p>
            <w:pPr>
              <w:pStyle w:val="16"/>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表3-</w:t>
            </w:r>
            <w:r>
              <w:rPr>
                <w:rFonts w:hint="default" w:ascii="Times New Roman" w:hAnsi="Times New Roman" w:eastAsia="黑体" w:cs="Times New Roman"/>
                <w:color w:val="auto"/>
                <w:sz w:val="24"/>
                <w:szCs w:val="24"/>
                <w:lang w:val="en-US" w:eastAsia="zh-CN"/>
              </w:rPr>
              <w:t>3</w:t>
            </w:r>
            <w:r>
              <w:rPr>
                <w:rFonts w:hint="default" w:ascii="Times New Roman" w:hAnsi="Times New Roman" w:eastAsia="黑体" w:cs="Times New Roman"/>
                <w:color w:val="auto"/>
                <w:sz w:val="24"/>
                <w:szCs w:val="24"/>
              </w:rPr>
              <w:t xml:space="preserve">  本项目</w:t>
            </w:r>
            <w:r>
              <w:rPr>
                <w:rFonts w:hint="default" w:ascii="Times New Roman" w:hAnsi="Times New Roman" w:eastAsia="黑体" w:cs="Times New Roman"/>
                <w:color w:val="auto"/>
                <w:sz w:val="24"/>
                <w:szCs w:val="24"/>
                <w:lang w:val="en-US" w:eastAsia="zh-CN"/>
              </w:rPr>
              <w:t>声环境</w:t>
            </w:r>
            <w:r>
              <w:rPr>
                <w:rFonts w:hint="default" w:ascii="Times New Roman" w:hAnsi="Times New Roman" w:eastAsia="黑体" w:cs="Times New Roman"/>
                <w:color w:val="auto"/>
                <w:sz w:val="24"/>
                <w:szCs w:val="24"/>
              </w:rPr>
              <w:t>保护目标一览表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03"/>
              <w:gridCol w:w="856"/>
              <w:gridCol w:w="842"/>
              <w:gridCol w:w="1773"/>
              <w:gridCol w:w="800"/>
              <w:gridCol w:w="1420"/>
              <w:gridCol w:w="14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71" w:type="pct"/>
                  <w:vMerge w:val="restart"/>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声环境保护目标名称</w:t>
                  </w:r>
                </w:p>
              </w:tc>
              <w:tc>
                <w:tcPr>
                  <w:tcW w:w="1033" w:type="pct"/>
                  <w:gridSpan w:val="2"/>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坐标</w:t>
                  </w:r>
                </w:p>
              </w:tc>
              <w:tc>
                <w:tcPr>
                  <w:tcW w:w="1079" w:type="pct"/>
                  <w:vMerge w:val="restart"/>
                  <w:vAlign w:val="center"/>
                </w:tcPr>
                <w:p>
                  <w:pPr>
                    <w:widowControl/>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保护要求</w:t>
                  </w:r>
                </w:p>
              </w:tc>
              <w:tc>
                <w:tcPr>
                  <w:tcW w:w="486" w:type="pct"/>
                  <w:vMerge w:val="restart"/>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相对位置</w:t>
                  </w:r>
                </w:p>
              </w:tc>
              <w:tc>
                <w:tcPr>
                  <w:tcW w:w="864" w:type="pct"/>
                  <w:vMerge w:val="restart"/>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相对厂界距离</w:t>
                  </w:r>
                </w:p>
              </w:tc>
              <w:tc>
                <w:tcPr>
                  <w:tcW w:w="864" w:type="pct"/>
                  <w:vMerge w:val="restart"/>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保护内容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71" w:type="pct"/>
                  <w:vMerge w:val="continue"/>
                  <w:vAlign w:val="center"/>
                </w:tcPr>
                <w:p>
                  <w:pPr>
                    <w:widowControl/>
                    <w:adjustRightInd w:val="0"/>
                    <w:snapToGrid w:val="0"/>
                    <w:jc w:val="center"/>
                    <w:rPr>
                      <w:rFonts w:hint="default" w:ascii="Times New Roman" w:hAnsi="Times New Roman" w:cs="Times New Roman"/>
                      <w:color w:val="auto"/>
                    </w:rPr>
                  </w:pPr>
                </w:p>
              </w:tc>
              <w:tc>
                <w:tcPr>
                  <w:tcW w:w="521" w:type="pct"/>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经度坐标</w:t>
                  </w:r>
                </w:p>
              </w:tc>
              <w:tc>
                <w:tcPr>
                  <w:tcW w:w="512" w:type="pct"/>
                  <w:vAlign w:val="center"/>
                </w:tcPr>
                <w:p>
                  <w:pPr>
                    <w:widowControl/>
                    <w:adjustRightInd w:val="0"/>
                    <w:snapToGrid w:val="0"/>
                    <w:jc w:val="center"/>
                    <w:rPr>
                      <w:rFonts w:hint="default" w:ascii="Times New Roman" w:hAnsi="Times New Roman" w:eastAsia="宋体" w:cs="Times New Roman"/>
                      <w:b/>
                      <w:bCs/>
                      <w:color w:val="auto"/>
                      <w:szCs w:val="21"/>
                      <w:lang w:eastAsia="zh-CN"/>
                    </w:rPr>
                  </w:pPr>
                  <w:r>
                    <w:rPr>
                      <w:rFonts w:hint="default" w:ascii="Times New Roman" w:hAnsi="Times New Roman" w:cs="Times New Roman"/>
                      <w:b/>
                      <w:bCs/>
                      <w:color w:val="auto"/>
                      <w:szCs w:val="21"/>
                      <w:lang w:val="en-US" w:eastAsia="zh-CN"/>
                    </w:rPr>
                    <w:t>纬度坐标</w:t>
                  </w:r>
                </w:p>
              </w:tc>
              <w:tc>
                <w:tcPr>
                  <w:tcW w:w="1079" w:type="pct"/>
                  <w:vMerge w:val="continue"/>
                  <w:vAlign w:val="center"/>
                </w:tcPr>
                <w:p>
                  <w:pPr>
                    <w:widowControl/>
                    <w:adjustRightInd w:val="0"/>
                    <w:snapToGrid w:val="0"/>
                    <w:jc w:val="center"/>
                    <w:rPr>
                      <w:rFonts w:hint="default" w:ascii="Times New Roman" w:hAnsi="Times New Roman" w:cs="Times New Roman"/>
                      <w:b/>
                      <w:bCs/>
                      <w:color w:val="auto"/>
                      <w:szCs w:val="21"/>
                    </w:rPr>
                  </w:pPr>
                </w:p>
              </w:tc>
              <w:tc>
                <w:tcPr>
                  <w:tcW w:w="486" w:type="pct"/>
                  <w:vMerge w:val="continue"/>
                  <w:vAlign w:val="center"/>
                </w:tcPr>
                <w:p>
                  <w:pPr>
                    <w:widowControl/>
                    <w:adjustRightInd w:val="0"/>
                    <w:snapToGrid w:val="0"/>
                    <w:jc w:val="center"/>
                    <w:rPr>
                      <w:rFonts w:hint="default" w:ascii="Times New Roman" w:hAnsi="Times New Roman" w:cs="Times New Roman"/>
                      <w:b/>
                      <w:bCs/>
                      <w:color w:val="auto"/>
                      <w:szCs w:val="21"/>
                    </w:rPr>
                  </w:pPr>
                </w:p>
              </w:tc>
              <w:tc>
                <w:tcPr>
                  <w:tcW w:w="864" w:type="pct"/>
                  <w:vMerge w:val="continue"/>
                  <w:vAlign w:val="center"/>
                </w:tcPr>
                <w:p>
                  <w:pPr>
                    <w:widowControl/>
                    <w:adjustRightInd w:val="0"/>
                    <w:snapToGrid w:val="0"/>
                    <w:jc w:val="center"/>
                    <w:rPr>
                      <w:rFonts w:hint="default" w:ascii="Times New Roman" w:hAnsi="Times New Roman" w:cs="Times New Roman"/>
                      <w:b/>
                      <w:bCs/>
                      <w:color w:val="auto"/>
                      <w:szCs w:val="21"/>
                    </w:rPr>
                  </w:pPr>
                </w:p>
              </w:tc>
              <w:tc>
                <w:tcPr>
                  <w:tcW w:w="864" w:type="pct"/>
                  <w:vMerge w:val="continue"/>
                  <w:vAlign w:val="center"/>
                </w:tcPr>
                <w:p>
                  <w:pPr>
                    <w:widowControl/>
                    <w:adjustRightInd w:val="0"/>
                    <w:snapToGrid w:val="0"/>
                    <w:jc w:val="center"/>
                    <w:rPr>
                      <w:rFonts w:hint="default" w:ascii="Times New Roman" w:hAnsi="Times New Roman"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671" w:type="pct"/>
                  <w:vAlign w:val="center"/>
                </w:tcPr>
                <w:p>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eastAsia="zh-CN"/>
                    </w:rPr>
                    <w:t>中卫市职业技术学校</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lang w:eastAsia="zh-CN"/>
                    </w:rPr>
                    <w:t>号实训楼</w:t>
                  </w:r>
                </w:p>
              </w:tc>
              <w:tc>
                <w:tcPr>
                  <w:tcW w:w="521" w:type="pct"/>
                  <w:vAlign w:val="center"/>
                </w:tcPr>
                <w:p>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 w:val="21"/>
                      <w:szCs w:val="21"/>
                      <w:lang w:val="en-US" w:eastAsia="zh-CN"/>
                    </w:rPr>
                    <w:t>105°10′28.574″</w:t>
                  </w:r>
                </w:p>
              </w:tc>
              <w:tc>
                <w:tcPr>
                  <w:tcW w:w="512" w:type="pct"/>
                  <w:vAlign w:val="center"/>
                </w:tcPr>
                <w:p>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 w:val="21"/>
                      <w:szCs w:val="21"/>
                      <w:highlight w:val="none"/>
                      <w:lang w:val="en-US" w:eastAsia="zh-CN"/>
                    </w:rPr>
                    <w:t>37°30′19.3724″</w:t>
                  </w:r>
                </w:p>
              </w:tc>
              <w:tc>
                <w:tcPr>
                  <w:tcW w:w="1079" w:type="pct"/>
                  <w:vAlign w:val="center"/>
                </w:tcPr>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eastAsia="宋体" w:cs="Times New Roman"/>
                      <w:color w:val="auto"/>
                      <w:szCs w:val="21"/>
                    </w:rPr>
                    <w:t>《声环境质量标准》(GB3096-2008)</w:t>
                  </w:r>
                  <w:r>
                    <w:rPr>
                      <w:rFonts w:hint="default" w:ascii="Times New Roman" w:hAnsi="Times New Roman" w:eastAsia="宋体" w:cs="Times New Roman"/>
                      <w:color w:val="auto"/>
                      <w:szCs w:val="21"/>
                      <w:lang w:val="en-US" w:eastAsia="zh-CN"/>
                    </w:rPr>
                    <w:t>1</w:t>
                  </w:r>
                  <w:r>
                    <w:rPr>
                      <w:rFonts w:hint="default" w:ascii="Times New Roman" w:hAnsi="Times New Roman" w:eastAsia="宋体" w:cs="Times New Roman"/>
                      <w:color w:val="auto"/>
                      <w:szCs w:val="21"/>
                    </w:rPr>
                    <w:t>类区标准限值</w:t>
                  </w:r>
                </w:p>
              </w:tc>
              <w:tc>
                <w:tcPr>
                  <w:tcW w:w="486" w:type="pct"/>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kern w:val="0"/>
                      <w:szCs w:val="21"/>
                      <w:lang w:val="en-US" w:eastAsia="zh-CN" w:bidi="ar"/>
                    </w:rPr>
                    <w:t>北侧</w:t>
                  </w:r>
                </w:p>
              </w:tc>
              <w:tc>
                <w:tcPr>
                  <w:tcW w:w="864" w:type="pct"/>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color w:val="auto"/>
                      <w:kern w:val="0"/>
                      <w:szCs w:val="21"/>
                      <w:lang w:val="en-US" w:eastAsia="zh-CN" w:bidi="ar"/>
                    </w:rPr>
                    <w:t>25m</w:t>
                  </w:r>
                </w:p>
              </w:tc>
              <w:tc>
                <w:tcPr>
                  <w:tcW w:w="864" w:type="pct"/>
                  <w:vAlign w:val="center"/>
                </w:tcPr>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kern w:val="0"/>
                      <w:szCs w:val="21"/>
                      <w:lang w:val="en-US" w:eastAsia="zh-CN" w:bidi="ar"/>
                    </w:rPr>
                    <w:t>150人</w:t>
                  </w:r>
                </w:p>
              </w:tc>
            </w:tr>
          </w:tbl>
          <w:p>
            <w:pPr>
              <w:widowControl/>
              <w:numPr>
                <w:ilvl w:val="0"/>
                <w:numId w:val="0"/>
              </w:numPr>
              <w:spacing w:before="240" w:after="60"/>
              <w:rPr>
                <w:rFonts w:hint="default" w:ascii="Times New Roman" w:hAnsi="Times New Roman" w:eastAsia="黑体" w:cs="Times New Roman"/>
                <w:color w:val="auto"/>
                <w:sz w:val="28"/>
                <w:szCs w:val="28"/>
                <w:lang w:val="en-US" w:eastAsia="zh-CN"/>
              </w:rPr>
            </w:pPr>
            <w:r>
              <w:rPr>
                <w:rFonts w:hint="default" w:ascii="Times New Roman" w:hAnsi="Times New Roman" w:eastAsia="黑体" w:cs="Times New Roman"/>
                <w:color w:val="auto"/>
                <w:sz w:val="28"/>
                <w:szCs w:val="28"/>
                <w:lang w:val="en-US" w:eastAsia="zh-CN"/>
              </w:rPr>
              <w:t>3、地下水环境</w:t>
            </w:r>
          </w:p>
          <w:p>
            <w:pPr>
              <w:ind w:firstLine="51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本项目厂界外500m范围内无地下水集中式饮用水水源和热水、矿泉水、温泉等特殊地下水资源。</w:t>
            </w:r>
          </w:p>
          <w:p>
            <w:pPr>
              <w:numPr>
                <w:ilvl w:val="0"/>
                <w:numId w:val="0"/>
              </w:numPr>
              <w:ind w:leftChars="0"/>
              <w:rPr>
                <w:rFonts w:hint="default" w:ascii="Times New Roman" w:hAnsi="Times New Roman" w:cs="Times New Roman"/>
                <w:color w:val="auto"/>
                <w:lang w:val="en-US" w:eastAsia="zh-CN"/>
              </w:rPr>
            </w:pPr>
            <w:r>
              <w:rPr>
                <w:rFonts w:hint="default" w:ascii="Times New Roman" w:hAnsi="Times New Roman" w:eastAsia="黑体" w:cs="Times New Roman"/>
                <w:color w:val="auto"/>
                <w:sz w:val="28"/>
                <w:szCs w:val="28"/>
                <w:lang w:val="en-US" w:eastAsia="zh-CN"/>
              </w:rPr>
              <w:t>4、生态环境</w:t>
            </w:r>
          </w:p>
          <w:p>
            <w:pPr>
              <w:ind w:firstLine="51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本项目位于</w:t>
            </w:r>
            <w:r>
              <w:rPr>
                <w:rFonts w:hint="default" w:ascii="Times New Roman" w:hAnsi="Times New Roman" w:cs="Times New Roman"/>
                <w:color w:val="auto"/>
                <w:kern w:val="0"/>
                <w:sz w:val="24"/>
                <w:highlight w:val="none"/>
                <w:lang w:eastAsia="zh-CN"/>
              </w:rPr>
              <w:t>中卫市职业技术学校3号实训楼一楼</w:t>
            </w:r>
            <w:r>
              <w:rPr>
                <w:rFonts w:hint="default" w:ascii="Times New Roman" w:hAnsi="Times New Roman" w:cs="Times New Roman"/>
                <w:color w:val="auto"/>
                <w:sz w:val="24"/>
                <w:szCs w:val="24"/>
                <w:lang w:val="en-US" w:eastAsia="zh-CN"/>
              </w:rPr>
              <w:t>，周边主要为人工绿化，无生态环境保护目标。</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drawing>
                <wp:inline distT="0" distB="0" distL="114300" distR="114300">
                  <wp:extent cx="5255895" cy="4293870"/>
                  <wp:effectExtent l="0" t="0" r="1905" b="11430"/>
                  <wp:docPr id="35" name="图片 35" descr="环境保护目标图"/>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环境保护目标图"/>
                          <pic:cNvPicPr>
                            <a:picLocks noChangeAspect="true"/>
                          </pic:cNvPicPr>
                        </pic:nvPicPr>
                        <pic:blipFill>
                          <a:blip r:embed="rId24"/>
                          <a:srcRect l="1797" t="3011" r="3151" b="2750"/>
                          <a:stretch>
                            <a:fillRect/>
                          </a:stretch>
                        </pic:blipFill>
                        <pic:spPr>
                          <a:xfrm>
                            <a:off x="0" y="0"/>
                            <a:ext cx="5255895" cy="42938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lang w:val="en-US" w:eastAsia="zh-CN"/>
              </w:rPr>
            </w:pPr>
            <w:r>
              <w:rPr>
                <w:rFonts w:hint="default" w:ascii="Times New Roman" w:hAnsi="Times New Roman" w:eastAsia="黑体" w:cs="Times New Roman"/>
                <w:color w:val="auto"/>
                <w:sz w:val="24"/>
                <w:szCs w:val="24"/>
                <w:highlight w:val="none"/>
                <w:lang w:val="en-US" w:eastAsia="zh-CN"/>
              </w:rPr>
              <w:t>图3-2  环境保护目标分布图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03" w:hRule="atLeast"/>
          <w:jc w:val="center"/>
        </w:trPr>
        <w:tc>
          <w:tcPr>
            <w:tcW w:w="444" w:type="pct"/>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污染物排放控制标准</w:t>
            </w:r>
          </w:p>
        </w:tc>
        <w:tc>
          <w:tcPr>
            <w:tcW w:w="4555" w:type="pct"/>
            <w:tcBorders>
              <w:tl2br w:val="nil"/>
              <w:tr2bl w:val="nil"/>
            </w:tcBorders>
          </w:tcPr>
          <w:p>
            <w:pPr>
              <w:widowControl/>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1、</w:t>
            </w:r>
            <w:r>
              <w:rPr>
                <w:rFonts w:hint="default" w:ascii="Times New Roman" w:hAnsi="Times New Roman" w:eastAsia="黑体" w:cs="Times New Roman"/>
                <w:color w:val="auto"/>
                <w:sz w:val="28"/>
                <w:szCs w:val="28"/>
                <w:highlight w:val="none"/>
              </w:rPr>
              <w:t>大气污染物排放标准</w:t>
            </w:r>
          </w:p>
          <w:p>
            <w:pPr>
              <w:widowControl/>
              <w:ind w:firstLine="512"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实验废气中的非甲烷总烃、硫酸雾、氯化氢排放参照执行《大气污染物综合排放标准》(</w:t>
            </w:r>
            <w:r>
              <w:rPr>
                <w:rFonts w:hint="default" w:ascii="Times New Roman" w:hAnsi="Times New Roman" w:cs="Times New Roman"/>
                <w:color w:val="auto"/>
                <w:kern w:val="0"/>
                <w:sz w:val="24"/>
                <w:lang w:val="en-US" w:eastAsia="zh-CN" w:bidi="ar"/>
              </w:rPr>
              <w:t>G</w:t>
            </w:r>
            <w:r>
              <w:rPr>
                <w:rFonts w:hint="default" w:ascii="Times New Roman" w:hAnsi="Times New Roman" w:cs="Times New Roman"/>
                <w:color w:val="auto"/>
                <w:kern w:val="0"/>
                <w:sz w:val="24"/>
                <w:lang w:bidi="ar"/>
              </w:rPr>
              <w:t>B16297-1996)表</w:t>
            </w:r>
            <w:r>
              <w:rPr>
                <w:rFonts w:hint="default" w:ascii="Times New Roman" w:hAnsi="Times New Roman" w:cs="Times New Roman"/>
                <w:color w:val="auto"/>
                <w:kern w:val="0"/>
                <w:sz w:val="24"/>
                <w:lang w:val="en-US" w:eastAsia="zh-CN" w:bidi="ar"/>
              </w:rPr>
              <w:t>2</w:t>
            </w:r>
            <w:r>
              <w:rPr>
                <w:rFonts w:hint="default" w:ascii="Times New Roman" w:hAnsi="Times New Roman" w:cs="Times New Roman"/>
                <w:color w:val="auto"/>
                <w:kern w:val="0"/>
                <w:sz w:val="24"/>
                <w:lang w:bidi="ar"/>
              </w:rPr>
              <w:t>中二级标准无组织排放监控浓度限值，项目废气污染物排放标准执行统计见表。</w:t>
            </w:r>
          </w:p>
          <w:p>
            <w:pPr>
              <w:jc w:val="center"/>
              <w:rPr>
                <w:rFonts w:hint="default" w:ascii="Times New Roman" w:hAnsi="Times New Roman" w:cs="Times New Roman"/>
                <w:b/>
                <w:bCs/>
                <w:color w:val="auto"/>
                <w:sz w:val="24"/>
                <w:szCs w:val="32"/>
              </w:rPr>
            </w:pPr>
            <w:r>
              <w:rPr>
                <w:rFonts w:hint="default" w:ascii="Times New Roman" w:hAnsi="Times New Roman" w:eastAsia="黑体" w:cs="Times New Roman"/>
                <w:color w:val="auto"/>
                <w:sz w:val="24"/>
              </w:rPr>
              <w:t>表3-</w:t>
            </w:r>
            <w:r>
              <w:rPr>
                <w:rFonts w:hint="default" w:ascii="Times New Roman" w:hAnsi="Times New Roman" w:eastAsia="黑体" w:cs="Times New Roman"/>
                <w:color w:val="auto"/>
                <w:sz w:val="24"/>
                <w:lang w:val="en-US" w:eastAsia="zh-CN"/>
              </w:rPr>
              <w:t>4</w:t>
            </w:r>
            <w:r>
              <w:rPr>
                <w:rFonts w:hint="default" w:ascii="Times New Roman" w:hAnsi="Times New Roman" w:eastAsia="黑体" w:cs="Times New Roman"/>
                <w:color w:val="auto"/>
                <w:sz w:val="24"/>
              </w:rPr>
              <w:t xml:space="preserve">  项目大气污染物排放标准</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926"/>
              <w:gridCol w:w="1410"/>
              <w:gridCol w:w="1931"/>
              <w:gridCol w:w="29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restart"/>
                  <w:vAlign w:val="center"/>
                </w:tcPr>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2033" w:type="pct"/>
                  <w:gridSpan w:val="2"/>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无</w:t>
                  </w:r>
                  <w:r>
                    <w:rPr>
                      <w:rFonts w:hint="default" w:ascii="Times New Roman" w:hAnsi="Times New Roman" w:cs="Times New Roman"/>
                      <w:b/>
                      <w:bCs/>
                      <w:color w:val="auto"/>
                      <w:szCs w:val="21"/>
                    </w:rPr>
                    <w:t>组织</w:t>
                  </w:r>
                  <w:r>
                    <w:rPr>
                      <w:rFonts w:hint="default" w:ascii="Times New Roman" w:hAnsi="Times New Roman" w:cs="Times New Roman"/>
                      <w:b/>
                      <w:bCs/>
                      <w:color w:val="auto"/>
                      <w:szCs w:val="21"/>
                      <w:lang w:val="en-US" w:eastAsia="zh-CN"/>
                    </w:rPr>
                    <w:t>排放监控浓度限值</w:t>
                  </w:r>
                </w:p>
              </w:tc>
              <w:tc>
                <w:tcPr>
                  <w:tcW w:w="1793" w:type="pct"/>
                  <w:vMerge w:val="restart"/>
                  <w:vAlign w:val="center"/>
                </w:tcPr>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Merge w:val="continue"/>
                  <w:vAlign w:val="center"/>
                </w:tcPr>
                <w:p>
                  <w:pPr>
                    <w:widowControl/>
                    <w:adjustRightInd w:val="0"/>
                    <w:snapToGrid w:val="0"/>
                    <w:jc w:val="center"/>
                    <w:rPr>
                      <w:rFonts w:hint="default" w:ascii="Times New Roman" w:hAnsi="Times New Roman" w:cs="Times New Roman"/>
                      <w:color w:val="auto"/>
                    </w:rPr>
                  </w:pPr>
                </w:p>
              </w:tc>
              <w:tc>
                <w:tcPr>
                  <w:tcW w:w="858" w:type="pct"/>
                  <w:vAlign w:val="center"/>
                </w:tcPr>
                <w:p>
                  <w:pPr>
                    <w:widowControl/>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cs="Times New Roman"/>
                      <w:b/>
                      <w:bCs/>
                      <w:color w:val="auto"/>
                      <w:szCs w:val="21"/>
                      <w:lang w:val="en-US" w:eastAsia="zh-CN"/>
                    </w:rPr>
                    <w:t>监控点</w:t>
                  </w:r>
                </w:p>
              </w:tc>
              <w:tc>
                <w:tcPr>
                  <w:tcW w:w="1175" w:type="pct"/>
                  <w:vAlign w:val="center"/>
                </w:tcPr>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浓度（mg/m</w:t>
                  </w:r>
                  <w:r>
                    <w:rPr>
                      <w:rFonts w:hint="default" w:ascii="Times New Roman" w:hAnsi="Times New Roman" w:cs="Times New Roman"/>
                      <w:b/>
                      <w:bCs/>
                      <w:color w:val="auto"/>
                      <w:szCs w:val="21"/>
                      <w:vertAlign w:val="superscript"/>
                    </w:rPr>
                    <w:t>3</w:t>
                  </w:r>
                  <w:r>
                    <w:rPr>
                      <w:rFonts w:hint="default" w:ascii="Times New Roman" w:hAnsi="Times New Roman" w:cs="Times New Roman"/>
                      <w:b/>
                      <w:bCs/>
                      <w:color w:val="auto"/>
                      <w:szCs w:val="21"/>
                    </w:rPr>
                    <w:t>）</w:t>
                  </w:r>
                </w:p>
              </w:tc>
              <w:tc>
                <w:tcPr>
                  <w:tcW w:w="1793" w:type="pct"/>
                  <w:vMerge w:val="continue"/>
                  <w:vAlign w:val="center"/>
                </w:tcPr>
                <w:p>
                  <w:pPr>
                    <w:widowControl/>
                    <w:adjustRightInd w:val="0"/>
                    <w:snapToGrid w:val="0"/>
                    <w:jc w:val="center"/>
                    <w:rPr>
                      <w:rFonts w:hint="default" w:ascii="Times New Roman" w:hAnsi="Times New Roman"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Align w:val="center"/>
                </w:tcPr>
                <w:p>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硫酸雾</w:t>
                  </w:r>
                </w:p>
              </w:tc>
              <w:tc>
                <w:tcPr>
                  <w:tcW w:w="858" w:type="pct"/>
                  <w:vMerge w:val="restart"/>
                  <w:vAlign w:val="center"/>
                </w:tcPr>
                <w:p>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周界外浓度最高点</w:t>
                  </w:r>
                </w:p>
              </w:tc>
              <w:tc>
                <w:tcPr>
                  <w:tcW w:w="1175" w:type="pct"/>
                  <w:vAlign w:val="center"/>
                </w:tcPr>
                <w:p>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1.2</w:t>
                  </w:r>
                </w:p>
              </w:tc>
              <w:tc>
                <w:tcPr>
                  <w:tcW w:w="1793" w:type="pct"/>
                  <w:vMerge w:val="restart"/>
                  <w:vAlign w:val="center"/>
                </w:tcPr>
                <w:p>
                  <w:pPr>
                    <w:widowControl/>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color w:val="auto"/>
                      <w:kern w:val="0"/>
                      <w:szCs w:val="21"/>
                      <w:lang w:bidi="ar"/>
                    </w:rPr>
                    <w:t>《大气污染物综合排放标准》(</w:t>
                  </w:r>
                  <w:r>
                    <w:rPr>
                      <w:rFonts w:hint="default" w:ascii="Times New Roman" w:hAnsi="Times New Roman" w:cs="Times New Roman"/>
                      <w:color w:val="auto"/>
                      <w:kern w:val="0"/>
                      <w:szCs w:val="21"/>
                      <w:lang w:val="en-US" w:eastAsia="zh-CN" w:bidi="ar"/>
                    </w:rPr>
                    <w:t>G</w:t>
                  </w:r>
                  <w:r>
                    <w:rPr>
                      <w:rFonts w:hint="default" w:ascii="Times New Roman" w:hAnsi="Times New Roman" w:cs="Times New Roman"/>
                      <w:color w:val="auto"/>
                      <w:kern w:val="0"/>
                      <w:szCs w:val="21"/>
                      <w:lang w:bidi="ar"/>
                    </w:rPr>
                    <w:t>B16297-1996)表</w:t>
                  </w:r>
                  <w:r>
                    <w:rPr>
                      <w:rFonts w:hint="default" w:ascii="Times New Roman" w:hAnsi="Times New Roman" w:cs="Times New Roman"/>
                      <w:color w:val="auto"/>
                      <w:kern w:val="0"/>
                      <w:szCs w:val="21"/>
                      <w:lang w:val="en-US" w:eastAsia="zh-CN" w:bidi="ar"/>
                    </w:rPr>
                    <w:t>2</w:t>
                  </w:r>
                  <w:r>
                    <w:rPr>
                      <w:rFonts w:hint="default" w:ascii="Times New Roman" w:hAnsi="Times New Roman" w:cs="Times New Roman"/>
                      <w:color w:val="auto"/>
                      <w:kern w:val="0"/>
                      <w:szCs w:val="21"/>
                      <w:lang w:bidi="ar"/>
                    </w:rPr>
                    <w:t>中</w:t>
                  </w:r>
                  <w:r>
                    <w:rPr>
                      <w:rFonts w:hint="default" w:ascii="Times New Roman" w:hAnsi="Times New Roman" w:cs="Times New Roman"/>
                      <w:color w:val="auto"/>
                      <w:kern w:val="0"/>
                      <w:szCs w:val="21"/>
                      <w:lang w:val="en-US" w:eastAsia="zh-CN" w:bidi="ar"/>
                    </w:rPr>
                    <w:t>无组织</w:t>
                  </w:r>
                  <w:r>
                    <w:rPr>
                      <w:rFonts w:hint="default" w:ascii="Times New Roman" w:hAnsi="Times New Roman" w:cs="Times New Roman"/>
                      <w:color w:val="auto"/>
                      <w:kern w:val="0"/>
                      <w:szCs w:val="21"/>
                      <w:lang w:bidi="ar"/>
                    </w:rPr>
                    <w:t>排放限值要求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Align w:val="center"/>
                </w:tcPr>
                <w:p>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氯化氢</w:t>
                  </w:r>
                </w:p>
              </w:tc>
              <w:tc>
                <w:tcPr>
                  <w:tcW w:w="858" w:type="pct"/>
                  <w:vMerge w:val="continue"/>
                  <w:vAlign w:val="center"/>
                </w:tcPr>
                <w:p>
                  <w:pPr>
                    <w:widowControl/>
                    <w:adjustRightInd w:val="0"/>
                    <w:snapToGrid w:val="0"/>
                    <w:jc w:val="center"/>
                    <w:rPr>
                      <w:rFonts w:hint="default" w:ascii="Times New Roman" w:hAnsi="Times New Roman" w:cs="Times New Roman"/>
                      <w:color w:val="auto"/>
                      <w:szCs w:val="21"/>
                    </w:rPr>
                  </w:pPr>
                </w:p>
              </w:tc>
              <w:tc>
                <w:tcPr>
                  <w:tcW w:w="1175" w:type="pct"/>
                  <w:vAlign w:val="center"/>
                </w:tcPr>
                <w:p>
                  <w:pPr>
                    <w:widowControl/>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0.2</w:t>
                  </w:r>
                </w:p>
              </w:tc>
              <w:tc>
                <w:tcPr>
                  <w:tcW w:w="1793" w:type="pct"/>
                  <w:vMerge w:val="continue"/>
                  <w:vAlign w:val="center"/>
                </w:tcPr>
                <w:p>
                  <w:pPr>
                    <w:widowControl/>
                    <w:adjustRightInd w:val="0"/>
                    <w:snapToGrid w:val="0"/>
                    <w:jc w:val="center"/>
                    <w:rPr>
                      <w:rFonts w:hint="default" w:ascii="Times New Roman" w:hAnsi="Times New Roman" w:cs="Times New Roman"/>
                      <w:b/>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cantSplit/>
                <w:trHeight w:val="340" w:hRule="atLeast"/>
                <w:jc w:val="center"/>
              </w:trPr>
              <w:tc>
                <w:tcPr>
                  <w:tcW w:w="1172" w:type="pct"/>
                  <w:vAlign w:val="center"/>
                </w:tcPr>
                <w:p>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非甲烷总</w:t>
                  </w:r>
                  <w:r>
                    <w:rPr>
                      <w:rFonts w:hint="default" w:ascii="Times New Roman" w:hAnsi="Times New Roman" w:cs="Times New Roman"/>
                      <w:color w:val="auto"/>
                      <w:kern w:val="0"/>
                      <w:lang w:bidi="ar"/>
                    </w:rPr>
                    <w:t>烃</w:t>
                  </w:r>
                </w:p>
              </w:tc>
              <w:tc>
                <w:tcPr>
                  <w:tcW w:w="858" w:type="pct"/>
                  <w:vMerge w:val="continue"/>
                  <w:vAlign w:val="center"/>
                </w:tcPr>
                <w:p>
                  <w:pPr>
                    <w:widowControl/>
                    <w:adjustRightInd w:val="0"/>
                    <w:snapToGrid w:val="0"/>
                    <w:jc w:val="center"/>
                    <w:rPr>
                      <w:rFonts w:hint="default" w:ascii="Times New Roman" w:hAnsi="Times New Roman" w:cs="Times New Roman"/>
                      <w:color w:val="auto"/>
                      <w:szCs w:val="21"/>
                    </w:rPr>
                  </w:pPr>
                </w:p>
              </w:tc>
              <w:tc>
                <w:tcPr>
                  <w:tcW w:w="1175" w:type="pct"/>
                  <w:vAlign w:val="center"/>
                </w:tcPr>
                <w:p>
                  <w:pPr>
                    <w:widowControl/>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4</w:t>
                  </w:r>
                  <w:r>
                    <w:rPr>
                      <w:rFonts w:hint="default" w:ascii="Times New Roman" w:hAnsi="Times New Roman" w:cs="Times New Roman"/>
                      <w:color w:val="auto"/>
                      <w:szCs w:val="21"/>
                    </w:rPr>
                    <w:t>.0</w:t>
                  </w:r>
                </w:p>
              </w:tc>
              <w:tc>
                <w:tcPr>
                  <w:tcW w:w="1793" w:type="pct"/>
                  <w:vMerge w:val="continue"/>
                  <w:vAlign w:val="center"/>
                </w:tcPr>
                <w:p>
                  <w:pPr>
                    <w:widowControl/>
                    <w:adjustRightInd w:val="0"/>
                    <w:snapToGrid w:val="0"/>
                    <w:jc w:val="center"/>
                    <w:rPr>
                      <w:rFonts w:hint="default" w:ascii="Times New Roman" w:hAnsi="Times New Roman" w:cs="Times New Roman"/>
                      <w:b/>
                      <w:bCs/>
                      <w:color w:val="auto"/>
                      <w:szCs w:val="21"/>
                    </w:rPr>
                  </w:pPr>
                </w:p>
              </w:tc>
            </w:tr>
          </w:tbl>
          <w:p>
            <w:pPr>
              <w:widowControl/>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2、噪声污染排放标准</w:t>
            </w:r>
          </w:p>
          <w:p>
            <w:pPr>
              <w:ind w:firstLine="512"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中卫</w:t>
            </w:r>
            <w:r>
              <w:rPr>
                <w:rFonts w:hint="default" w:ascii="Times New Roman" w:hAnsi="Times New Roman" w:eastAsia="宋体" w:cs="Times New Roman"/>
                <w:color w:val="auto"/>
                <w:sz w:val="24"/>
                <w:szCs w:val="24"/>
              </w:rPr>
              <w:t>市</w:t>
            </w:r>
            <w:r>
              <w:rPr>
                <w:rFonts w:hint="default" w:ascii="Times New Roman" w:hAnsi="Times New Roman" w:eastAsia="宋体" w:cs="Times New Roman"/>
                <w:color w:val="auto"/>
                <w:sz w:val="24"/>
                <w:szCs w:val="24"/>
                <w:lang w:val="en-US" w:eastAsia="zh-CN"/>
              </w:rPr>
              <w:t>沙坡头区</w:t>
            </w:r>
            <w:r>
              <w:rPr>
                <w:rFonts w:hint="default" w:ascii="Times New Roman" w:hAnsi="Times New Roman" w:eastAsia="宋体" w:cs="Times New Roman"/>
                <w:color w:val="auto"/>
                <w:sz w:val="24"/>
                <w:szCs w:val="24"/>
              </w:rPr>
              <w:t>声环境功能区</w:t>
            </w:r>
            <w:r>
              <w:rPr>
                <w:rFonts w:hint="default" w:ascii="Times New Roman" w:hAnsi="Times New Roman" w:eastAsia="宋体" w:cs="Times New Roman"/>
                <w:color w:val="auto"/>
                <w:sz w:val="24"/>
                <w:szCs w:val="24"/>
                <w:lang w:val="en-US" w:eastAsia="zh-CN"/>
              </w:rPr>
              <w:t>调整划分</w:t>
            </w:r>
            <w:r>
              <w:rPr>
                <w:rFonts w:hint="default" w:ascii="Times New Roman" w:hAnsi="Times New Roman" w:eastAsia="宋体" w:cs="Times New Roman"/>
                <w:color w:val="auto"/>
                <w:sz w:val="24"/>
                <w:szCs w:val="24"/>
              </w:rPr>
              <w:t>（202</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年）</w:t>
            </w:r>
            <w:r>
              <w:rPr>
                <w:rFonts w:hint="default" w:ascii="Times New Roman" w:hAnsi="Times New Roman" w:eastAsia="宋体" w:cs="Times New Roman"/>
                <w:color w:val="auto"/>
                <w:sz w:val="24"/>
                <w:szCs w:val="24"/>
                <w:lang w:val="en-US" w:eastAsia="zh-CN"/>
              </w:rPr>
              <w:t>补充说明的通知</w:t>
            </w:r>
            <w:r>
              <w:rPr>
                <w:rFonts w:hint="default" w:ascii="Times New Roman" w:hAnsi="Times New Roman" w:eastAsia="宋体" w:cs="Times New Roman"/>
                <w:color w:val="auto"/>
                <w:sz w:val="24"/>
                <w:szCs w:val="24"/>
              </w:rPr>
              <w:t>》，项目位于声环境</w:t>
            </w:r>
            <w:r>
              <w:rPr>
                <w:rFonts w:hint="default"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类区</w:t>
            </w:r>
            <w:r>
              <w:rPr>
                <w:rFonts w:hint="default" w:ascii="Times New Roman" w:hAnsi="Times New Roman" w:eastAsia="宋体" w:cs="Times New Roman"/>
                <w:color w:val="auto"/>
                <w:sz w:val="24"/>
                <w:szCs w:val="24"/>
                <w:lang w:eastAsia="zh-CN"/>
              </w:rPr>
              <w:t>，</w:t>
            </w:r>
            <w:r>
              <w:rPr>
                <w:rFonts w:hint="default" w:ascii="Times New Roman" w:hAnsi="Times New Roman" w:cs="Times New Roman"/>
                <w:color w:val="auto"/>
                <w:sz w:val="24"/>
                <w:szCs w:val="32"/>
              </w:rPr>
              <w:t>本项目运营期噪声应执行《工业企业厂界环境噪声排放标准》（GB12348-2008）中的</w:t>
            </w:r>
            <w:r>
              <w:rPr>
                <w:rFonts w:hint="default" w:ascii="Times New Roman" w:hAnsi="Times New Roman" w:cs="Times New Roman"/>
                <w:color w:val="auto"/>
                <w:sz w:val="24"/>
                <w:szCs w:val="32"/>
                <w:lang w:val="en-US" w:eastAsia="zh-CN"/>
              </w:rPr>
              <w:t>1</w:t>
            </w:r>
            <w:r>
              <w:rPr>
                <w:rFonts w:hint="default" w:ascii="Times New Roman" w:hAnsi="Times New Roman" w:cs="Times New Roman"/>
                <w:color w:val="auto"/>
                <w:sz w:val="24"/>
                <w:szCs w:val="32"/>
              </w:rPr>
              <w:t>类区标准限值，见表3-5。</w:t>
            </w:r>
          </w:p>
          <w:p>
            <w:pPr>
              <w:jc w:val="center"/>
              <w:rPr>
                <w:rFonts w:hint="default" w:ascii="Times New Roman" w:hAnsi="Times New Roman" w:cs="Times New Roman"/>
                <w:b/>
                <w:bCs/>
                <w:color w:val="auto"/>
                <w:spacing w:val="10"/>
                <w:sz w:val="24"/>
              </w:rPr>
            </w:pPr>
            <w:r>
              <w:rPr>
                <w:rFonts w:hint="default" w:ascii="Times New Roman" w:hAnsi="Times New Roman" w:eastAsia="黑体" w:cs="Times New Roman"/>
                <w:color w:val="auto"/>
                <w:spacing w:val="11"/>
                <w:sz w:val="24"/>
              </w:rPr>
              <w:t>表3-5  工业企业厂界环境噪声排放限值</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98"/>
              <w:gridCol w:w="2677"/>
              <w:gridCol w:w="243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995" w:type="dxa"/>
                  <w:vMerge w:val="restart"/>
                  <w:tcBorders>
                    <w:tl2br w:val="single" w:color="auto" w:sz="8" w:space="0"/>
                  </w:tcBorders>
                  <w:vAlign w:val="center"/>
                </w:tcPr>
                <w:p>
                  <w:pPr>
                    <w:pStyle w:val="18"/>
                    <w:adjustRightInd w:val="0"/>
                    <w:snapToGrid w:val="0"/>
                    <w:ind w:firstLine="0" w:firstLineChars="0"/>
                    <w:jc w:val="right"/>
                    <w:rPr>
                      <w:rFonts w:hint="default" w:ascii="Times New Roman" w:hAnsi="Times New Roman" w:cs="Times New Roman"/>
                      <w:b/>
                      <w:bCs/>
                      <w:color w:val="auto"/>
                      <w:szCs w:val="21"/>
                    </w:rPr>
                  </w:pPr>
                  <w:r>
                    <w:rPr>
                      <w:rFonts w:hint="default" w:ascii="Times New Roman" w:hAnsi="Times New Roman" w:cs="Times New Roman"/>
                      <w:b/>
                      <w:bCs/>
                      <w:color w:val="auto"/>
                      <w:szCs w:val="21"/>
                    </w:rPr>
                    <w:t>时段</w:t>
                  </w:r>
                </w:p>
                <w:p>
                  <w:pPr>
                    <w:adjustRightInd w:val="0"/>
                    <w:snapToGrid w:val="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厂界外</w:t>
                  </w:r>
                </w:p>
                <w:p>
                  <w:pPr>
                    <w:adjustRightInd w:val="0"/>
                    <w:snapToGrid w:val="0"/>
                    <w:jc w:val="left"/>
                    <w:rPr>
                      <w:rFonts w:hint="default" w:ascii="Times New Roman" w:hAnsi="Times New Roman" w:cs="Times New Roman"/>
                      <w:color w:val="auto"/>
                      <w:szCs w:val="21"/>
                    </w:rPr>
                  </w:pPr>
                  <w:r>
                    <w:rPr>
                      <w:rFonts w:hint="default" w:ascii="Times New Roman" w:hAnsi="Times New Roman" w:cs="Times New Roman"/>
                      <w:b/>
                      <w:bCs/>
                      <w:color w:val="auto"/>
                      <w:kern w:val="0"/>
                      <w:szCs w:val="21"/>
                    </w:rPr>
                    <w:t>声环境功能区类别</w:t>
                  </w:r>
                </w:p>
              </w:tc>
              <w:tc>
                <w:tcPr>
                  <w:tcW w:w="4944" w:type="dxa"/>
                  <w:gridSpan w:val="2"/>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噪声值  dB（A）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2995" w:type="dxa"/>
                  <w:vMerge w:val="continue"/>
                  <w:vAlign w:val="center"/>
                </w:tcPr>
                <w:p>
                  <w:pPr>
                    <w:adjustRightInd w:val="0"/>
                    <w:snapToGrid w:val="0"/>
                    <w:jc w:val="left"/>
                    <w:rPr>
                      <w:rFonts w:hint="default" w:ascii="Times New Roman" w:hAnsi="Times New Roman" w:cs="Times New Roman"/>
                      <w:color w:val="auto"/>
                      <w:szCs w:val="21"/>
                    </w:rPr>
                  </w:pPr>
                </w:p>
              </w:tc>
              <w:tc>
                <w:tcPr>
                  <w:tcW w:w="258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235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95"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1</w:t>
                  </w:r>
                  <w:r>
                    <w:rPr>
                      <w:rFonts w:hint="default" w:ascii="Times New Roman" w:hAnsi="Times New Roman" w:cs="Times New Roman"/>
                      <w:color w:val="auto"/>
                      <w:szCs w:val="21"/>
                    </w:rPr>
                    <w:t>类区</w:t>
                  </w:r>
                </w:p>
              </w:tc>
              <w:tc>
                <w:tcPr>
                  <w:tcW w:w="2587"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55</w:t>
                  </w:r>
                </w:p>
              </w:tc>
              <w:tc>
                <w:tcPr>
                  <w:tcW w:w="2357" w:type="dxa"/>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45</w:t>
                  </w:r>
                </w:p>
              </w:tc>
            </w:tr>
          </w:tbl>
          <w:p>
            <w:pPr>
              <w:widowControl/>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3、固体废物控制标准</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①本项目涉及危险废物的产生、收集、贮存等过程，其中危险废物收集、贮存、转移等过程执行《危险废物贮存污染控制标准》（GB 18597-2023）要求、《危险废物转移管理办法》（部令第23号）及《危险废物收集、贮存、运输技术规范》（HJ2025-2012）要求；</w:t>
            </w:r>
          </w:p>
          <w:p>
            <w:pPr>
              <w:ind w:firstLine="512"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②本项目产生的一般工业固体废物</w:t>
            </w:r>
            <w:r>
              <w:rPr>
                <w:rFonts w:hint="default" w:ascii="Times New Roman" w:hAnsi="Times New Roman" w:cs="Times New Roman"/>
                <w:color w:val="auto"/>
                <w:sz w:val="24"/>
                <w:lang w:val="en-US" w:eastAsia="zh-CN"/>
              </w:rPr>
              <w:t>执行</w:t>
            </w:r>
            <w:r>
              <w:rPr>
                <w:rFonts w:hint="default" w:ascii="Times New Roman" w:hAnsi="Times New Roman" w:cs="Times New Roman"/>
                <w:color w:val="auto"/>
                <w:sz w:val="24"/>
              </w:rPr>
              <w:t>《一般工业固体废物贮存和填埋污染控制标准》（GB18599-2020）；</w:t>
            </w:r>
            <w:r>
              <w:rPr>
                <w:rFonts w:hint="default" w:ascii="Times New Roman" w:hAnsi="Times New Roman" w:cs="Times New Roman"/>
                <w:color w:val="auto"/>
                <w:sz w:val="24"/>
                <w:lang w:val="en-US" w:eastAsia="zh-CN"/>
              </w:rPr>
              <w:t>生活垃圾按照环卫部门要求进行处置。</w:t>
            </w:r>
          </w:p>
          <w:p>
            <w:pPr>
              <w:widowControl/>
              <w:numPr>
                <w:ilvl w:val="0"/>
                <w:numId w:val="13"/>
              </w:numPr>
              <w:spacing w:before="240" w:after="60"/>
              <w:ind w:left="0" w:leftChars="0" w:firstLine="0" w:firstLineChars="0"/>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lang w:val="en-US" w:eastAsia="zh-CN"/>
              </w:rPr>
              <w:t>废水排放</w:t>
            </w:r>
            <w:r>
              <w:rPr>
                <w:rFonts w:hint="default" w:ascii="Times New Roman" w:hAnsi="Times New Roman" w:eastAsia="黑体" w:cs="Times New Roman"/>
                <w:color w:val="auto"/>
                <w:sz w:val="28"/>
                <w:szCs w:val="28"/>
                <w:highlight w:val="none"/>
              </w:rPr>
              <w:t>标准</w:t>
            </w:r>
          </w:p>
          <w:p>
            <w:pPr>
              <w:ind w:firstLine="512"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本项目实验器皿后段清洗废水，经中和调节桶调节pH至6-9后，与生活污水和纯水制备系统产生的浓盐水一起排入现有化粪池处理，达到</w:t>
            </w:r>
            <w:r>
              <w:rPr>
                <w:rFonts w:hint="default" w:ascii="Times New Roman" w:hAnsi="Times New Roman" w:cs="Times New Roman"/>
                <w:color w:val="auto"/>
                <w:sz w:val="24"/>
                <w:szCs w:val="24"/>
                <w:highlight w:val="none"/>
                <w:lang w:val="en-US" w:eastAsia="zh-CN"/>
              </w:rPr>
              <w:t>《污水综合排放标准》（GB 8978-1996）三级标准</w:t>
            </w:r>
            <w:r>
              <w:rPr>
                <w:rFonts w:hint="default" w:ascii="Times New Roman" w:hAnsi="Times New Roman" w:cs="Times New Roman"/>
                <w:color w:val="auto"/>
                <w:sz w:val="24"/>
                <w:szCs w:val="24"/>
                <w:lang w:val="en-US" w:eastAsia="zh-CN"/>
              </w:rPr>
              <w:t>，排入市政污水管网，最终进入中卫市第三污水处理厂处理。具体标准值见表3-6。</w:t>
            </w:r>
          </w:p>
          <w:p>
            <w:pPr>
              <w:jc w:val="center"/>
              <w:rPr>
                <w:rFonts w:hint="default" w:ascii="Times New Roman" w:hAnsi="Times New Roman" w:eastAsia="宋体" w:cs="Times New Roman"/>
                <w:color w:val="auto"/>
                <w:spacing w:val="11"/>
                <w:sz w:val="24"/>
                <w:szCs w:val="24"/>
                <w:highlight w:val="none"/>
                <w:lang w:val="en-US" w:eastAsia="zh-CN"/>
              </w:rPr>
            </w:pPr>
            <w:r>
              <w:rPr>
                <w:rFonts w:hint="default" w:ascii="Times New Roman" w:hAnsi="Times New Roman" w:eastAsia="黑体" w:cs="Times New Roman"/>
                <w:color w:val="auto"/>
                <w:spacing w:val="11"/>
                <w:sz w:val="24"/>
                <w:szCs w:val="24"/>
                <w:highlight w:val="none"/>
                <w:lang w:val="en-US" w:eastAsia="zh-CN"/>
              </w:rPr>
              <w:t>表3-6   项目污水排放标准</w:t>
            </w:r>
            <w:r>
              <w:rPr>
                <w:rFonts w:hint="default" w:ascii="Times New Roman" w:hAnsi="Times New Roman" w:eastAsia="黑体" w:cs="Times New Roman"/>
                <w:color w:val="auto"/>
                <w:sz w:val="24"/>
                <w:szCs w:val="24"/>
                <w:highlight w:val="none"/>
                <w:lang w:val="en-US" w:eastAsia="zh-CN"/>
              </w:rPr>
              <w:t xml:space="preserve">  单位</w:t>
            </w:r>
            <w:r>
              <w:rPr>
                <w:rFonts w:hint="default" w:ascii="Times New Roman" w:hAnsi="Times New Roman" w:cs="Times New Roman"/>
                <w:color w:val="auto"/>
                <w:sz w:val="24"/>
                <w:szCs w:val="24"/>
                <w:highlight w:val="none"/>
                <w:lang w:val="en-US" w:eastAsia="zh-CN"/>
              </w:rPr>
              <w:t>：mg/L</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70"/>
              <w:gridCol w:w="1386"/>
              <w:gridCol w:w="1059"/>
              <w:gridCol w:w="1161"/>
              <w:gridCol w:w="907"/>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cs="Times New Roman"/>
                      <w:b/>
                      <w:bCs/>
                      <w:color w:val="auto"/>
                      <w:sz w:val="21"/>
                      <w:szCs w:val="21"/>
                      <w:highlight w:val="none"/>
                      <w:vertAlign w:val="baseline"/>
                      <w:lang w:val="en-US" w:eastAsia="zh-CN"/>
                    </w:rPr>
                    <w:t>项目</w:t>
                  </w:r>
                </w:p>
              </w:tc>
              <w:tc>
                <w:tcPr>
                  <w:tcW w:w="8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pH（无量纲）</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COD</w:t>
                  </w:r>
                </w:p>
              </w:tc>
              <w:tc>
                <w:tcPr>
                  <w:tcW w:w="7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BOD</w:t>
                  </w:r>
                  <w:r>
                    <w:rPr>
                      <w:rFonts w:hint="default" w:ascii="Times New Roman" w:hAnsi="Times New Roman" w:cs="Times New Roman"/>
                      <w:b/>
                      <w:bCs/>
                      <w:color w:val="auto"/>
                      <w:highlight w:val="none"/>
                      <w:vertAlign w:val="subscript"/>
                      <w:lang w:val="en-US" w:eastAsia="zh-CN"/>
                    </w:rPr>
                    <w:t>5</w:t>
                  </w:r>
                </w:p>
              </w:tc>
              <w:tc>
                <w:tcPr>
                  <w:tcW w:w="5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SS</w:t>
                  </w:r>
                </w:p>
              </w:tc>
              <w:tc>
                <w:tcPr>
                  <w:tcW w:w="6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highlight w:val="none"/>
                      <w:vertAlign w:val="baseline"/>
                      <w:lang w:val="en-US" w:eastAsia="zh-CN"/>
                    </w:rPr>
                  </w:pPr>
                  <w:r>
                    <w:rPr>
                      <w:rFonts w:hint="default" w:ascii="Times New Roman" w:hAnsi="Times New Roman" w:cs="Times New Roman"/>
                      <w:b/>
                      <w:bCs/>
                      <w:color w:val="auto"/>
                      <w:highlight w:val="none"/>
                      <w:vertAlign w:val="baseline"/>
                      <w:lang w:val="en-US" w:eastAsia="zh-CN"/>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《污水综合排放标准》（GB 8978-1996）</w:t>
                  </w:r>
                </w:p>
              </w:tc>
              <w:tc>
                <w:tcPr>
                  <w:tcW w:w="84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6.5-9.5</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500</w:t>
                  </w:r>
                </w:p>
              </w:tc>
              <w:tc>
                <w:tcPr>
                  <w:tcW w:w="70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300</w:t>
                  </w:r>
                </w:p>
              </w:tc>
              <w:tc>
                <w:tcPr>
                  <w:tcW w:w="55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400</w:t>
                  </w:r>
                </w:p>
              </w:tc>
              <w:tc>
                <w:tcPr>
                  <w:tcW w:w="62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w:t>
                  </w:r>
                </w:p>
              </w:tc>
            </w:tr>
          </w:tbl>
          <w:p>
            <w:pPr>
              <w:ind w:firstLine="0" w:firstLineChars="0"/>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5" w:hRule="atLeast"/>
          <w:jc w:val="center"/>
        </w:trPr>
        <w:tc>
          <w:tcPr>
            <w:tcW w:w="444" w:type="pct"/>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总量控制指标</w:t>
            </w:r>
          </w:p>
        </w:tc>
        <w:tc>
          <w:tcPr>
            <w:tcW w:w="4555" w:type="pct"/>
            <w:tcBorders>
              <w:tl2br w:val="nil"/>
              <w:tr2bl w:val="nil"/>
            </w:tcBorders>
          </w:tcPr>
          <w:p>
            <w:pPr>
              <w:ind w:firstLine="512" w:firstLineChars="200"/>
              <w:rPr>
                <w:rFonts w:hint="default" w:ascii="Times New Roman" w:hAnsi="Times New Roman" w:cs="Times New Roman"/>
                <w:color w:val="auto"/>
                <w:kern w:val="0"/>
                <w:sz w:val="24"/>
                <w:lang w:bidi="ar"/>
              </w:rPr>
            </w:pPr>
          </w:p>
          <w:p>
            <w:pPr>
              <w:pStyle w:val="33"/>
              <w:ind w:left="0" w:leftChars="0" w:firstLine="0" w:firstLineChars="0"/>
              <w:rPr>
                <w:rFonts w:hint="default" w:ascii="Times New Roman" w:hAnsi="Times New Roman" w:cs="Times New Roman"/>
                <w:color w:val="auto"/>
                <w:sz w:val="24"/>
                <w:szCs w:val="24"/>
                <w:lang w:bidi="ar"/>
              </w:rPr>
            </w:pPr>
          </w:p>
          <w:p>
            <w:pPr>
              <w:rPr>
                <w:rFonts w:hint="default" w:ascii="Times New Roman" w:hAnsi="Times New Roman" w:cs="Times New Roman"/>
                <w:color w:val="auto"/>
              </w:rPr>
            </w:pPr>
          </w:p>
          <w:p>
            <w:pPr>
              <w:rPr>
                <w:rFonts w:hint="default" w:ascii="Times New Roman" w:hAnsi="Times New Roman" w:cs="Times New Roman"/>
                <w:color w:val="auto"/>
              </w:rPr>
            </w:pPr>
          </w:p>
          <w:p>
            <w:pPr>
              <w:rPr>
                <w:rFonts w:hint="default" w:ascii="Times New Roman" w:hAnsi="Times New Roman" w:cs="Times New Roman"/>
                <w:color w:val="auto"/>
                <w:sz w:val="21"/>
                <w:szCs w:val="24"/>
                <w:lang w:bidi="ar"/>
              </w:rPr>
            </w:pPr>
          </w:p>
          <w:p>
            <w:pPr>
              <w:rPr>
                <w:rFonts w:hint="default" w:ascii="Times New Roman" w:hAnsi="Times New Roman" w:cs="Times New Roman"/>
                <w:color w:val="auto"/>
                <w:sz w:val="21"/>
                <w:szCs w:val="24"/>
                <w:lang w:bidi="ar"/>
              </w:rPr>
            </w:pPr>
          </w:p>
          <w:p>
            <w:pPr>
              <w:rPr>
                <w:rFonts w:hint="default" w:ascii="Times New Roman" w:hAnsi="Times New Roman" w:cs="Times New Roman"/>
                <w:color w:val="auto"/>
                <w:kern w:val="0"/>
                <w:sz w:val="24"/>
                <w:lang w:bidi="ar"/>
              </w:rPr>
            </w:pP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根据《宁夏回族自治区“十四五”主要污染物减排综合工作方案》(宁生态环保办﹝2021﹞14号)，宁夏水污染物排放总量控制因子为COD、氨氮。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本项目建成后废水主要为污染物COD、BOD</w:t>
            </w:r>
            <w:r>
              <w:rPr>
                <w:rFonts w:hint="default" w:ascii="Times New Roman" w:hAnsi="Times New Roman" w:eastAsia="宋体" w:cs="Times New Roman"/>
                <w:color w:val="auto"/>
                <w:kern w:val="0"/>
                <w:sz w:val="15"/>
                <w:szCs w:val="15"/>
                <w:lang w:val="en-US" w:eastAsia="zh-CN" w:bidi="ar"/>
              </w:rPr>
              <w:t>5</w:t>
            </w:r>
            <w:r>
              <w:rPr>
                <w:rFonts w:hint="default" w:ascii="Times New Roman" w:hAnsi="Times New Roman" w:eastAsia="宋体" w:cs="Times New Roman"/>
                <w:color w:val="auto"/>
                <w:kern w:val="0"/>
                <w:sz w:val="24"/>
                <w:szCs w:val="24"/>
                <w:lang w:val="en-US" w:eastAsia="zh-CN" w:bidi="ar"/>
              </w:rPr>
              <w:t>、SS、NH</w:t>
            </w:r>
            <w:r>
              <w:rPr>
                <w:rFonts w:hint="default" w:ascii="Times New Roman" w:hAnsi="Times New Roman" w:eastAsia="宋体" w:cs="Times New Roman"/>
                <w:color w:val="auto"/>
                <w:kern w:val="0"/>
                <w:sz w:val="15"/>
                <w:szCs w:val="15"/>
                <w:lang w:val="en-US" w:eastAsia="zh-CN" w:bidi="ar"/>
              </w:rPr>
              <w:t>3</w:t>
            </w:r>
            <w:r>
              <w:rPr>
                <w:rFonts w:hint="default" w:ascii="Times New Roman" w:hAnsi="Times New Roman" w:eastAsia="宋体" w:cs="Times New Roman"/>
                <w:color w:val="auto"/>
                <w:kern w:val="0"/>
                <w:sz w:val="24"/>
                <w:szCs w:val="24"/>
                <w:lang w:val="en-US" w:eastAsia="zh-CN" w:bidi="ar"/>
              </w:rPr>
              <w:t>-N、TDS，排放量分别为0.02992t/a、0.19t/a、0.00996t/a、0.00270t/a、0.06404t/a。因此，本项目需新申请总量COD:0.02992t/a；NH</w:t>
            </w:r>
            <w:r>
              <w:rPr>
                <w:rFonts w:hint="default" w:ascii="Times New Roman" w:hAnsi="Times New Roman" w:eastAsia="宋体" w:cs="Times New Roman"/>
                <w:color w:val="auto"/>
                <w:kern w:val="0"/>
                <w:sz w:val="15"/>
                <w:szCs w:val="15"/>
                <w:lang w:val="en-US" w:eastAsia="zh-CN" w:bidi="ar"/>
              </w:rPr>
              <w:t>3</w:t>
            </w:r>
            <w:r>
              <w:rPr>
                <w:rFonts w:hint="default" w:ascii="Times New Roman" w:hAnsi="Times New Roman" w:eastAsia="宋体" w:cs="Times New Roman"/>
                <w:color w:val="auto"/>
                <w:kern w:val="0"/>
                <w:sz w:val="24"/>
                <w:szCs w:val="24"/>
                <w:lang w:val="en-US" w:eastAsia="zh-CN" w:bidi="ar"/>
              </w:rPr>
              <w:t>-N:0.00270t/a。</w:t>
            </w:r>
          </w:p>
          <w:p>
            <w:pPr>
              <w:rPr>
                <w:rFonts w:hint="default" w:ascii="Times New Roman" w:hAnsi="Times New Roman" w:cs="Times New Roman"/>
                <w:color w:val="auto"/>
              </w:rPr>
            </w:pPr>
          </w:p>
          <w:p>
            <w:pPr>
              <w:pStyle w:val="33"/>
              <w:rPr>
                <w:rFonts w:hint="default" w:ascii="Times New Roman" w:hAnsi="Times New Roman" w:cs="Times New Roman"/>
                <w:color w:val="auto"/>
              </w:rPr>
            </w:pPr>
          </w:p>
          <w:p>
            <w:pPr>
              <w:rPr>
                <w:rFonts w:hint="default" w:ascii="Times New Roman" w:hAnsi="Times New Roman" w:cs="Times New Roman"/>
                <w:color w:val="auto"/>
              </w:rPr>
            </w:pPr>
          </w:p>
          <w:p>
            <w:pPr>
              <w:pStyle w:val="5"/>
              <w:rPr>
                <w:rFonts w:hint="default" w:ascii="Times New Roman" w:hAnsi="Times New Roman" w:cs="Times New Roman"/>
                <w:color w:val="auto"/>
              </w:rPr>
            </w:pPr>
          </w:p>
          <w:p>
            <w:pPr>
              <w:pStyle w:val="5"/>
              <w:ind w:left="0" w:leftChars="0" w:firstLine="0" w:firstLineChars="0"/>
              <w:rPr>
                <w:rFonts w:hint="default" w:ascii="Times New Roman" w:hAnsi="Times New Roman" w:cs="Times New Roman"/>
                <w:color w:val="auto"/>
              </w:rPr>
            </w:pPr>
          </w:p>
          <w:p>
            <w:pPr>
              <w:pStyle w:val="5"/>
              <w:rPr>
                <w:rFonts w:hint="default" w:ascii="Times New Roman" w:hAnsi="Times New Roman" w:cs="Times New Roman"/>
                <w:color w:val="auto"/>
              </w:rPr>
            </w:pPr>
          </w:p>
          <w:p>
            <w:pPr>
              <w:pStyle w:val="5"/>
              <w:rPr>
                <w:rFonts w:hint="default" w:ascii="Times New Roman" w:hAnsi="Times New Roman" w:cs="Times New Roman"/>
                <w:color w:val="auto"/>
              </w:rPr>
            </w:pPr>
          </w:p>
          <w:p>
            <w:pPr>
              <w:pStyle w:val="5"/>
              <w:rPr>
                <w:rFonts w:hint="default" w:ascii="Times New Roman" w:hAnsi="Times New Roman" w:cs="Times New Roman"/>
                <w:color w:val="auto"/>
              </w:rPr>
            </w:pPr>
          </w:p>
          <w:p>
            <w:pPr>
              <w:rPr>
                <w:rFonts w:hint="default" w:ascii="Times New Roman" w:hAnsi="Times New Roman" w:cs="Times New Roman"/>
                <w:color w:val="auto"/>
              </w:rPr>
            </w:pPr>
          </w:p>
        </w:tc>
      </w:tr>
    </w:tbl>
    <w:p>
      <w:pPr>
        <w:outlineLvl w:val="0"/>
        <w:rPr>
          <w:rFonts w:hint="default" w:ascii="Times New Roman" w:hAnsi="Times New Roman" w:eastAsia="黑体" w:cs="Times New Roman"/>
          <w:color w:val="auto"/>
          <w:sz w:val="30"/>
          <w:szCs w:val="30"/>
        </w:rPr>
        <w:sectPr>
          <w:footerReference r:id="rId5" w:type="default"/>
          <w:pgSz w:w="11905" w:h="16838"/>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435"/>
        </w:sectPr>
      </w:pPr>
    </w:p>
    <w:p>
      <w:pPr>
        <w:pStyle w:val="16"/>
        <w:rPr>
          <w:rFonts w:hint="default" w:ascii="Times New Roman" w:hAnsi="Times New Roman" w:cs="Times New Roman"/>
          <w:color w:val="auto"/>
        </w:rPr>
        <w:sectPr>
          <w:type w:val="continuous"/>
          <w:pgSz w:w="11905" w:h="16838"/>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435"/>
        </w:sectPr>
      </w:pPr>
    </w:p>
    <w:p>
      <w:pPr>
        <w:spacing w:before="240" w:after="60"/>
        <w:jc w:val="center"/>
        <w:outlineLvl w:val="0"/>
        <w:rPr>
          <w:rFonts w:hint="default" w:ascii="Times New Roman" w:hAnsi="Times New Roman" w:eastAsia="黑体" w:cs="Times New Roman"/>
          <w:color w:val="auto"/>
          <w:sz w:val="30"/>
          <w:szCs w:val="30"/>
        </w:rPr>
      </w:pPr>
      <w:r>
        <w:rPr>
          <w:rFonts w:hint="default" w:ascii="Times New Roman" w:hAnsi="Times New Roman" w:eastAsia="黑体" w:cs="Times New Roman"/>
          <w:color w:val="auto"/>
          <w:sz w:val="30"/>
          <w:szCs w:val="30"/>
        </w:rPr>
        <w:t>四、主要环境影响和保护措施</w:t>
      </w:r>
    </w:p>
    <w:p>
      <w:pPr>
        <w:adjustRightInd w:val="0"/>
        <w:snapToGrid w:val="0"/>
        <w:jc w:val="center"/>
        <w:rPr>
          <w:rFonts w:hint="default" w:ascii="Times New Roman" w:hAnsi="Times New Roman" w:cs="Times New Roman"/>
          <w:b/>
          <w:bCs/>
          <w:color w:val="auto"/>
          <w:sz w:val="24"/>
        </w:rPr>
        <w:sectPr>
          <w:pgSz w:w="11905" w:h="16838"/>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435"/>
        </w:sectPr>
      </w:pP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0"/>
        <w:gridCol w:w="85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0" w:type="dxa"/>
            <w:tcBorders>
              <w:top w:val="single" w:color="auto" w:sz="12" w:space="0"/>
            </w:tcBorders>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施工期环境保护措施</w:t>
            </w:r>
          </w:p>
        </w:tc>
        <w:tc>
          <w:tcPr>
            <w:tcW w:w="8537" w:type="dxa"/>
            <w:tcBorders>
              <w:top w:val="single" w:color="auto" w:sz="12" w:space="0"/>
            </w:tcBorders>
            <w:vAlign w:val="center"/>
          </w:tcPr>
          <w:p>
            <w:pPr>
              <w:pStyle w:val="33"/>
              <w:spacing w:line="240" w:lineRule="auto"/>
              <w:ind w:firstLine="512" w:firstLineChars="200"/>
              <w:rPr>
                <w:rFonts w:hint="default" w:ascii="Times New Roman" w:hAnsi="Times New Roman" w:cs="Times New Roman"/>
                <w:color w:val="auto"/>
              </w:rPr>
            </w:pPr>
            <w:r>
              <w:rPr>
                <w:rFonts w:hint="default" w:ascii="Times New Roman" w:hAnsi="Times New Roman" w:cs="Times New Roman"/>
                <w:color w:val="auto"/>
                <w:sz w:val="24"/>
                <w:szCs w:val="28"/>
              </w:rPr>
              <w:t>本项目位于中卫市职业技术学校3号楼一楼，仅</w:t>
            </w:r>
            <w:r>
              <w:rPr>
                <w:rFonts w:hint="default" w:ascii="Times New Roman" w:hAnsi="Times New Roman" w:cs="Times New Roman"/>
                <w:color w:val="auto"/>
                <w:sz w:val="24"/>
                <w:szCs w:val="28"/>
                <w:lang w:val="en-US" w:eastAsia="zh-CN"/>
              </w:rPr>
              <w:t>进行房屋改造</w:t>
            </w:r>
            <w:r>
              <w:rPr>
                <w:rFonts w:hint="default" w:ascii="Times New Roman" w:hAnsi="Times New Roman" w:cs="Times New Roman"/>
                <w:color w:val="auto"/>
                <w:sz w:val="24"/>
                <w:szCs w:val="28"/>
              </w:rPr>
              <w:t>和设备安装，对环境不产生显著影响，本次评价对施工期环境保护措施不进行评价</w:t>
            </w:r>
            <w:r>
              <w:rPr>
                <w:rFonts w:hint="default" w:ascii="Times New Roman" w:hAnsi="Times New Roman" w:cs="Times New Roman"/>
                <w:color w:val="auto"/>
                <w:sz w:val="24"/>
                <w:szCs w:val="28"/>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291" w:hRule="atLeast"/>
          <w:jc w:val="center"/>
        </w:trPr>
        <w:tc>
          <w:tcPr>
            <w:tcW w:w="750" w:type="dxa"/>
            <w:tcBorders>
              <w:top w:val="single" w:color="auto" w:sz="12" w:space="0"/>
            </w:tcBorders>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运营期环境影响和保护措施</w:t>
            </w:r>
          </w:p>
        </w:tc>
        <w:tc>
          <w:tcPr>
            <w:tcW w:w="8537" w:type="dxa"/>
            <w:tcBorders>
              <w:top w:val="single" w:color="auto" w:sz="12" w:space="0"/>
            </w:tcBorders>
            <w:vAlign w:val="center"/>
          </w:tcPr>
          <w:p>
            <w:pPr>
              <w:spacing w:before="240" w:after="60"/>
              <w:rPr>
                <w:rFonts w:hint="default" w:ascii="Times New Roman" w:hAnsi="Times New Roman" w:cs="Times New Roman"/>
                <w:color w:val="auto"/>
                <w:sz w:val="28"/>
                <w:szCs w:val="28"/>
              </w:rPr>
            </w:pPr>
            <w:r>
              <w:rPr>
                <w:rFonts w:hint="default" w:ascii="Times New Roman" w:hAnsi="Times New Roman" w:cs="Times New Roman"/>
                <w:color w:val="auto"/>
                <w:sz w:val="28"/>
                <w:szCs w:val="28"/>
              </w:rPr>
              <w:t>1、</w:t>
            </w:r>
            <w:r>
              <w:rPr>
                <w:rFonts w:hint="default" w:ascii="Times New Roman" w:hAnsi="Times New Roman" w:eastAsia="黑体" w:cs="Times New Roman"/>
                <w:color w:val="auto"/>
                <w:sz w:val="28"/>
                <w:szCs w:val="28"/>
              </w:rPr>
              <w:t>废气</w:t>
            </w:r>
          </w:p>
          <w:p>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1.1 产排污环节及污染物种类</w:t>
            </w:r>
          </w:p>
          <w:p>
            <w:pPr>
              <w:keepNext w:val="0"/>
              <w:keepLines w:val="0"/>
              <w:widowControl/>
              <w:suppressLineNumbers w:val="0"/>
              <w:ind w:firstLine="512" w:firstLineChars="200"/>
              <w:jc w:val="left"/>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项目运营期大气污染物主要为实验室实验过程中试剂取用逸散出的有机废气（使用试剂主要有</w:t>
            </w:r>
            <w:r>
              <w:rPr>
                <w:rFonts w:hint="default" w:ascii="Times New Roman" w:hAnsi="Times New Roman" w:cs="Times New Roman"/>
                <w:color w:val="auto"/>
                <w:sz w:val="24"/>
                <w:szCs w:val="24"/>
              </w:rPr>
              <w:t>丙酮、</w:t>
            </w:r>
            <w:r>
              <w:rPr>
                <w:rFonts w:hint="default" w:ascii="Times New Roman" w:hAnsi="Times New Roman" w:cs="Times New Roman"/>
                <w:color w:val="auto"/>
                <w:sz w:val="24"/>
                <w:szCs w:val="24"/>
                <w:lang w:val="en-US" w:eastAsia="zh-CN"/>
              </w:rPr>
              <w:t>石油醚</w:t>
            </w:r>
            <w:r>
              <w:rPr>
                <w:rFonts w:hint="default" w:ascii="Times New Roman" w:hAnsi="Times New Roman" w:eastAsia="宋体" w:cs="Times New Roman"/>
                <w:color w:val="auto"/>
                <w:kern w:val="0"/>
                <w:sz w:val="24"/>
                <w:szCs w:val="24"/>
                <w:lang w:val="en-US" w:eastAsia="zh-CN" w:bidi="ar"/>
              </w:rPr>
              <w:t>等，以NMHC计）、酸性废气（硫酸雾、氯化氢）。</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⑴污染物源强核算及环保措施 </w:t>
            </w:r>
          </w:p>
          <w:p>
            <w:pPr>
              <w:keepNext w:val="0"/>
              <w:keepLines w:val="0"/>
              <w:widowControl/>
              <w:suppressLineNumbers w:val="0"/>
              <w:ind w:firstLine="512"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 xml:space="preserve">①有机废气 </w:t>
            </w:r>
          </w:p>
          <w:p>
            <w:pPr>
              <w:keepNext w:val="0"/>
              <w:keepLines w:val="0"/>
              <w:widowControl/>
              <w:suppressLineNumbers w:val="0"/>
              <w:ind w:firstLine="512" w:firstLineChars="200"/>
              <w:jc w:val="left"/>
              <w:rPr>
                <w:rFonts w:hint="default" w:ascii="Times New Roman" w:hAnsi="Times New Roman" w:cs="Times New Roman"/>
                <w:color w:val="auto"/>
                <w:sz w:val="24"/>
                <w:szCs w:val="24"/>
              </w:rPr>
            </w:pPr>
            <w:r>
              <w:rPr>
                <w:rFonts w:hint="default" w:ascii="Times New Roman" w:hAnsi="Times New Roman" w:eastAsia="宋体" w:cs="Times New Roman"/>
                <w:color w:val="auto"/>
                <w:kern w:val="0"/>
                <w:sz w:val="24"/>
                <w:szCs w:val="24"/>
                <w:lang w:val="en-US" w:eastAsia="zh-CN" w:bidi="ar"/>
              </w:rPr>
              <w:t>根据《有机溶剂挥发量之估算方法》（赵焕平）可知，有机物在单位面积与单位时间之挥发量将受到有机物的分子量、饱和蒸汽压（实际液体温度下）及风速等关系影响，在一指定环境条件下，假设风速对所有化合物为一致，则主要变量就转换成有机物的分子量与饱和蒸气压。其研究显示在特定温度下（25℃），当有机物挥发量除以其饱和蒸汽压后再乘以其分子量的平方根将趋近于常数，此常数可以平均值1.38×10</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g/（m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 xml:space="preserve">.min.mmHg）代替，也就是说在有机溶剂饱和蒸汽压介于95.3~1.4mmHg范围内，且在有风之条件（0.2m/s）与温度趋近于25℃时，皆可利用上述方法估算有机溶剂的挥发量。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本环评以有机溶剂处于开放空间中，室内温度约为25℃，容器之与大气接触之表面积为1m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计，估算本项目有机溶剂挥发量为1.38×10</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×1×</w:t>
            </w:r>
            <w:r>
              <w:rPr>
                <w:rFonts w:hint="default" w:ascii="Times New Roman" w:hAnsi="Times New Roman" w:eastAsia="宋体" w:cs="Times New Roman"/>
                <w:color w:val="auto"/>
                <w:kern w:val="0"/>
                <w:sz w:val="24"/>
                <w:szCs w:val="24"/>
                <w:highlight w:val="none"/>
                <w:lang w:val="en-US" w:eastAsia="zh-CN" w:bidi="ar"/>
              </w:rPr>
              <w:t>60×250×30.75/7.62</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highlight w:val="none"/>
                <w:lang w:val="en-US" w:eastAsia="zh-CN" w:bidi="ar"/>
              </w:rPr>
              <w:t>4.035</w:t>
            </w:r>
            <w:r>
              <w:rPr>
                <w:rFonts w:hint="default" w:ascii="Times New Roman" w:hAnsi="Times New Roman" w:eastAsia="宋体" w:cs="Times New Roman"/>
                <w:color w:val="auto"/>
                <w:kern w:val="0"/>
                <w:sz w:val="24"/>
                <w:szCs w:val="24"/>
                <w:lang w:val="en-US" w:eastAsia="zh-CN" w:bidi="ar"/>
              </w:rPr>
              <w:t xml:space="preserve">（g），即有机废气产生量约为4.035g/a。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实验过程中产生的有机废气经通风橱收集（收集效率约9</w:t>
            </w:r>
            <w:r>
              <w:rPr>
                <w:rFonts w:hint="default" w:ascii="Times New Roman" w:hAnsi="Times New Roman"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%，风量1200m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/h），采用活性炭吸附装置</w:t>
            </w:r>
            <w:r>
              <w:rPr>
                <w:rFonts w:hint="default" w:ascii="Times New Roman" w:hAnsi="Times New Roman" w:cs="Times New Roman"/>
                <w:color w:val="auto"/>
                <w:kern w:val="0"/>
                <w:sz w:val="24"/>
                <w:szCs w:val="24"/>
                <w:lang w:val="en-US" w:eastAsia="zh-CN" w:bidi="ar"/>
              </w:rPr>
              <w:t>吸附</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kern w:val="0"/>
                <w:sz w:val="24"/>
                <w:szCs w:val="24"/>
                <w:lang w:val="en-US" w:eastAsia="zh-CN" w:bidi="ar"/>
              </w:rPr>
              <w:t>有机废气处理效率为90%，</w:t>
            </w:r>
            <w:r>
              <w:rPr>
                <w:rFonts w:hint="default" w:ascii="Times New Roman" w:hAnsi="Times New Roman" w:eastAsia="宋体" w:cs="Times New Roman"/>
                <w:color w:val="auto"/>
                <w:kern w:val="0"/>
                <w:sz w:val="24"/>
                <w:szCs w:val="24"/>
                <w:lang w:val="en-US" w:eastAsia="zh-CN" w:bidi="ar"/>
              </w:rPr>
              <w:t>处理后引至屋侧无组织排放，因此，本项目实验室各区域有机废气无组织总排放量为0.040g/a，</w:t>
            </w:r>
            <w:r>
              <w:rPr>
                <w:rFonts w:hint="default" w:ascii="Times New Roman" w:hAnsi="Times New Roman" w:eastAsia="宋体" w:cs="Times New Roman"/>
                <w:color w:val="auto"/>
                <w:kern w:val="0"/>
                <w:sz w:val="24"/>
                <w:szCs w:val="24"/>
                <w:highlight w:val="none"/>
                <w:lang w:val="en-US" w:eastAsia="zh-CN" w:bidi="ar"/>
              </w:rPr>
              <w:t>排放速率为0.00004g/h，排放浓度0.0000099mg/m</w:t>
            </w:r>
            <w:r>
              <w:rPr>
                <w:rFonts w:hint="default" w:ascii="Times New Roman" w:hAnsi="Times New Roman" w:eastAsia="宋体" w:cs="Times New Roman"/>
                <w:color w:val="auto"/>
                <w:kern w:val="0"/>
                <w:sz w:val="24"/>
                <w:szCs w:val="24"/>
                <w:highlight w:val="none"/>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。废气排放浓度满足《大气污染物综合排放标准》（GB16297-1996）中表2中无组织排放浓度限值。</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②酸性废气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项目硫酸、盐酸通常情况下保存在密封容器中，只有在使用过程（均在通风橱内进行）会产生少量酸性废气，主要污染物包括硫酸雾、氯化氢。实验过程产生的酸性废气具有分散、浓度低、排放间接性等特点。 </w:t>
            </w:r>
          </w:p>
          <w:p>
            <w:pPr>
              <w:keepNext w:val="0"/>
              <w:keepLines w:val="0"/>
              <w:widowControl/>
              <w:suppressLineNumbers w:val="0"/>
              <w:ind w:firstLine="512" w:firstLineChars="200"/>
              <w:jc w:val="left"/>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根据企业提供资料，年用量分别为硫酸（0.0276</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cs="Times New Roman"/>
                <w:color w:val="auto"/>
                <w:sz w:val="24"/>
                <w:szCs w:val="24"/>
                <w:lang w:val="en-US" w:eastAsia="zh-CN"/>
              </w:rPr>
              <w:t>）、盐酸（0.0177</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cs="Times New Roman"/>
                <w:color w:val="auto"/>
                <w:sz w:val="24"/>
                <w:szCs w:val="24"/>
                <w:lang w:val="en-US" w:eastAsia="zh-CN"/>
              </w:rPr>
              <w:t>）。实验过程中20%挥发产生酸性废气，故废气产生情况为硫酸雾（0.000552</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cs="Times New Roman"/>
                <w:color w:val="auto"/>
                <w:sz w:val="24"/>
                <w:szCs w:val="24"/>
                <w:lang w:val="en-US" w:eastAsia="zh-CN"/>
              </w:rPr>
              <w:t>）、氯化氢（0.000354</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cs="Times New Roman"/>
                <w:color w:val="auto"/>
                <w:sz w:val="24"/>
                <w:szCs w:val="24"/>
                <w:lang w:val="en-US" w:eastAsia="zh-CN"/>
              </w:rPr>
              <w:t>）。</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cs="Times New Roman"/>
                <w:color w:val="auto"/>
                <w:sz w:val="24"/>
                <w:szCs w:val="24"/>
                <w:lang w:val="en-US" w:eastAsia="zh-CN"/>
              </w:rPr>
              <w:t>本项目所有试剂配制均在通风橱内完成，逸散废气量较小，收集效率以90%计。废气经收集后经活性炭吸附处理，实验过程中酸碱废气处理效率是60%，</w:t>
            </w:r>
            <w:r>
              <w:rPr>
                <w:rFonts w:hint="default" w:ascii="Times New Roman" w:hAnsi="Times New Roman" w:eastAsia="宋体" w:cs="Times New Roman"/>
                <w:color w:val="auto"/>
                <w:kern w:val="0"/>
                <w:sz w:val="24"/>
                <w:szCs w:val="24"/>
                <w:lang w:val="en-US" w:eastAsia="zh-CN" w:bidi="ar"/>
              </w:rPr>
              <w:t>因此，本项目实验室各区域</w:t>
            </w:r>
            <w:r>
              <w:rPr>
                <w:rFonts w:hint="default" w:ascii="Times New Roman" w:hAnsi="Times New Roman" w:cs="Times New Roman"/>
                <w:color w:val="auto"/>
                <w:kern w:val="0"/>
                <w:sz w:val="24"/>
                <w:szCs w:val="24"/>
                <w:lang w:val="en-US" w:eastAsia="zh-CN" w:bidi="ar"/>
              </w:rPr>
              <w:t>酸性</w:t>
            </w:r>
            <w:r>
              <w:rPr>
                <w:rFonts w:hint="default" w:ascii="Times New Roman" w:hAnsi="Times New Roman" w:eastAsia="宋体" w:cs="Times New Roman"/>
                <w:color w:val="auto"/>
                <w:kern w:val="0"/>
                <w:sz w:val="24"/>
                <w:szCs w:val="24"/>
                <w:lang w:val="en-US" w:eastAsia="zh-CN" w:bidi="ar"/>
              </w:rPr>
              <w:t>废气无组织总排放量为</w:t>
            </w:r>
            <w:r>
              <w:rPr>
                <w:rFonts w:hint="default" w:ascii="Times New Roman" w:hAnsi="Times New Roman" w:cs="Times New Roman"/>
                <w:color w:val="auto"/>
                <w:sz w:val="24"/>
                <w:szCs w:val="24"/>
                <w:lang w:val="en-US" w:eastAsia="zh-CN"/>
              </w:rPr>
              <w:t>硫酸雾（0.01104</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cs="Times New Roman"/>
                <w:color w:val="auto"/>
                <w:sz w:val="24"/>
                <w:szCs w:val="24"/>
                <w:lang w:val="en-US" w:eastAsia="zh-CN"/>
              </w:rPr>
              <w:t>）、硫化氢（0.00708</w:t>
            </w:r>
            <w:r>
              <w:rPr>
                <w:rFonts w:hint="default" w:ascii="Times New Roman" w:hAnsi="Times New Roman" w:eastAsia="宋体" w:cs="Times New Roman"/>
                <w:color w:val="auto"/>
                <w:kern w:val="0"/>
                <w:sz w:val="24"/>
                <w:szCs w:val="24"/>
                <w:lang w:val="en-US" w:eastAsia="zh-CN" w:bidi="ar"/>
              </w:rPr>
              <w:t>t/a</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kern w:val="0"/>
                <w:sz w:val="24"/>
                <w:szCs w:val="24"/>
                <w:lang w:val="en-US" w:eastAsia="zh-CN" w:bidi="ar"/>
              </w:rPr>
              <w:t xml:space="preserve">。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②达标排放分析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经上述计算可知，本项目实验过程产生的酸性废气（氯化氢、硫酸雾）、有机废气（非甲烷总烃）排放浓度可满足《大气污染物综合排放标准》（GB16297-1996）表2中无组织排放监控浓度限值要求。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 xml:space="preserve">⑵排放口基本情况 </w:t>
            </w:r>
          </w:p>
          <w:p>
            <w:pPr>
              <w:keepNext w:val="0"/>
              <w:keepLines w:val="0"/>
              <w:widowControl/>
              <w:suppressLineNumbers w:val="0"/>
              <w:ind w:firstLine="512" w:firstLineChars="200"/>
              <w:jc w:val="left"/>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
              </w:rPr>
              <w:t>本项目不设置废气排放口。</w:t>
            </w:r>
          </w:p>
          <w:p>
            <w:pPr>
              <w:ind w:firstLine="512" w:firstLineChars="200"/>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rPr>
              <w:t>1.</w:t>
            </w:r>
            <w:r>
              <w:rPr>
                <w:rFonts w:hint="default" w:ascii="Times New Roman" w:hAnsi="Times New Roman" w:eastAsia="黑体" w:cs="Times New Roman"/>
                <w:color w:val="auto"/>
                <w:sz w:val="24"/>
                <w:lang w:val="en-US" w:eastAsia="zh-CN"/>
              </w:rPr>
              <w:t>2</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废气治理措施可行性分析</w:t>
            </w:r>
          </w:p>
          <w:p>
            <w:pPr>
              <w:ind w:firstLine="512"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本项目为实验室建设项目，项目各试剂用量较小，所用试剂均为瓶装，敞口较小，仅在取用时会打开试剂瓶，逸散废气量较小，在工作状态下不间断进行通风换气，</w:t>
            </w:r>
            <w:r>
              <w:rPr>
                <w:rFonts w:hint="default" w:ascii="Times New Roman" w:hAnsi="Times New Roman" w:cs="Times New Roman"/>
                <w:color w:val="auto"/>
                <w:sz w:val="24"/>
                <w:szCs w:val="24"/>
                <w:lang w:val="en-US" w:eastAsia="zh-CN"/>
              </w:rPr>
              <w:t>废气经</w:t>
            </w:r>
            <w:r>
              <w:rPr>
                <w:rFonts w:hint="default" w:ascii="Times New Roman" w:hAnsi="Times New Roman" w:eastAsia="宋体" w:cs="Times New Roman"/>
                <w:color w:val="auto"/>
                <w:sz w:val="24"/>
                <w:szCs w:val="24"/>
                <w:lang w:val="en-US" w:eastAsia="zh-CN"/>
              </w:rPr>
              <w:t>通风橱收集</w:t>
            </w:r>
            <w:r>
              <w:rPr>
                <w:rFonts w:hint="default"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活性炭吸附处理</w:t>
            </w:r>
            <w:r>
              <w:rPr>
                <w:rFonts w:hint="default" w:ascii="Times New Roman" w:hAnsi="Times New Roman" w:cs="Times New Roman"/>
                <w:color w:val="auto"/>
                <w:sz w:val="24"/>
                <w:szCs w:val="24"/>
                <w:lang w:val="en-US" w:eastAsia="zh-CN"/>
              </w:rPr>
              <w:t>后引至</w:t>
            </w:r>
            <w:r>
              <w:rPr>
                <w:rFonts w:hint="default" w:ascii="Times New Roman" w:hAnsi="Times New Roman" w:eastAsia="宋体" w:cs="Times New Roman"/>
                <w:color w:val="auto"/>
                <w:sz w:val="24"/>
                <w:szCs w:val="24"/>
                <w:lang w:val="en-US" w:eastAsia="zh-CN"/>
              </w:rPr>
              <w:t>实验室外</w:t>
            </w:r>
            <w:r>
              <w:rPr>
                <w:rFonts w:hint="default" w:ascii="Times New Roman" w:hAnsi="Times New Roman" w:cs="Times New Roman"/>
                <w:color w:val="auto"/>
                <w:sz w:val="24"/>
                <w:szCs w:val="24"/>
                <w:lang w:val="en-US" w:eastAsia="zh-CN"/>
              </w:rPr>
              <w:t>无组织</w:t>
            </w:r>
            <w:r>
              <w:rPr>
                <w:rFonts w:hint="default" w:ascii="Times New Roman" w:hAnsi="Times New Roman" w:eastAsia="宋体" w:cs="Times New Roman"/>
                <w:color w:val="auto"/>
                <w:sz w:val="24"/>
                <w:szCs w:val="24"/>
                <w:lang w:val="en-US" w:eastAsia="zh-CN"/>
              </w:rPr>
              <w:t>排放。从环境保护角度来讲，既保障了实验室人员的健康，同时对大气环境影响较小，因此该措施可行。</w:t>
            </w:r>
          </w:p>
          <w:p>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1.</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 xml:space="preserve"> 非正常工况</w:t>
            </w:r>
          </w:p>
          <w:p>
            <w:pPr>
              <w:ind w:firstLine="512"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项目非正常排放主要考虑通风橱内活性炭未更换，吸附效率降低的状 况，按最不利情况考虑，处理效率为</w:t>
            </w:r>
            <w:r>
              <w:rPr>
                <w:rFonts w:hint="default" w:ascii="Times New Roman" w:hAnsi="Times New Roman" w:cs="Times New Roman"/>
                <w:color w:val="auto"/>
                <w:sz w:val="24"/>
                <w:szCs w:val="24"/>
                <w:lang w:val="en-US" w:eastAsia="zh-CN"/>
              </w:rPr>
              <w:t>50%</w:t>
            </w:r>
            <w:r>
              <w:rPr>
                <w:rFonts w:hint="default" w:ascii="Times New Roman" w:hAnsi="Times New Roman" w:eastAsia="宋体" w:cs="Times New Roman"/>
                <w:color w:val="auto"/>
                <w:sz w:val="24"/>
                <w:szCs w:val="24"/>
              </w:rPr>
              <w:t>时污染物未经处理直接排放，非正常排放不超过0.5h，</w:t>
            </w:r>
            <w:r>
              <w:rPr>
                <w:rFonts w:hint="default" w:ascii="Times New Roman" w:hAnsi="Times New Roman" w:eastAsia="宋体" w:cs="Times New Roman"/>
                <w:color w:val="auto"/>
                <w:sz w:val="24"/>
                <w:szCs w:val="24"/>
                <w:lang w:val="en-US" w:eastAsia="zh-CN"/>
              </w:rPr>
              <w:t>项目污染物非正常排放核算见</w:t>
            </w:r>
            <w:r>
              <w:rPr>
                <w:rFonts w:hint="default" w:ascii="Times New Roman" w:hAnsi="Times New Roman" w:cs="Times New Roman"/>
                <w:color w:val="auto"/>
                <w:sz w:val="24"/>
              </w:rPr>
              <w:t>表4-</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w:t>
            </w:r>
          </w:p>
          <w:p>
            <w:pPr>
              <w:pStyle w:val="24"/>
              <w:spacing w:after="0"/>
              <w:ind w:left="454"/>
              <w:jc w:val="center"/>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表4-</w:t>
            </w:r>
            <w:r>
              <w:rPr>
                <w:rFonts w:hint="default" w:ascii="Times New Roman" w:hAnsi="Times New Roman" w:eastAsia="黑体" w:cs="Times New Roman"/>
                <w:color w:val="auto"/>
                <w:sz w:val="24"/>
                <w:szCs w:val="24"/>
                <w:lang w:val="en-US" w:eastAsia="zh-CN"/>
              </w:rPr>
              <w:t>1</w:t>
            </w:r>
            <w:r>
              <w:rPr>
                <w:rFonts w:hint="default" w:ascii="Times New Roman" w:hAnsi="Times New Roman" w:eastAsia="黑体" w:cs="Times New Roman"/>
                <w:color w:val="auto"/>
                <w:sz w:val="24"/>
                <w:szCs w:val="24"/>
              </w:rPr>
              <w:t xml:space="preserve">  非正常工况下污染物排放情况</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90"/>
              <w:gridCol w:w="1707"/>
              <w:gridCol w:w="1345"/>
              <w:gridCol w:w="1291"/>
              <w:gridCol w:w="1221"/>
              <w:gridCol w:w="14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5" w:type="dxa"/>
                  <w:vAlign w:val="center"/>
                </w:tcPr>
                <w:p>
                  <w:pPr>
                    <w:adjustRightInd w:val="0"/>
                    <w:snapToGrid w:val="0"/>
                    <w:jc w:val="center"/>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污染源</w:t>
                  </w:r>
                </w:p>
              </w:tc>
              <w:tc>
                <w:tcPr>
                  <w:tcW w:w="1396" w:type="dxa"/>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非正常排放原因</w:t>
                  </w:r>
                </w:p>
              </w:tc>
              <w:tc>
                <w:tcPr>
                  <w:tcW w:w="1100" w:type="dxa"/>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污染物</w:t>
                  </w:r>
                </w:p>
              </w:tc>
              <w:tc>
                <w:tcPr>
                  <w:tcW w:w="1056" w:type="dxa"/>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单次持续时间（h）</w:t>
                  </w:r>
                </w:p>
              </w:tc>
              <w:tc>
                <w:tcPr>
                  <w:tcW w:w="999" w:type="dxa"/>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年发生频次(次)</w:t>
                  </w:r>
                </w:p>
              </w:tc>
              <w:tc>
                <w:tcPr>
                  <w:tcW w:w="1174" w:type="dxa"/>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5" w:type="dxa"/>
                  <w:vMerge w:val="restart"/>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通风橱</w:t>
                  </w:r>
                </w:p>
              </w:tc>
              <w:tc>
                <w:tcPr>
                  <w:tcW w:w="1396" w:type="dxa"/>
                  <w:vMerge w:val="restar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废气</w:t>
                  </w:r>
                  <w:r>
                    <w:rPr>
                      <w:rFonts w:hint="default" w:ascii="Times New Roman" w:hAnsi="Times New Roman" w:cs="Times New Roman"/>
                      <w:color w:val="auto"/>
                      <w:lang w:val="en-US" w:eastAsia="zh-CN"/>
                    </w:rPr>
                    <w:t>处理</w:t>
                  </w:r>
                  <w:r>
                    <w:rPr>
                      <w:rFonts w:hint="default" w:ascii="Times New Roman" w:hAnsi="Times New Roman" w:cs="Times New Roman"/>
                      <w:color w:val="auto"/>
                    </w:rPr>
                    <w:t>装置发生故障</w:t>
                  </w:r>
                </w:p>
              </w:tc>
              <w:tc>
                <w:tcPr>
                  <w:tcW w:w="1100" w:type="dxa"/>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硫酸雾</w:t>
                  </w:r>
                </w:p>
              </w:tc>
              <w:tc>
                <w:tcPr>
                  <w:tcW w:w="1056" w:type="dxa"/>
                  <w:vMerge w:val="restar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0.5</w:t>
                  </w:r>
                </w:p>
              </w:tc>
              <w:tc>
                <w:tcPr>
                  <w:tcW w:w="999" w:type="dxa"/>
                  <w:vMerge w:val="restar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w:t>
                  </w:r>
                </w:p>
              </w:tc>
              <w:tc>
                <w:tcPr>
                  <w:tcW w:w="1174" w:type="dxa"/>
                  <w:vMerge w:val="restar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立即停止</w:t>
                  </w:r>
                  <w:r>
                    <w:rPr>
                      <w:rFonts w:hint="default" w:ascii="Times New Roman" w:hAnsi="Times New Roman" w:cs="Times New Roman"/>
                      <w:color w:val="auto"/>
                      <w:lang w:val="en-US" w:eastAsia="zh-CN"/>
                    </w:rPr>
                    <w:t>实验</w:t>
                  </w:r>
                  <w:r>
                    <w:rPr>
                      <w:rFonts w:hint="default" w:ascii="Times New Roman" w:hAnsi="Times New Roman" w:cs="Times New Roman"/>
                      <w:color w:val="auto"/>
                    </w:rPr>
                    <w:t>，检修废气</w:t>
                  </w:r>
                  <w:r>
                    <w:rPr>
                      <w:rFonts w:hint="default" w:ascii="Times New Roman" w:hAnsi="Times New Roman" w:cs="Times New Roman"/>
                      <w:color w:val="auto"/>
                      <w:lang w:val="en-US" w:eastAsia="zh-CN"/>
                    </w:rPr>
                    <w:t>处理</w:t>
                  </w:r>
                  <w:r>
                    <w:rPr>
                      <w:rFonts w:hint="default" w:ascii="Times New Roman" w:hAnsi="Times New Roman" w:cs="Times New Roman"/>
                      <w:color w:val="auto"/>
                    </w:rPr>
                    <w:t>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5" w:type="dxa"/>
                  <w:vMerge w:val="continue"/>
                  <w:vAlign w:val="center"/>
                </w:tcPr>
                <w:p>
                  <w:pPr>
                    <w:adjustRightInd w:val="0"/>
                    <w:snapToGrid w:val="0"/>
                    <w:jc w:val="center"/>
                    <w:rPr>
                      <w:rFonts w:hint="default" w:ascii="Times New Roman" w:hAnsi="Times New Roman" w:cs="Times New Roman"/>
                      <w:color w:val="auto"/>
                    </w:rPr>
                  </w:pPr>
                </w:p>
              </w:tc>
              <w:tc>
                <w:tcPr>
                  <w:tcW w:w="1396" w:type="dxa"/>
                  <w:vMerge w:val="continue"/>
                  <w:vAlign w:val="center"/>
                </w:tcPr>
                <w:p>
                  <w:pPr>
                    <w:adjustRightInd w:val="0"/>
                    <w:snapToGrid w:val="0"/>
                    <w:jc w:val="center"/>
                    <w:rPr>
                      <w:rFonts w:hint="default" w:ascii="Times New Roman" w:hAnsi="Times New Roman" w:cs="Times New Roman"/>
                      <w:color w:val="auto"/>
                    </w:rPr>
                  </w:pPr>
                </w:p>
              </w:tc>
              <w:tc>
                <w:tcPr>
                  <w:tcW w:w="1100" w:type="dxa"/>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氯化氢</w:t>
                  </w:r>
                </w:p>
              </w:tc>
              <w:tc>
                <w:tcPr>
                  <w:tcW w:w="1056" w:type="dxa"/>
                  <w:vMerge w:val="continue"/>
                  <w:vAlign w:val="center"/>
                </w:tcPr>
                <w:p>
                  <w:pPr>
                    <w:adjustRightInd w:val="0"/>
                    <w:snapToGrid w:val="0"/>
                    <w:jc w:val="center"/>
                    <w:rPr>
                      <w:rFonts w:hint="default" w:ascii="Times New Roman" w:hAnsi="Times New Roman" w:cs="Times New Roman"/>
                      <w:color w:val="auto"/>
                    </w:rPr>
                  </w:pPr>
                </w:p>
              </w:tc>
              <w:tc>
                <w:tcPr>
                  <w:tcW w:w="999" w:type="dxa"/>
                  <w:vMerge w:val="continue"/>
                  <w:vAlign w:val="center"/>
                </w:tcPr>
                <w:p>
                  <w:pPr>
                    <w:adjustRightInd w:val="0"/>
                    <w:snapToGrid w:val="0"/>
                    <w:jc w:val="center"/>
                    <w:rPr>
                      <w:rFonts w:hint="default" w:ascii="Times New Roman" w:hAnsi="Times New Roman" w:cs="Times New Roman"/>
                      <w:color w:val="auto"/>
                    </w:rPr>
                  </w:pPr>
                </w:p>
              </w:tc>
              <w:tc>
                <w:tcPr>
                  <w:tcW w:w="1174" w:type="dxa"/>
                  <w:vMerge w:val="continue"/>
                  <w:vAlign w:val="center"/>
                </w:tcPr>
                <w:p>
                  <w:pPr>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5" w:type="dxa"/>
                  <w:vMerge w:val="continue"/>
                  <w:vAlign w:val="center"/>
                </w:tcPr>
                <w:p>
                  <w:pPr>
                    <w:adjustRightInd w:val="0"/>
                    <w:snapToGrid w:val="0"/>
                    <w:jc w:val="center"/>
                    <w:rPr>
                      <w:rFonts w:hint="default" w:ascii="Times New Roman" w:hAnsi="Times New Roman" w:cs="Times New Roman"/>
                      <w:color w:val="auto"/>
                    </w:rPr>
                  </w:pPr>
                </w:p>
              </w:tc>
              <w:tc>
                <w:tcPr>
                  <w:tcW w:w="1396" w:type="dxa"/>
                  <w:vMerge w:val="continue"/>
                  <w:vAlign w:val="center"/>
                </w:tcPr>
                <w:p>
                  <w:pPr>
                    <w:adjustRightInd w:val="0"/>
                    <w:snapToGrid w:val="0"/>
                    <w:jc w:val="center"/>
                    <w:rPr>
                      <w:rFonts w:hint="default" w:ascii="Times New Roman" w:hAnsi="Times New Roman" w:cs="Times New Roman"/>
                      <w:color w:val="auto"/>
                    </w:rPr>
                  </w:pPr>
                </w:p>
              </w:tc>
              <w:tc>
                <w:tcPr>
                  <w:tcW w:w="1100" w:type="dxa"/>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非甲烷总烃</w:t>
                  </w:r>
                </w:p>
              </w:tc>
              <w:tc>
                <w:tcPr>
                  <w:tcW w:w="1056" w:type="dxa"/>
                  <w:vMerge w:val="continue"/>
                  <w:vAlign w:val="center"/>
                </w:tcPr>
                <w:p>
                  <w:pPr>
                    <w:adjustRightInd w:val="0"/>
                    <w:snapToGrid w:val="0"/>
                    <w:jc w:val="center"/>
                    <w:rPr>
                      <w:rFonts w:hint="default" w:ascii="Times New Roman" w:hAnsi="Times New Roman" w:cs="Times New Roman"/>
                      <w:color w:val="auto"/>
                    </w:rPr>
                  </w:pPr>
                </w:p>
              </w:tc>
              <w:tc>
                <w:tcPr>
                  <w:tcW w:w="999" w:type="dxa"/>
                  <w:vMerge w:val="continue"/>
                  <w:vAlign w:val="center"/>
                </w:tcPr>
                <w:p>
                  <w:pPr>
                    <w:adjustRightInd w:val="0"/>
                    <w:snapToGrid w:val="0"/>
                    <w:jc w:val="center"/>
                    <w:rPr>
                      <w:rFonts w:hint="default" w:ascii="Times New Roman" w:hAnsi="Times New Roman" w:cs="Times New Roman"/>
                      <w:color w:val="auto"/>
                    </w:rPr>
                  </w:pPr>
                </w:p>
              </w:tc>
              <w:tc>
                <w:tcPr>
                  <w:tcW w:w="1174" w:type="dxa"/>
                  <w:vMerge w:val="continue"/>
                  <w:vAlign w:val="center"/>
                </w:tcPr>
                <w:p>
                  <w:pPr>
                    <w:adjustRightInd w:val="0"/>
                    <w:snapToGrid w:val="0"/>
                    <w:jc w:val="center"/>
                    <w:rPr>
                      <w:rFonts w:hint="default" w:ascii="Times New Roman" w:hAnsi="Times New Roman" w:cs="Times New Roman"/>
                      <w:color w:val="auto"/>
                    </w:rPr>
                  </w:pPr>
                </w:p>
              </w:tc>
            </w:tr>
          </w:tbl>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非正常工况防范措施： </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szCs w:val="24"/>
                <w:lang w:val="en-US" w:eastAsia="zh-CN"/>
              </w:rPr>
              <w:t>通风橱+活性炭吸附装置</w:t>
            </w:r>
            <w:r>
              <w:rPr>
                <w:rFonts w:hint="default" w:ascii="Times New Roman" w:hAnsi="Times New Roman" w:cs="Times New Roman"/>
                <w:color w:val="auto"/>
                <w:sz w:val="24"/>
              </w:rPr>
              <w:t>均属常规设施，只要建设单位重视环保设施的正常检修，及时更换，加强设备的运行管理，出现事故的概率较小，可避免非正常排放对环境的影响，为尽量避免非正常排放发生，建设单位应采取如下防范措施：</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①对非正常状态下排放的危害加强认识，建立一套完善的环保设施检修体制；</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②建设单位应做好生产设备和环保设施的管理、维修工作，选用质量好的设备；派专人对易发生非正常排放的设备进行管理，出现异常，及时维修处理；</w:t>
            </w:r>
          </w:p>
          <w:p>
            <w:pPr>
              <w:ind w:firstLine="512" w:firstLineChars="200"/>
              <w:rPr>
                <w:rFonts w:hint="default" w:ascii="Times New Roman" w:hAnsi="Times New Roman" w:cs="Times New Roman"/>
                <w:color w:val="auto"/>
                <w:sz w:val="24"/>
                <w:lang w:eastAsia="zh-CN"/>
              </w:rPr>
            </w:pPr>
            <w:r>
              <w:rPr>
                <w:rFonts w:hint="default" w:ascii="Times New Roman" w:hAnsi="Times New Roman" w:cs="Times New Roman"/>
                <w:color w:val="auto"/>
                <w:sz w:val="24"/>
              </w:rPr>
              <w:t>③出现事故情况，必要时应立即停止实验，进行检修，待检修完毕后方可再次进行实验</w:t>
            </w:r>
            <w:r>
              <w:rPr>
                <w:rFonts w:hint="default" w:ascii="Times New Roman" w:hAnsi="Times New Roman" w:cs="Times New Roman"/>
                <w:color w:val="auto"/>
                <w:sz w:val="24"/>
                <w:lang w:eastAsia="zh-CN"/>
              </w:rPr>
              <w:t>。</w:t>
            </w:r>
          </w:p>
          <w:p>
            <w:pPr>
              <w:spacing w:before="240" w:after="60"/>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rPr>
              <w:t xml:space="preserve">1.4 </w:t>
            </w:r>
            <w:r>
              <w:rPr>
                <w:rFonts w:hint="default" w:ascii="Times New Roman" w:hAnsi="Times New Roman" w:eastAsia="黑体" w:cs="Times New Roman"/>
                <w:color w:val="auto"/>
                <w:sz w:val="24"/>
                <w:lang w:val="en-US" w:eastAsia="zh-CN"/>
              </w:rPr>
              <w:t>监测要求及排放标准</w:t>
            </w:r>
          </w:p>
          <w:p>
            <w:pPr>
              <w:widowControl/>
              <w:ind w:firstLine="512" w:firstLineChars="200"/>
              <w:jc w:val="left"/>
              <w:rPr>
                <w:rFonts w:hint="default" w:ascii="Times New Roman" w:hAnsi="Times New Roman" w:cs="Times New Roman"/>
                <w:color w:val="auto"/>
                <w:sz w:val="24"/>
              </w:rPr>
            </w:pPr>
            <w:r>
              <w:rPr>
                <w:rFonts w:hint="default" w:ascii="Times New Roman" w:hAnsi="Times New Roman" w:eastAsia="宋体" w:cs="Times New Roman"/>
                <w:color w:val="auto"/>
                <w:sz w:val="24"/>
                <w:szCs w:val="24"/>
              </w:rPr>
              <w:t>根据《排污单位自行监测技术指南 总则》（HJ819-2017）中的相关要求，本项目废气监测要求及执行标准见表</w:t>
            </w:r>
            <w:r>
              <w:rPr>
                <w:rFonts w:hint="default" w:ascii="Times New Roman" w:hAnsi="Times New Roman" w:cs="Times New Roman"/>
                <w:color w:val="auto"/>
                <w:sz w:val="24"/>
              </w:rPr>
              <w:t>4-</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w:t>
            </w:r>
          </w:p>
          <w:p>
            <w:pPr>
              <w:pStyle w:val="53"/>
              <w:adjustRightInd/>
              <w:snapToGrid/>
              <w:spacing w:beforeLines="0" w:afterLines="0" w:line="240" w:lineRule="auto"/>
              <w:ind w:firstLine="0"/>
              <w:rPr>
                <w:rFonts w:hint="default" w:ascii="Times New Roman" w:hAnsi="Times New Roman" w:cs="Times New Roman"/>
                <w:color w:val="auto"/>
              </w:rPr>
            </w:pPr>
            <w:r>
              <w:rPr>
                <w:rFonts w:hint="default" w:ascii="Times New Roman" w:hAnsi="Times New Roman" w:eastAsia="黑体" w:cs="Times New Roman"/>
                <w:color w:val="auto"/>
                <w:sz w:val="24"/>
                <w:szCs w:val="24"/>
              </w:rPr>
              <w:t>表</w:t>
            </w:r>
            <w:r>
              <w:rPr>
                <w:rFonts w:hint="default" w:ascii="Times New Roman" w:hAnsi="Times New Roman" w:cs="Times New Roman"/>
                <w:color w:val="auto"/>
                <w:sz w:val="24"/>
                <w:szCs w:val="24"/>
              </w:rPr>
              <w:t>4-</w:t>
            </w:r>
            <w:r>
              <w:rPr>
                <w:rFonts w:hint="default"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 xml:space="preserve">  </w:t>
            </w:r>
            <w:r>
              <w:rPr>
                <w:rFonts w:hint="default" w:ascii="Times New Roman" w:hAnsi="Times New Roman" w:eastAsia="黑体" w:cs="Times New Roman"/>
                <w:color w:val="auto"/>
                <w:sz w:val="24"/>
                <w:szCs w:val="24"/>
              </w:rPr>
              <w:t>本项目大气环境监测计划</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99"/>
              <w:gridCol w:w="999"/>
              <w:gridCol w:w="1202"/>
              <w:gridCol w:w="1502"/>
              <w:gridCol w:w="930"/>
              <w:gridCol w:w="265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9"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类别</w:t>
                  </w:r>
                </w:p>
              </w:tc>
              <w:tc>
                <w:tcPr>
                  <w:tcW w:w="999" w:type="dxa"/>
                  <w:tcMar>
                    <w:top w:w="12" w:type="dxa"/>
                    <w:left w:w="12" w:type="dxa"/>
                    <w:right w:w="12" w:type="dxa"/>
                  </w:tcMar>
                  <w:vAlign w:val="center"/>
                </w:tcPr>
                <w:p>
                  <w:pPr>
                    <w:pStyle w:val="53"/>
                    <w:spacing w:beforeLines="0" w:afterLines="0" w:line="240" w:lineRule="auto"/>
                    <w:ind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排放形式</w:t>
                  </w:r>
                </w:p>
              </w:tc>
              <w:tc>
                <w:tcPr>
                  <w:tcW w:w="1202"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监测点位</w:t>
                  </w:r>
                </w:p>
              </w:tc>
              <w:tc>
                <w:tcPr>
                  <w:tcW w:w="1502"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监测项目</w:t>
                  </w:r>
                </w:p>
              </w:tc>
              <w:tc>
                <w:tcPr>
                  <w:tcW w:w="930"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cs="Times New Roman"/>
                      <w:b/>
                      <w:bCs/>
                      <w:color w:val="auto"/>
                    </w:rPr>
                  </w:pPr>
                  <w:r>
                    <w:rPr>
                      <w:rFonts w:hint="default" w:ascii="Times New Roman" w:hAnsi="Times New Roman" w:cs="Times New Roman"/>
                      <w:b/>
                      <w:bCs/>
                      <w:color w:val="auto"/>
                    </w:rPr>
                    <w:t>监测频率</w:t>
                  </w:r>
                </w:p>
              </w:tc>
              <w:tc>
                <w:tcPr>
                  <w:tcW w:w="2659"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执行标准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99"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废气</w:t>
                  </w:r>
                </w:p>
              </w:tc>
              <w:tc>
                <w:tcPr>
                  <w:tcW w:w="999" w:type="dxa"/>
                  <w:tcMar>
                    <w:top w:w="12" w:type="dxa"/>
                    <w:left w:w="12" w:type="dxa"/>
                    <w:right w:w="12" w:type="dxa"/>
                  </w:tcMar>
                  <w:vAlign w:val="center"/>
                </w:tcPr>
                <w:p>
                  <w:pPr>
                    <w:pStyle w:val="53"/>
                    <w:spacing w:beforeLines="0" w:afterLines="0" w:line="240" w:lineRule="auto"/>
                    <w:ind w:firstLine="0" w:firstLineChars="0"/>
                    <w:jc w:val="center"/>
                    <w:rPr>
                      <w:rFonts w:hint="default" w:ascii="Times New Roman" w:hAnsi="Times New Roman" w:cs="Times New Roman"/>
                      <w:color w:val="auto"/>
                    </w:rPr>
                  </w:pPr>
                  <w:r>
                    <w:rPr>
                      <w:rFonts w:hint="default" w:ascii="Times New Roman" w:hAnsi="Times New Roman" w:cs="Times New Roman"/>
                      <w:color w:val="auto"/>
                    </w:rPr>
                    <w:t>无组织</w:t>
                  </w:r>
                </w:p>
              </w:tc>
              <w:tc>
                <w:tcPr>
                  <w:tcW w:w="1202"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rPr>
                    <w:t>厂界</w:t>
                  </w:r>
                </w:p>
              </w:tc>
              <w:tc>
                <w:tcPr>
                  <w:tcW w:w="1502"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非甲烷总烃、硫酸雾、氯化氢</w:t>
                  </w:r>
                </w:p>
              </w:tc>
              <w:tc>
                <w:tcPr>
                  <w:tcW w:w="930"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cs="Times New Roman"/>
                      <w:color w:val="auto"/>
                    </w:rPr>
                  </w:pPr>
                  <w:r>
                    <w:rPr>
                      <w:rFonts w:hint="default" w:ascii="Times New Roman" w:hAnsi="Times New Roman" w:cs="Times New Roman"/>
                      <w:color w:val="auto"/>
                      <w:lang w:val="en-US" w:eastAsia="zh-CN"/>
                    </w:rPr>
                    <w:t>1</w:t>
                  </w:r>
                  <w:r>
                    <w:rPr>
                      <w:rFonts w:hint="default" w:ascii="Times New Roman" w:hAnsi="Times New Roman" w:eastAsia="宋体" w:cs="Times New Roman"/>
                      <w:color w:val="auto"/>
                      <w:lang w:val="en-US" w:eastAsia="zh-CN"/>
                    </w:rPr>
                    <w:t>次</w:t>
                  </w:r>
                  <w:r>
                    <w:rPr>
                      <w:rFonts w:hint="default" w:ascii="Times New Roman" w:hAnsi="Times New Roman" w:cs="Times New Roman"/>
                      <w:color w:val="auto"/>
                    </w:rPr>
                    <w:t>/</w:t>
                  </w:r>
                  <w:r>
                    <w:rPr>
                      <w:rFonts w:hint="default" w:ascii="Times New Roman" w:hAnsi="Times New Roman" w:cs="Times New Roman"/>
                      <w:color w:val="auto"/>
                      <w:lang w:val="en-US" w:eastAsia="zh-CN"/>
                    </w:rPr>
                    <w:t>年</w:t>
                  </w:r>
                </w:p>
              </w:tc>
              <w:tc>
                <w:tcPr>
                  <w:tcW w:w="2659" w:type="dxa"/>
                  <w:tcMar>
                    <w:top w:w="12" w:type="dxa"/>
                    <w:left w:w="12" w:type="dxa"/>
                    <w:right w:w="12" w:type="dxa"/>
                  </w:tcMar>
                  <w:vAlign w:val="center"/>
                </w:tcPr>
                <w:p>
                  <w:pPr>
                    <w:pStyle w:val="53"/>
                    <w:spacing w:beforeLines="0" w:afterLines="0" w:line="240" w:lineRule="auto"/>
                    <w:ind w:left="0" w:leftChars="0" w:firstLine="0" w:firstLineChars="0"/>
                    <w:jc w:val="center"/>
                    <w:rPr>
                      <w:rFonts w:hint="default" w:ascii="Times New Roman" w:hAnsi="Times New Roman" w:eastAsia="黑体" w:cs="Times New Roman"/>
                      <w:color w:val="auto"/>
                    </w:rPr>
                  </w:pPr>
                  <w:r>
                    <w:rPr>
                      <w:rFonts w:hint="default" w:ascii="Times New Roman" w:hAnsi="Times New Roman" w:eastAsia="宋体" w:cs="Times New Roman"/>
                      <w:color w:val="auto"/>
                    </w:rPr>
                    <w:t>《大气污染物综合排放标准》（GB16297-1996）表2中无组织排放监控浓度限值要求</w:t>
                  </w:r>
                </w:p>
              </w:tc>
            </w:tr>
          </w:tbl>
          <w:p>
            <w:pPr>
              <w:spacing w:before="240" w:after="60"/>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rPr>
              <w:t>1.</w:t>
            </w:r>
            <w:r>
              <w:rPr>
                <w:rFonts w:hint="default" w:ascii="Times New Roman" w:hAnsi="Times New Roman" w:eastAsia="黑体" w:cs="Times New Roman"/>
                <w:color w:val="auto"/>
                <w:sz w:val="24"/>
                <w:lang w:val="en-US" w:eastAsia="zh-CN"/>
              </w:rPr>
              <w:t>5</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大气环境影响分析结论</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本项目位于</w:t>
            </w:r>
            <w:r>
              <w:rPr>
                <w:rFonts w:hint="default" w:ascii="Times New Roman" w:hAnsi="Times New Roman" w:cs="Times New Roman"/>
                <w:color w:val="auto"/>
                <w:kern w:val="0"/>
                <w:sz w:val="24"/>
                <w:highlight w:val="none"/>
                <w:lang w:eastAsia="zh-CN"/>
              </w:rPr>
              <w:t>中卫市职业技术学校3号实训楼一楼</w:t>
            </w:r>
            <w:r>
              <w:rPr>
                <w:rFonts w:hint="default" w:ascii="Times New Roman" w:hAnsi="Times New Roman" w:cs="Times New Roman"/>
                <w:color w:val="auto"/>
                <w:sz w:val="24"/>
                <w:lang w:val="en-US" w:eastAsia="zh-CN"/>
              </w:rPr>
              <w:t>，根据宁夏回族自治区生态环境厅发布的《2023年宁夏生态环境质量状况》中</w:t>
            </w:r>
            <w:r>
              <w:rPr>
                <w:rFonts w:hint="default" w:ascii="Times New Roman" w:hAnsi="Times New Roman" w:cs="Times New Roman"/>
                <w:color w:val="auto"/>
                <w:sz w:val="24"/>
                <w:highlight w:val="none"/>
                <w:lang w:val="en-US" w:eastAsia="zh-CN"/>
              </w:rPr>
              <w:t>中卫市沙坡头区2023年环境空气监测数据和结论，项目所在区域为达标区。项目产生</w:t>
            </w:r>
            <w:r>
              <w:rPr>
                <w:rFonts w:hint="default" w:ascii="Times New Roman" w:hAnsi="Times New Roman" w:cs="Times New Roman"/>
                <w:color w:val="auto"/>
                <w:sz w:val="24"/>
                <w:lang w:val="en-US" w:eastAsia="zh-CN"/>
              </w:rPr>
              <w:t>的废气主要为实验过程产生少量的有机废气、酸性废气，实验室设1个通风橱，实验过程产生的有机废气、酸性废气经通风橱收集，再由活性炭吸附处理后引至实验室外无组织排放，对环境影响较小。</w:t>
            </w:r>
          </w:p>
          <w:p>
            <w:pPr>
              <w:pStyle w:val="53"/>
              <w:numPr>
                <w:ilvl w:val="0"/>
                <w:numId w:val="12"/>
              </w:numPr>
              <w:adjustRightInd/>
              <w:snapToGrid/>
              <w:spacing w:before="240" w:beforeLines="0" w:after="60" w:afterLines="0" w:line="240" w:lineRule="auto"/>
              <w:ind w:left="0" w:leftChars="0" w:firstLine="0" w:firstLineChars="0"/>
              <w:jc w:val="both"/>
              <w:rPr>
                <w:rFonts w:hint="default" w:ascii="Times New Roman" w:hAnsi="Times New Roman" w:eastAsia="黑体" w:cs="Times New Roman"/>
                <w:color w:val="auto"/>
                <w:sz w:val="28"/>
                <w:szCs w:val="28"/>
                <w:highlight w:val="none"/>
              </w:rPr>
            </w:pPr>
            <w:r>
              <w:rPr>
                <w:rFonts w:hint="default" w:ascii="Times New Roman" w:hAnsi="Times New Roman" w:eastAsia="黑体" w:cs="Times New Roman"/>
                <w:color w:val="auto"/>
                <w:sz w:val="28"/>
                <w:szCs w:val="28"/>
                <w:highlight w:val="none"/>
              </w:rPr>
              <w:t>废水</w:t>
            </w:r>
          </w:p>
          <w:p>
            <w:pPr>
              <w:spacing w:before="240" w:after="6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黑体" w:cs="Times New Roman"/>
                <w:color w:val="auto"/>
                <w:sz w:val="24"/>
                <w:lang w:val="en-US" w:eastAsia="zh-CN"/>
              </w:rPr>
              <w:t>2</w:t>
            </w:r>
            <w:r>
              <w:rPr>
                <w:rFonts w:hint="default" w:ascii="Times New Roman" w:hAnsi="Times New Roman" w:eastAsia="黑体" w:cs="Times New Roman"/>
                <w:color w:val="auto"/>
                <w:sz w:val="24"/>
              </w:rPr>
              <w:t>.</w:t>
            </w:r>
            <w:r>
              <w:rPr>
                <w:rFonts w:hint="default" w:ascii="Times New Roman" w:hAnsi="Times New Roman" w:eastAsia="黑体" w:cs="Times New Roman"/>
                <w:color w:val="auto"/>
                <w:sz w:val="24"/>
                <w:lang w:val="en-US" w:eastAsia="zh-CN"/>
              </w:rPr>
              <w:t>1</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废水产排情况</w:t>
            </w:r>
          </w:p>
          <w:p>
            <w:pPr>
              <w:ind w:firstLine="512"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kern w:val="2"/>
                <w:sz w:val="24"/>
                <w:szCs w:val="24"/>
                <w:lang w:val="en-US" w:eastAsia="zh-CN" w:bidi="ar-SA"/>
              </w:rPr>
              <w:t>本项目废水主要为实验器皿后段清洗废水、纯水制备浓盐水和生活污水，废水总量为</w:t>
            </w:r>
            <w:r>
              <w:rPr>
                <w:rFonts w:hint="default" w:ascii="Times New Roman" w:hAnsi="Times New Roman" w:cs="Times New Roman"/>
                <w:color w:val="auto"/>
                <w:kern w:val="2"/>
                <w:sz w:val="24"/>
                <w:szCs w:val="24"/>
                <w:lang w:val="en-US" w:eastAsia="zh-CN" w:bidi="ar-SA"/>
              </w:rPr>
              <w:t>74.9</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w:t>
            </w:r>
            <w:r>
              <w:rPr>
                <w:rFonts w:hint="default" w:ascii="Times New Roman" w:hAnsi="Times New Roman" w:cs="Times New Roman"/>
                <w:color w:val="auto"/>
                <w:kern w:val="2"/>
                <w:sz w:val="24"/>
                <w:szCs w:val="24"/>
                <w:lang w:val="en-US" w:eastAsia="zh-CN" w:bidi="ar-SA"/>
              </w:rPr>
              <w:t>（</w:t>
            </w:r>
            <w:r>
              <w:rPr>
                <w:rFonts w:hint="default" w:ascii="Times New Roman" w:hAnsi="Times New Roman" w:cs="Times New Roman"/>
                <w:color w:val="auto"/>
                <w:sz w:val="24"/>
                <w:szCs w:val="24"/>
                <w:lang w:val="en-US" w:eastAsia="zh-CN"/>
              </w:rPr>
              <w:t>0.2996</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。其中，实验器皿后段清洗废水产生量为</w:t>
            </w:r>
            <w:r>
              <w:rPr>
                <w:rFonts w:hint="default" w:ascii="Times New Roman" w:hAnsi="Times New Roman" w:cs="Times New Roman"/>
                <w:color w:val="auto"/>
                <w:kern w:val="2"/>
                <w:sz w:val="24"/>
                <w:szCs w:val="24"/>
                <w:lang w:val="en-US" w:eastAsia="zh-CN" w:bidi="ar-SA"/>
              </w:rPr>
              <w:t>13.5</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 xml:space="preserve"> /a</w:t>
            </w:r>
            <w:r>
              <w:rPr>
                <w:rFonts w:hint="default" w:ascii="Times New Roman" w:hAnsi="Times New Roman" w:cs="Times New Roman"/>
                <w:color w:val="auto"/>
                <w:kern w:val="2"/>
                <w:sz w:val="24"/>
                <w:szCs w:val="24"/>
                <w:lang w:val="en-US" w:eastAsia="zh-CN" w:bidi="ar-SA"/>
              </w:rPr>
              <w:t>（0.054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，浓盐水产生量为1.38m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/a（0.0055m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/d），生活污水产生量为</w:t>
            </w:r>
            <w:r>
              <w:rPr>
                <w:rFonts w:hint="default" w:ascii="Times New Roman" w:hAnsi="Times New Roman" w:cs="Times New Roman"/>
                <w:color w:val="auto"/>
                <w:kern w:val="2"/>
                <w:sz w:val="24"/>
                <w:szCs w:val="24"/>
                <w:lang w:val="en-US" w:eastAsia="zh-CN" w:bidi="ar-SA"/>
              </w:rPr>
              <w:t>60</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/a</w:t>
            </w:r>
            <w:r>
              <w:rPr>
                <w:rFonts w:hint="default" w:ascii="Times New Roman" w:hAnsi="Times New Roman" w:cs="Times New Roman"/>
                <w:color w:val="auto"/>
                <w:kern w:val="2"/>
                <w:sz w:val="24"/>
                <w:szCs w:val="24"/>
                <w:lang w:val="en-US" w:eastAsia="zh-CN" w:bidi="ar-SA"/>
              </w:rPr>
              <w:t>（0.4</w:t>
            </w:r>
            <w:r>
              <w:rPr>
                <w:rFonts w:hint="default" w:ascii="Times New Roman" w:hAnsi="Times New Roman" w:eastAsia="宋体" w:cs="Times New Roman"/>
                <w:color w:val="auto"/>
                <w:kern w:val="2"/>
                <w:sz w:val="24"/>
                <w:szCs w:val="24"/>
                <w:lang w:val="en-US" w:eastAsia="zh-CN" w:bidi="ar-SA"/>
              </w:rPr>
              <w:t>m</w:t>
            </w:r>
            <w:r>
              <w:rPr>
                <w:rFonts w:hint="default" w:ascii="Times New Roman" w:hAnsi="Times New Roman" w:eastAsia="宋体" w:cs="Times New Roman"/>
                <w:color w:val="auto"/>
                <w:kern w:val="2"/>
                <w:sz w:val="24"/>
                <w:szCs w:val="24"/>
                <w:vertAlign w:val="superscript"/>
                <w:lang w:val="en-US" w:eastAsia="zh-CN" w:bidi="ar-SA"/>
              </w:rPr>
              <w:t>3</w:t>
            </w:r>
            <w:r>
              <w:rPr>
                <w:rFonts w:hint="default" w:ascii="Times New Roman" w:hAnsi="Times New Roman" w:eastAsia="宋体" w:cs="Times New Roman"/>
                <w:color w:val="auto"/>
                <w:kern w:val="2"/>
                <w:sz w:val="24"/>
                <w:szCs w:val="24"/>
                <w:lang w:val="en-US" w:eastAsia="zh-CN" w:bidi="ar-SA"/>
              </w:rPr>
              <w:t>/</w:t>
            </w:r>
            <w:r>
              <w:rPr>
                <w:rFonts w:hint="default" w:ascii="Times New Roman" w:hAnsi="Times New Roman" w:cs="Times New Roman"/>
                <w:color w:val="auto"/>
                <w:kern w:val="2"/>
                <w:sz w:val="24"/>
                <w:szCs w:val="24"/>
                <w:lang w:val="en-US" w:eastAsia="zh-CN" w:bidi="ar-SA"/>
              </w:rPr>
              <w:t>d）</w:t>
            </w:r>
            <w:r>
              <w:rPr>
                <w:rFonts w:hint="default" w:ascii="Times New Roman" w:hAnsi="Times New Roman" w:eastAsia="宋体" w:cs="Times New Roman"/>
                <w:color w:val="auto"/>
                <w:kern w:val="2"/>
                <w:sz w:val="24"/>
                <w:szCs w:val="24"/>
                <w:lang w:val="en-US" w:eastAsia="zh-CN" w:bidi="ar-SA"/>
              </w:rPr>
              <w:t>。实验器皿后段清洗废水</w:t>
            </w:r>
            <w:r>
              <w:rPr>
                <w:rFonts w:hint="default" w:ascii="Times New Roman" w:hAnsi="Times New Roman" w:cs="Times New Roman"/>
                <w:color w:val="auto"/>
                <w:kern w:val="2"/>
                <w:sz w:val="24"/>
                <w:szCs w:val="24"/>
                <w:lang w:val="en-US" w:eastAsia="zh-CN" w:bidi="ar-SA"/>
              </w:rPr>
              <w:t>通过中和调节桶调节pH至6-9后</w:t>
            </w:r>
            <w:r>
              <w:rPr>
                <w:rFonts w:hint="default" w:ascii="Times New Roman" w:hAnsi="Times New Roman" w:eastAsia="宋体" w:cs="Times New Roman"/>
                <w:color w:val="auto"/>
                <w:kern w:val="2"/>
                <w:sz w:val="24"/>
                <w:szCs w:val="24"/>
                <w:lang w:val="en-US" w:eastAsia="zh-CN" w:bidi="ar-SA"/>
              </w:rPr>
              <w:t>和浓盐水及生活污水共同排入</w:t>
            </w:r>
            <w:r>
              <w:rPr>
                <w:rFonts w:hint="default" w:ascii="Times New Roman" w:hAnsi="Times New Roman" w:cs="Times New Roman"/>
                <w:color w:val="auto"/>
                <w:sz w:val="24"/>
                <w:szCs w:val="24"/>
                <w:lang w:val="en-US" w:eastAsia="zh-CN"/>
              </w:rPr>
              <w:t>中卫市职业技术学校</w:t>
            </w:r>
            <w:r>
              <w:rPr>
                <w:rFonts w:hint="default" w:ascii="Times New Roman" w:hAnsi="Times New Roman" w:eastAsia="宋体" w:cs="Times New Roman"/>
                <w:color w:val="auto"/>
                <w:kern w:val="2"/>
                <w:sz w:val="24"/>
                <w:szCs w:val="24"/>
                <w:lang w:val="en-US" w:eastAsia="zh-CN" w:bidi="ar-SA"/>
              </w:rPr>
              <w:t>现有化粪池，处理后排入市政污水管网，最终排入</w:t>
            </w:r>
            <w:r>
              <w:rPr>
                <w:rFonts w:hint="default" w:ascii="Times New Roman" w:hAnsi="Times New Roman" w:cs="Times New Roman"/>
                <w:color w:val="auto"/>
                <w:kern w:val="2"/>
                <w:sz w:val="24"/>
                <w:szCs w:val="24"/>
                <w:highlight w:val="none"/>
                <w:lang w:val="en-US" w:eastAsia="zh-CN" w:bidi="ar-SA"/>
              </w:rPr>
              <w:t>中卫市第三污水处理厂</w:t>
            </w:r>
            <w:r>
              <w:rPr>
                <w:rFonts w:hint="default" w:ascii="Times New Roman" w:hAnsi="Times New Roman" w:eastAsia="宋体" w:cs="Times New Roman"/>
                <w:color w:val="auto"/>
                <w:kern w:val="2"/>
                <w:sz w:val="24"/>
                <w:szCs w:val="24"/>
                <w:highlight w:val="none"/>
                <w:lang w:val="en-US" w:eastAsia="zh-CN" w:bidi="ar-SA"/>
              </w:rPr>
              <w:t>，满足</w:t>
            </w:r>
            <w:r>
              <w:rPr>
                <w:rFonts w:hint="default" w:ascii="Times New Roman" w:hAnsi="Times New Roman" w:eastAsia="宋体" w:cs="Times New Roman"/>
                <w:color w:val="auto"/>
                <w:sz w:val="24"/>
                <w:szCs w:val="24"/>
                <w:highlight w:val="none"/>
              </w:rPr>
              <w:t>《污水综合排放标准》（GB8978-1996）中的三级标准及</w:t>
            </w:r>
            <w:r>
              <w:rPr>
                <w:rFonts w:hint="default" w:ascii="Times New Roman" w:hAnsi="Times New Roman" w:cs="Times New Roman"/>
                <w:color w:val="auto"/>
                <w:sz w:val="24"/>
                <w:szCs w:val="24"/>
                <w:highlight w:val="none"/>
                <w:lang w:val="en-US" w:eastAsia="zh-CN"/>
              </w:rPr>
              <w:t>中卫市第三污水处理厂</w:t>
            </w:r>
            <w:r>
              <w:rPr>
                <w:rFonts w:hint="default" w:ascii="Times New Roman" w:hAnsi="Times New Roman" w:eastAsia="宋体" w:cs="Times New Roman"/>
                <w:color w:val="auto"/>
                <w:sz w:val="24"/>
                <w:szCs w:val="24"/>
                <w:highlight w:val="none"/>
              </w:rPr>
              <w:t>接管标准</w:t>
            </w:r>
            <w:r>
              <w:rPr>
                <w:rFonts w:hint="default" w:ascii="Times New Roman" w:hAnsi="Times New Roman" w:eastAsia="宋体" w:cs="Times New Roman"/>
                <w:color w:val="auto"/>
                <w:sz w:val="24"/>
                <w:szCs w:val="24"/>
                <w:highlight w:val="none"/>
                <w:lang w:eastAsia="zh-CN"/>
              </w:rPr>
              <w:t>。</w:t>
            </w:r>
          </w:p>
          <w:p>
            <w:pPr>
              <w:ind w:firstLine="512"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项目废水污染源源强核算见下表 ：</w:t>
            </w:r>
          </w:p>
          <w:p>
            <w:pPr>
              <w:pStyle w:val="53"/>
              <w:adjustRightInd/>
              <w:snapToGrid/>
              <w:spacing w:beforeLines="0" w:afterLines="0" w:line="240" w:lineRule="auto"/>
              <w:ind w:firstLine="0"/>
              <w:rPr>
                <w:rFonts w:hint="default" w:ascii="Times New Roman" w:hAnsi="Times New Roman" w:eastAsia="黑体" w:cs="Times New Roman"/>
                <w:color w:val="auto"/>
                <w:lang w:val="en-US" w:eastAsia="zh-CN"/>
              </w:rPr>
            </w:pPr>
            <w:r>
              <w:rPr>
                <w:rFonts w:hint="default" w:ascii="Times New Roman" w:hAnsi="Times New Roman" w:eastAsia="黑体" w:cs="Times New Roman"/>
                <w:color w:val="auto"/>
                <w:sz w:val="24"/>
                <w:szCs w:val="24"/>
              </w:rPr>
              <w:t>表</w:t>
            </w:r>
            <w:r>
              <w:rPr>
                <w:rFonts w:hint="default" w:ascii="Times New Roman" w:hAnsi="Times New Roman" w:cs="Times New Roman"/>
                <w:color w:val="auto"/>
                <w:sz w:val="24"/>
                <w:szCs w:val="24"/>
              </w:rPr>
              <w:t>4-</w:t>
            </w:r>
            <w:r>
              <w:rPr>
                <w:rFonts w:hint="default" w:ascii="Times New Roman" w:hAnsi="Times New Roman" w:cs="Times New Roman"/>
                <w:color w:val="auto"/>
                <w:sz w:val="24"/>
                <w:szCs w:val="24"/>
                <w:lang w:val="en-US" w:eastAsia="zh-CN"/>
              </w:rPr>
              <w:t>3</w:t>
            </w:r>
            <w:r>
              <w:rPr>
                <w:rFonts w:hint="default" w:ascii="Times New Roman" w:hAnsi="Times New Roman" w:cs="Times New Roman"/>
                <w:color w:val="auto"/>
                <w:sz w:val="24"/>
                <w:szCs w:val="24"/>
              </w:rPr>
              <w:t xml:space="preserve">  </w:t>
            </w:r>
            <w:r>
              <w:rPr>
                <w:rFonts w:hint="default" w:ascii="Times New Roman" w:hAnsi="Times New Roman" w:eastAsia="黑体" w:cs="Times New Roman"/>
                <w:color w:val="auto"/>
                <w:sz w:val="24"/>
                <w:szCs w:val="24"/>
              </w:rPr>
              <w:t>本项目</w:t>
            </w:r>
            <w:r>
              <w:rPr>
                <w:rFonts w:hint="default" w:ascii="Times New Roman" w:hAnsi="Times New Roman" w:eastAsia="黑体" w:cs="Times New Roman"/>
                <w:color w:val="auto"/>
                <w:sz w:val="24"/>
                <w:szCs w:val="24"/>
                <w:lang w:val="en-US" w:eastAsia="zh-CN"/>
              </w:rPr>
              <w:t>废水产排污一览表</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688"/>
              <w:gridCol w:w="1181"/>
              <w:gridCol w:w="732"/>
              <w:gridCol w:w="881"/>
              <w:gridCol w:w="849"/>
              <w:gridCol w:w="430"/>
              <w:gridCol w:w="799"/>
              <w:gridCol w:w="958"/>
              <w:gridCol w:w="325"/>
              <w:gridCol w:w="6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restart"/>
                  <w:tcBorders>
                    <w:tl2br w:val="nil"/>
                    <w:tr2bl w:val="nil"/>
                  </w:tcBorders>
                  <w:vAlign w:val="center"/>
                </w:tcPr>
                <w:p>
                  <w:pPr>
                    <w:pStyle w:val="16"/>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产排污环节</w:t>
                  </w:r>
                </w:p>
              </w:tc>
              <w:tc>
                <w:tcPr>
                  <w:tcW w:w="688" w:type="dxa"/>
                  <w:vMerge w:val="restart"/>
                  <w:tcBorders>
                    <w:tl2br w:val="nil"/>
                    <w:tr2bl w:val="nil"/>
                  </w:tcBorders>
                  <w:vAlign w:val="center"/>
                </w:tcPr>
                <w:p>
                  <w:pPr>
                    <w:pStyle w:val="16"/>
                    <w:jc w:val="center"/>
                    <w:rPr>
                      <w:rFonts w:hint="default" w:ascii="Times New Roman" w:hAnsi="Times New Roman" w:cs="Times New Roman"/>
                      <w:b/>
                      <w:bCs/>
                      <w:color w:val="auto"/>
                      <w:vertAlign w:val="superscript"/>
                      <w:lang w:val="en-US" w:eastAsia="zh-CN"/>
                    </w:rPr>
                  </w:pPr>
                  <w:r>
                    <w:rPr>
                      <w:rFonts w:hint="default" w:ascii="Times New Roman" w:hAnsi="Times New Roman" w:cs="Times New Roman"/>
                      <w:b/>
                      <w:bCs/>
                      <w:color w:val="auto"/>
                      <w:vertAlign w:val="baseline"/>
                      <w:lang w:val="en-US" w:eastAsia="zh-CN"/>
                    </w:rPr>
                    <w:t>污水量m</w:t>
                  </w:r>
                  <w:r>
                    <w:rPr>
                      <w:rFonts w:hint="default" w:ascii="Times New Roman" w:hAnsi="Times New Roman" w:cs="Times New Roman"/>
                      <w:b/>
                      <w:bCs/>
                      <w:color w:val="auto"/>
                      <w:vertAlign w:val="superscript"/>
                      <w:lang w:val="en-US" w:eastAsia="zh-CN"/>
                    </w:rPr>
                    <w:t>3</w:t>
                  </w:r>
                  <w:r>
                    <w:rPr>
                      <w:rFonts w:hint="default" w:ascii="Times New Roman" w:hAnsi="Times New Roman" w:cs="Times New Roman"/>
                      <w:b/>
                      <w:bCs/>
                      <w:color w:val="auto"/>
                      <w:vertAlign w:val="baseline"/>
                      <w:lang w:val="en-US" w:eastAsia="zh-CN"/>
                    </w:rPr>
                    <w:t>/a</w:t>
                  </w:r>
                </w:p>
              </w:tc>
              <w:tc>
                <w:tcPr>
                  <w:tcW w:w="1181" w:type="dxa"/>
                  <w:vMerge w:val="restart"/>
                  <w:tcBorders>
                    <w:tl2br w:val="nil"/>
                    <w:tr2bl w:val="nil"/>
                  </w:tcBorders>
                  <w:vAlign w:val="center"/>
                </w:tcPr>
                <w:p>
                  <w:pPr>
                    <w:pStyle w:val="16"/>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污染物种类</w:t>
                  </w:r>
                </w:p>
              </w:tc>
              <w:tc>
                <w:tcPr>
                  <w:tcW w:w="1613" w:type="dxa"/>
                  <w:gridSpan w:val="2"/>
                  <w:tcBorders>
                    <w:tl2br w:val="nil"/>
                    <w:tr2bl w:val="nil"/>
                  </w:tcBorders>
                  <w:vAlign w:val="center"/>
                </w:tcPr>
                <w:p>
                  <w:pPr>
                    <w:pStyle w:val="16"/>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污染物产生情况</w:t>
                  </w:r>
                </w:p>
              </w:tc>
              <w:tc>
                <w:tcPr>
                  <w:tcW w:w="849" w:type="dxa"/>
                  <w:vMerge w:val="restart"/>
                  <w:tcBorders>
                    <w:tl2br w:val="nil"/>
                    <w:tr2bl w:val="nil"/>
                  </w:tcBorders>
                  <w:vAlign w:val="center"/>
                </w:tcPr>
                <w:p>
                  <w:pPr>
                    <w:pStyle w:val="16"/>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治理措施</w:t>
                  </w:r>
                </w:p>
              </w:tc>
              <w:tc>
                <w:tcPr>
                  <w:tcW w:w="430" w:type="dxa"/>
                  <w:vMerge w:val="restart"/>
                  <w:tcBorders>
                    <w:tl2br w:val="nil"/>
                    <w:tr2bl w:val="nil"/>
                  </w:tcBorders>
                  <w:vAlign w:val="center"/>
                </w:tcPr>
                <w:p>
                  <w:pPr>
                    <w:pStyle w:val="16"/>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去除率%</w:t>
                  </w:r>
                </w:p>
              </w:tc>
              <w:tc>
                <w:tcPr>
                  <w:tcW w:w="1757" w:type="dxa"/>
                  <w:gridSpan w:val="2"/>
                  <w:tcBorders>
                    <w:tl2br w:val="nil"/>
                    <w:tr2bl w:val="nil"/>
                  </w:tcBorders>
                  <w:vAlign w:val="center"/>
                </w:tcPr>
                <w:p>
                  <w:pPr>
                    <w:pStyle w:val="16"/>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污染物产生情况</w:t>
                  </w:r>
                </w:p>
              </w:tc>
              <w:tc>
                <w:tcPr>
                  <w:tcW w:w="325" w:type="dxa"/>
                  <w:vMerge w:val="restart"/>
                  <w:tcBorders>
                    <w:tl2br w:val="nil"/>
                    <w:tr2bl w:val="nil"/>
                  </w:tcBorders>
                  <w:vAlign w:val="center"/>
                </w:tcPr>
                <w:p>
                  <w:pPr>
                    <w:pStyle w:val="16"/>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排放方式</w:t>
                  </w:r>
                </w:p>
              </w:tc>
              <w:tc>
                <w:tcPr>
                  <w:tcW w:w="688" w:type="dxa"/>
                  <w:vMerge w:val="restart"/>
                  <w:tcBorders>
                    <w:tl2br w:val="nil"/>
                    <w:tr2bl w:val="nil"/>
                  </w:tcBorders>
                  <w:vAlign w:val="center"/>
                </w:tcPr>
                <w:p>
                  <w:pPr>
                    <w:pStyle w:val="16"/>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1181"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732" w:type="dxa"/>
                  <w:tcBorders>
                    <w:tl2br w:val="nil"/>
                    <w:tr2bl w:val="nil"/>
                  </w:tcBorders>
                  <w:vAlign w:val="center"/>
                </w:tcPr>
                <w:p>
                  <w:pPr>
                    <w:pStyle w:val="16"/>
                    <w:adjustRightInd w:val="0"/>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产生浓度mg/L</w:t>
                  </w:r>
                </w:p>
              </w:tc>
              <w:tc>
                <w:tcPr>
                  <w:tcW w:w="881" w:type="dxa"/>
                  <w:tcBorders>
                    <w:tl2br w:val="nil"/>
                    <w:tr2bl w:val="nil"/>
                  </w:tcBorders>
                  <w:vAlign w:val="center"/>
                </w:tcPr>
                <w:p>
                  <w:pPr>
                    <w:pStyle w:val="16"/>
                    <w:adjustRightInd w:val="0"/>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污染物产生量t/a</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b/>
                      <w:bCs/>
                      <w:color w:val="auto"/>
                      <w:vertAlign w:val="baseline"/>
                      <w:lang w:val="en-US" w:eastAsia="zh-CN"/>
                    </w:rPr>
                  </w:pPr>
                </w:p>
              </w:tc>
              <w:tc>
                <w:tcPr>
                  <w:tcW w:w="430" w:type="dxa"/>
                  <w:vMerge w:val="continue"/>
                  <w:tcBorders>
                    <w:tl2br w:val="nil"/>
                    <w:tr2bl w:val="nil"/>
                  </w:tcBorders>
                  <w:vAlign w:val="center"/>
                </w:tcPr>
                <w:p>
                  <w:pPr>
                    <w:pStyle w:val="16"/>
                    <w:adjustRightInd w:val="0"/>
                    <w:jc w:val="center"/>
                    <w:rPr>
                      <w:rFonts w:hint="default" w:ascii="Times New Roman" w:hAnsi="Times New Roman" w:cs="Times New Roman"/>
                      <w:b/>
                      <w:bCs/>
                      <w:color w:val="auto"/>
                      <w:vertAlign w:val="baseline"/>
                      <w:lang w:val="en-US" w:eastAsia="zh-CN"/>
                    </w:rPr>
                  </w:pPr>
                </w:p>
              </w:tc>
              <w:tc>
                <w:tcPr>
                  <w:tcW w:w="799" w:type="dxa"/>
                  <w:tcBorders>
                    <w:tl2br w:val="nil"/>
                    <w:tr2bl w:val="nil"/>
                  </w:tcBorders>
                  <w:vAlign w:val="center"/>
                </w:tcPr>
                <w:p>
                  <w:pPr>
                    <w:pStyle w:val="16"/>
                    <w:adjustRightInd w:val="0"/>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产生浓度mg/L</w:t>
                  </w:r>
                </w:p>
              </w:tc>
              <w:tc>
                <w:tcPr>
                  <w:tcW w:w="958" w:type="dxa"/>
                  <w:tcBorders>
                    <w:tl2br w:val="nil"/>
                    <w:tr2bl w:val="nil"/>
                  </w:tcBorders>
                  <w:vAlign w:val="center"/>
                </w:tcPr>
                <w:p>
                  <w:pPr>
                    <w:pStyle w:val="16"/>
                    <w:adjustRightInd w:val="0"/>
                    <w:jc w:val="center"/>
                    <w:rPr>
                      <w:rFonts w:hint="default" w:ascii="Times New Roman" w:hAnsi="Times New Roman" w:cs="Times New Roman"/>
                      <w:b/>
                      <w:bCs/>
                      <w:color w:val="auto"/>
                      <w:vertAlign w:val="baseline"/>
                      <w:lang w:val="en-US" w:eastAsia="zh-CN"/>
                    </w:rPr>
                  </w:pPr>
                  <w:r>
                    <w:rPr>
                      <w:rFonts w:hint="default" w:ascii="Times New Roman" w:hAnsi="Times New Roman" w:cs="Times New Roman"/>
                      <w:b/>
                      <w:bCs/>
                      <w:color w:val="auto"/>
                      <w:vertAlign w:val="baseline"/>
                      <w:lang w:val="en-US" w:eastAsia="zh-CN"/>
                    </w:rPr>
                    <w:t>污染物产生量t/a</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实验器皿后段清洗废水</w:t>
                  </w:r>
                </w:p>
              </w:tc>
              <w:tc>
                <w:tcPr>
                  <w:tcW w:w="688"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13.5</w:t>
                  </w:r>
                </w:p>
              </w:tc>
              <w:tc>
                <w:tcPr>
                  <w:tcW w:w="1181"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pH（无量纲）</w:t>
                  </w:r>
                </w:p>
              </w:tc>
              <w:tc>
                <w:tcPr>
                  <w:tcW w:w="732"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4-5</w:t>
                  </w:r>
                </w:p>
              </w:tc>
              <w:tc>
                <w:tcPr>
                  <w:tcW w:w="881"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w:t>
                  </w:r>
                </w:p>
              </w:tc>
              <w:tc>
                <w:tcPr>
                  <w:tcW w:w="849"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通过中和调节桶调节pH至6-9</w:t>
                  </w:r>
                </w:p>
              </w:tc>
              <w:tc>
                <w:tcPr>
                  <w:tcW w:w="430"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w:t>
                  </w:r>
                </w:p>
              </w:tc>
              <w:tc>
                <w:tcPr>
                  <w:tcW w:w="799"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6-9</w:t>
                  </w:r>
                </w:p>
              </w:tc>
              <w:tc>
                <w:tcPr>
                  <w:tcW w:w="958"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w:t>
                  </w:r>
                </w:p>
              </w:tc>
              <w:tc>
                <w:tcPr>
                  <w:tcW w:w="325"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间接排放</w:t>
                  </w:r>
                </w:p>
              </w:tc>
              <w:tc>
                <w:tcPr>
                  <w:tcW w:w="688"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排入化粪池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11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COD</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400</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0.00540</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400</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0.00540</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1181" w:type="dxa"/>
                  <w:tcBorders>
                    <w:tl2br w:val="nil"/>
                    <w:tr2bl w:val="nil"/>
                  </w:tcBorders>
                  <w:vAlign w:val="center"/>
                </w:tcPr>
                <w:p>
                  <w:pPr>
                    <w:pStyle w:val="16"/>
                    <w:adjustRightInd w:val="0"/>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BOD</w:t>
                  </w:r>
                  <w:r>
                    <w:rPr>
                      <w:rFonts w:hint="default" w:ascii="Times New Roman" w:hAnsi="Times New Roman" w:cs="Times New Roman"/>
                      <w:color w:val="auto"/>
                      <w:vertAlign w:val="subscript"/>
                      <w:lang w:val="en-US" w:eastAsia="zh-CN"/>
                    </w:rPr>
                    <w:t>5</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124</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0.06</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124</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0.06</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11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vertAlign w:val="baseline"/>
                      <w:lang w:val="en-US" w:eastAsia="zh-CN"/>
                    </w:rPr>
                    <w:t>-N</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38</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0.00052</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38</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0.00052</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11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SS</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140</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0.00168</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140</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0.00168</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生活污水</w:t>
                  </w:r>
                </w:p>
              </w:tc>
              <w:tc>
                <w:tcPr>
                  <w:tcW w:w="688"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60</w:t>
                  </w:r>
                </w:p>
              </w:tc>
              <w:tc>
                <w:tcPr>
                  <w:tcW w:w="1181"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COD</w:t>
                  </w:r>
                </w:p>
              </w:tc>
              <w:tc>
                <w:tcPr>
                  <w:tcW w:w="732"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500</w:t>
                  </w:r>
                </w:p>
              </w:tc>
              <w:tc>
                <w:tcPr>
                  <w:tcW w:w="881"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0.03000</w:t>
                  </w:r>
                </w:p>
              </w:tc>
              <w:tc>
                <w:tcPr>
                  <w:tcW w:w="849"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lang w:val="en-US" w:eastAsia="zh-CN"/>
                    </w:rPr>
                    <w:t>/</w:t>
                  </w:r>
                </w:p>
                <w:p>
                  <w:pPr>
                    <w:pStyle w:val="16"/>
                    <w:jc w:val="center"/>
                    <w:rPr>
                      <w:rFonts w:hint="default" w:ascii="Times New Roman" w:hAnsi="Times New Roman" w:cs="Times New Roman"/>
                      <w:color w:val="auto"/>
                      <w:vertAlign w:val="baseline"/>
                      <w:lang w:val="en-US" w:eastAsia="zh-CN"/>
                    </w:rPr>
                  </w:pPr>
                </w:p>
              </w:tc>
              <w:tc>
                <w:tcPr>
                  <w:tcW w:w="430"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w:t>
                  </w:r>
                </w:p>
              </w:tc>
              <w:tc>
                <w:tcPr>
                  <w:tcW w:w="799"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500</w:t>
                  </w:r>
                </w:p>
              </w:tc>
              <w:tc>
                <w:tcPr>
                  <w:tcW w:w="958"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0.03000</w:t>
                  </w:r>
                </w:p>
              </w:tc>
              <w:tc>
                <w:tcPr>
                  <w:tcW w:w="325" w:type="dxa"/>
                  <w:vMerge w:val="continue"/>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1181" w:type="dxa"/>
                  <w:tcBorders>
                    <w:tl2br w:val="nil"/>
                    <w:tr2bl w:val="nil"/>
                  </w:tcBorders>
                  <w:vAlign w:val="center"/>
                </w:tcPr>
                <w:p>
                  <w:pPr>
                    <w:pStyle w:val="16"/>
                    <w:adjustRightInd w:val="0"/>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color w:val="auto"/>
                      <w:vertAlign w:val="baseline"/>
                      <w:lang w:val="en-US" w:eastAsia="zh-CN"/>
                    </w:rPr>
                    <w:t>BOD</w:t>
                  </w:r>
                  <w:r>
                    <w:rPr>
                      <w:rFonts w:hint="default" w:ascii="Times New Roman" w:hAnsi="Times New Roman" w:cs="Times New Roman"/>
                      <w:color w:val="auto"/>
                      <w:vertAlign w:val="subscript"/>
                      <w:lang w:val="en-US" w:eastAsia="zh-CN"/>
                    </w:rPr>
                    <w:t>5</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200</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0.46</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200</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0.46</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11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vertAlign w:val="baseline"/>
                      <w:lang w:val="en-US" w:eastAsia="zh-CN"/>
                    </w:rPr>
                    <w:t>-N</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50</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0.00300</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50</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0.00300</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11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SS</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220</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0.01324</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220</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0.01324</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760"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浓盐水</w:t>
                  </w:r>
                </w:p>
              </w:tc>
              <w:tc>
                <w:tcPr>
                  <w:tcW w:w="688"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1.4</w:t>
                  </w:r>
                </w:p>
              </w:tc>
              <w:tc>
                <w:tcPr>
                  <w:tcW w:w="1181"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TDS</w:t>
                  </w:r>
                </w:p>
              </w:tc>
              <w:tc>
                <w:tcPr>
                  <w:tcW w:w="732"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950</w:t>
                  </w:r>
                </w:p>
              </w:tc>
              <w:tc>
                <w:tcPr>
                  <w:tcW w:w="881"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0.00133</w:t>
                  </w:r>
                </w:p>
              </w:tc>
              <w:tc>
                <w:tcPr>
                  <w:tcW w:w="849" w:type="dxa"/>
                  <w:vMerge w:val="continue"/>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p>
              </w:tc>
              <w:tc>
                <w:tcPr>
                  <w:tcW w:w="430" w:type="dxa"/>
                  <w:vMerge w:val="continue"/>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p>
              </w:tc>
              <w:tc>
                <w:tcPr>
                  <w:tcW w:w="799"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950</w:t>
                  </w:r>
                </w:p>
              </w:tc>
              <w:tc>
                <w:tcPr>
                  <w:tcW w:w="958"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0.00133</w:t>
                  </w:r>
                </w:p>
              </w:tc>
              <w:tc>
                <w:tcPr>
                  <w:tcW w:w="325" w:type="dxa"/>
                  <w:vMerge w:val="continue"/>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混合废水</w:t>
                  </w:r>
                </w:p>
              </w:tc>
              <w:tc>
                <w:tcPr>
                  <w:tcW w:w="688"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74.9</w:t>
                  </w:r>
                </w:p>
              </w:tc>
              <w:tc>
                <w:tcPr>
                  <w:tcW w:w="1181"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COD</w:t>
                  </w:r>
                </w:p>
              </w:tc>
              <w:tc>
                <w:tcPr>
                  <w:tcW w:w="732"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470</w:t>
                  </w:r>
                </w:p>
              </w:tc>
              <w:tc>
                <w:tcPr>
                  <w:tcW w:w="881"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0.03520</w:t>
                  </w:r>
                </w:p>
              </w:tc>
              <w:tc>
                <w:tcPr>
                  <w:tcW w:w="849"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化粪池</w:t>
                  </w:r>
                </w:p>
              </w:tc>
              <w:tc>
                <w:tcPr>
                  <w:tcW w:w="430"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15</w:t>
                  </w:r>
                </w:p>
              </w:tc>
              <w:tc>
                <w:tcPr>
                  <w:tcW w:w="799"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399.5</w:t>
                  </w:r>
                </w:p>
              </w:tc>
              <w:tc>
                <w:tcPr>
                  <w:tcW w:w="958" w:type="dxa"/>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0.02992</w:t>
                  </w:r>
                </w:p>
              </w:tc>
              <w:tc>
                <w:tcPr>
                  <w:tcW w:w="325" w:type="dxa"/>
                  <w:vMerge w:val="continue"/>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p>
              </w:tc>
              <w:tc>
                <w:tcPr>
                  <w:tcW w:w="688" w:type="dxa"/>
                  <w:vMerge w:val="restart"/>
                  <w:tcBorders>
                    <w:tl2br w:val="nil"/>
                    <w:tr2bl w:val="nil"/>
                  </w:tcBorders>
                  <w:vAlign w:val="center"/>
                </w:tcPr>
                <w:p>
                  <w:pPr>
                    <w:pStyle w:val="16"/>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排入</w:t>
                  </w:r>
                  <w:r>
                    <w:rPr>
                      <w:rFonts w:hint="default" w:ascii="Times New Roman" w:hAnsi="Times New Roman" w:cs="Times New Roman"/>
                      <w:color w:val="auto"/>
                      <w:highlight w:val="none"/>
                      <w:vertAlign w:val="baseline"/>
                      <w:lang w:val="en-US" w:eastAsia="zh-CN"/>
                    </w:rPr>
                    <w:t>中卫市第三污水处理厂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rPr>
                  </w:pPr>
                </w:p>
              </w:tc>
              <w:tc>
                <w:tcPr>
                  <w:tcW w:w="11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eastAsia="宋体" w:cs="Times New Roman"/>
                      <w:color w:val="auto"/>
                      <w:vertAlign w:val="baseline"/>
                      <w:lang w:val="en-US" w:eastAsia="zh-CN"/>
                    </w:rPr>
                    <w:t>NH</w:t>
                  </w:r>
                  <w:r>
                    <w:rPr>
                      <w:rFonts w:hint="default" w:ascii="Times New Roman" w:hAnsi="Times New Roman" w:eastAsia="宋体" w:cs="Times New Roman"/>
                      <w:color w:val="auto"/>
                      <w:vertAlign w:val="subscript"/>
                      <w:lang w:val="en-US" w:eastAsia="zh-CN"/>
                    </w:rPr>
                    <w:t>3</w:t>
                  </w:r>
                  <w:r>
                    <w:rPr>
                      <w:rFonts w:hint="default" w:ascii="Times New Roman" w:hAnsi="Times New Roman" w:eastAsia="宋体" w:cs="Times New Roman"/>
                      <w:color w:val="auto"/>
                      <w:vertAlign w:val="baseline"/>
                      <w:lang w:val="en-US" w:eastAsia="zh-CN"/>
                    </w:rPr>
                    <w:t>-N</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40</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0.00300</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10</w:t>
                  </w: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36</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0.00270</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11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SS</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190</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0.01423</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30</w:t>
                  </w: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133</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0.00996</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11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BOD</w:t>
                  </w:r>
                  <w:r>
                    <w:rPr>
                      <w:rFonts w:hint="default" w:ascii="Times New Roman" w:hAnsi="Times New Roman" w:cs="Times New Roman"/>
                      <w:color w:val="auto"/>
                      <w:vertAlign w:val="subscript"/>
                      <w:lang w:val="en-US" w:eastAsia="zh-CN"/>
                    </w:rPr>
                    <w:t>5</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160.8</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0.52</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430"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60</w:t>
                  </w: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58.7</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0.19000</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0"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11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TDS</w:t>
                  </w:r>
                </w:p>
              </w:tc>
              <w:tc>
                <w:tcPr>
                  <w:tcW w:w="732"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950</w:t>
                  </w:r>
                </w:p>
              </w:tc>
              <w:tc>
                <w:tcPr>
                  <w:tcW w:w="881" w:type="dxa"/>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r>
                    <w:rPr>
                      <w:rFonts w:hint="default" w:ascii="Times New Roman" w:hAnsi="Times New Roman" w:cs="Times New Roman"/>
                      <w:color w:val="auto"/>
                      <w:vertAlign w:val="baseline"/>
                      <w:lang w:val="en-US" w:eastAsia="zh-CN"/>
                    </w:rPr>
                    <w:t>0.00133</w:t>
                  </w:r>
                </w:p>
              </w:tc>
              <w:tc>
                <w:tcPr>
                  <w:tcW w:w="849" w:type="dxa"/>
                  <w:vMerge w:val="continue"/>
                  <w:tcBorders>
                    <w:tl2br w:val="nil"/>
                    <w:tr2bl w:val="nil"/>
                  </w:tcBorders>
                  <w:vAlign w:val="center"/>
                </w:tcPr>
                <w:p>
                  <w:pPr>
                    <w:pStyle w:val="16"/>
                    <w:adjustRightInd w:val="0"/>
                    <w:jc w:val="center"/>
                    <w:rPr>
                      <w:rFonts w:hint="default" w:ascii="Times New Roman" w:hAnsi="Times New Roman" w:cs="Times New Roman"/>
                      <w:color w:val="auto"/>
                      <w:highlight w:val="none"/>
                      <w:vertAlign w:val="baseline"/>
                      <w:lang w:val="en-US" w:eastAsia="zh-CN"/>
                    </w:rPr>
                  </w:pPr>
                </w:p>
              </w:tc>
              <w:tc>
                <w:tcPr>
                  <w:tcW w:w="430" w:type="dxa"/>
                  <w:tcBorders>
                    <w:tl2br w:val="nil"/>
                    <w:tr2bl w:val="nil"/>
                  </w:tcBorders>
                  <w:vAlign w:val="center"/>
                </w:tcPr>
                <w:p>
                  <w:pPr>
                    <w:pStyle w:val="16"/>
                    <w:adjustRightInd w:val="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0</w:t>
                  </w:r>
                </w:p>
              </w:tc>
              <w:tc>
                <w:tcPr>
                  <w:tcW w:w="799" w:type="dxa"/>
                  <w:tcBorders>
                    <w:tl2br w:val="nil"/>
                    <w:tr2bl w:val="nil"/>
                  </w:tcBorders>
                  <w:vAlign w:val="center"/>
                </w:tcPr>
                <w:p>
                  <w:pPr>
                    <w:pStyle w:val="16"/>
                    <w:adjustRightInd w:val="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950</w:t>
                  </w:r>
                </w:p>
              </w:tc>
              <w:tc>
                <w:tcPr>
                  <w:tcW w:w="958" w:type="dxa"/>
                  <w:tcBorders>
                    <w:tl2br w:val="nil"/>
                    <w:tr2bl w:val="nil"/>
                  </w:tcBorders>
                  <w:vAlign w:val="center"/>
                </w:tcPr>
                <w:p>
                  <w:pPr>
                    <w:pStyle w:val="16"/>
                    <w:adjustRightInd w:val="0"/>
                    <w:jc w:val="center"/>
                    <w:rPr>
                      <w:rFonts w:hint="default" w:ascii="Times New Roman" w:hAnsi="Times New Roman" w:cs="Times New Roman"/>
                      <w:color w:val="auto"/>
                      <w:highlight w:val="none"/>
                      <w:vertAlign w:val="baseline"/>
                      <w:lang w:val="en-US" w:eastAsia="zh-CN"/>
                    </w:rPr>
                  </w:pPr>
                  <w:r>
                    <w:rPr>
                      <w:rFonts w:hint="default" w:ascii="Times New Roman" w:hAnsi="Times New Roman" w:cs="Times New Roman"/>
                      <w:color w:val="auto"/>
                      <w:highlight w:val="none"/>
                      <w:vertAlign w:val="baseline"/>
                      <w:lang w:val="en-US" w:eastAsia="zh-CN"/>
                    </w:rPr>
                    <w:t>0.00133</w:t>
                  </w:r>
                </w:p>
              </w:tc>
              <w:tc>
                <w:tcPr>
                  <w:tcW w:w="325"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c>
                <w:tcPr>
                  <w:tcW w:w="688" w:type="dxa"/>
                  <w:vMerge w:val="continue"/>
                  <w:tcBorders>
                    <w:tl2br w:val="nil"/>
                    <w:tr2bl w:val="nil"/>
                  </w:tcBorders>
                  <w:vAlign w:val="center"/>
                </w:tcPr>
                <w:p>
                  <w:pPr>
                    <w:pStyle w:val="16"/>
                    <w:adjustRightInd w:val="0"/>
                    <w:jc w:val="center"/>
                    <w:rPr>
                      <w:rFonts w:hint="default" w:ascii="Times New Roman" w:hAnsi="Times New Roman" w:cs="Times New Roman"/>
                      <w:color w:val="auto"/>
                      <w:vertAlign w:val="baseline"/>
                      <w:lang w:val="en-US" w:eastAsia="zh-CN"/>
                    </w:rPr>
                  </w:pPr>
                </w:p>
              </w:tc>
            </w:tr>
          </w:tbl>
          <w:p>
            <w:pPr>
              <w:numPr>
                <w:ilvl w:val="-1"/>
                <w:numId w:val="0"/>
              </w:numPr>
              <w:autoSpaceDE/>
              <w:spacing w:before="240" w:after="60"/>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2.2达标排放可行性分析</w:t>
            </w:r>
          </w:p>
          <w:p>
            <w:pPr>
              <w:ind w:firstLine="512"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sz w:val="24"/>
                <w:szCs w:val="24"/>
                <w:lang w:val="en-US" w:eastAsia="zh-CN"/>
              </w:rPr>
              <w:t>本项目实验器皿后段清洗废水，经中和调节桶调节pH至6-9后，与生活污水和纯水制备系统产生的浓盐水一起排入现有化粪池处理，达到</w:t>
            </w:r>
            <w:r>
              <w:rPr>
                <w:rFonts w:hint="default" w:ascii="Times New Roman" w:hAnsi="Times New Roman" w:cs="Times New Roman"/>
                <w:color w:val="auto"/>
                <w:sz w:val="24"/>
                <w:szCs w:val="24"/>
                <w:highlight w:val="none"/>
                <w:lang w:val="en-US" w:eastAsia="zh-CN"/>
              </w:rPr>
              <w:t>《污水排入城镇下水道水质标准》（GB/T31962-2015）的A等级标准</w:t>
            </w:r>
            <w:r>
              <w:rPr>
                <w:rFonts w:hint="default" w:ascii="Times New Roman" w:hAnsi="Times New Roman" w:cs="Times New Roman"/>
                <w:color w:val="auto"/>
                <w:sz w:val="24"/>
                <w:szCs w:val="24"/>
                <w:lang w:val="en-US" w:eastAsia="zh-CN"/>
              </w:rPr>
              <w:t>，排入市政污水管网，最终进入中卫市第三污水处理厂处理</w:t>
            </w:r>
            <w:r>
              <w:rPr>
                <w:rFonts w:hint="default" w:ascii="Times New Roman" w:hAnsi="Times New Roman" w:cs="Times New Roman"/>
                <w:color w:val="auto"/>
                <w:lang w:eastAsia="zh-CN"/>
              </w:rPr>
              <w:t>。</w:t>
            </w:r>
          </w:p>
          <w:p>
            <w:pPr>
              <w:numPr>
                <w:ilvl w:val="-1"/>
                <w:numId w:val="0"/>
              </w:numPr>
              <w:autoSpaceDE/>
              <w:spacing w:before="240" w:after="60"/>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2.3依托集中污水处理厂可行性分析</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8" w:lineRule="auto"/>
              <w:ind w:left="0" w:right="0" w:firstLine="512" w:firstLineChars="200"/>
              <w:jc w:val="both"/>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val="en-US" w:eastAsia="zh-CN"/>
              </w:rPr>
              <w:t>中卫市第三污水处理厂污水处理规模为远期4.0万m</w:t>
            </w:r>
            <w:r>
              <w:rPr>
                <w:rFonts w:hint="default" w:ascii="Times New Roman" w:hAnsi="Times New Roman" w:eastAsia="宋体" w:cs="Times New Roman"/>
                <w:color w:val="auto"/>
                <w:kern w:val="0"/>
                <w:sz w:val="24"/>
                <w:vertAlign w:val="superscript"/>
                <w:lang w:val="en-US" w:eastAsia="zh-CN"/>
              </w:rPr>
              <w:t>3</w:t>
            </w:r>
            <w:r>
              <w:rPr>
                <w:rFonts w:hint="default" w:ascii="Times New Roman" w:hAnsi="Times New Roman" w:eastAsia="宋体" w:cs="Times New Roman"/>
                <w:color w:val="auto"/>
                <w:kern w:val="0"/>
                <w:sz w:val="24"/>
                <w:lang w:val="en-US" w:eastAsia="zh-CN"/>
              </w:rPr>
              <w:t>/d，近期2.0万m</w:t>
            </w:r>
            <w:r>
              <w:rPr>
                <w:rFonts w:hint="default" w:ascii="Times New Roman" w:hAnsi="Times New Roman" w:eastAsia="宋体" w:cs="Times New Roman"/>
                <w:color w:val="auto"/>
                <w:kern w:val="0"/>
                <w:sz w:val="24"/>
                <w:vertAlign w:val="superscript"/>
                <w:lang w:val="en-US" w:eastAsia="zh-CN"/>
              </w:rPr>
              <w:t>3</w:t>
            </w:r>
            <w:r>
              <w:rPr>
                <w:rFonts w:hint="default" w:ascii="Times New Roman" w:hAnsi="Times New Roman" w:eastAsia="宋体" w:cs="Times New Roman"/>
                <w:color w:val="auto"/>
                <w:kern w:val="0"/>
                <w:sz w:val="24"/>
                <w:lang w:val="en-US" w:eastAsia="zh-CN"/>
              </w:rPr>
              <w:t>/d。污水处理工艺：采用预处理+生物处理+深度处理的组合工艺，其中预处理采用粗、细格栅、曝气沉砂池；二级生物处理</w:t>
            </w:r>
            <w:r>
              <w:rPr>
                <w:rFonts w:hint="eastAsia" w:cs="Times New Roman"/>
                <w:color w:val="auto"/>
                <w:kern w:val="0"/>
                <w:sz w:val="24"/>
                <w:lang w:val="en-US" w:eastAsia="zh-CN"/>
              </w:rPr>
              <w:t>采</w:t>
            </w:r>
            <w:bookmarkStart w:id="3" w:name="_GoBack"/>
            <w:bookmarkEnd w:id="3"/>
            <w:r>
              <w:rPr>
                <w:rFonts w:hint="default" w:ascii="Times New Roman" w:hAnsi="Times New Roman" w:eastAsia="宋体" w:cs="Times New Roman"/>
                <w:color w:val="auto"/>
                <w:kern w:val="0"/>
                <w:sz w:val="24"/>
                <w:lang w:val="en-US" w:eastAsia="zh-CN"/>
              </w:rPr>
              <w:t>用多级AO工艺，二沉池；深度处理工艺采用高效沉淀池+深床反硝化滤池+臭氧接触氧化+接触消毒池工艺</w:t>
            </w:r>
            <w:r>
              <w:rPr>
                <w:rFonts w:hint="default" w:ascii="Times New Roman" w:hAnsi="Times New Roman" w:cs="Times New Roman"/>
                <w:color w:val="auto"/>
                <w:kern w:val="0"/>
                <w:sz w:val="24"/>
                <w:lang w:val="en-US" w:eastAsia="zh-CN"/>
              </w:rPr>
              <w:t>。</w:t>
            </w:r>
            <w:r>
              <w:rPr>
                <w:rFonts w:hint="default" w:ascii="Times New Roman" w:hAnsi="Times New Roman" w:eastAsia="宋体" w:cs="Times New Roman"/>
                <w:color w:val="auto"/>
                <w:kern w:val="0"/>
                <w:sz w:val="24"/>
                <w:lang w:val="en-US" w:eastAsia="zh-CN"/>
              </w:rPr>
              <w:t>目前中卫市第三污水处理厂实际处理量为1.3万m</w:t>
            </w:r>
            <w:r>
              <w:rPr>
                <w:rFonts w:hint="default" w:ascii="Times New Roman" w:hAnsi="Times New Roman" w:eastAsia="宋体" w:cs="Times New Roman"/>
                <w:color w:val="auto"/>
                <w:kern w:val="0"/>
                <w:sz w:val="24"/>
                <w:vertAlign w:val="superscript"/>
                <w:lang w:val="en-US" w:eastAsia="zh-CN"/>
              </w:rPr>
              <w:t>3</w:t>
            </w:r>
            <w:r>
              <w:rPr>
                <w:rFonts w:hint="default" w:ascii="Times New Roman" w:hAnsi="Times New Roman" w:eastAsia="宋体" w:cs="Times New Roman"/>
                <w:color w:val="auto"/>
                <w:kern w:val="0"/>
                <w:sz w:val="24"/>
                <w:lang w:val="en-US" w:eastAsia="zh-CN"/>
              </w:rPr>
              <w:t>/d，约占近期处理规模的65%，近期剩余处理规模为0.7万m</w:t>
            </w:r>
            <w:r>
              <w:rPr>
                <w:rFonts w:hint="default" w:ascii="Times New Roman" w:hAnsi="Times New Roman" w:eastAsia="宋体" w:cs="Times New Roman"/>
                <w:color w:val="auto"/>
                <w:kern w:val="0"/>
                <w:sz w:val="24"/>
                <w:vertAlign w:val="superscript"/>
                <w:lang w:val="en-US" w:eastAsia="zh-CN"/>
              </w:rPr>
              <w:t>3</w:t>
            </w:r>
            <w:r>
              <w:rPr>
                <w:rFonts w:hint="default" w:ascii="Times New Roman" w:hAnsi="Times New Roman" w:eastAsia="宋体" w:cs="Times New Roman"/>
                <w:color w:val="auto"/>
                <w:kern w:val="0"/>
                <w:sz w:val="24"/>
                <w:lang w:val="en-US" w:eastAsia="zh-CN"/>
              </w:rPr>
              <w:t>/d</w:t>
            </w:r>
            <w:r>
              <w:rPr>
                <w:rFonts w:hint="default" w:ascii="Times New Roman" w:hAnsi="Times New Roman" w:cs="Times New Roman"/>
                <w:color w:val="auto"/>
                <w:kern w:val="0"/>
                <w:sz w:val="24"/>
                <w:lang w:val="en-US" w:eastAsia="zh-CN"/>
              </w:rPr>
              <w:t>。本项目产生的废水</w:t>
            </w:r>
            <w:r>
              <w:rPr>
                <w:rFonts w:hint="default" w:ascii="Times New Roman" w:hAnsi="Times New Roman" w:eastAsia="宋体" w:cs="Times New Roman"/>
                <w:color w:val="auto"/>
                <w:kern w:val="0"/>
                <w:sz w:val="24"/>
                <w:lang w:val="en-US" w:eastAsia="zh-CN"/>
              </w:rPr>
              <w:t>远小于</w:t>
            </w:r>
            <w:r>
              <w:rPr>
                <w:rFonts w:hint="default" w:ascii="Times New Roman" w:hAnsi="Times New Roman" w:cs="Times New Roman"/>
                <w:color w:val="auto"/>
                <w:kern w:val="0"/>
                <w:sz w:val="24"/>
                <w:lang w:val="en-US" w:eastAsia="zh-CN"/>
              </w:rPr>
              <w:t>中卫市第三污水处理厂</w:t>
            </w:r>
            <w:r>
              <w:rPr>
                <w:rFonts w:hint="default" w:ascii="Times New Roman" w:hAnsi="Times New Roman" w:eastAsia="宋体" w:cs="Times New Roman"/>
                <w:color w:val="auto"/>
                <w:kern w:val="0"/>
                <w:sz w:val="24"/>
                <w:lang w:val="en-US" w:eastAsia="zh-CN"/>
              </w:rPr>
              <w:t>的日处理规模。</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8" w:lineRule="auto"/>
              <w:ind w:left="0" w:right="0" w:firstLine="512" w:firstLineChars="200"/>
              <w:jc w:val="both"/>
              <w:textAlignment w:val="auto"/>
              <w:rPr>
                <w:rFonts w:hint="default" w:ascii="Times New Roman" w:hAnsi="Times New Roman" w:eastAsia="黑体" w:cs="Times New Roman"/>
                <w:color w:val="auto"/>
                <w:sz w:val="24"/>
                <w:lang w:val="en-US" w:eastAsia="zh-CN"/>
              </w:rPr>
            </w:pPr>
            <w:r>
              <w:rPr>
                <w:rFonts w:hint="default" w:ascii="Times New Roman" w:hAnsi="Times New Roman" w:cs="Times New Roman"/>
                <w:color w:val="auto"/>
                <w:sz w:val="24"/>
              </w:rPr>
              <w:t>本项目位于</w:t>
            </w:r>
            <w:r>
              <w:rPr>
                <w:rFonts w:hint="default" w:ascii="Times New Roman" w:hAnsi="Times New Roman" w:cs="Times New Roman"/>
                <w:color w:val="auto"/>
                <w:sz w:val="24"/>
                <w:szCs w:val="24"/>
                <w:lang w:val="en-US"/>
              </w:rPr>
              <w:t>宁夏</w:t>
            </w:r>
            <w:r>
              <w:rPr>
                <w:rFonts w:hint="default" w:ascii="Times New Roman" w:hAnsi="Times New Roman" w:cs="Times New Roman"/>
                <w:color w:val="auto"/>
                <w:sz w:val="24"/>
                <w:szCs w:val="24"/>
                <w:lang w:val="en-US" w:eastAsia="zh-CN"/>
              </w:rPr>
              <w:t>中卫市沙坡头区滨河镇</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使用中卫市职业技术学校3号实训楼一楼作为办公实验场所</w:t>
            </w:r>
            <w:r>
              <w:rPr>
                <w:rFonts w:hint="default" w:ascii="Times New Roman" w:hAnsi="Times New Roman" w:eastAsia="宋体" w:cs="Times New Roman"/>
                <w:color w:val="auto"/>
                <w:kern w:val="0"/>
                <w:sz w:val="24"/>
                <w:lang w:val="en-US" w:eastAsia="zh-CN"/>
              </w:rPr>
              <w:t>，属于</w:t>
            </w:r>
            <w:r>
              <w:rPr>
                <w:rFonts w:hint="default" w:ascii="Times New Roman" w:hAnsi="Times New Roman" w:cs="Times New Roman"/>
                <w:color w:val="auto"/>
                <w:kern w:val="0"/>
                <w:sz w:val="24"/>
                <w:lang w:val="en-US" w:eastAsia="zh-CN"/>
              </w:rPr>
              <w:t>中卫市第三污水处理厂</w:t>
            </w:r>
            <w:r>
              <w:rPr>
                <w:rFonts w:hint="default" w:ascii="Times New Roman" w:hAnsi="Times New Roman" w:eastAsia="宋体" w:cs="Times New Roman"/>
                <w:color w:val="auto"/>
                <w:kern w:val="0"/>
                <w:sz w:val="24"/>
                <w:lang w:val="en-US" w:eastAsia="zh-CN"/>
              </w:rPr>
              <w:t>服务范围。本项目废水主要污染物包括COD、BOD</w:t>
            </w:r>
            <w:r>
              <w:rPr>
                <w:rFonts w:hint="default" w:ascii="Times New Roman" w:hAnsi="Times New Roman" w:eastAsia="宋体" w:cs="Times New Roman"/>
                <w:color w:val="auto"/>
                <w:kern w:val="0"/>
                <w:sz w:val="24"/>
                <w:vertAlign w:val="subscript"/>
                <w:lang w:val="en-US" w:eastAsia="zh-CN"/>
              </w:rPr>
              <w:t>5</w:t>
            </w:r>
            <w:r>
              <w:rPr>
                <w:rFonts w:hint="default" w:ascii="Times New Roman" w:hAnsi="Times New Roman" w:eastAsia="宋体" w:cs="Times New Roman"/>
                <w:color w:val="auto"/>
                <w:kern w:val="0"/>
                <w:sz w:val="24"/>
                <w:lang w:val="en-US" w:eastAsia="zh-CN"/>
              </w:rPr>
              <w:t>、SS、NH</w:t>
            </w:r>
            <w:r>
              <w:rPr>
                <w:rFonts w:hint="default" w:ascii="Times New Roman" w:hAnsi="Times New Roman" w:eastAsia="宋体" w:cs="Times New Roman"/>
                <w:color w:val="auto"/>
                <w:kern w:val="0"/>
                <w:sz w:val="24"/>
                <w:vertAlign w:val="subscript"/>
                <w:lang w:val="en-US" w:eastAsia="zh-CN"/>
              </w:rPr>
              <w:t>3</w:t>
            </w:r>
            <w:r>
              <w:rPr>
                <w:rFonts w:hint="default" w:ascii="Times New Roman" w:hAnsi="Times New Roman" w:eastAsia="宋体" w:cs="Times New Roman"/>
                <w:color w:val="auto"/>
                <w:kern w:val="0"/>
                <w:sz w:val="24"/>
                <w:lang w:val="en-US" w:eastAsia="zh-CN"/>
              </w:rPr>
              <w:t>-N</w:t>
            </w:r>
            <w:r>
              <w:rPr>
                <w:rFonts w:hint="default" w:ascii="Times New Roman" w:hAnsi="Times New Roman" w:cs="Times New Roman"/>
                <w:color w:val="auto"/>
                <w:kern w:val="0"/>
                <w:sz w:val="24"/>
                <w:lang w:val="en-US" w:eastAsia="zh-CN"/>
              </w:rPr>
              <w:t>、</w:t>
            </w:r>
            <w:r>
              <w:rPr>
                <w:rFonts w:hint="default" w:ascii="Times New Roman" w:hAnsi="Times New Roman" w:eastAsia="宋体" w:cs="Times New Roman"/>
                <w:color w:val="auto"/>
                <w:kern w:val="2"/>
                <w:sz w:val="21"/>
                <w:szCs w:val="21"/>
                <w:lang w:val="en-US" w:eastAsia="zh-CN" w:bidi="ar-SA"/>
              </w:rPr>
              <w:t>TDS</w:t>
            </w:r>
            <w:r>
              <w:rPr>
                <w:rFonts w:hint="default" w:ascii="Times New Roman" w:hAnsi="Times New Roman" w:eastAsia="宋体" w:cs="Times New Roman"/>
                <w:color w:val="auto"/>
                <w:kern w:val="0"/>
                <w:sz w:val="24"/>
                <w:lang w:val="en-US" w:eastAsia="zh-CN"/>
              </w:rPr>
              <w:t>等，污染物较为简单。</w:t>
            </w:r>
            <w:r>
              <w:rPr>
                <w:rFonts w:hint="default" w:ascii="Times New Roman" w:hAnsi="Times New Roman" w:cs="Times New Roman"/>
                <w:color w:val="auto"/>
                <w:kern w:val="0"/>
                <w:sz w:val="24"/>
                <w:lang w:val="en-US" w:eastAsia="zh-CN"/>
              </w:rPr>
              <w:t>项目废水</w:t>
            </w:r>
            <w:r>
              <w:rPr>
                <w:rFonts w:hint="default" w:ascii="Times New Roman" w:hAnsi="Times New Roman" w:eastAsia="宋体" w:cs="Times New Roman"/>
                <w:color w:val="auto"/>
                <w:kern w:val="0"/>
                <w:sz w:val="24"/>
                <w:lang w:val="en-US" w:eastAsia="zh-CN"/>
              </w:rPr>
              <w:t>经化粪池处理后，各污染物能够满足《污水排入城镇下水道水质标准》（GB/T31962-2015）中A级标准限值要求，符合</w:t>
            </w:r>
            <w:r>
              <w:rPr>
                <w:rFonts w:hint="default" w:ascii="Times New Roman" w:hAnsi="Times New Roman" w:cs="Times New Roman"/>
                <w:color w:val="auto"/>
                <w:kern w:val="0"/>
                <w:sz w:val="24"/>
                <w:lang w:val="en-US" w:eastAsia="zh-CN"/>
              </w:rPr>
              <w:t>中卫市第三污水处理厂</w:t>
            </w:r>
            <w:r>
              <w:rPr>
                <w:rFonts w:hint="default" w:ascii="Times New Roman" w:hAnsi="Times New Roman" w:eastAsia="宋体" w:cs="Times New Roman"/>
                <w:color w:val="auto"/>
                <w:kern w:val="0"/>
                <w:sz w:val="24"/>
                <w:lang w:val="en-US" w:eastAsia="zh-CN"/>
              </w:rPr>
              <w:t>接管指标。因此，本项目废水处理后排入</w:t>
            </w:r>
            <w:r>
              <w:rPr>
                <w:rFonts w:hint="default" w:ascii="Times New Roman" w:hAnsi="Times New Roman" w:cs="Times New Roman"/>
                <w:color w:val="auto"/>
                <w:kern w:val="0"/>
                <w:sz w:val="24"/>
                <w:lang w:val="en-US" w:eastAsia="zh-CN"/>
              </w:rPr>
              <w:t>中卫市第三污水处理厂</w:t>
            </w:r>
            <w:r>
              <w:rPr>
                <w:rFonts w:hint="default" w:ascii="Times New Roman" w:hAnsi="Times New Roman" w:eastAsia="宋体" w:cs="Times New Roman"/>
                <w:color w:val="auto"/>
                <w:kern w:val="0"/>
                <w:sz w:val="24"/>
                <w:lang w:val="en-US" w:eastAsia="zh-CN"/>
              </w:rPr>
              <w:t>是可行的。</w:t>
            </w:r>
          </w:p>
          <w:p>
            <w:pPr>
              <w:numPr>
                <w:ilvl w:val="-1"/>
                <w:numId w:val="0"/>
              </w:numPr>
              <w:autoSpaceDE/>
              <w:spacing w:before="240" w:after="60"/>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lang w:val="en-US" w:eastAsia="zh-CN"/>
              </w:rPr>
              <w:t>2.4废水监测计划</w:t>
            </w:r>
          </w:p>
          <w:p>
            <w:pPr>
              <w:ind w:firstLine="512" w:firstLineChars="200"/>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根据《排污单位自行监测技术指南 总则》（HJ819-2017），本项目运营期废水污染物监测计划见下表：</w:t>
            </w:r>
          </w:p>
          <w:p>
            <w:pPr>
              <w:pStyle w:val="16"/>
              <w:snapToGrid/>
              <w:jc w:val="center"/>
              <w:rPr>
                <w:rFonts w:hint="default" w:ascii="Times New Roman" w:hAnsi="Times New Roman" w:eastAsia="黑体" w:cs="Times New Roman"/>
                <w:color w:val="auto"/>
                <w:sz w:val="24"/>
                <w:szCs w:val="24"/>
                <w:lang w:val="en-US" w:eastAsia="zh-CN"/>
              </w:rPr>
            </w:pPr>
            <w:r>
              <w:rPr>
                <w:rFonts w:hint="default" w:ascii="Times New Roman" w:hAnsi="Times New Roman" w:eastAsia="黑体" w:cs="Times New Roman"/>
                <w:color w:val="auto"/>
                <w:sz w:val="24"/>
                <w:szCs w:val="24"/>
              </w:rPr>
              <w:t>表4-</w:t>
            </w:r>
            <w:r>
              <w:rPr>
                <w:rFonts w:hint="default" w:ascii="Times New Roman" w:hAnsi="Times New Roman" w:eastAsia="黑体" w:cs="Times New Roman"/>
                <w:color w:val="auto"/>
                <w:sz w:val="24"/>
                <w:szCs w:val="24"/>
                <w:lang w:val="en-US" w:eastAsia="zh-CN"/>
              </w:rPr>
              <w:t>4</w:t>
            </w:r>
            <w:r>
              <w:rPr>
                <w:rFonts w:hint="default" w:ascii="Times New Roman" w:hAnsi="Times New Roman" w:eastAsia="黑体" w:cs="Times New Roman"/>
                <w:color w:val="auto"/>
                <w:sz w:val="24"/>
                <w:szCs w:val="24"/>
              </w:rPr>
              <w:t xml:space="preserve"> </w:t>
            </w:r>
            <w:r>
              <w:rPr>
                <w:rFonts w:hint="default" w:ascii="Times New Roman" w:hAnsi="Times New Roman" w:eastAsia="黑体" w:cs="Times New Roman"/>
                <w:color w:val="auto"/>
                <w:sz w:val="24"/>
                <w:szCs w:val="24"/>
                <w:lang w:val="en-US" w:eastAsia="zh-CN"/>
              </w:rPr>
              <w:t>废水监测要求</w:t>
            </w:r>
          </w:p>
          <w:tbl>
            <w:tblPr>
              <w:tblStyle w:val="2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5"/>
              <w:gridCol w:w="1462"/>
              <w:gridCol w:w="2225"/>
              <w:gridCol w:w="1163"/>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tcBorders>
                    <w:tl2br w:val="nil"/>
                    <w:tr2bl w:val="nil"/>
                  </w:tcBorders>
                  <w:vAlign w:val="center"/>
                </w:tcPr>
                <w:p>
                  <w:pPr>
                    <w:pStyle w:val="16"/>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cs="Times New Roman"/>
                      <w:b/>
                      <w:bCs/>
                      <w:color w:val="auto"/>
                      <w:sz w:val="21"/>
                      <w:szCs w:val="21"/>
                      <w:vertAlign w:val="baseline"/>
                      <w:lang w:val="en-US" w:eastAsia="zh-CN"/>
                    </w:rPr>
                    <w:t>监测位置</w:t>
                  </w:r>
                </w:p>
              </w:tc>
              <w:tc>
                <w:tcPr>
                  <w:tcW w:w="1462" w:type="dxa"/>
                  <w:tcBorders>
                    <w:tl2br w:val="nil"/>
                    <w:tr2bl w:val="nil"/>
                  </w:tcBorders>
                  <w:vAlign w:val="center"/>
                </w:tcPr>
                <w:p>
                  <w:pPr>
                    <w:pStyle w:val="16"/>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监测</w:t>
                  </w:r>
                  <w:r>
                    <w:rPr>
                      <w:rFonts w:hint="default" w:ascii="Times New Roman" w:hAnsi="Times New Roman" w:eastAsia="宋体" w:cs="Times New Roman"/>
                      <w:b/>
                      <w:bCs/>
                      <w:color w:val="auto"/>
                      <w:sz w:val="21"/>
                      <w:szCs w:val="21"/>
                      <w:lang w:val="en-US" w:eastAsia="zh-CN"/>
                    </w:rPr>
                    <w:t>因子</w:t>
                  </w:r>
                </w:p>
              </w:tc>
              <w:tc>
                <w:tcPr>
                  <w:tcW w:w="2225" w:type="dxa"/>
                  <w:tcBorders>
                    <w:tl2br w:val="nil"/>
                    <w:tr2bl w:val="nil"/>
                  </w:tcBorders>
                  <w:vAlign w:val="center"/>
                </w:tcPr>
                <w:p>
                  <w:pPr>
                    <w:pStyle w:val="16"/>
                    <w:adjustRightIn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highlight w:val="none"/>
                      <w:vertAlign w:val="baseline"/>
                      <w:lang w:val="en-US" w:eastAsia="zh-CN"/>
                    </w:rPr>
                    <w:t>排放口位置</w:t>
                  </w:r>
                </w:p>
              </w:tc>
              <w:tc>
                <w:tcPr>
                  <w:tcW w:w="1163" w:type="dxa"/>
                  <w:tcBorders>
                    <w:tl2br w:val="nil"/>
                    <w:tr2bl w:val="nil"/>
                  </w:tcBorders>
                  <w:vAlign w:val="center"/>
                </w:tcPr>
                <w:p>
                  <w:pPr>
                    <w:pStyle w:val="16"/>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监测频次</w:t>
                  </w:r>
                </w:p>
              </w:tc>
              <w:tc>
                <w:tcPr>
                  <w:tcW w:w="2126" w:type="dxa"/>
                  <w:tcBorders>
                    <w:tl2br w:val="nil"/>
                    <w:tr2bl w:val="nil"/>
                  </w:tcBorders>
                  <w:vAlign w:val="center"/>
                </w:tcPr>
                <w:p>
                  <w:pPr>
                    <w:pStyle w:val="16"/>
                    <w:jc w:val="center"/>
                    <w:rPr>
                      <w:rFonts w:hint="default" w:ascii="Times New Roman" w:hAnsi="Times New Roman"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rPr>
                    <w:t>排放标准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15" w:type="dxa"/>
                  <w:tcBorders>
                    <w:tl2br w:val="nil"/>
                    <w:tr2bl w:val="nil"/>
                  </w:tcBorders>
                  <w:vAlign w:val="center"/>
                </w:tcPr>
                <w:p>
                  <w:pPr>
                    <w:pStyle w:val="16"/>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sz w:val="21"/>
                      <w:szCs w:val="21"/>
                      <w:vertAlign w:val="baseline"/>
                      <w:lang w:val="en-US" w:eastAsia="zh-CN"/>
                    </w:rPr>
                    <w:t>化粪池</w:t>
                  </w:r>
                  <w:r>
                    <w:rPr>
                      <w:rFonts w:hint="default" w:ascii="Times New Roman" w:hAnsi="Times New Roman" w:eastAsia="宋体" w:cs="Times New Roman"/>
                      <w:color w:val="auto"/>
                      <w:sz w:val="21"/>
                      <w:szCs w:val="21"/>
                      <w:vertAlign w:val="baseline"/>
                      <w:lang w:val="en-US" w:eastAsia="zh-CN"/>
                    </w:rPr>
                    <w:t>排放口</w:t>
                  </w:r>
                </w:p>
              </w:tc>
              <w:tc>
                <w:tcPr>
                  <w:tcW w:w="1462" w:type="dxa"/>
                  <w:tcBorders>
                    <w:tl2br w:val="nil"/>
                    <w:tr2bl w:val="nil"/>
                  </w:tcBorders>
                  <w:vAlign w:val="center"/>
                </w:tcPr>
                <w:p>
                  <w:pPr>
                    <w:pStyle w:val="16"/>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eastAsia="宋体" w:cs="Times New Roman"/>
                      <w:color w:val="auto"/>
                      <w:kern w:val="2"/>
                      <w:sz w:val="21"/>
                      <w:szCs w:val="21"/>
                      <w:lang w:val="en-US" w:eastAsia="zh-CN" w:bidi="ar-SA"/>
                    </w:rPr>
                    <w:t>pH、COD、SS、NH</w:t>
                  </w:r>
                  <w:r>
                    <w:rPr>
                      <w:rFonts w:hint="default" w:ascii="Times New Roman" w:hAnsi="Times New Roman" w:eastAsia="宋体" w:cs="Times New Roman"/>
                      <w:color w:val="auto"/>
                      <w:kern w:val="2"/>
                      <w:sz w:val="21"/>
                      <w:szCs w:val="21"/>
                      <w:vertAlign w:val="subscript"/>
                      <w:lang w:val="en-US" w:eastAsia="zh-CN" w:bidi="ar-SA"/>
                    </w:rPr>
                    <w:t>3</w:t>
                  </w:r>
                  <w:r>
                    <w:rPr>
                      <w:rFonts w:hint="default" w:ascii="Times New Roman" w:hAnsi="Times New Roman" w:eastAsia="宋体" w:cs="Times New Roman"/>
                      <w:color w:val="auto"/>
                      <w:kern w:val="2"/>
                      <w:sz w:val="21"/>
                      <w:szCs w:val="21"/>
                      <w:lang w:val="en-US" w:eastAsia="zh-CN" w:bidi="ar-SA"/>
                    </w:rPr>
                    <w:t>-N、TDS</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0"/>
                      <w:sz w:val="21"/>
                      <w:szCs w:val="21"/>
                      <w:lang w:val="en-US" w:eastAsia="zh-CN"/>
                    </w:rPr>
                    <w:t>BOD</w:t>
                  </w:r>
                  <w:r>
                    <w:rPr>
                      <w:rFonts w:hint="default" w:ascii="Times New Roman" w:hAnsi="Times New Roman" w:eastAsia="宋体" w:cs="Times New Roman"/>
                      <w:color w:val="auto"/>
                      <w:kern w:val="0"/>
                      <w:sz w:val="21"/>
                      <w:szCs w:val="21"/>
                      <w:vertAlign w:val="subscript"/>
                      <w:lang w:val="en-US" w:eastAsia="zh-CN"/>
                    </w:rPr>
                    <w:t>5</w:t>
                  </w:r>
                </w:p>
              </w:tc>
              <w:tc>
                <w:tcPr>
                  <w:tcW w:w="2225" w:type="dxa"/>
                  <w:tcBorders>
                    <w:tl2br w:val="nil"/>
                    <w:tr2bl w:val="nil"/>
                  </w:tcBorders>
                  <w:vAlign w:val="center"/>
                </w:tcPr>
                <w:p>
                  <w:pPr>
                    <w:pStyle w:val="16"/>
                    <w:adjustRightInd w:val="0"/>
                    <w:jc w:val="both"/>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东经：</w:t>
                  </w:r>
                  <w:r>
                    <w:rPr>
                      <w:rFonts w:hint="default" w:ascii="Times New Roman" w:hAnsi="Times New Roman" w:cs="Times New Roman"/>
                      <w:color w:val="auto"/>
                      <w:kern w:val="0"/>
                      <w:sz w:val="21"/>
                      <w:szCs w:val="21"/>
                    </w:rPr>
                    <w:t>10</w:t>
                  </w:r>
                  <w:r>
                    <w:rPr>
                      <w:rFonts w:hint="default" w:ascii="Times New Roman" w:hAnsi="Times New Roman" w:cs="Times New Roman"/>
                      <w:color w:val="auto"/>
                      <w:kern w:val="0"/>
                      <w:sz w:val="21"/>
                      <w:szCs w:val="21"/>
                      <w:lang w:val="en-US" w:eastAsia="zh-CN"/>
                    </w:rPr>
                    <w:t>5</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8</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9.392</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eastAsia="zh-CN"/>
                    </w:rPr>
                    <w:t>；</w:t>
                  </w:r>
                  <w:r>
                    <w:rPr>
                      <w:rFonts w:hint="default" w:ascii="Times New Roman" w:hAnsi="Times New Roman" w:cs="Times New Roman"/>
                      <w:color w:val="auto"/>
                      <w:sz w:val="21"/>
                      <w:szCs w:val="21"/>
                      <w:lang w:val="en-US" w:eastAsia="zh-CN"/>
                    </w:rPr>
                    <w:t>北纬：</w:t>
                  </w:r>
                  <w:r>
                    <w:rPr>
                      <w:rFonts w:hint="default" w:ascii="Times New Roman" w:hAnsi="Times New Roman" w:cs="Times New Roman"/>
                      <w:color w:val="auto"/>
                      <w:kern w:val="0"/>
                      <w:sz w:val="21"/>
                      <w:szCs w:val="21"/>
                    </w:rPr>
                    <w:t>3</w:t>
                  </w:r>
                  <w:r>
                    <w:rPr>
                      <w:rFonts w:hint="default" w:ascii="Times New Roman" w:hAnsi="Times New Roman" w:cs="Times New Roman"/>
                      <w:color w:val="auto"/>
                      <w:kern w:val="0"/>
                      <w:sz w:val="21"/>
                      <w:szCs w:val="21"/>
                      <w:lang w:val="en-US" w:eastAsia="zh-CN"/>
                    </w:rPr>
                    <w:t>7</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34</w:t>
                  </w:r>
                  <w:r>
                    <w:rPr>
                      <w:rFonts w:hint="default" w:ascii="Times New Roman" w:hAnsi="Times New Roman" w:cs="Times New Roman"/>
                      <w:color w:val="auto"/>
                      <w:kern w:val="0"/>
                      <w:sz w:val="21"/>
                      <w:szCs w:val="21"/>
                    </w:rPr>
                    <w:t>′</w:t>
                  </w:r>
                  <w:r>
                    <w:rPr>
                      <w:rFonts w:hint="default" w:ascii="Times New Roman" w:hAnsi="Times New Roman" w:cs="Times New Roman"/>
                      <w:color w:val="auto"/>
                      <w:kern w:val="0"/>
                      <w:sz w:val="21"/>
                      <w:szCs w:val="21"/>
                      <w:lang w:val="en-US" w:eastAsia="zh-CN"/>
                    </w:rPr>
                    <w:t>17.661</w:t>
                  </w:r>
                  <w:r>
                    <w:rPr>
                      <w:rFonts w:hint="default" w:ascii="Times New Roman" w:hAnsi="Times New Roman" w:cs="Times New Roman"/>
                      <w:color w:val="auto"/>
                      <w:kern w:val="0"/>
                      <w:sz w:val="21"/>
                      <w:szCs w:val="21"/>
                    </w:rPr>
                    <w:t>″</w:t>
                  </w:r>
                </w:p>
              </w:tc>
              <w:tc>
                <w:tcPr>
                  <w:tcW w:w="1163" w:type="dxa"/>
                  <w:tcBorders>
                    <w:tl2br w:val="nil"/>
                    <w:tr2bl w:val="nil"/>
                  </w:tcBorders>
                  <w:vAlign w:val="center"/>
                </w:tcPr>
                <w:p>
                  <w:pPr>
                    <w:pStyle w:val="16"/>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次/</w:t>
                  </w:r>
                  <w:r>
                    <w:rPr>
                      <w:rFonts w:hint="default" w:ascii="Times New Roman" w:hAnsi="Times New Roman" w:cs="Times New Roman"/>
                      <w:color w:val="auto"/>
                      <w:sz w:val="21"/>
                      <w:szCs w:val="21"/>
                      <w:lang w:val="en-US" w:eastAsia="zh-CN"/>
                    </w:rPr>
                    <w:t>年</w:t>
                  </w:r>
                </w:p>
              </w:tc>
              <w:tc>
                <w:tcPr>
                  <w:tcW w:w="2126" w:type="dxa"/>
                  <w:tcBorders>
                    <w:tl2br w:val="nil"/>
                    <w:tr2bl w:val="nil"/>
                  </w:tcBorders>
                  <w:vAlign w:val="center"/>
                </w:tcPr>
                <w:p>
                  <w:pPr>
                    <w:pStyle w:val="16"/>
                    <w:jc w:val="center"/>
                    <w:rPr>
                      <w:rFonts w:hint="default" w:ascii="Times New Roman" w:hAnsi="Times New Roman" w:cs="Times New Roman"/>
                      <w:color w:val="auto"/>
                      <w:sz w:val="21"/>
                      <w:szCs w:val="21"/>
                      <w:vertAlign w:val="baseline"/>
                      <w:lang w:val="en-US" w:eastAsia="zh-CN"/>
                    </w:rPr>
                  </w:pPr>
                  <w:r>
                    <w:rPr>
                      <w:rFonts w:hint="default" w:ascii="Times New Roman" w:hAnsi="Times New Roman" w:cs="Times New Roman"/>
                      <w:color w:val="auto"/>
                      <w:kern w:val="2"/>
                      <w:sz w:val="21"/>
                      <w:szCs w:val="21"/>
                      <w:lang w:val="en-US" w:eastAsia="zh-CN" w:bidi="ar-SA"/>
                    </w:rPr>
                    <w:t>《污水排入城镇下水道水质标准》（GB/T31962-2015）中A级标准</w:t>
                  </w:r>
                </w:p>
              </w:tc>
            </w:tr>
          </w:tbl>
          <w:p>
            <w:pPr>
              <w:pStyle w:val="53"/>
              <w:adjustRightInd/>
              <w:snapToGrid/>
              <w:spacing w:before="240" w:beforeLines="0" w:after="60" w:afterLines="0" w:line="240" w:lineRule="auto"/>
              <w:ind w:left="0" w:leftChars="0" w:firstLine="0" w:firstLineChars="0"/>
              <w:jc w:val="both"/>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3、噪声</w:t>
            </w:r>
          </w:p>
          <w:p>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3.1 噪声产排情况</w:t>
            </w:r>
          </w:p>
          <w:p>
            <w:pPr>
              <w:ind w:firstLine="512" w:firstLineChars="200"/>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rPr>
              <w:t>本项目营运期噪声主要来源于</w:t>
            </w:r>
            <w:r>
              <w:rPr>
                <w:rFonts w:hint="default" w:ascii="Times New Roman" w:hAnsi="Times New Roman" w:cs="Times New Roman"/>
                <w:color w:val="auto"/>
                <w:sz w:val="24"/>
                <w:lang w:val="en-US" w:eastAsia="zh-CN"/>
              </w:rPr>
              <w:t>低速台式离心机、电热鼓风干燥机、粉碎机、磁力搅拌器等</w:t>
            </w:r>
            <w:r>
              <w:rPr>
                <w:rFonts w:hint="default" w:ascii="Times New Roman" w:hAnsi="Times New Roman" w:cs="Times New Roman"/>
                <w:color w:val="auto"/>
                <w:sz w:val="24"/>
              </w:rPr>
              <w:t>，其所用设备的噪声级如下表所示</w:t>
            </w:r>
            <w:r>
              <w:rPr>
                <w:rFonts w:hint="default" w:ascii="Times New Roman" w:hAnsi="Times New Roman" w:cs="Times New Roman"/>
                <w:color w:val="auto"/>
                <w:sz w:val="24"/>
                <w:lang w:eastAsia="zh-CN"/>
              </w:rPr>
              <w:t>：</w:t>
            </w:r>
          </w:p>
          <w:p>
            <w:pPr>
              <w:pStyle w:val="16"/>
              <w:snapToGrid/>
              <w:jc w:val="center"/>
              <w:rPr>
                <w:rFonts w:hint="default" w:ascii="Times New Roman" w:hAnsi="Times New Roman" w:eastAsia="黑体" w:cs="Times New Roman"/>
                <w:color w:val="auto"/>
                <w:sz w:val="24"/>
                <w:szCs w:val="24"/>
                <w:lang w:eastAsia="zh-CN"/>
              </w:rPr>
            </w:pPr>
            <w:r>
              <w:rPr>
                <w:rFonts w:hint="default" w:ascii="Times New Roman" w:hAnsi="Times New Roman" w:eastAsia="黑体" w:cs="Times New Roman"/>
                <w:color w:val="auto"/>
                <w:sz w:val="24"/>
                <w:szCs w:val="24"/>
              </w:rPr>
              <w:t>表4-</w:t>
            </w:r>
            <w:r>
              <w:rPr>
                <w:rFonts w:hint="default" w:ascii="Times New Roman" w:hAnsi="Times New Roman" w:eastAsia="黑体" w:cs="Times New Roman"/>
                <w:color w:val="auto"/>
                <w:sz w:val="24"/>
                <w:szCs w:val="24"/>
                <w:lang w:val="en-US" w:eastAsia="zh-CN"/>
              </w:rPr>
              <w:t>5</w:t>
            </w:r>
            <w:r>
              <w:rPr>
                <w:rFonts w:hint="default" w:ascii="Times New Roman" w:hAnsi="Times New Roman" w:eastAsia="黑体" w:cs="Times New Roman"/>
                <w:color w:val="auto"/>
                <w:sz w:val="24"/>
                <w:szCs w:val="24"/>
              </w:rPr>
              <w:t xml:space="preserve">  噪声</w:t>
            </w:r>
            <w:r>
              <w:rPr>
                <w:rFonts w:hint="default" w:ascii="Times New Roman" w:hAnsi="Times New Roman" w:eastAsia="黑体" w:cs="Times New Roman"/>
                <w:color w:val="auto"/>
                <w:sz w:val="24"/>
                <w:szCs w:val="24"/>
                <w:lang w:val="en-US" w:eastAsia="zh-CN"/>
              </w:rPr>
              <w:t>源强调查清单</w:t>
            </w:r>
            <w:r>
              <w:rPr>
                <w:rFonts w:hint="default" w:ascii="Times New Roman" w:hAnsi="Times New Roman" w:eastAsia="黑体" w:cs="Times New Roman"/>
                <w:color w:val="auto"/>
                <w:sz w:val="24"/>
                <w:szCs w:val="24"/>
                <w:lang w:eastAsia="zh-CN"/>
              </w:rPr>
              <w:t>（</w:t>
            </w:r>
            <w:r>
              <w:rPr>
                <w:rFonts w:hint="default" w:ascii="Times New Roman" w:hAnsi="Times New Roman" w:eastAsia="黑体" w:cs="Times New Roman"/>
                <w:color w:val="auto"/>
                <w:sz w:val="24"/>
                <w:szCs w:val="24"/>
                <w:lang w:val="en-US" w:eastAsia="zh-CN"/>
              </w:rPr>
              <w:t>室内声源</w:t>
            </w:r>
            <w:r>
              <w:rPr>
                <w:rFonts w:hint="default" w:ascii="Times New Roman" w:hAnsi="Times New Roman" w:eastAsia="黑体" w:cs="Times New Roman"/>
                <w:color w:val="auto"/>
                <w:sz w:val="24"/>
                <w:szCs w:val="24"/>
                <w:lang w:eastAsia="zh-CN"/>
              </w:rPr>
              <w:t>）</w:t>
            </w:r>
          </w:p>
          <w:tbl>
            <w:tblPr>
              <w:tblStyle w:val="25"/>
              <w:tblW w:w="5000" w:type="pct"/>
              <w:jc w:val="center"/>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299"/>
              <w:gridCol w:w="431"/>
              <w:gridCol w:w="769"/>
              <w:gridCol w:w="843"/>
              <w:gridCol w:w="507"/>
              <w:gridCol w:w="600"/>
              <w:gridCol w:w="375"/>
              <w:gridCol w:w="506"/>
              <w:gridCol w:w="337"/>
              <w:gridCol w:w="519"/>
              <w:gridCol w:w="648"/>
              <w:gridCol w:w="551"/>
              <w:gridCol w:w="589"/>
              <w:gridCol w:w="618"/>
              <w:gridCol w:w="699"/>
            </w:tblGrid>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1285" w:hRule="atLeast"/>
                <w:jc w:val="center"/>
              </w:trPr>
              <w:tc>
                <w:tcPr>
                  <w:tcW w:w="180"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序号</w:t>
                  </w:r>
                </w:p>
              </w:tc>
              <w:tc>
                <w:tcPr>
                  <w:tcW w:w="259"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建筑物名称</w:t>
                  </w:r>
                </w:p>
              </w:tc>
              <w:tc>
                <w:tcPr>
                  <w:tcW w:w="463"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声源名称</w:t>
                  </w:r>
                </w:p>
              </w:tc>
              <w:tc>
                <w:tcPr>
                  <w:tcW w:w="508"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型号</w:t>
                  </w:r>
                </w:p>
              </w:tc>
              <w:tc>
                <w:tcPr>
                  <w:tcW w:w="305"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声功率级/dB(A)</w:t>
                  </w:r>
                </w:p>
              </w:tc>
              <w:tc>
                <w:tcPr>
                  <w:tcW w:w="361"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声源控制措施</w:t>
                  </w:r>
                </w:p>
              </w:tc>
              <w:tc>
                <w:tcPr>
                  <w:tcW w:w="734" w:type="pct"/>
                  <w:gridSpan w:val="3"/>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空间相对位置（m）</w:t>
                  </w:r>
                </w:p>
              </w:tc>
              <w:tc>
                <w:tcPr>
                  <w:tcW w:w="312"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距室内边界距离/m</w:t>
                  </w:r>
                </w:p>
              </w:tc>
              <w:tc>
                <w:tcPr>
                  <w:tcW w:w="390"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室内边界声级/dB(A)</w:t>
                  </w:r>
                </w:p>
              </w:tc>
              <w:tc>
                <w:tcPr>
                  <w:tcW w:w="332"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运行时段</w:t>
                  </w:r>
                </w:p>
              </w:tc>
              <w:tc>
                <w:tcPr>
                  <w:tcW w:w="355"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建筑物插入损失/dB（A）</w:t>
                  </w:r>
                </w:p>
              </w:tc>
              <w:tc>
                <w:tcPr>
                  <w:tcW w:w="794" w:type="pct"/>
                  <w:gridSpan w:val="2"/>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建筑物外噪声</w:t>
                  </w:r>
                </w:p>
              </w:tc>
            </w:tr>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1508" w:hRule="atLeast"/>
                <w:jc w:val="center"/>
              </w:trPr>
              <w:tc>
                <w:tcPr>
                  <w:tcW w:w="180"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259"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463"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508"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305"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361"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226"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X</w:t>
                  </w:r>
                </w:p>
              </w:tc>
              <w:tc>
                <w:tcPr>
                  <w:tcW w:w="305"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Y</w:t>
                  </w:r>
                </w:p>
              </w:tc>
              <w:tc>
                <w:tcPr>
                  <w:tcW w:w="203"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b/>
                      <w:bCs/>
                      <w:color w:val="auto"/>
                      <w:lang w:val="en-US" w:eastAsia="zh-CN"/>
                    </w:rPr>
                  </w:pPr>
                  <w:r>
                    <w:rPr>
                      <w:rFonts w:hint="default" w:ascii="Times New Roman" w:hAnsi="Times New Roman" w:cs="Times New Roman"/>
                      <w:b/>
                      <w:bCs/>
                      <w:color w:val="auto"/>
                      <w:lang w:val="en-US" w:eastAsia="zh-CN"/>
                    </w:rPr>
                    <w:t>Z</w:t>
                  </w:r>
                </w:p>
              </w:tc>
              <w:tc>
                <w:tcPr>
                  <w:tcW w:w="312"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390"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332"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355"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p>
              </w:tc>
              <w:tc>
                <w:tcPr>
                  <w:tcW w:w="372"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声压级/dB(A)</w:t>
                  </w:r>
                </w:p>
              </w:tc>
              <w:tc>
                <w:tcPr>
                  <w:tcW w:w="421"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建筑物外距离/m</w:t>
                  </w:r>
                </w:p>
              </w:tc>
            </w:tr>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0"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259"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实验室内部</w:t>
                  </w:r>
                </w:p>
              </w:tc>
              <w:tc>
                <w:tcPr>
                  <w:tcW w:w="463"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eastAsia="宋体" w:cs="Times New Roman"/>
                      <w:color w:val="auto"/>
                      <w:lang w:val="en-US" w:eastAsia="zh-CN"/>
                    </w:rPr>
                    <w:t>低速台式离心机</w:t>
                  </w:r>
                </w:p>
              </w:tc>
              <w:tc>
                <w:tcPr>
                  <w:tcW w:w="508"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湖南湘仪L500-A</w:t>
                  </w:r>
                </w:p>
              </w:tc>
              <w:tc>
                <w:tcPr>
                  <w:tcW w:w="305"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w:t>
                  </w:r>
                </w:p>
              </w:tc>
              <w:tc>
                <w:tcPr>
                  <w:tcW w:w="361" w:type="pct"/>
                  <w:vMerge w:val="restar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基础减振降噪、</w:t>
                  </w:r>
                  <w:r>
                    <w:rPr>
                      <w:rFonts w:hint="default" w:ascii="Times New Roman" w:hAnsi="Times New Roman" w:cs="Times New Roman"/>
                      <w:color w:val="auto"/>
                      <w:lang w:val="en-US" w:eastAsia="zh-CN"/>
                    </w:rPr>
                    <w:t>墙体</w:t>
                  </w:r>
                  <w:r>
                    <w:rPr>
                      <w:rFonts w:hint="default" w:ascii="Times New Roman" w:hAnsi="Times New Roman" w:cs="Times New Roman"/>
                      <w:color w:val="auto"/>
                    </w:rPr>
                    <w:t>阻隔、距离衰减</w:t>
                  </w:r>
                </w:p>
              </w:tc>
              <w:tc>
                <w:tcPr>
                  <w:tcW w:w="226"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p>
              </w:tc>
              <w:tc>
                <w:tcPr>
                  <w:tcW w:w="305"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p>
              </w:tc>
              <w:tc>
                <w:tcPr>
                  <w:tcW w:w="203"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312"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w:t>
                  </w:r>
                </w:p>
              </w:tc>
              <w:tc>
                <w:tcPr>
                  <w:tcW w:w="390"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67</w:t>
                  </w:r>
                </w:p>
              </w:tc>
              <w:tc>
                <w:tcPr>
                  <w:tcW w:w="332"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昼间</w:t>
                  </w:r>
                </w:p>
              </w:tc>
              <w:tc>
                <w:tcPr>
                  <w:tcW w:w="355"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25</w:t>
                  </w:r>
                </w:p>
              </w:tc>
              <w:tc>
                <w:tcPr>
                  <w:tcW w:w="372"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42</w:t>
                  </w:r>
                </w:p>
              </w:tc>
              <w:tc>
                <w:tcPr>
                  <w:tcW w:w="421"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1</w:t>
                  </w:r>
                </w:p>
              </w:tc>
            </w:tr>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0"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2</w:t>
                  </w:r>
                </w:p>
              </w:tc>
              <w:tc>
                <w:tcPr>
                  <w:tcW w:w="259"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p>
              </w:tc>
              <w:tc>
                <w:tcPr>
                  <w:tcW w:w="463"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电热鼓风干燥箱</w:t>
                  </w:r>
                </w:p>
              </w:tc>
              <w:tc>
                <w:tcPr>
                  <w:tcW w:w="508"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上海一恒DHG-9240A</w:t>
                  </w:r>
                </w:p>
              </w:tc>
              <w:tc>
                <w:tcPr>
                  <w:tcW w:w="305"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70</w:t>
                  </w:r>
                </w:p>
              </w:tc>
              <w:tc>
                <w:tcPr>
                  <w:tcW w:w="361"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p>
              </w:tc>
              <w:tc>
                <w:tcPr>
                  <w:tcW w:w="226"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p>
              </w:tc>
              <w:tc>
                <w:tcPr>
                  <w:tcW w:w="305"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0.5</w:t>
                  </w:r>
                </w:p>
              </w:tc>
              <w:tc>
                <w:tcPr>
                  <w:tcW w:w="203"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312"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w:t>
                  </w:r>
                </w:p>
              </w:tc>
              <w:tc>
                <w:tcPr>
                  <w:tcW w:w="390"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67</w:t>
                  </w:r>
                </w:p>
              </w:tc>
              <w:tc>
                <w:tcPr>
                  <w:tcW w:w="332"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昼间</w:t>
                  </w:r>
                </w:p>
              </w:tc>
              <w:tc>
                <w:tcPr>
                  <w:tcW w:w="355"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25</w:t>
                  </w:r>
                </w:p>
              </w:tc>
              <w:tc>
                <w:tcPr>
                  <w:tcW w:w="372"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42</w:t>
                  </w:r>
                </w:p>
              </w:tc>
              <w:tc>
                <w:tcPr>
                  <w:tcW w:w="421"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w:t>
                  </w:r>
                </w:p>
              </w:tc>
            </w:tr>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0"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w:t>
                  </w:r>
                </w:p>
              </w:tc>
              <w:tc>
                <w:tcPr>
                  <w:tcW w:w="259"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p>
              </w:tc>
              <w:tc>
                <w:tcPr>
                  <w:tcW w:w="463"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粉碎机</w:t>
                  </w:r>
                </w:p>
              </w:tc>
              <w:tc>
                <w:tcPr>
                  <w:tcW w:w="508"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浙江铂欧2500克</w:t>
                  </w:r>
                </w:p>
              </w:tc>
              <w:tc>
                <w:tcPr>
                  <w:tcW w:w="305"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75</w:t>
                  </w:r>
                </w:p>
              </w:tc>
              <w:tc>
                <w:tcPr>
                  <w:tcW w:w="361"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p>
              </w:tc>
              <w:tc>
                <w:tcPr>
                  <w:tcW w:w="226"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p>
              </w:tc>
              <w:tc>
                <w:tcPr>
                  <w:tcW w:w="305"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0.3</w:t>
                  </w:r>
                </w:p>
              </w:tc>
              <w:tc>
                <w:tcPr>
                  <w:tcW w:w="203"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312"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w:t>
                  </w:r>
                </w:p>
              </w:tc>
              <w:tc>
                <w:tcPr>
                  <w:tcW w:w="390"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72</w:t>
                  </w:r>
                </w:p>
              </w:tc>
              <w:tc>
                <w:tcPr>
                  <w:tcW w:w="332"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昼间</w:t>
                  </w:r>
                </w:p>
              </w:tc>
              <w:tc>
                <w:tcPr>
                  <w:tcW w:w="355"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25</w:t>
                  </w:r>
                </w:p>
              </w:tc>
              <w:tc>
                <w:tcPr>
                  <w:tcW w:w="372"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47</w:t>
                  </w:r>
                </w:p>
              </w:tc>
              <w:tc>
                <w:tcPr>
                  <w:tcW w:w="421"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w:t>
                  </w:r>
                </w:p>
              </w:tc>
            </w:tr>
            <w:tr>
              <w:tblPrEx>
                <w:tblBorders>
                  <w:top w:val="single" w:color="auto" w:sz="12" w:space="0"/>
                  <w:left w:val="single" w:color="000000" w:sz="12" w:space="0"/>
                  <w:bottom w:val="single" w:color="auto" w:sz="12" w:space="0"/>
                  <w:right w:val="single" w:color="000000"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80"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p>
              </w:tc>
              <w:tc>
                <w:tcPr>
                  <w:tcW w:w="259"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p>
              </w:tc>
              <w:tc>
                <w:tcPr>
                  <w:tcW w:w="463"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磁力搅拌器</w:t>
                  </w:r>
                </w:p>
              </w:tc>
              <w:tc>
                <w:tcPr>
                  <w:tcW w:w="508"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MS100加热</w:t>
                  </w:r>
                </w:p>
              </w:tc>
              <w:tc>
                <w:tcPr>
                  <w:tcW w:w="305"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75</w:t>
                  </w:r>
                </w:p>
              </w:tc>
              <w:tc>
                <w:tcPr>
                  <w:tcW w:w="361" w:type="pct"/>
                  <w:vMerge w:val="continue"/>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p>
              </w:tc>
              <w:tc>
                <w:tcPr>
                  <w:tcW w:w="226"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p>
              </w:tc>
              <w:tc>
                <w:tcPr>
                  <w:tcW w:w="305"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0.4</w:t>
                  </w:r>
                </w:p>
              </w:tc>
              <w:tc>
                <w:tcPr>
                  <w:tcW w:w="203"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312"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3</w:t>
                  </w:r>
                </w:p>
              </w:tc>
              <w:tc>
                <w:tcPr>
                  <w:tcW w:w="390"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72</w:t>
                  </w:r>
                </w:p>
              </w:tc>
              <w:tc>
                <w:tcPr>
                  <w:tcW w:w="332" w:type="pct"/>
                  <w:tcBorders>
                    <w:tl2br w:val="nil"/>
                    <w:tr2bl w:val="nil"/>
                  </w:tcBorders>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昼间</w:t>
                  </w:r>
                </w:p>
              </w:tc>
              <w:tc>
                <w:tcPr>
                  <w:tcW w:w="355"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25</w:t>
                  </w:r>
                </w:p>
              </w:tc>
              <w:tc>
                <w:tcPr>
                  <w:tcW w:w="372"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47</w:t>
                  </w:r>
                </w:p>
              </w:tc>
              <w:tc>
                <w:tcPr>
                  <w:tcW w:w="421" w:type="pct"/>
                  <w:tcBorders>
                    <w:tl2br w:val="nil"/>
                    <w:tr2bl w:val="nil"/>
                  </w:tcBorders>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1</w:t>
                  </w:r>
                </w:p>
              </w:tc>
            </w:tr>
          </w:tbl>
          <w:p>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3.2 降噪措施</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为确保项目实施后企业厂界噪声能够达标，环评要求采取以下噪声防治措施：</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①设备购置时</w:t>
            </w:r>
            <w:r>
              <w:rPr>
                <w:rFonts w:hint="default" w:ascii="Times New Roman" w:hAnsi="Times New Roman" w:cs="Times New Roman"/>
                <w:color w:val="auto"/>
                <w:sz w:val="24"/>
                <w:lang w:val="en-US" w:eastAsia="zh-CN"/>
              </w:rPr>
              <w:t>已</w:t>
            </w:r>
            <w:r>
              <w:rPr>
                <w:rFonts w:hint="default" w:ascii="Times New Roman" w:hAnsi="Times New Roman" w:cs="Times New Roman"/>
                <w:color w:val="auto"/>
                <w:sz w:val="24"/>
              </w:rPr>
              <w:t>采用高效低噪设备；</w:t>
            </w:r>
          </w:p>
          <w:p>
            <w:pPr>
              <w:ind w:firstLine="514"/>
              <w:rPr>
                <w:rFonts w:hint="default" w:ascii="Times New Roman" w:hAnsi="Times New Roman" w:cs="Times New Roman"/>
                <w:color w:val="auto"/>
                <w:sz w:val="24"/>
              </w:rPr>
            </w:pPr>
            <w:r>
              <w:rPr>
                <w:rFonts w:hint="default" w:ascii="Times New Roman" w:hAnsi="Times New Roman" w:cs="Times New Roman"/>
                <w:color w:val="auto"/>
                <w:sz w:val="24"/>
              </w:rPr>
              <w:t>②高噪声设备</w:t>
            </w:r>
            <w:r>
              <w:rPr>
                <w:rFonts w:hint="default" w:ascii="Times New Roman" w:hAnsi="Times New Roman" w:cs="Times New Roman"/>
                <w:color w:val="auto"/>
                <w:sz w:val="24"/>
                <w:lang w:val="en-US" w:eastAsia="zh-CN"/>
              </w:rPr>
              <w:t>已</w:t>
            </w:r>
            <w:r>
              <w:rPr>
                <w:rFonts w:hint="default" w:ascii="Times New Roman" w:hAnsi="Times New Roman" w:cs="Times New Roman"/>
                <w:color w:val="auto"/>
                <w:sz w:val="24"/>
              </w:rPr>
              <w:t>加装减振基础，减少</w:t>
            </w:r>
            <w:r>
              <w:rPr>
                <w:rFonts w:hint="default" w:ascii="Times New Roman" w:hAnsi="Times New Roman" w:cs="Times New Roman"/>
                <w:color w:val="auto"/>
                <w:sz w:val="24"/>
                <w:lang w:val="en-US" w:eastAsia="zh-CN"/>
              </w:rPr>
              <w:t>了</w:t>
            </w:r>
            <w:r>
              <w:rPr>
                <w:rFonts w:hint="default" w:ascii="Times New Roman" w:hAnsi="Times New Roman" w:cs="Times New Roman"/>
                <w:color w:val="auto"/>
                <w:sz w:val="24"/>
              </w:rPr>
              <w:t>噪声外扬；</w:t>
            </w:r>
          </w:p>
          <w:p>
            <w:pPr>
              <w:ind w:firstLine="514"/>
              <w:rPr>
                <w:rFonts w:hint="default" w:ascii="Times New Roman" w:hAnsi="Times New Roman" w:cs="Times New Roman"/>
                <w:color w:val="auto"/>
              </w:rPr>
            </w:pPr>
            <w:r>
              <w:rPr>
                <w:rFonts w:hint="default" w:ascii="Times New Roman" w:hAnsi="Times New Roman" w:cs="Times New Roman"/>
                <w:color w:val="auto"/>
                <w:sz w:val="24"/>
              </w:rPr>
              <w:t>③加强</w:t>
            </w:r>
            <w:r>
              <w:rPr>
                <w:rFonts w:hint="default" w:ascii="Times New Roman" w:hAnsi="Times New Roman" w:cs="Times New Roman"/>
                <w:color w:val="auto"/>
                <w:sz w:val="24"/>
                <w:lang w:val="en-US" w:eastAsia="zh-CN"/>
              </w:rPr>
              <w:t>了</w:t>
            </w:r>
            <w:r>
              <w:rPr>
                <w:rFonts w:hint="default" w:ascii="Times New Roman" w:hAnsi="Times New Roman" w:cs="Times New Roman"/>
                <w:color w:val="auto"/>
                <w:sz w:val="24"/>
              </w:rPr>
              <w:t>生产管理，日常密闭操作，面向厂界的门窗紧闭，尽可能减少</w:t>
            </w:r>
            <w:r>
              <w:rPr>
                <w:rFonts w:hint="default" w:ascii="Times New Roman" w:hAnsi="Times New Roman" w:cs="Times New Roman"/>
                <w:color w:val="auto"/>
                <w:sz w:val="24"/>
                <w:lang w:val="en-US" w:eastAsia="zh-CN"/>
              </w:rPr>
              <w:t>了</w:t>
            </w:r>
            <w:r>
              <w:rPr>
                <w:rFonts w:hint="default" w:ascii="Times New Roman" w:hAnsi="Times New Roman" w:cs="Times New Roman"/>
                <w:color w:val="auto"/>
                <w:sz w:val="24"/>
              </w:rPr>
              <w:t>噪声外扬；</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④平时生产时加强对各设备的维修与保养；</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⑤严格按照生产班次生产。</w:t>
            </w:r>
          </w:p>
          <w:p>
            <w:pP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3.3 厂界噪声达标情况分析</w:t>
            </w:r>
          </w:p>
          <w:p>
            <w:pPr>
              <w:ind w:firstLine="512"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kern w:val="0"/>
                <w:sz w:val="24"/>
              </w:rPr>
              <w:t>本项目厂界外周围50m范围内</w:t>
            </w:r>
            <w:r>
              <w:rPr>
                <w:rFonts w:hint="default" w:ascii="Times New Roman" w:hAnsi="Times New Roman" w:cs="Times New Roman"/>
                <w:color w:val="auto"/>
                <w:kern w:val="0"/>
                <w:sz w:val="24"/>
                <w:lang w:eastAsia="zh-CN"/>
              </w:rPr>
              <w:t>，</w:t>
            </w:r>
            <w:r>
              <w:rPr>
                <w:rFonts w:hint="default" w:ascii="Times New Roman" w:hAnsi="Times New Roman" w:cs="Times New Roman"/>
                <w:color w:val="auto"/>
                <w:kern w:val="0"/>
                <w:sz w:val="24"/>
                <w:lang w:val="en-US" w:eastAsia="zh-CN"/>
              </w:rPr>
              <w:t>主要有北侧25m处中卫市职业技术学校4号实训楼，本项目所在的3号实训楼中的二、三层，本项目为检测实验室项目，所用设备都为小型低噪设备，且通过基础减振降噪、墙体阻隔、距离衰减等方式，噪声对保护目标影响较小。</w:t>
            </w:r>
          </w:p>
          <w:p>
            <w:pPr>
              <w:ind w:firstLine="501" w:firstLineChars="196"/>
              <w:rPr>
                <w:rFonts w:hint="default" w:ascii="Times New Roman" w:hAnsi="Times New Roman" w:cs="Times New Roman"/>
                <w:color w:val="auto"/>
                <w:sz w:val="24"/>
              </w:rPr>
            </w:pPr>
            <w:r>
              <w:rPr>
                <w:rFonts w:hint="default" w:ascii="Times New Roman" w:hAnsi="Times New Roman" w:cs="Times New Roman"/>
                <w:color w:val="auto"/>
                <w:sz w:val="24"/>
              </w:rPr>
              <w:t>根据《环境影响评价技术导则·声环境》(HJ2.4-2021)中工业噪声的技术要求，本次评价采取导则上的推荐模式对厂界及环境敏感目标噪声进行预测。</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 xml:space="preserve">① </w:t>
            </w:r>
            <w:r>
              <w:rPr>
                <w:rFonts w:hint="default" w:ascii="Times New Roman" w:hAnsi="Times New Roman" w:eastAsia="黑体" w:cs="Times New Roman"/>
                <w:color w:val="auto"/>
                <w:sz w:val="24"/>
              </w:rPr>
              <w:t>室内声源等效为室外声源</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Ⅰ、计算某一室内声源靠近围护结构处产生的倍频带声压级或A声级：</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647825" cy="419100"/>
                  <wp:effectExtent l="0" t="0" r="9525" b="0"/>
                  <wp:docPr id="6" name="图片 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true"/>
                          </pic:cNvPicPr>
                        </pic:nvPicPr>
                        <pic:blipFill>
                          <a:blip r:embed="rId25"/>
                          <a:stretch>
                            <a:fillRect/>
                          </a:stretch>
                        </pic:blipFill>
                        <pic:spPr>
                          <a:xfrm>
                            <a:off x="0" y="0"/>
                            <a:ext cx="1647825" cy="419100"/>
                          </a:xfrm>
                          <a:prstGeom prst="rect">
                            <a:avLst/>
                          </a:prstGeom>
                          <a:noFill/>
                          <a:ln>
                            <a:noFill/>
                          </a:ln>
                        </pic:spPr>
                      </pic:pic>
                    </a:graphicData>
                  </a:graphic>
                </wp:inline>
              </w:drawing>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式中：Q—指向性因数；通常对无指向性声源，当声源放在房间中心是，Q=1；当放在一面墙的中心时，Q=2；当放在两面墙夹角处时，Q=4；当放在三面墙夹角处时，Q=8。</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R—房间常数；R=Sα/（1-α），S为房间内表面面积，m²；α为平均吸声系数。</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r—声源到靠近围护结构某点处的距离，m。</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Ⅱ、所有室内声源在围护结构处产生的i倍频带叠加声压级：</w:t>
            </w:r>
          </w:p>
          <w:p>
            <w:pPr>
              <w:pStyle w:val="16"/>
              <w:snapToGrid/>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drawing>
                <wp:inline distT="0" distB="0" distL="114300" distR="114300">
                  <wp:extent cx="1609725" cy="466725"/>
                  <wp:effectExtent l="0" t="0" r="9525" b="8890"/>
                  <wp:docPr id="2" name="图片 2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1"/>
                          <pic:cNvPicPr>
                            <a:picLocks noChangeAspect="true"/>
                          </pic:cNvPicPr>
                        </pic:nvPicPr>
                        <pic:blipFill>
                          <a:blip r:embed="rId26"/>
                          <a:stretch>
                            <a:fillRect/>
                          </a:stretch>
                        </pic:blipFill>
                        <pic:spPr>
                          <a:xfrm>
                            <a:off x="0" y="0"/>
                            <a:ext cx="1609725" cy="466725"/>
                          </a:xfrm>
                          <a:prstGeom prst="rect">
                            <a:avLst/>
                          </a:prstGeom>
                          <a:noFill/>
                          <a:ln>
                            <a:noFill/>
                          </a:ln>
                        </pic:spPr>
                      </pic:pic>
                    </a:graphicData>
                  </a:graphic>
                </wp:inline>
              </w:drawing>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式中：LP1i(T)—靠近围护结构处室内n个声源i倍频带的叠加声压级，dB；</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LP1ij—室内j声源i倍频带的声压级，dB；</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n—室内声源总数。</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Ⅲ、在室内近似为扩散声场时，计算出靠近室外围护结构处声压级：</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647825" cy="238125"/>
                  <wp:effectExtent l="0" t="0" r="9525" b="9525"/>
                  <wp:docPr id="5" name="图片 2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22"/>
                          <pic:cNvPicPr>
                            <a:picLocks noChangeAspect="true"/>
                          </pic:cNvPicPr>
                        </pic:nvPicPr>
                        <pic:blipFill>
                          <a:blip r:embed="rId27"/>
                          <a:stretch>
                            <a:fillRect/>
                          </a:stretch>
                        </pic:blipFill>
                        <pic:spPr>
                          <a:xfrm>
                            <a:off x="0" y="0"/>
                            <a:ext cx="1647825" cy="238125"/>
                          </a:xfrm>
                          <a:prstGeom prst="rect">
                            <a:avLst/>
                          </a:prstGeom>
                          <a:noFill/>
                          <a:ln>
                            <a:noFill/>
                          </a:ln>
                        </pic:spPr>
                      </pic:pic>
                    </a:graphicData>
                  </a:graphic>
                </wp:inline>
              </w:drawing>
            </w:r>
          </w:p>
          <w:p>
            <w:pPr>
              <w:ind w:firstLine="512" w:firstLineChars="200"/>
              <w:rPr>
                <w:rFonts w:hint="default" w:ascii="Times New Roman" w:hAnsi="Times New Roman" w:cs="Times New Roman"/>
                <w:color w:val="auto"/>
              </w:rPr>
            </w:pPr>
            <w:r>
              <w:rPr>
                <w:rFonts w:hint="default" w:ascii="Times New Roman" w:hAnsi="Times New Roman" w:cs="Times New Roman"/>
                <w:color w:val="auto"/>
                <w:sz w:val="24"/>
              </w:rPr>
              <w:t>式中：LP2i(T)—靠近围护结构处室外n个声源i倍频带的叠加声压级，dB；</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LP1i(T)—靠近围护结构处室内n个声源i倍频带的叠加声压级，dB；</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TLi—围护结构i倍频带的隔声量，dB。</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Ⅳ、将室外声源的声压级和透过面积换算成等效的室外声源，计算出中心位置位于透声面积（S）处的等效声源的倍频带声功率级。</w:t>
            </w:r>
          </w:p>
          <w:p>
            <w:pPr>
              <w:ind w:firstLine="512" w:firstLineChars="200"/>
              <w:jc w:val="center"/>
              <w:rPr>
                <w:rFonts w:hint="default" w:ascii="Times New Roman" w:hAnsi="Times New Roman" w:cs="Times New Roman"/>
                <w:color w:val="auto"/>
              </w:rPr>
            </w:pPr>
            <w:r>
              <w:rPr>
                <w:rFonts w:hint="default" w:ascii="Times New Roman" w:hAnsi="Times New Roman" w:cs="Times New Roman"/>
                <w:color w:val="auto"/>
                <w:sz w:val="24"/>
              </w:rPr>
              <w:drawing>
                <wp:inline distT="0" distB="0" distL="114300" distR="114300">
                  <wp:extent cx="1476375" cy="238125"/>
                  <wp:effectExtent l="0" t="0" r="0" b="9525"/>
                  <wp:docPr id="9" name="图片 2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23"/>
                          <pic:cNvPicPr>
                            <a:picLocks noChangeAspect="true"/>
                          </pic:cNvPicPr>
                        </pic:nvPicPr>
                        <pic:blipFill>
                          <a:blip r:embed="rId28"/>
                          <a:stretch>
                            <a:fillRect/>
                          </a:stretch>
                        </pic:blipFill>
                        <pic:spPr>
                          <a:xfrm>
                            <a:off x="0" y="0"/>
                            <a:ext cx="1476375" cy="238125"/>
                          </a:xfrm>
                          <a:prstGeom prst="rect">
                            <a:avLst/>
                          </a:prstGeom>
                          <a:noFill/>
                          <a:ln>
                            <a:noFill/>
                          </a:ln>
                        </pic:spPr>
                      </pic:pic>
                    </a:graphicData>
                  </a:graphic>
                </wp:inline>
              </w:drawing>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Li—中心位置位于透声面积（S）处的等效声源的倍频带声功率级，dB；</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LP2i(T)—靠近围护结构处室外声源的声压级，dB。</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S—透声面积，m²。</w:t>
            </w:r>
          </w:p>
          <w:p>
            <w:pPr>
              <w:ind w:firstLine="48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② 室外声源衰减计算</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Ⅰ、声级计算</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声源在预测点产生的等效声级贡献值(Leqg)计算公式：</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609725" cy="466725"/>
                  <wp:effectExtent l="0" t="0" r="9525" b="8890"/>
                  <wp:docPr id="27" name="图片 4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41"/>
                          <pic:cNvPicPr>
                            <a:picLocks noChangeAspect="true"/>
                          </pic:cNvPicPr>
                        </pic:nvPicPr>
                        <pic:blipFill>
                          <a:blip r:embed="rId26"/>
                          <a:stretch>
                            <a:fillRect/>
                          </a:stretch>
                        </pic:blipFill>
                        <pic:spPr>
                          <a:xfrm>
                            <a:off x="0" y="0"/>
                            <a:ext cx="1609725" cy="466725"/>
                          </a:xfrm>
                          <a:prstGeom prst="rect">
                            <a:avLst/>
                          </a:prstGeom>
                          <a:noFill/>
                          <a:ln>
                            <a:noFill/>
                          </a:ln>
                        </pic:spPr>
                      </pic:pic>
                    </a:graphicData>
                  </a:graphic>
                </wp:inline>
              </w:drawing>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color w:val="auto"/>
                <w:sz w:val="24"/>
              </w:rPr>
              <w:drawing>
                <wp:inline distT="0" distB="0" distL="114300" distR="114300">
                  <wp:extent cx="266700" cy="238125"/>
                  <wp:effectExtent l="0" t="0" r="0" b="7620"/>
                  <wp:docPr id="13"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25"/>
                          <pic:cNvPicPr>
                            <a:picLocks noChangeAspect="true"/>
                          </pic:cNvPicPr>
                        </pic:nvPicPr>
                        <pic:blipFill>
                          <a:blip r:embed="rId29"/>
                          <a:stretch>
                            <a:fillRect/>
                          </a:stretch>
                        </pic:blipFill>
                        <pic:spPr>
                          <a:xfrm>
                            <a:off x="0" y="0"/>
                            <a:ext cx="266700" cy="238125"/>
                          </a:xfrm>
                          <a:prstGeom prst="rect">
                            <a:avLst/>
                          </a:prstGeom>
                          <a:noFill/>
                          <a:ln>
                            <a:noFill/>
                          </a:ln>
                        </pic:spPr>
                      </pic:pic>
                    </a:graphicData>
                  </a:graphic>
                </wp:inline>
              </w:drawing>
            </w:r>
            <w:r>
              <w:rPr>
                <w:rFonts w:hint="default" w:ascii="Times New Roman" w:hAnsi="Times New Roman" w:cs="Times New Roman"/>
                <w:color w:val="auto"/>
                <w:sz w:val="24"/>
              </w:rPr>
              <w:t>—建设项目声源在预测点的等效声级贡献值，dB(A)；</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28600" cy="219075"/>
                  <wp:effectExtent l="0" t="0" r="0" b="6350"/>
                  <wp:docPr id="1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true"/>
                          </pic:cNvPicPr>
                        </pic:nvPicPr>
                        <pic:blipFill>
                          <a:blip r:embed="rId30"/>
                          <a:stretch>
                            <a:fillRect/>
                          </a:stretch>
                        </pic:blipFill>
                        <pic:spPr>
                          <a:xfrm>
                            <a:off x="0" y="0"/>
                            <a:ext cx="228600" cy="219075"/>
                          </a:xfrm>
                          <a:prstGeom prst="rect">
                            <a:avLst/>
                          </a:prstGeom>
                          <a:noFill/>
                          <a:ln>
                            <a:noFill/>
                          </a:ln>
                        </pic:spPr>
                      </pic:pic>
                    </a:graphicData>
                  </a:graphic>
                </wp:inline>
              </w:drawing>
            </w:r>
            <w:r>
              <w:rPr>
                <w:rFonts w:hint="default" w:ascii="Times New Roman" w:hAnsi="Times New Roman" w:cs="Times New Roman"/>
                <w:color w:val="auto"/>
                <w:sz w:val="24"/>
              </w:rPr>
              <w:t>—i声源在预测点产生的A声级，dB(A)；</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T—预测计算的时间段，s；</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42875" cy="219075"/>
                  <wp:effectExtent l="0" t="0" r="9525" b="6350"/>
                  <wp:docPr id="1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7"/>
                          <pic:cNvPicPr>
                            <a:picLocks noChangeAspect="true"/>
                          </pic:cNvPicPr>
                        </pic:nvPicPr>
                        <pic:blipFill>
                          <a:blip r:embed="rId31"/>
                          <a:stretch>
                            <a:fillRect/>
                          </a:stretch>
                        </pic:blipFill>
                        <pic:spPr>
                          <a:xfrm>
                            <a:off x="0" y="0"/>
                            <a:ext cx="142875" cy="219075"/>
                          </a:xfrm>
                          <a:prstGeom prst="rect">
                            <a:avLst/>
                          </a:prstGeom>
                          <a:noFill/>
                          <a:ln>
                            <a:noFill/>
                          </a:ln>
                        </pic:spPr>
                      </pic:pic>
                    </a:graphicData>
                  </a:graphic>
                </wp:inline>
              </w:drawing>
            </w:r>
            <w:r>
              <w:rPr>
                <w:rFonts w:hint="default" w:ascii="Times New Roman" w:hAnsi="Times New Roman" w:cs="Times New Roman"/>
                <w:color w:val="auto"/>
                <w:sz w:val="24"/>
              </w:rPr>
              <w:t>—i声源在T时段内的运行时间，s。</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Ⅱ、预测点的贡献值和背景值按能量叠加方法计算得到的声级。</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噪声预测值(Leq)计算公式：</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1714500" cy="266700"/>
                  <wp:effectExtent l="0" t="0" r="0" b="0"/>
                  <wp:docPr id="1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28"/>
                          <pic:cNvPicPr>
                            <a:picLocks noChangeAspect="true"/>
                          </pic:cNvPicPr>
                        </pic:nvPicPr>
                        <pic:blipFill>
                          <a:blip r:embed="rId32"/>
                          <a:stretch>
                            <a:fillRect/>
                          </a:stretch>
                        </pic:blipFill>
                        <pic:spPr>
                          <a:xfrm>
                            <a:off x="0" y="0"/>
                            <a:ext cx="1714500" cy="266700"/>
                          </a:xfrm>
                          <a:prstGeom prst="rect">
                            <a:avLst/>
                          </a:prstGeom>
                          <a:noFill/>
                          <a:ln>
                            <a:noFill/>
                          </a:ln>
                        </pic:spPr>
                      </pic:pic>
                    </a:graphicData>
                  </a:graphic>
                </wp:inline>
              </w:drawing>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式中：Leq—预测点的噪声预测值，dB；</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66700" cy="238125"/>
                  <wp:effectExtent l="0" t="0" r="0" b="7620"/>
                  <wp:docPr id="1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29"/>
                          <pic:cNvPicPr>
                            <a:picLocks noChangeAspect="true"/>
                          </pic:cNvPicPr>
                        </pic:nvPicPr>
                        <pic:blipFill>
                          <a:blip r:embed="rId29"/>
                          <a:stretch>
                            <a:fillRect/>
                          </a:stretch>
                        </pic:blipFill>
                        <pic:spPr>
                          <a:xfrm>
                            <a:off x="0" y="0"/>
                            <a:ext cx="266700" cy="238125"/>
                          </a:xfrm>
                          <a:prstGeom prst="rect">
                            <a:avLst/>
                          </a:prstGeom>
                          <a:noFill/>
                          <a:ln>
                            <a:noFill/>
                          </a:ln>
                        </pic:spPr>
                      </pic:pic>
                    </a:graphicData>
                  </a:graphic>
                </wp:inline>
              </w:drawing>
            </w:r>
            <w:r>
              <w:rPr>
                <w:rFonts w:hint="default" w:ascii="Times New Roman" w:hAnsi="Times New Roman" w:cs="Times New Roman"/>
                <w:color w:val="auto"/>
                <w:sz w:val="24"/>
              </w:rPr>
              <w:t>—建设项目声源在预测点的噪声贡献值，dB；</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66700" cy="238125"/>
                  <wp:effectExtent l="0" t="0" r="0" b="7620"/>
                  <wp:docPr id="2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30"/>
                          <pic:cNvPicPr>
                            <a:picLocks noChangeAspect="true"/>
                          </pic:cNvPicPr>
                        </pic:nvPicPr>
                        <pic:blipFill>
                          <a:blip r:embed="rId33"/>
                          <a:stretch>
                            <a:fillRect/>
                          </a:stretch>
                        </pic:blipFill>
                        <pic:spPr>
                          <a:xfrm>
                            <a:off x="0" y="0"/>
                            <a:ext cx="266700" cy="238125"/>
                          </a:xfrm>
                          <a:prstGeom prst="rect">
                            <a:avLst/>
                          </a:prstGeom>
                          <a:noFill/>
                          <a:ln>
                            <a:noFill/>
                          </a:ln>
                        </pic:spPr>
                      </pic:pic>
                    </a:graphicData>
                  </a:graphic>
                </wp:inline>
              </w:drawing>
            </w:r>
            <w:r>
              <w:rPr>
                <w:rFonts w:hint="default" w:ascii="Times New Roman" w:hAnsi="Times New Roman" w:cs="Times New Roman"/>
                <w:color w:val="auto"/>
                <w:sz w:val="24"/>
              </w:rPr>
              <w:t>—预测点的背景噪声值，dB。</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Ⅲ、户外声传播衰减计算</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户外声传播衰减包括几何发散(Adiv)、大气吸收(Aatm)、地面效应(Agr)、屏障屏蔽(Abar)、其他多方面效应(Amisc)引起的衰减。</w:t>
            </w:r>
          </w:p>
          <w:p>
            <w:pPr>
              <w:ind w:firstLine="480"/>
              <w:rPr>
                <w:rFonts w:hint="default" w:ascii="Times New Roman" w:hAnsi="Times New Roman" w:cs="Times New Roman"/>
                <w:color w:val="auto"/>
                <w:sz w:val="24"/>
              </w:rPr>
            </w:pPr>
            <w:r>
              <w:rPr>
                <w:rFonts w:hint="default" w:ascii="Times New Roman" w:hAnsi="Times New Roman" w:cs="Times New Roman"/>
                <w:color w:val="auto"/>
                <w:sz w:val="24"/>
              </w:rPr>
              <w:t>距声源点r处的A声级按下式计算：</w:t>
            </w:r>
          </w:p>
          <w:p>
            <w:pPr>
              <w:ind w:firstLine="480"/>
              <w:jc w:val="center"/>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790825" cy="238125"/>
                  <wp:effectExtent l="0" t="0" r="9525" b="9525"/>
                  <wp:docPr id="2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31"/>
                          <pic:cNvPicPr>
                            <a:picLocks noChangeAspect="true"/>
                          </pic:cNvPicPr>
                        </pic:nvPicPr>
                        <pic:blipFill>
                          <a:blip r:embed="rId34"/>
                          <a:stretch>
                            <a:fillRect/>
                          </a:stretch>
                        </pic:blipFill>
                        <pic:spPr>
                          <a:xfrm>
                            <a:off x="0" y="0"/>
                            <a:ext cx="2790825" cy="238125"/>
                          </a:xfrm>
                          <a:prstGeom prst="rect">
                            <a:avLst/>
                          </a:prstGeom>
                          <a:noFill/>
                          <a:ln>
                            <a:noFill/>
                          </a:ln>
                        </pic:spPr>
                      </pic:pic>
                    </a:graphicData>
                  </a:graphic>
                </wp:inline>
              </w:drawing>
            </w:r>
          </w:p>
          <w:p>
            <w:pPr>
              <w:ind w:firstLine="480"/>
              <w:rPr>
                <w:rFonts w:hint="default" w:ascii="Times New Roman" w:hAnsi="Times New Roman" w:cs="Times New Roman"/>
                <w:color w:val="auto"/>
              </w:rPr>
            </w:pPr>
            <w:r>
              <w:rPr>
                <w:rFonts w:hint="default" w:ascii="Times New Roman" w:hAnsi="Times New Roman" w:cs="Times New Roman"/>
                <w:color w:val="auto"/>
                <w:sz w:val="24"/>
              </w:rPr>
              <w:t>式中：</w:t>
            </w:r>
            <w:r>
              <w:rPr>
                <w:rFonts w:hint="default" w:ascii="Times New Roman" w:hAnsi="Times New Roman" w:cs="Times New Roman"/>
                <w:color w:val="auto"/>
                <w:sz w:val="24"/>
              </w:rPr>
              <w:drawing>
                <wp:inline distT="0" distB="0" distL="114300" distR="114300">
                  <wp:extent cx="304800" cy="238125"/>
                  <wp:effectExtent l="0" t="0" r="0" b="7620"/>
                  <wp:docPr id="2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2"/>
                          <pic:cNvPicPr>
                            <a:picLocks noChangeAspect="true"/>
                          </pic:cNvPicPr>
                        </pic:nvPicPr>
                        <pic:blipFill>
                          <a:blip r:embed="rId35"/>
                          <a:stretch>
                            <a:fillRect/>
                          </a:stretch>
                        </pic:blipFill>
                        <pic:spPr>
                          <a:xfrm>
                            <a:off x="0" y="0"/>
                            <a:ext cx="304800" cy="238125"/>
                          </a:xfrm>
                          <a:prstGeom prst="rect">
                            <a:avLst/>
                          </a:prstGeom>
                          <a:noFill/>
                          <a:ln>
                            <a:noFill/>
                          </a:ln>
                        </pic:spPr>
                      </pic:pic>
                    </a:graphicData>
                  </a:graphic>
                </wp:inline>
              </w:drawing>
            </w:r>
            <w:r>
              <w:rPr>
                <w:rFonts w:hint="default" w:ascii="Times New Roman" w:hAnsi="Times New Roman" w:cs="Times New Roman"/>
                <w:color w:val="auto"/>
                <w:sz w:val="24"/>
              </w:rPr>
              <w:t>—距声源r处的A声级；</w:t>
            </w:r>
          </w:p>
          <w:p>
            <w:pPr>
              <w:ind w:firstLine="1280" w:firstLineChars="5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352425" cy="238125"/>
                  <wp:effectExtent l="0" t="0" r="8890" b="7620"/>
                  <wp:docPr id="2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33"/>
                          <pic:cNvPicPr>
                            <a:picLocks noChangeAspect="true"/>
                          </pic:cNvPicPr>
                        </pic:nvPicPr>
                        <pic:blipFill>
                          <a:blip r:embed="rId36"/>
                          <a:stretch>
                            <a:fillRect/>
                          </a:stretch>
                        </pic:blipFill>
                        <pic:spPr>
                          <a:xfrm>
                            <a:off x="0" y="0"/>
                            <a:ext cx="352425" cy="238125"/>
                          </a:xfrm>
                          <a:prstGeom prst="rect">
                            <a:avLst/>
                          </a:prstGeom>
                          <a:noFill/>
                          <a:ln>
                            <a:noFill/>
                          </a:ln>
                        </pic:spPr>
                      </pic:pic>
                    </a:graphicData>
                  </a:graphic>
                </wp:inline>
              </w:drawing>
            </w:r>
            <w:r>
              <w:rPr>
                <w:rFonts w:hint="default" w:ascii="Times New Roman" w:hAnsi="Times New Roman" w:cs="Times New Roman"/>
                <w:color w:val="auto"/>
                <w:sz w:val="24"/>
              </w:rPr>
              <w:t>—参考位置r0处的A声级；</w:t>
            </w:r>
          </w:p>
          <w:p>
            <w:pPr>
              <w:ind w:firstLine="1024" w:firstLineChars="4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57175" cy="228600"/>
                  <wp:effectExtent l="0" t="0" r="8890" b="0"/>
                  <wp:docPr id="2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34"/>
                          <pic:cNvPicPr>
                            <a:picLocks noChangeAspect="true"/>
                          </pic:cNvPicPr>
                        </pic:nvPicPr>
                        <pic:blipFill>
                          <a:blip r:embed="rId37"/>
                          <a:stretch>
                            <a:fillRect/>
                          </a:stretch>
                        </pic:blipFill>
                        <pic:spPr>
                          <a:xfrm>
                            <a:off x="0" y="0"/>
                            <a:ext cx="257175" cy="228600"/>
                          </a:xfrm>
                          <a:prstGeom prst="rect">
                            <a:avLst/>
                          </a:prstGeom>
                          <a:noFill/>
                          <a:ln>
                            <a:noFill/>
                          </a:ln>
                        </pic:spPr>
                      </pic:pic>
                    </a:graphicData>
                  </a:graphic>
                </wp:inline>
              </w:drawing>
            </w:r>
            <w:r>
              <w:rPr>
                <w:rFonts w:hint="default" w:ascii="Times New Roman" w:hAnsi="Times New Roman" w:cs="Times New Roman"/>
                <w:color w:val="auto"/>
                <w:sz w:val="24"/>
              </w:rPr>
              <w:t>—几何发散引起的倍频带衰减；</w:t>
            </w:r>
          </w:p>
          <w:p>
            <w:pPr>
              <w:ind w:firstLine="1024" w:firstLineChars="4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76225" cy="228600"/>
                  <wp:effectExtent l="0" t="0" r="8890" b="0"/>
                  <wp:docPr id="25"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35"/>
                          <pic:cNvPicPr>
                            <a:picLocks noChangeAspect="true"/>
                          </pic:cNvPicPr>
                        </pic:nvPicPr>
                        <pic:blipFill>
                          <a:blip r:embed="rId38"/>
                          <a:stretch>
                            <a:fillRect/>
                          </a:stretch>
                        </pic:blipFill>
                        <pic:spPr>
                          <a:xfrm>
                            <a:off x="0" y="0"/>
                            <a:ext cx="276225" cy="228600"/>
                          </a:xfrm>
                          <a:prstGeom prst="rect">
                            <a:avLst/>
                          </a:prstGeom>
                          <a:noFill/>
                          <a:ln>
                            <a:noFill/>
                          </a:ln>
                        </pic:spPr>
                      </pic:pic>
                    </a:graphicData>
                  </a:graphic>
                </wp:inline>
              </w:drawing>
            </w:r>
            <w:r>
              <w:rPr>
                <w:rFonts w:hint="default" w:ascii="Times New Roman" w:hAnsi="Times New Roman" w:cs="Times New Roman"/>
                <w:color w:val="auto"/>
                <w:sz w:val="24"/>
              </w:rPr>
              <w:t>—大气吸收引起的倍频带衰减；</w:t>
            </w:r>
          </w:p>
          <w:p>
            <w:pPr>
              <w:ind w:firstLine="1024" w:firstLineChars="4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66700" cy="228600"/>
                  <wp:effectExtent l="0" t="0" r="0" b="0"/>
                  <wp:docPr id="26" name="图片 3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36"/>
                          <pic:cNvPicPr>
                            <a:picLocks noChangeAspect="true"/>
                          </pic:cNvPicPr>
                        </pic:nvPicPr>
                        <pic:blipFill>
                          <a:blip r:embed="rId39"/>
                          <a:stretch>
                            <a:fillRect/>
                          </a:stretch>
                        </pic:blipFill>
                        <pic:spPr>
                          <a:xfrm>
                            <a:off x="0" y="0"/>
                            <a:ext cx="266700" cy="228600"/>
                          </a:xfrm>
                          <a:prstGeom prst="rect">
                            <a:avLst/>
                          </a:prstGeom>
                          <a:noFill/>
                          <a:ln>
                            <a:noFill/>
                          </a:ln>
                        </pic:spPr>
                      </pic:pic>
                    </a:graphicData>
                  </a:graphic>
                </wp:inline>
              </w:drawing>
            </w:r>
            <w:r>
              <w:rPr>
                <w:rFonts w:hint="default" w:ascii="Times New Roman" w:hAnsi="Times New Roman" w:cs="Times New Roman"/>
                <w:color w:val="auto"/>
                <w:sz w:val="24"/>
              </w:rPr>
              <w:t>—屏障屏蔽引起的倍频带衰减；</w:t>
            </w:r>
          </w:p>
          <w:p>
            <w:pPr>
              <w:ind w:firstLine="1024" w:firstLineChars="4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228600" cy="238125"/>
                  <wp:effectExtent l="0" t="0" r="0" b="7620"/>
                  <wp:docPr id="28" name="图片 3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37"/>
                          <pic:cNvPicPr>
                            <a:picLocks noChangeAspect="true"/>
                          </pic:cNvPicPr>
                        </pic:nvPicPr>
                        <pic:blipFill>
                          <a:blip r:embed="rId40"/>
                          <a:stretch>
                            <a:fillRect/>
                          </a:stretch>
                        </pic:blipFill>
                        <pic:spPr>
                          <a:xfrm>
                            <a:off x="0" y="0"/>
                            <a:ext cx="228600" cy="238125"/>
                          </a:xfrm>
                          <a:prstGeom prst="rect">
                            <a:avLst/>
                          </a:prstGeom>
                          <a:noFill/>
                          <a:ln>
                            <a:noFill/>
                          </a:ln>
                        </pic:spPr>
                      </pic:pic>
                    </a:graphicData>
                  </a:graphic>
                </wp:inline>
              </w:drawing>
            </w:r>
            <w:r>
              <w:rPr>
                <w:rFonts w:hint="default" w:ascii="Times New Roman" w:hAnsi="Times New Roman" w:cs="Times New Roman"/>
                <w:color w:val="auto"/>
                <w:sz w:val="24"/>
              </w:rPr>
              <w:t>—地面效应引起的倍频带衰减；</w:t>
            </w:r>
          </w:p>
          <w:p>
            <w:pPr>
              <w:ind w:firstLine="1024" w:firstLineChars="40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304800" cy="228600"/>
                  <wp:effectExtent l="0" t="0" r="0" b="0"/>
                  <wp:docPr id="29" name="图片 3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38"/>
                          <pic:cNvPicPr>
                            <a:picLocks noChangeAspect="true"/>
                          </pic:cNvPicPr>
                        </pic:nvPicPr>
                        <pic:blipFill>
                          <a:blip r:embed="rId41"/>
                          <a:stretch>
                            <a:fillRect/>
                          </a:stretch>
                        </pic:blipFill>
                        <pic:spPr>
                          <a:xfrm>
                            <a:off x="0" y="0"/>
                            <a:ext cx="304800" cy="228600"/>
                          </a:xfrm>
                          <a:prstGeom prst="rect">
                            <a:avLst/>
                          </a:prstGeom>
                          <a:noFill/>
                          <a:ln>
                            <a:noFill/>
                          </a:ln>
                        </pic:spPr>
                      </pic:pic>
                    </a:graphicData>
                  </a:graphic>
                </wp:inline>
              </w:drawing>
            </w:r>
            <w:r>
              <w:rPr>
                <w:rFonts w:hint="default" w:ascii="Times New Roman" w:hAnsi="Times New Roman" w:cs="Times New Roman"/>
                <w:color w:val="auto"/>
                <w:sz w:val="24"/>
              </w:rPr>
              <w:t>—其他多方面效应引起的倍频带衰减。</w:t>
            </w:r>
          </w:p>
          <w:p>
            <w:pPr>
              <w:ind w:firstLine="480"/>
              <w:rPr>
                <w:rFonts w:hint="default" w:ascii="Times New Roman" w:hAnsi="Times New Roman" w:eastAsia="黑体" w:cs="Times New Roman"/>
                <w:color w:val="auto"/>
                <w:sz w:val="24"/>
                <w:lang w:val="en-GB"/>
              </w:rPr>
            </w:pPr>
            <w:r>
              <w:rPr>
                <w:rFonts w:hint="default" w:ascii="Times New Roman" w:hAnsi="Times New Roman" w:eastAsia="黑体" w:cs="Times New Roman"/>
                <w:color w:val="auto"/>
                <w:sz w:val="24"/>
              </w:rPr>
              <w:t>③ 预测结果</w:t>
            </w:r>
          </w:p>
          <w:p>
            <w:pPr>
              <w:ind w:firstLine="480"/>
              <w:rPr>
                <w:rFonts w:hint="default" w:ascii="Times New Roman" w:hAnsi="Times New Roman" w:cs="Times New Roman"/>
                <w:color w:val="auto"/>
              </w:rPr>
            </w:pPr>
            <w:r>
              <w:rPr>
                <w:rFonts w:hint="default" w:ascii="Times New Roman" w:hAnsi="Times New Roman" w:cs="Times New Roman"/>
                <w:color w:val="auto"/>
                <w:sz w:val="24"/>
              </w:rPr>
              <w:t>噪声源对各预测点的影响预测结果见表4-</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w:t>
            </w:r>
          </w:p>
          <w:p>
            <w:pPr>
              <w:pStyle w:val="73"/>
              <w:adjustRightInd/>
              <w:snapToGrid/>
              <w:rPr>
                <w:rFonts w:hint="default" w:ascii="Times New Roman" w:hAnsi="Times New Roman" w:cs="Times New Roman"/>
                <w:color w:val="auto"/>
              </w:rPr>
            </w:pPr>
            <w:r>
              <w:rPr>
                <w:rFonts w:hint="default" w:ascii="Times New Roman" w:hAnsi="Times New Roman" w:cs="Times New Roman"/>
                <w:color w:val="auto"/>
              </w:rPr>
              <w:t>表4-</w:t>
            </w:r>
            <w:r>
              <w:rPr>
                <w:rFonts w:hint="default" w:ascii="Times New Roman" w:hAnsi="Times New Roman" w:cs="Times New Roman"/>
                <w:color w:val="auto"/>
                <w:lang w:val="en-US" w:eastAsia="zh-CN"/>
              </w:rPr>
              <w:t>6</w:t>
            </w:r>
            <w:r>
              <w:rPr>
                <w:rFonts w:hint="default" w:ascii="Times New Roman" w:hAnsi="Times New Roman" w:cs="Times New Roman"/>
                <w:color w:val="auto"/>
              </w:rPr>
              <w:t xml:space="preserve">  项目运营期噪声预测结果  单位:dB(A)</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1"/>
              <w:gridCol w:w="1722"/>
              <w:gridCol w:w="1722"/>
              <w:gridCol w:w="1723"/>
              <w:gridCol w:w="172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Merge w:val="restart"/>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预测方位</w:t>
                  </w:r>
                </w:p>
              </w:tc>
              <w:tc>
                <w:tcPr>
                  <w:tcW w:w="1184" w:type="dxa"/>
                  <w:vMerge w:val="restart"/>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时段</w:t>
                  </w:r>
                </w:p>
              </w:tc>
              <w:tc>
                <w:tcPr>
                  <w:tcW w:w="1184" w:type="dxa"/>
                  <w:vMerge w:val="restart"/>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贡献值</w:t>
                  </w:r>
                </w:p>
              </w:tc>
              <w:tc>
                <w:tcPr>
                  <w:tcW w:w="1185" w:type="dxa"/>
                  <w:vMerge w:val="restart"/>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标准限值</w:t>
                  </w:r>
                </w:p>
              </w:tc>
              <w:tc>
                <w:tcPr>
                  <w:tcW w:w="1185" w:type="dxa"/>
                  <w:vMerge w:val="restart"/>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Merge w:val="continue"/>
                  <w:vAlign w:val="center"/>
                </w:tcPr>
                <w:p>
                  <w:pPr>
                    <w:overflowPunct w:val="0"/>
                    <w:adjustRightInd w:val="0"/>
                    <w:snapToGrid w:val="0"/>
                    <w:jc w:val="center"/>
                    <w:rPr>
                      <w:rFonts w:hint="default" w:ascii="Times New Roman" w:hAnsi="Times New Roman" w:cs="Times New Roman"/>
                      <w:color w:val="auto"/>
                    </w:rPr>
                  </w:pPr>
                </w:p>
              </w:tc>
              <w:tc>
                <w:tcPr>
                  <w:tcW w:w="1184" w:type="dxa"/>
                  <w:vMerge w:val="continue"/>
                  <w:vAlign w:val="center"/>
                </w:tcPr>
                <w:p>
                  <w:pPr>
                    <w:overflowPunct w:val="0"/>
                    <w:adjustRightInd w:val="0"/>
                    <w:snapToGrid w:val="0"/>
                    <w:jc w:val="center"/>
                    <w:rPr>
                      <w:rFonts w:hint="default" w:ascii="Times New Roman" w:hAnsi="Times New Roman" w:cs="Times New Roman"/>
                      <w:color w:val="auto"/>
                    </w:rPr>
                  </w:pPr>
                </w:p>
              </w:tc>
              <w:tc>
                <w:tcPr>
                  <w:tcW w:w="1184" w:type="dxa"/>
                  <w:vMerge w:val="continue"/>
                  <w:vAlign w:val="center"/>
                </w:tcPr>
                <w:p>
                  <w:pPr>
                    <w:overflowPunct w:val="0"/>
                    <w:adjustRightInd w:val="0"/>
                    <w:snapToGrid w:val="0"/>
                    <w:jc w:val="center"/>
                    <w:rPr>
                      <w:rFonts w:hint="default" w:ascii="Times New Roman" w:hAnsi="Times New Roman" w:cs="Times New Roman"/>
                      <w:color w:val="auto"/>
                    </w:rPr>
                  </w:pPr>
                </w:p>
              </w:tc>
              <w:tc>
                <w:tcPr>
                  <w:tcW w:w="1185" w:type="dxa"/>
                  <w:vMerge w:val="continue"/>
                  <w:vAlign w:val="center"/>
                </w:tcPr>
                <w:p>
                  <w:pPr>
                    <w:overflowPunct w:val="0"/>
                    <w:adjustRightInd w:val="0"/>
                    <w:snapToGrid w:val="0"/>
                    <w:jc w:val="center"/>
                    <w:rPr>
                      <w:rFonts w:hint="default" w:ascii="Times New Roman" w:hAnsi="Times New Roman" w:cs="Times New Roman"/>
                      <w:color w:val="auto"/>
                    </w:rPr>
                  </w:pPr>
                </w:p>
              </w:tc>
              <w:tc>
                <w:tcPr>
                  <w:tcW w:w="1185" w:type="dxa"/>
                  <w:vMerge w:val="continue"/>
                  <w:vAlign w:val="center"/>
                </w:tcPr>
                <w:p>
                  <w:pPr>
                    <w:overflowPunct w:val="0"/>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东北侧</w:t>
                  </w:r>
                </w:p>
              </w:tc>
              <w:tc>
                <w:tcPr>
                  <w:tcW w:w="1184"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1184" w:type="dxa"/>
                  <w:vAlign w:val="center"/>
                </w:tcPr>
                <w:p>
                  <w:pPr>
                    <w:overflowPunct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48</w:t>
                  </w:r>
                </w:p>
              </w:tc>
              <w:tc>
                <w:tcPr>
                  <w:tcW w:w="1185" w:type="dxa"/>
                  <w:vAlign w:val="center"/>
                </w:tcPr>
                <w:p>
                  <w:pPr>
                    <w:overflowPunct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1185"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东南侧</w:t>
                  </w:r>
                </w:p>
              </w:tc>
              <w:tc>
                <w:tcPr>
                  <w:tcW w:w="1184"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1184" w:type="dxa"/>
                  <w:vAlign w:val="center"/>
                </w:tcPr>
                <w:p>
                  <w:pPr>
                    <w:overflowPunct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46</w:t>
                  </w:r>
                </w:p>
              </w:tc>
              <w:tc>
                <w:tcPr>
                  <w:tcW w:w="1185" w:type="dxa"/>
                  <w:vAlign w:val="center"/>
                </w:tcPr>
                <w:p>
                  <w:pPr>
                    <w:overflowPunct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1185"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西北侧</w:t>
                  </w:r>
                </w:p>
              </w:tc>
              <w:tc>
                <w:tcPr>
                  <w:tcW w:w="1184"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1184" w:type="dxa"/>
                  <w:vAlign w:val="center"/>
                </w:tcPr>
                <w:p>
                  <w:pPr>
                    <w:overflowPunct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44</w:t>
                  </w:r>
                </w:p>
              </w:tc>
              <w:tc>
                <w:tcPr>
                  <w:tcW w:w="1185" w:type="dxa"/>
                  <w:vAlign w:val="center"/>
                </w:tcPr>
                <w:p>
                  <w:pPr>
                    <w:overflowPunct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1185"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64"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西南侧</w:t>
                  </w:r>
                </w:p>
              </w:tc>
              <w:tc>
                <w:tcPr>
                  <w:tcW w:w="1184"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昼间</w:t>
                  </w:r>
                </w:p>
              </w:tc>
              <w:tc>
                <w:tcPr>
                  <w:tcW w:w="1184" w:type="dxa"/>
                  <w:vAlign w:val="center"/>
                </w:tcPr>
                <w:p>
                  <w:pPr>
                    <w:overflowPunct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41</w:t>
                  </w:r>
                </w:p>
              </w:tc>
              <w:tc>
                <w:tcPr>
                  <w:tcW w:w="1185" w:type="dxa"/>
                  <w:vAlign w:val="center"/>
                </w:tcPr>
                <w:p>
                  <w:pPr>
                    <w:overflowPunct w:val="0"/>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55</w:t>
                  </w:r>
                </w:p>
              </w:tc>
              <w:tc>
                <w:tcPr>
                  <w:tcW w:w="1185" w:type="dxa"/>
                  <w:vAlign w:val="center"/>
                </w:tcPr>
                <w:p>
                  <w:pPr>
                    <w:overflowPunct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达标</w:t>
                  </w:r>
                </w:p>
              </w:tc>
            </w:tr>
          </w:tbl>
          <w:p>
            <w:pPr>
              <w:ind w:firstLine="501" w:firstLineChars="196"/>
              <w:rPr>
                <w:rFonts w:hint="default" w:ascii="Times New Roman" w:hAnsi="Times New Roman" w:cs="Times New Roman"/>
                <w:color w:val="auto"/>
                <w:sz w:val="24"/>
              </w:rPr>
            </w:pPr>
            <w:r>
              <w:rPr>
                <w:rFonts w:hint="default" w:ascii="Times New Roman" w:hAnsi="Times New Roman" w:cs="Times New Roman"/>
                <w:color w:val="auto"/>
                <w:sz w:val="24"/>
              </w:rPr>
              <w:t>由上表可知，在正常运行情况下，项目昼间厂界噪声值可满足《工业企业厂界环境噪声排放标准》（GB12348-2008）中的</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类排放标准要求。</w:t>
            </w:r>
          </w:p>
          <w:p>
            <w:pP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3.4 监测要求</w:t>
            </w:r>
          </w:p>
          <w:p>
            <w:pPr>
              <w:ind w:firstLine="501" w:firstLineChars="196"/>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根据《排污单位自行监测技术指南 总则》（HJ819-2017），本项目运 营期噪声监测计划见</w:t>
            </w:r>
            <w:r>
              <w:rPr>
                <w:rFonts w:hint="default" w:ascii="Times New Roman" w:hAnsi="Times New Roman" w:cs="Times New Roman"/>
                <w:color w:val="auto"/>
                <w:sz w:val="24"/>
                <w:lang w:val="en-US" w:eastAsia="zh-CN"/>
              </w:rPr>
              <w:t>下</w:t>
            </w:r>
            <w:r>
              <w:rPr>
                <w:rFonts w:hint="default" w:ascii="Times New Roman" w:hAnsi="Times New Roman" w:cs="Times New Roman"/>
                <w:color w:val="auto"/>
                <w:sz w:val="24"/>
              </w:rPr>
              <w:t>表</w:t>
            </w:r>
            <w:r>
              <w:rPr>
                <w:rFonts w:hint="default" w:ascii="Times New Roman" w:hAnsi="Times New Roman" w:cs="Times New Roman"/>
                <w:color w:val="auto"/>
                <w:sz w:val="24"/>
                <w:lang w:eastAsia="zh-CN"/>
              </w:rPr>
              <w:t>：</w:t>
            </w:r>
          </w:p>
          <w:p>
            <w:pPr>
              <w:adjustRightInd w:val="0"/>
              <w:jc w:val="center"/>
              <w:rPr>
                <w:rFonts w:hint="default" w:ascii="Times New Roman" w:hAnsi="Times New Roman" w:eastAsia="黑体" w:cs="Times New Roman"/>
                <w:color w:val="auto"/>
              </w:rPr>
            </w:pPr>
            <w:r>
              <w:rPr>
                <w:rFonts w:hint="default" w:ascii="Times New Roman" w:hAnsi="Times New Roman" w:eastAsia="黑体" w:cs="Times New Roman"/>
                <w:color w:val="auto"/>
                <w:sz w:val="24"/>
              </w:rPr>
              <w:t>表4-</w:t>
            </w:r>
            <w:r>
              <w:rPr>
                <w:rFonts w:hint="default" w:ascii="Times New Roman" w:hAnsi="Times New Roman" w:eastAsia="黑体" w:cs="Times New Roman"/>
                <w:color w:val="auto"/>
                <w:sz w:val="24"/>
                <w:lang w:val="en-US" w:eastAsia="zh-CN"/>
              </w:rPr>
              <w:t>7</w:t>
            </w:r>
            <w:r>
              <w:rPr>
                <w:rFonts w:hint="default" w:ascii="Times New Roman" w:hAnsi="Times New Roman" w:eastAsia="黑体" w:cs="Times New Roman"/>
                <w:color w:val="auto"/>
                <w:sz w:val="24"/>
              </w:rPr>
              <w:t xml:space="preserve">  项目声环境监测要求</w:t>
            </w:r>
          </w:p>
          <w:tbl>
            <w:tblPr>
              <w:tblStyle w:val="2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2208"/>
              <w:gridCol w:w="1075"/>
              <w:gridCol w:w="1075"/>
              <w:gridCol w:w="3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tcBorders>
                    <w:top w:val="single" w:color="auto" w:sz="12" w:space="0"/>
                    <w:left w:val="single" w:color="auto" w:sz="12" w:space="0"/>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项目</w:t>
                  </w:r>
                </w:p>
              </w:tc>
              <w:tc>
                <w:tcPr>
                  <w:tcW w:w="3402" w:type="dxa"/>
                  <w:tcBorders>
                    <w:top w:val="single" w:color="auto" w:sz="12" w:space="0"/>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监测点位</w:t>
                  </w:r>
                </w:p>
              </w:tc>
              <w:tc>
                <w:tcPr>
                  <w:tcW w:w="1576" w:type="dxa"/>
                  <w:tcBorders>
                    <w:top w:val="single" w:color="auto" w:sz="12" w:space="0"/>
                  </w:tcBorders>
                  <w:vAlign w:val="center"/>
                </w:tcPr>
                <w:p>
                  <w:pPr>
                    <w:autoSpaceDE w:val="0"/>
                    <w:autoSpaceDN w:val="0"/>
                    <w:adjustRightInd w:val="0"/>
                    <w:snapToGrid w:val="0"/>
                    <w:ind w:left="-113" w:leftChars="-50" w:right="-113" w:rightChars="-50"/>
                    <w:jc w:val="center"/>
                    <w:rPr>
                      <w:rFonts w:hint="default" w:ascii="Times New Roman" w:hAnsi="Times New Roman" w:cs="Times New Roman"/>
                      <w:color w:val="auto"/>
                    </w:rPr>
                  </w:pPr>
                  <w:r>
                    <w:rPr>
                      <w:rFonts w:hint="default" w:ascii="Times New Roman" w:hAnsi="Times New Roman" w:cs="Times New Roman"/>
                      <w:color w:val="auto"/>
                    </w:rPr>
                    <w:t>监测指标</w:t>
                  </w:r>
                </w:p>
              </w:tc>
              <w:tc>
                <w:tcPr>
                  <w:tcW w:w="1576" w:type="dxa"/>
                  <w:tcBorders>
                    <w:top w:val="single" w:color="auto" w:sz="12" w:space="0"/>
                  </w:tcBorders>
                  <w:vAlign w:val="center"/>
                </w:tcPr>
                <w:p>
                  <w:pPr>
                    <w:autoSpaceDE w:val="0"/>
                    <w:autoSpaceDN w:val="0"/>
                    <w:adjustRightInd w:val="0"/>
                    <w:snapToGrid w:val="0"/>
                    <w:ind w:left="-113" w:leftChars="-50" w:right="-113" w:rightChars="-50"/>
                    <w:jc w:val="center"/>
                    <w:rPr>
                      <w:rFonts w:hint="default" w:ascii="Times New Roman" w:hAnsi="Times New Roman" w:cs="Times New Roman"/>
                      <w:color w:val="auto"/>
                    </w:rPr>
                  </w:pPr>
                  <w:r>
                    <w:rPr>
                      <w:rFonts w:hint="default" w:ascii="Times New Roman" w:hAnsi="Times New Roman" w:cs="Times New Roman"/>
                      <w:color w:val="auto"/>
                    </w:rPr>
                    <w:t>监测频次</w:t>
                  </w:r>
                </w:p>
              </w:tc>
              <w:tc>
                <w:tcPr>
                  <w:tcW w:w="4902" w:type="dxa"/>
                  <w:tcBorders>
                    <w:top w:val="single" w:color="auto" w:sz="12" w:space="0"/>
                    <w:right w:val="single" w:color="auto" w:sz="12" w:space="0"/>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55" w:type="dxa"/>
                  <w:tcBorders>
                    <w:left w:val="single" w:color="auto" w:sz="12" w:space="0"/>
                    <w:bottom w:val="single" w:color="auto" w:sz="12" w:space="0"/>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昼间噪声</w:t>
                  </w:r>
                </w:p>
              </w:tc>
              <w:tc>
                <w:tcPr>
                  <w:tcW w:w="3402" w:type="dxa"/>
                  <w:tcBorders>
                    <w:bottom w:val="single" w:color="auto" w:sz="12" w:space="0"/>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厂界四周外1m处</w:t>
                  </w:r>
                </w:p>
              </w:tc>
              <w:tc>
                <w:tcPr>
                  <w:tcW w:w="1576" w:type="dxa"/>
                  <w:tcBorders>
                    <w:bottom w:val="single" w:color="auto" w:sz="12" w:space="0"/>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LAeq</w:t>
                  </w:r>
                </w:p>
              </w:tc>
              <w:tc>
                <w:tcPr>
                  <w:tcW w:w="1576" w:type="dxa"/>
                  <w:tcBorders>
                    <w:bottom w:val="single" w:color="auto" w:sz="12" w:space="0"/>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1次/季</w:t>
                  </w:r>
                </w:p>
              </w:tc>
              <w:tc>
                <w:tcPr>
                  <w:tcW w:w="4902" w:type="dxa"/>
                  <w:tcBorders>
                    <w:bottom w:val="single" w:color="auto" w:sz="12" w:space="0"/>
                    <w:right w:val="single" w:color="auto" w:sz="12" w:space="0"/>
                  </w:tcBorders>
                  <w:vAlign w:val="center"/>
                </w:tcPr>
                <w:p>
                  <w:pPr>
                    <w:autoSpaceDE w:val="0"/>
                    <w:autoSpaceDN w:val="0"/>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《工业企业厂界环境噪声排放标准》（GB12348-2008）中的2类区标准限值</w:t>
                  </w:r>
                </w:p>
              </w:tc>
            </w:tr>
          </w:tbl>
          <w:p>
            <w:pPr>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4、固体废物</w:t>
            </w:r>
          </w:p>
          <w:p>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4.1 产生情况</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eastAsia="黑体" w:cs="Times New Roman"/>
                <w:color w:val="auto"/>
                <w:sz w:val="24"/>
              </w:rPr>
              <w:t>生活垃圾</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项目劳动定员</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人，年生产250d，生活垃圾产生量</w:t>
            </w:r>
            <w:r>
              <w:rPr>
                <w:rFonts w:hint="default" w:ascii="Times New Roman" w:hAnsi="Times New Roman" w:cs="Times New Roman"/>
                <w:color w:val="auto"/>
                <w:sz w:val="24"/>
                <w:lang w:val="en-US" w:eastAsia="zh-CN"/>
              </w:rPr>
              <w:t>约为0.75</w:t>
            </w:r>
            <w:r>
              <w:rPr>
                <w:rFonts w:hint="default" w:ascii="Times New Roman" w:hAnsi="Times New Roman" w:cs="Times New Roman"/>
                <w:color w:val="auto"/>
                <w:sz w:val="24"/>
              </w:rPr>
              <w:t>t/a。生活垃圾经垃圾桶收集后，交由环卫部门清运处置。</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（2）</w:t>
            </w:r>
            <w:r>
              <w:rPr>
                <w:rFonts w:hint="default" w:ascii="Times New Roman" w:hAnsi="Times New Roman" w:eastAsia="黑体" w:cs="Times New Roman"/>
                <w:color w:val="auto"/>
                <w:sz w:val="24"/>
              </w:rPr>
              <w:t>一般固体废物</w:t>
            </w:r>
          </w:p>
          <w:p>
            <w:pPr>
              <w:ind w:firstLine="512" w:firstLineChars="200"/>
              <w:rPr>
                <w:rFonts w:hint="default" w:ascii="Times New Roman" w:hAnsi="Times New Roman" w:eastAsia="宋体" w:cs="Times New Roman"/>
                <w:color w:val="auto"/>
                <w:sz w:val="24"/>
                <w:lang w:eastAsia="zh-CN"/>
              </w:rPr>
            </w:pPr>
            <w:r>
              <w:rPr>
                <w:rFonts w:hint="default" w:ascii="Times New Roman" w:hAnsi="Times New Roman" w:eastAsia="黑体" w:cs="Times New Roman"/>
                <w:color w:val="auto"/>
                <w:sz w:val="24"/>
              </w:rPr>
              <w:t>①</w:t>
            </w:r>
            <w:r>
              <w:rPr>
                <w:rFonts w:hint="default" w:ascii="Times New Roman" w:hAnsi="Times New Roman" w:eastAsia="黑体" w:cs="Times New Roman"/>
                <w:b/>
                <w:bCs/>
                <w:color w:val="auto"/>
                <w:sz w:val="24"/>
              </w:rPr>
              <w:t xml:space="preserve"> </w:t>
            </w:r>
            <w:r>
              <w:rPr>
                <w:rFonts w:hint="default" w:ascii="Times New Roman" w:hAnsi="Times New Roman" w:eastAsia="黑体" w:cs="Times New Roman"/>
                <w:b w:val="0"/>
                <w:bCs w:val="0"/>
                <w:color w:val="auto"/>
                <w:sz w:val="24"/>
                <w:lang w:val="en-US" w:eastAsia="zh-CN"/>
              </w:rPr>
              <w:t>未沾染危险物质的废弃包装物</w:t>
            </w:r>
            <w:r>
              <w:rPr>
                <w:rFonts w:hint="default" w:ascii="Times New Roman" w:hAnsi="Times New Roman" w:eastAsia="黑体" w:cs="Times New Roman"/>
                <w:b w:val="0"/>
                <w:bCs w:val="0"/>
                <w:color w:val="auto"/>
                <w:sz w:val="24"/>
                <w:szCs w:val="24"/>
                <w:lang w:val="en-US" w:eastAsia="zh-CN"/>
              </w:rPr>
              <w:t>（</w:t>
            </w:r>
            <w:r>
              <w:rPr>
                <w:rFonts w:hint="default" w:ascii="Times New Roman" w:hAnsi="Times New Roman" w:cs="Times New Roman"/>
                <w:color w:val="auto"/>
                <w:sz w:val="24"/>
                <w:szCs w:val="24"/>
                <w:lang w:val="en-US" w:eastAsia="zh-CN"/>
              </w:rPr>
              <w:t>SW92，代码：</w:t>
            </w:r>
            <w:r>
              <w:rPr>
                <w:rFonts w:hint="default" w:ascii="Times New Roman" w:hAnsi="Times New Roman" w:eastAsia="黑体" w:cs="Times New Roman"/>
                <w:b w:val="0"/>
                <w:bCs w:val="0"/>
                <w:color w:val="auto"/>
                <w:sz w:val="24"/>
                <w:szCs w:val="24"/>
                <w:lang w:val="en-US" w:eastAsia="zh-CN"/>
              </w:rPr>
              <w:t>900-001-S92）</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实验</w:t>
            </w:r>
            <w:r>
              <w:rPr>
                <w:rFonts w:hint="default" w:ascii="Times New Roman" w:hAnsi="Times New Roman" w:cs="Times New Roman"/>
                <w:color w:val="auto"/>
                <w:sz w:val="24"/>
                <w:lang w:val="en-US" w:eastAsia="zh-CN"/>
              </w:rPr>
              <w:t>运营</w:t>
            </w:r>
            <w:r>
              <w:rPr>
                <w:rFonts w:hint="default" w:ascii="Times New Roman" w:hAnsi="Times New Roman" w:cs="Times New Roman"/>
                <w:color w:val="auto"/>
                <w:sz w:val="24"/>
              </w:rPr>
              <w:t>过程中产生的</w:t>
            </w:r>
            <w:r>
              <w:rPr>
                <w:rFonts w:hint="default" w:ascii="Times New Roman" w:hAnsi="Times New Roman" w:cs="Times New Roman"/>
                <w:color w:val="auto"/>
                <w:sz w:val="24"/>
                <w:szCs w:val="24"/>
                <w:lang w:val="en-US" w:eastAsia="zh-CN"/>
              </w:rPr>
              <w:t>固体废物</w:t>
            </w:r>
            <w:r>
              <w:rPr>
                <w:rFonts w:hint="default" w:ascii="Times New Roman" w:hAnsi="Times New Roman" w:cs="Times New Roman"/>
                <w:color w:val="auto"/>
                <w:sz w:val="24"/>
                <w:lang w:val="en-US" w:eastAsia="zh-CN"/>
              </w:rPr>
              <w:t>如：</w:t>
            </w:r>
            <w:r>
              <w:rPr>
                <w:rFonts w:hint="default" w:ascii="Times New Roman" w:hAnsi="Times New Roman" w:cs="Times New Roman"/>
                <w:color w:val="auto"/>
                <w:sz w:val="24"/>
              </w:rPr>
              <w:t>废纸箱、废塑料、玻璃瓶等，为一般工业固废，产生量约为0.2t/a。废纸箱、玻璃瓶由废品回收站回收，废塑料由环卫部门收集处置。</w:t>
            </w:r>
          </w:p>
          <w:p>
            <w:pPr>
              <w:ind w:firstLine="512" w:firstLineChars="20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② 废离子交换树脂</w:t>
            </w:r>
            <w:r>
              <w:rPr>
                <w:rFonts w:hint="default" w:ascii="Times New Roman" w:hAnsi="Times New Roman" w:eastAsia="黑体" w:cs="Times New Roman"/>
                <w:b w:val="0"/>
                <w:bCs w:val="0"/>
                <w:color w:val="auto"/>
                <w:sz w:val="24"/>
                <w:szCs w:val="24"/>
                <w:lang w:val="en-US" w:eastAsia="zh-CN"/>
              </w:rPr>
              <w:t>（SW92，代码：900-001-S92）</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纯水制备设备的离子交换树脂每年更换一次，产生量约为0.00</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t/a，</w:t>
            </w:r>
            <w:r>
              <w:rPr>
                <w:rFonts w:hint="default" w:ascii="Times New Roman" w:hAnsi="Times New Roman" w:cs="Times New Roman"/>
                <w:color w:val="auto"/>
                <w:sz w:val="24"/>
                <w:lang w:val="en-US" w:eastAsia="zh-CN"/>
              </w:rPr>
              <w:t>由厂家定期更换回收。</w:t>
            </w:r>
          </w:p>
          <w:p>
            <w:pPr>
              <w:pStyle w:val="35"/>
              <w:spacing w:line="240" w:lineRule="auto"/>
              <w:ind w:firstLine="514"/>
              <w:rPr>
                <w:rFonts w:hint="default" w:ascii="Times New Roman" w:hAnsi="Times New Roman" w:eastAsia="宋体" w:cs="Times New Roman"/>
                <w:color w:val="auto"/>
                <w:lang w:val="en-US" w:eastAsia="zh-CN"/>
              </w:rPr>
            </w:pPr>
            <w:r>
              <w:rPr>
                <w:rFonts w:hint="default" w:ascii="Times New Roman" w:hAnsi="Times New Roman" w:cs="Times New Roman"/>
                <w:color w:val="auto"/>
              </w:rPr>
              <w:t xml:space="preserve">③ </w:t>
            </w:r>
            <w:r>
              <w:rPr>
                <w:rFonts w:hint="default" w:ascii="Times New Roman" w:hAnsi="Times New Roman" w:eastAsia="黑体" w:cs="Times New Roman"/>
                <w:color w:val="auto"/>
                <w:lang w:val="en-US" w:eastAsia="zh-CN"/>
              </w:rPr>
              <w:t>废饲料</w:t>
            </w:r>
            <w:r>
              <w:rPr>
                <w:rFonts w:hint="default" w:ascii="Times New Roman" w:hAnsi="Times New Roman" w:eastAsia="黑体" w:cs="Times New Roman"/>
                <w:b w:val="0"/>
                <w:bCs w:val="0"/>
                <w:color w:val="auto"/>
                <w:kern w:val="2"/>
                <w:sz w:val="24"/>
                <w:szCs w:val="24"/>
                <w:lang w:val="en-US" w:eastAsia="zh-CN" w:bidi="ar-SA"/>
              </w:rPr>
              <w:t>（SW92，代码：900-001-S92）</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本项目在饲料营养检测时，会产生废饲料，为一般工业固废，产生量约为0.01t/a，收集后由环卫部门收集处置。</w:t>
            </w:r>
          </w:p>
          <w:p>
            <w:pPr>
              <w:ind w:firstLine="512" w:firstLineChars="200"/>
              <w:rPr>
                <w:rFonts w:hint="default" w:ascii="Times New Roman" w:hAnsi="Times New Roman" w:eastAsia="黑体" w:cs="Times New Roman"/>
                <w:color w:val="auto"/>
                <w:sz w:val="24"/>
              </w:rPr>
            </w:pPr>
            <w:r>
              <w:rPr>
                <w:rFonts w:hint="default" w:ascii="Times New Roman" w:hAnsi="Times New Roman" w:cs="Times New Roman"/>
                <w:color w:val="auto"/>
                <w:sz w:val="24"/>
              </w:rPr>
              <w:t>（3）</w:t>
            </w:r>
            <w:r>
              <w:rPr>
                <w:rFonts w:hint="default" w:ascii="Times New Roman" w:hAnsi="Times New Roman" w:eastAsia="黑体" w:cs="Times New Roman"/>
                <w:color w:val="auto"/>
                <w:sz w:val="24"/>
              </w:rPr>
              <w:t>危险废物</w:t>
            </w:r>
          </w:p>
          <w:p>
            <w:pPr>
              <w:ind w:firstLine="512" w:firstLineChars="200"/>
              <w:rPr>
                <w:rFonts w:hint="default" w:ascii="Times New Roman" w:hAnsi="Times New Roman" w:eastAsia="黑体" w:cs="Times New Roman"/>
                <w:color w:val="auto"/>
                <w:sz w:val="24"/>
                <w:lang w:eastAsia="zh-CN"/>
              </w:rPr>
            </w:pPr>
            <w:r>
              <w:rPr>
                <w:rFonts w:hint="default" w:ascii="Times New Roman" w:hAnsi="Times New Roman" w:eastAsia="黑体" w:cs="Times New Roman"/>
                <w:color w:val="auto"/>
                <w:sz w:val="24"/>
              </w:rPr>
              <w:t>①</w:t>
            </w:r>
            <w:r>
              <w:rPr>
                <w:rFonts w:hint="default" w:ascii="Times New Roman" w:hAnsi="Times New Roman" w:cs="Times New Roman"/>
                <w:color w:val="auto"/>
                <w:sz w:val="24"/>
              </w:rPr>
              <w:t xml:space="preserve"> </w:t>
            </w:r>
            <w:r>
              <w:rPr>
                <w:rFonts w:hint="default" w:ascii="Times New Roman" w:hAnsi="Times New Roman" w:eastAsia="黑体" w:cs="Times New Roman"/>
                <w:color w:val="auto"/>
                <w:sz w:val="24"/>
              </w:rPr>
              <w:t>实验废液</w:t>
            </w:r>
            <w:r>
              <w:rPr>
                <w:rFonts w:hint="default" w:ascii="Times New Roman" w:hAnsi="Times New Roman" w:eastAsia="黑体" w:cs="Times New Roman"/>
                <w:b w:val="0"/>
                <w:bCs w:val="0"/>
                <w:color w:val="auto"/>
                <w:kern w:val="2"/>
                <w:sz w:val="24"/>
                <w:szCs w:val="24"/>
                <w:lang w:val="en-US" w:eastAsia="zh-CN" w:bidi="ar-SA"/>
              </w:rPr>
              <w:t>（HW49，代码：900-047-49）</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本项目实验废液主要分为</w:t>
            </w:r>
            <w:r>
              <w:rPr>
                <w:rFonts w:hint="default" w:ascii="Times New Roman" w:hAnsi="Times New Roman" w:cs="Times New Roman"/>
                <w:color w:val="auto"/>
                <w:sz w:val="24"/>
                <w:lang w:val="en-US" w:eastAsia="zh-CN"/>
              </w:rPr>
              <w:t>配制试剂废液（</w:t>
            </w:r>
            <w:r>
              <w:rPr>
                <w:rFonts w:hint="default" w:ascii="Times New Roman" w:hAnsi="Times New Roman" w:eastAsia="宋体" w:cs="Times New Roman"/>
                <w:color w:val="auto"/>
                <w:kern w:val="2"/>
                <w:sz w:val="24"/>
                <w:szCs w:val="24"/>
                <w:lang w:val="en-US" w:eastAsia="zh-CN" w:bidi="ar-SA"/>
              </w:rPr>
              <w:t>配制试剂废液按试剂配制用水的</w:t>
            </w:r>
            <w:r>
              <w:rPr>
                <w:rFonts w:hint="default" w:ascii="Times New Roman" w:hAnsi="Times New Roman" w:cs="Times New Roman"/>
                <w:color w:val="auto"/>
                <w:kern w:val="2"/>
                <w:sz w:val="24"/>
                <w:szCs w:val="24"/>
                <w:lang w:val="en-US" w:eastAsia="zh-CN" w:bidi="ar-SA"/>
              </w:rPr>
              <w:t>3</w:t>
            </w:r>
            <w:r>
              <w:rPr>
                <w:rFonts w:hint="default" w:ascii="Times New Roman" w:hAnsi="Times New Roman" w:eastAsia="宋体" w:cs="Times New Roman"/>
                <w:color w:val="auto"/>
                <w:kern w:val="2"/>
                <w:sz w:val="24"/>
                <w:szCs w:val="24"/>
                <w:lang w:val="en-US" w:eastAsia="zh-CN" w:bidi="ar-SA"/>
              </w:rPr>
              <w:t>%计</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废牛奶、废牛血、</w:t>
            </w:r>
            <w:r>
              <w:rPr>
                <w:rFonts w:hint="default" w:ascii="Times New Roman" w:hAnsi="Times New Roman" w:cs="Times New Roman"/>
                <w:color w:val="auto"/>
                <w:sz w:val="24"/>
              </w:rPr>
              <w:t>实验器皿前段清洗废水。</w:t>
            </w:r>
            <w:r>
              <w:rPr>
                <w:rFonts w:hint="default" w:ascii="Times New Roman" w:hAnsi="Times New Roman" w:cs="Times New Roman"/>
                <w:color w:val="auto"/>
                <w:sz w:val="24"/>
                <w:lang w:val="en-US" w:eastAsia="zh-CN"/>
              </w:rPr>
              <w:t>其中，配制试剂废液0.097m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0.0004m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，废牛奶1.5m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0.006m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，废牛血0.001m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0.000004m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实验器皿前段清洗废水</w:t>
            </w:r>
            <w:r>
              <w:rPr>
                <w:rFonts w:hint="default" w:ascii="Times New Roman" w:hAnsi="Times New Roman" w:cs="Times New Roman"/>
                <w:color w:val="auto"/>
                <w:sz w:val="24"/>
                <w:lang w:val="en-US" w:eastAsia="zh-CN"/>
              </w:rPr>
              <w:t>1.5m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0.006m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实验废液</w:t>
            </w:r>
            <w:r>
              <w:rPr>
                <w:rFonts w:hint="default" w:ascii="Times New Roman" w:hAnsi="Times New Roman" w:cs="Times New Roman"/>
                <w:color w:val="auto"/>
                <w:sz w:val="24"/>
                <w:highlight w:val="none"/>
              </w:rPr>
              <w:t>产生量共为</w:t>
            </w:r>
            <w:r>
              <w:rPr>
                <w:rFonts w:hint="default" w:ascii="Times New Roman" w:hAnsi="Times New Roman" w:cs="Times New Roman"/>
                <w:color w:val="auto"/>
                <w:sz w:val="24"/>
                <w:highlight w:val="none"/>
                <w:lang w:val="en-US" w:eastAsia="zh-CN"/>
              </w:rPr>
              <w:t>3.098</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/a</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0.0124m</w:t>
            </w:r>
            <w:r>
              <w:rPr>
                <w:rFonts w:hint="default" w:ascii="Times New Roman" w:hAnsi="Times New Roman" w:cs="Times New Roman"/>
                <w:color w:val="auto"/>
                <w:sz w:val="24"/>
                <w:vertAlign w:val="superscript"/>
                <w:lang w:val="en-US" w:eastAsia="zh-CN"/>
              </w:rPr>
              <w:t>3</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d</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。实验废液用</w:t>
            </w:r>
            <w:r>
              <w:rPr>
                <w:rFonts w:hint="default" w:ascii="Times New Roman" w:hAnsi="Times New Roman" w:cs="Times New Roman"/>
                <w:color w:val="auto"/>
                <w:sz w:val="24"/>
                <w:lang w:eastAsia="zh-CN"/>
              </w:rPr>
              <w:t>废液收集桶</w:t>
            </w:r>
            <w:r>
              <w:rPr>
                <w:rFonts w:hint="default" w:ascii="Times New Roman" w:hAnsi="Times New Roman" w:cs="Times New Roman"/>
                <w:color w:val="auto"/>
                <w:sz w:val="24"/>
              </w:rPr>
              <w:t>收集后暂存于</w:t>
            </w:r>
            <w:r>
              <w:rPr>
                <w:rFonts w:hint="default" w:ascii="Times New Roman" w:hAnsi="Times New Roman" w:cs="Times New Roman"/>
                <w:color w:val="auto"/>
                <w:sz w:val="24"/>
                <w:lang w:eastAsia="zh-CN"/>
              </w:rPr>
              <w:t>危废暂存库</w:t>
            </w:r>
            <w:r>
              <w:rPr>
                <w:rFonts w:hint="default" w:ascii="Times New Roman" w:hAnsi="Times New Roman" w:cs="Times New Roman"/>
                <w:color w:val="auto"/>
                <w:sz w:val="24"/>
              </w:rPr>
              <w:t>，定期交由</w:t>
            </w:r>
            <w:r>
              <w:rPr>
                <w:rFonts w:hint="default" w:ascii="Times New Roman" w:hAnsi="Times New Roman" w:cs="Times New Roman"/>
                <w:color w:val="auto"/>
                <w:sz w:val="24"/>
                <w:lang w:val="en-US" w:eastAsia="zh-CN"/>
              </w:rPr>
              <w:t>宁夏宁东清大国华环境资源有限公司</w:t>
            </w:r>
            <w:r>
              <w:rPr>
                <w:rFonts w:hint="default" w:ascii="Times New Roman" w:hAnsi="Times New Roman" w:cs="Times New Roman"/>
                <w:color w:val="auto"/>
                <w:sz w:val="24"/>
              </w:rPr>
              <w:t>进行处理。</w:t>
            </w:r>
          </w:p>
          <w:p>
            <w:pPr>
              <w:pStyle w:val="35"/>
              <w:spacing w:line="240" w:lineRule="auto"/>
              <w:ind w:firstLine="514"/>
              <w:rPr>
                <w:rFonts w:hint="default" w:ascii="Times New Roman" w:hAnsi="Times New Roman" w:cs="Times New Roman"/>
                <w:color w:val="auto"/>
              </w:rPr>
            </w:pPr>
            <w:r>
              <w:rPr>
                <w:rFonts w:hint="default" w:ascii="Times New Roman" w:hAnsi="Times New Roman" w:eastAsia="黑体" w:cs="Times New Roman"/>
                <w:color w:val="auto"/>
                <w:sz w:val="24"/>
              </w:rPr>
              <w:t xml:space="preserve">② </w:t>
            </w:r>
            <w:r>
              <w:rPr>
                <w:rFonts w:hint="default" w:ascii="Times New Roman" w:hAnsi="Times New Roman" w:eastAsia="黑体" w:cs="Times New Roman"/>
                <w:color w:val="auto"/>
              </w:rPr>
              <w:t>废一次性耗材</w:t>
            </w:r>
            <w:r>
              <w:rPr>
                <w:rFonts w:hint="default" w:ascii="Times New Roman" w:hAnsi="Times New Roman" w:eastAsia="黑体" w:cs="Times New Roman"/>
                <w:b w:val="0"/>
                <w:bCs w:val="0"/>
                <w:color w:val="auto"/>
                <w:kern w:val="2"/>
                <w:sz w:val="24"/>
                <w:szCs w:val="24"/>
                <w:lang w:val="en-US" w:eastAsia="zh-CN" w:bidi="ar-SA"/>
              </w:rPr>
              <w:t>（HW49，代码：900-047-49）</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本项目一次性检测耗材包括：移液枪一次性枪头、一次性滴管、一次性手套、一次性进样瓶、一次性滤膜、离心管等，共产生0.5t/a，经包装箱收集后由厂区</w:t>
            </w:r>
            <w:r>
              <w:rPr>
                <w:rFonts w:hint="default" w:ascii="Times New Roman" w:hAnsi="Times New Roman" w:cs="Times New Roman"/>
                <w:color w:val="auto"/>
                <w:sz w:val="24"/>
                <w:lang w:eastAsia="zh-CN"/>
              </w:rPr>
              <w:t>危废暂存库</w:t>
            </w:r>
            <w:r>
              <w:rPr>
                <w:rFonts w:hint="default" w:ascii="Times New Roman" w:hAnsi="Times New Roman" w:cs="Times New Roman"/>
                <w:color w:val="auto"/>
                <w:sz w:val="24"/>
              </w:rPr>
              <w:t>暂存，定期交由</w:t>
            </w:r>
            <w:r>
              <w:rPr>
                <w:rFonts w:hint="default" w:ascii="Times New Roman" w:hAnsi="Times New Roman" w:cs="Times New Roman"/>
                <w:color w:val="auto"/>
                <w:sz w:val="24"/>
                <w:lang w:val="en-US" w:eastAsia="zh-CN"/>
              </w:rPr>
              <w:t>宁夏宁东清大国华环境资源有限公司</w:t>
            </w:r>
            <w:r>
              <w:rPr>
                <w:rFonts w:hint="default" w:ascii="Times New Roman" w:hAnsi="Times New Roman" w:cs="Times New Roman"/>
                <w:color w:val="auto"/>
                <w:sz w:val="24"/>
              </w:rPr>
              <w:t>处置。</w:t>
            </w:r>
          </w:p>
          <w:p>
            <w:pPr>
              <w:pStyle w:val="35"/>
              <w:spacing w:line="240" w:lineRule="auto"/>
              <w:ind w:firstLine="514"/>
              <w:rPr>
                <w:rFonts w:hint="default" w:ascii="Times New Roman" w:hAnsi="Times New Roman" w:cs="Times New Roman"/>
                <w:color w:val="auto"/>
              </w:rPr>
            </w:pPr>
            <w:r>
              <w:rPr>
                <w:rFonts w:hint="default" w:ascii="Times New Roman" w:hAnsi="Times New Roman" w:cs="Times New Roman"/>
                <w:color w:val="auto"/>
              </w:rPr>
              <w:t xml:space="preserve">③ </w:t>
            </w:r>
            <w:r>
              <w:rPr>
                <w:rFonts w:hint="default" w:ascii="Times New Roman" w:hAnsi="Times New Roman" w:eastAsia="黑体" w:cs="Times New Roman"/>
                <w:color w:val="auto"/>
              </w:rPr>
              <w:t>沾染危险</w:t>
            </w:r>
            <w:r>
              <w:rPr>
                <w:rFonts w:hint="default" w:ascii="Times New Roman" w:hAnsi="Times New Roman" w:eastAsia="黑体" w:cs="Times New Roman"/>
                <w:color w:val="auto"/>
                <w:lang w:val="en-US" w:eastAsia="zh-CN"/>
              </w:rPr>
              <w:t>物质</w:t>
            </w:r>
            <w:r>
              <w:rPr>
                <w:rFonts w:hint="default" w:ascii="Times New Roman" w:hAnsi="Times New Roman" w:eastAsia="黑体" w:cs="Times New Roman"/>
                <w:color w:val="auto"/>
              </w:rPr>
              <w:t>的废弃包装物</w:t>
            </w:r>
            <w:r>
              <w:rPr>
                <w:rFonts w:hint="default" w:ascii="Times New Roman" w:hAnsi="Times New Roman" w:eastAsia="黑体" w:cs="Times New Roman"/>
                <w:b w:val="0"/>
                <w:bCs w:val="0"/>
                <w:color w:val="auto"/>
                <w:kern w:val="2"/>
                <w:sz w:val="24"/>
                <w:szCs w:val="24"/>
                <w:lang w:val="en-US" w:eastAsia="zh-CN" w:bidi="ar-SA"/>
              </w:rPr>
              <w:t>（HW49，代码：900-041-49）</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实验室会产生沾染</w:t>
            </w:r>
            <w:r>
              <w:rPr>
                <w:rFonts w:hint="default" w:ascii="Times New Roman" w:hAnsi="Times New Roman" w:cs="Times New Roman"/>
                <w:color w:val="auto"/>
                <w:sz w:val="24"/>
                <w:lang w:val="en-US" w:eastAsia="zh-CN"/>
              </w:rPr>
              <w:t>危险物质</w:t>
            </w:r>
            <w:r>
              <w:rPr>
                <w:rFonts w:hint="default" w:ascii="Times New Roman" w:hAnsi="Times New Roman" w:cs="Times New Roman"/>
                <w:color w:val="auto"/>
                <w:sz w:val="24"/>
              </w:rPr>
              <w:t>的废弃包装物，产生量为0.01t/a，根据《国家危险废物名录》可知，含有或沾毒性、感染性危险废物的废弃包物、容器属危险废物，集中收集后暂存于危险废物暂存间，定期交由</w:t>
            </w:r>
            <w:r>
              <w:rPr>
                <w:rFonts w:hint="default" w:ascii="Times New Roman" w:hAnsi="Times New Roman" w:cs="Times New Roman"/>
                <w:color w:val="auto"/>
                <w:sz w:val="24"/>
                <w:lang w:val="en-US" w:eastAsia="zh-CN"/>
              </w:rPr>
              <w:t>宁夏宁东清大国华环境资源有限公司</w:t>
            </w:r>
            <w:r>
              <w:rPr>
                <w:rFonts w:hint="default" w:ascii="Times New Roman" w:hAnsi="Times New Roman" w:cs="Times New Roman"/>
                <w:color w:val="auto"/>
                <w:sz w:val="24"/>
              </w:rPr>
              <w:t>处置。</w:t>
            </w:r>
          </w:p>
          <w:p>
            <w:pPr>
              <w:pStyle w:val="35"/>
              <w:spacing w:line="240" w:lineRule="auto"/>
              <w:ind w:firstLine="514"/>
              <w:rPr>
                <w:rFonts w:hint="default" w:ascii="Times New Roman" w:hAnsi="Times New Roman" w:cs="Times New Roman"/>
                <w:color w:val="auto"/>
              </w:rPr>
            </w:pPr>
            <w:r>
              <w:rPr>
                <w:rFonts w:hint="default" w:ascii="Times New Roman" w:hAnsi="Times New Roman" w:eastAsia="黑体" w:cs="Times New Roman"/>
                <w:color w:val="auto"/>
              </w:rPr>
              <w:t>④</w:t>
            </w:r>
            <w:r>
              <w:rPr>
                <w:rFonts w:hint="default" w:ascii="Times New Roman" w:hAnsi="Times New Roman" w:cs="Times New Roman"/>
                <w:color w:val="auto"/>
              </w:rPr>
              <w:t xml:space="preserve"> </w:t>
            </w:r>
            <w:r>
              <w:rPr>
                <w:rFonts w:hint="default" w:ascii="Times New Roman" w:hAnsi="Times New Roman" w:eastAsia="黑体" w:cs="Times New Roman"/>
                <w:color w:val="auto"/>
              </w:rPr>
              <w:t>废活性炭</w:t>
            </w:r>
            <w:r>
              <w:rPr>
                <w:rFonts w:hint="default" w:ascii="Times New Roman" w:hAnsi="Times New Roman" w:eastAsia="黑体" w:cs="Times New Roman"/>
                <w:b w:val="0"/>
                <w:bCs w:val="0"/>
                <w:color w:val="auto"/>
                <w:kern w:val="2"/>
                <w:sz w:val="24"/>
                <w:szCs w:val="24"/>
                <w:lang w:val="en-US" w:eastAsia="zh-CN" w:bidi="ar-SA"/>
              </w:rPr>
              <w:t>（HW49，代码：900-039-49）</w:t>
            </w:r>
          </w:p>
          <w:p>
            <w:pPr>
              <w:ind w:firstLine="512"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项目废气治理采用活性炭吸附的方法，因此会产生废活性炭，项目使用的活性炭半年更换一次，项目实验室通风橱内置活性炭过滤器，单个过滤器重2kg，平均每6个月更换一次，则废活性炭过滤器产生量为0.0</w:t>
            </w:r>
            <w:r>
              <w:rPr>
                <w:rFonts w:hint="default" w:ascii="Times New Roman" w:hAnsi="Times New Roman" w:eastAsia="宋体" w:cs="Times New Roman"/>
                <w:color w:val="auto"/>
                <w:sz w:val="24"/>
                <w:lang w:val="en-US" w:eastAsia="zh-CN"/>
              </w:rPr>
              <w:t>0</w:t>
            </w:r>
            <w:r>
              <w:rPr>
                <w:rFonts w:hint="default" w:ascii="Times New Roman" w:hAnsi="Times New Roman" w:cs="Times New Roman"/>
                <w:color w:val="auto"/>
                <w:sz w:val="24"/>
                <w:lang w:val="en-US" w:eastAsia="zh-CN"/>
              </w:rPr>
              <w:t>4</w:t>
            </w:r>
            <w:r>
              <w:rPr>
                <w:rFonts w:hint="default" w:ascii="Times New Roman" w:hAnsi="Times New Roman" w:eastAsia="宋体" w:cs="Times New Roman"/>
                <w:color w:val="auto"/>
                <w:sz w:val="24"/>
              </w:rPr>
              <w:t>t/a。废活性炭（HW49）属于危险废物，</w:t>
            </w:r>
            <w:r>
              <w:rPr>
                <w:rFonts w:hint="default" w:ascii="Times New Roman" w:hAnsi="Times New Roman" w:cs="Times New Roman"/>
                <w:color w:val="auto"/>
                <w:sz w:val="24"/>
                <w:lang w:val="en-US" w:eastAsia="zh-CN"/>
              </w:rPr>
              <w:t>用密封塑料箱</w:t>
            </w:r>
            <w:r>
              <w:rPr>
                <w:rFonts w:hint="default" w:ascii="Times New Roman" w:hAnsi="Times New Roman" w:eastAsia="宋体" w:cs="Times New Roman"/>
                <w:color w:val="auto"/>
                <w:sz w:val="24"/>
              </w:rPr>
              <w:t>收集至</w:t>
            </w:r>
            <w:r>
              <w:rPr>
                <w:rFonts w:hint="default" w:ascii="Times New Roman" w:hAnsi="Times New Roman" w:cs="Times New Roman"/>
                <w:color w:val="auto"/>
                <w:sz w:val="24"/>
                <w:lang w:eastAsia="zh-CN"/>
              </w:rPr>
              <w:t>危废暂存库</w:t>
            </w:r>
            <w:r>
              <w:rPr>
                <w:rFonts w:hint="default" w:ascii="Times New Roman" w:hAnsi="Times New Roman" w:eastAsia="宋体" w:cs="Times New Roman"/>
                <w:color w:val="auto"/>
                <w:sz w:val="24"/>
              </w:rPr>
              <w:t>后，</w:t>
            </w:r>
            <w:r>
              <w:rPr>
                <w:rFonts w:hint="default" w:ascii="Times New Roman" w:hAnsi="Times New Roman" w:cs="Times New Roman"/>
                <w:color w:val="auto"/>
                <w:sz w:val="24"/>
                <w:szCs w:val="24"/>
              </w:rPr>
              <w:t>定期交由</w:t>
            </w:r>
            <w:r>
              <w:rPr>
                <w:rFonts w:hint="default" w:ascii="Times New Roman" w:hAnsi="Times New Roman" w:cs="Times New Roman"/>
                <w:color w:val="auto"/>
                <w:sz w:val="24"/>
                <w:lang w:val="en-US" w:eastAsia="zh-CN"/>
              </w:rPr>
              <w:t>宁夏宁东清大国华环境资源有限公司</w:t>
            </w:r>
            <w:r>
              <w:rPr>
                <w:rFonts w:hint="default" w:ascii="Times New Roman" w:hAnsi="Times New Roman" w:cs="Times New Roman"/>
                <w:color w:val="auto"/>
                <w:sz w:val="24"/>
                <w:szCs w:val="24"/>
              </w:rPr>
              <w:t>处置</w:t>
            </w:r>
            <w:r>
              <w:rPr>
                <w:rFonts w:hint="default" w:ascii="Times New Roman" w:hAnsi="Times New Roman" w:eastAsia="宋体" w:cs="Times New Roman"/>
                <w:color w:val="auto"/>
                <w:sz w:val="24"/>
              </w:rPr>
              <w:t>。</w:t>
            </w:r>
          </w:p>
          <w:p>
            <w:pPr>
              <w:ind w:firstLine="512" w:firstLineChars="200"/>
              <w:rPr>
                <w:rFonts w:hint="default" w:ascii="Times New Roman" w:hAnsi="Times New Roman" w:eastAsia="黑体" w:cs="Times New Roman"/>
                <w:color w:val="auto"/>
                <w:sz w:val="24"/>
                <w:lang w:eastAsia="zh-CN"/>
              </w:rPr>
            </w:pPr>
            <w:r>
              <w:rPr>
                <w:rFonts w:hint="default" w:ascii="Times New Roman" w:hAnsi="Times New Roman" w:cs="Times New Roman"/>
                <w:color w:val="auto"/>
                <w:sz w:val="24"/>
                <w:szCs w:val="24"/>
              </w:rPr>
              <w:t xml:space="preserve">⑤ </w:t>
            </w:r>
            <w:r>
              <w:rPr>
                <w:rFonts w:hint="default" w:ascii="Times New Roman" w:hAnsi="Times New Roman" w:eastAsia="黑体" w:cs="Times New Roman"/>
                <w:color w:val="auto"/>
                <w:sz w:val="24"/>
              </w:rPr>
              <w:t>废弃化学试剂</w:t>
            </w:r>
            <w:r>
              <w:rPr>
                <w:rFonts w:hint="default" w:ascii="Times New Roman" w:hAnsi="Times New Roman" w:eastAsia="黑体" w:cs="Times New Roman"/>
                <w:b w:val="0"/>
                <w:bCs w:val="0"/>
                <w:color w:val="auto"/>
                <w:kern w:val="2"/>
                <w:sz w:val="24"/>
                <w:szCs w:val="24"/>
                <w:lang w:val="en-US" w:eastAsia="zh-CN" w:bidi="ar-SA"/>
              </w:rPr>
              <w:t>（HW49，代码：900-047-49）</w:t>
            </w:r>
          </w:p>
          <w:p>
            <w:pPr>
              <w:pStyle w:val="35"/>
              <w:spacing w:line="240" w:lineRule="auto"/>
              <w:ind w:firstLine="514"/>
              <w:rPr>
                <w:rFonts w:hint="default" w:ascii="Times New Roman" w:hAnsi="Times New Roman" w:cs="Times New Roman"/>
                <w:color w:val="auto"/>
              </w:rPr>
            </w:pPr>
            <w:r>
              <w:rPr>
                <w:rFonts w:hint="default" w:ascii="Times New Roman" w:hAnsi="Times New Roman" w:cs="Times New Roman"/>
                <w:color w:val="auto"/>
                <w:sz w:val="24"/>
              </w:rPr>
              <w:t>本项目有过期的化学试剂产生，年产生量0.002t/a，</w:t>
            </w:r>
            <w:r>
              <w:rPr>
                <w:rFonts w:hint="default" w:ascii="Times New Roman" w:hAnsi="Times New Roman" w:cs="Times New Roman"/>
                <w:color w:val="auto"/>
                <w:sz w:val="24"/>
                <w:lang w:val="en-US" w:eastAsia="zh-CN"/>
              </w:rPr>
              <w:t>属于危险废物。</w:t>
            </w:r>
            <w:r>
              <w:rPr>
                <w:rFonts w:hint="default" w:ascii="Times New Roman" w:hAnsi="Times New Roman" w:cs="Times New Roman"/>
                <w:color w:val="auto"/>
                <w:sz w:val="24"/>
              </w:rPr>
              <w:t>集中收集后暂存于危险废物暂存间，定期交由</w:t>
            </w:r>
            <w:r>
              <w:rPr>
                <w:rFonts w:hint="default" w:ascii="Times New Roman" w:hAnsi="Times New Roman" w:cs="Times New Roman"/>
                <w:color w:val="auto"/>
                <w:sz w:val="24"/>
                <w:lang w:val="en-US" w:eastAsia="zh-CN"/>
              </w:rPr>
              <w:t>宁夏宁东清大国华环境资源有限公司</w:t>
            </w:r>
            <w:r>
              <w:rPr>
                <w:rFonts w:hint="default" w:ascii="Times New Roman" w:hAnsi="Times New Roman" w:cs="Times New Roman"/>
                <w:color w:val="auto"/>
                <w:sz w:val="24"/>
              </w:rPr>
              <w:t>处置。</w:t>
            </w:r>
          </w:p>
          <w:p>
            <w:pPr>
              <w:adjustRightInd w:val="0"/>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表4-</w:t>
            </w:r>
            <w:r>
              <w:rPr>
                <w:rFonts w:hint="default" w:ascii="Times New Roman" w:hAnsi="Times New Roman" w:eastAsia="黑体" w:cs="Times New Roman"/>
                <w:color w:val="auto"/>
                <w:sz w:val="24"/>
                <w:lang w:val="en-US" w:eastAsia="zh-CN"/>
              </w:rPr>
              <w:t>8</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 xml:space="preserve"> </w:t>
            </w:r>
            <w:r>
              <w:rPr>
                <w:rFonts w:hint="default" w:ascii="Times New Roman" w:hAnsi="Times New Roman" w:eastAsia="黑体" w:cs="Times New Roman"/>
                <w:color w:val="auto"/>
                <w:sz w:val="24"/>
              </w:rPr>
              <w:t>固体废物分析结果汇总表  单位：t/a</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820"/>
              <w:gridCol w:w="570"/>
              <w:gridCol w:w="1020"/>
              <w:gridCol w:w="1161"/>
              <w:gridCol w:w="757"/>
              <w:gridCol w:w="1245"/>
              <w:gridCol w:w="1105"/>
              <w:gridCol w:w="611"/>
              <w:gridCol w:w="100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产生环节</w:t>
                  </w:r>
                </w:p>
              </w:tc>
              <w:tc>
                <w:tcPr>
                  <w:tcW w:w="958" w:type="pct"/>
                  <w:gridSpan w:val="2"/>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700" w:type="pct"/>
                  <w:tcBorders>
                    <w:right w:val="single" w:color="auto" w:sz="4" w:space="0"/>
                  </w:tcBorders>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属性</w:t>
                  </w:r>
                </w:p>
              </w:tc>
              <w:tc>
                <w:tcPr>
                  <w:tcW w:w="456" w:type="pct"/>
                  <w:tcBorders>
                    <w:left w:val="single" w:color="auto" w:sz="4" w:space="0"/>
                  </w:tcBorders>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编号</w:t>
                  </w:r>
                </w:p>
              </w:tc>
              <w:tc>
                <w:tcPr>
                  <w:tcW w:w="750" w:type="pct"/>
                  <w:tcBorders>
                    <w:right w:val="single" w:color="auto" w:sz="4" w:space="0"/>
                  </w:tcBorders>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代码</w:t>
                  </w:r>
                </w:p>
              </w:tc>
              <w:tc>
                <w:tcPr>
                  <w:tcW w:w="666"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环境危害特性</w:t>
                  </w:r>
                </w:p>
              </w:tc>
              <w:tc>
                <w:tcPr>
                  <w:tcW w:w="368"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物理性状</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highlight w:val="none"/>
                    </w:rPr>
                    <w:t>产生量（t/a</w:t>
                  </w:r>
                  <w:r>
                    <w:rPr>
                      <w:rFonts w:hint="default" w:ascii="Times New Roman" w:hAnsi="Times New Roman" w:cs="Times New Roman"/>
                      <w:b/>
                      <w:bCs/>
                      <w:color w:val="auto"/>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生活办公区</w:t>
                  </w:r>
                </w:p>
              </w:tc>
              <w:tc>
                <w:tcPr>
                  <w:tcW w:w="958" w:type="pct"/>
                  <w:gridSpan w:val="2"/>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生活垃圾</w:t>
                  </w:r>
                </w:p>
              </w:tc>
              <w:tc>
                <w:tcPr>
                  <w:tcW w:w="70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生活垃圾</w:t>
                  </w:r>
                </w:p>
              </w:tc>
              <w:tc>
                <w:tcPr>
                  <w:tcW w:w="456"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75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666"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368"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固态</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0.750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原辅材料</w:t>
                  </w:r>
                </w:p>
              </w:tc>
              <w:tc>
                <w:tcPr>
                  <w:tcW w:w="958" w:type="pct"/>
                  <w:gridSpan w:val="2"/>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未沾染</w:t>
                  </w:r>
                  <w:r>
                    <w:rPr>
                      <w:rFonts w:hint="default" w:ascii="Times New Roman" w:hAnsi="Times New Roman" w:cs="Times New Roman"/>
                      <w:color w:val="auto"/>
                    </w:rPr>
                    <w:t>危险</w:t>
                  </w:r>
                  <w:r>
                    <w:rPr>
                      <w:rFonts w:hint="default" w:ascii="Times New Roman" w:hAnsi="Times New Roman" w:cs="Times New Roman"/>
                      <w:color w:val="auto"/>
                      <w:lang w:val="en-US" w:eastAsia="zh-CN"/>
                    </w:rPr>
                    <w:t>物质的废弃包装物</w:t>
                  </w:r>
                </w:p>
              </w:tc>
              <w:tc>
                <w:tcPr>
                  <w:tcW w:w="70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一般工业固体废物</w:t>
                  </w:r>
                </w:p>
              </w:tc>
              <w:tc>
                <w:tcPr>
                  <w:tcW w:w="456"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SW92</w:t>
                  </w:r>
                </w:p>
              </w:tc>
              <w:tc>
                <w:tcPr>
                  <w:tcW w:w="75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900-001-S92</w:t>
                  </w:r>
                </w:p>
              </w:tc>
              <w:tc>
                <w:tcPr>
                  <w:tcW w:w="666"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368"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固态</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restar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实验区</w:t>
                  </w:r>
                </w:p>
              </w:tc>
              <w:tc>
                <w:tcPr>
                  <w:tcW w:w="958" w:type="pct"/>
                  <w:gridSpan w:val="2"/>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离子交换树脂</w:t>
                  </w:r>
                </w:p>
              </w:tc>
              <w:tc>
                <w:tcPr>
                  <w:tcW w:w="70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一般工业固体废物</w:t>
                  </w:r>
                </w:p>
              </w:tc>
              <w:tc>
                <w:tcPr>
                  <w:tcW w:w="456"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SW92</w:t>
                  </w:r>
                </w:p>
              </w:tc>
              <w:tc>
                <w:tcPr>
                  <w:tcW w:w="75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900-001-S92</w:t>
                  </w:r>
                </w:p>
              </w:tc>
              <w:tc>
                <w:tcPr>
                  <w:tcW w:w="666"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w:t>
                  </w:r>
                </w:p>
              </w:tc>
              <w:tc>
                <w:tcPr>
                  <w:tcW w:w="368"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固态</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eastAsia="zh-CN"/>
                    </w:rPr>
                  </w:pPr>
                </w:p>
              </w:tc>
              <w:tc>
                <w:tcPr>
                  <w:tcW w:w="958" w:type="pct"/>
                  <w:gridSpan w:val="2"/>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废饲料</w:t>
                  </w:r>
                </w:p>
              </w:tc>
              <w:tc>
                <w:tcPr>
                  <w:tcW w:w="70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一般工业固体废物</w:t>
                  </w:r>
                </w:p>
              </w:tc>
              <w:tc>
                <w:tcPr>
                  <w:tcW w:w="456"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SW92</w:t>
                  </w:r>
                </w:p>
              </w:tc>
              <w:tc>
                <w:tcPr>
                  <w:tcW w:w="75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900-001-S92</w:t>
                  </w:r>
                </w:p>
              </w:tc>
              <w:tc>
                <w:tcPr>
                  <w:tcW w:w="666"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w:t>
                  </w:r>
                </w:p>
              </w:tc>
              <w:tc>
                <w:tcPr>
                  <w:tcW w:w="368"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固态</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343" w:type="pct"/>
                  <w:vMerge w:val="restar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实验废液</w:t>
                  </w:r>
                </w:p>
                <w:p>
                  <w:pPr>
                    <w:pStyle w:val="32"/>
                    <w:rPr>
                      <w:rFonts w:hint="default" w:ascii="Times New Roman" w:hAnsi="Times New Roman" w:cs="Times New Roman"/>
                      <w:color w:val="auto"/>
                      <w:lang w:val="en-US" w:eastAsia="zh-CN"/>
                    </w:rPr>
                  </w:pPr>
                  <w:r>
                    <w:rPr>
                      <w:rFonts w:hint="default" w:ascii="Times New Roman" w:hAnsi="Times New Roman" w:cs="Times New Roman"/>
                      <w:color w:val="auto"/>
                      <w:highlight w:val="none"/>
                      <w:lang w:val="en-US" w:eastAsia="zh-CN"/>
                    </w:rPr>
                    <w:t>（</w:t>
                  </w:r>
                </w:p>
              </w:tc>
              <w:tc>
                <w:tcPr>
                  <w:tcW w:w="615"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配制试剂废液</w:t>
                  </w:r>
                </w:p>
              </w:tc>
              <w:tc>
                <w:tcPr>
                  <w:tcW w:w="700" w:type="pct"/>
                  <w:vMerge w:val="restar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危险废物</w:t>
                  </w:r>
                </w:p>
              </w:tc>
              <w:tc>
                <w:tcPr>
                  <w:tcW w:w="456" w:type="pct"/>
                  <w:vMerge w:val="restar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HW49</w:t>
                  </w:r>
                </w:p>
              </w:tc>
              <w:tc>
                <w:tcPr>
                  <w:tcW w:w="750" w:type="pct"/>
                  <w:vMerge w:val="restar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900-047-49</w:t>
                  </w:r>
                </w:p>
              </w:tc>
              <w:tc>
                <w:tcPr>
                  <w:tcW w:w="666" w:type="pct"/>
                  <w:vMerge w:val="restar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T/C/I/R</w:t>
                  </w:r>
                </w:p>
              </w:tc>
              <w:tc>
                <w:tcPr>
                  <w:tcW w:w="368" w:type="pct"/>
                  <w:vMerge w:val="restar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液态</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0.097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343"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highlight w:val="red"/>
                      <w:lang w:val="en-US" w:eastAsia="zh-CN"/>
                    </w:rPr>
                  </w:pPr>
                </w:p>
              </w:tc>
              <w:tc>
                <w:tcPr>
                  <w:tcW w:w="615"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废牛奶</w:t>
                  </w:r>
                </w:p>
              </w:tc>
              <w:tc>
                <w:tcPr>
                  <w:tcW w:w="700" w:type="pct"/>
                  <w:vMerge w:val="continue"/>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456" w:type="pct"/>
                  <w:vMerge w:val="continue"/>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750" w:type="pct"/>
                  <w:vMerge w:val="continue"/>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666" w:type="pct"/>
                  <w:vMerge w:val="continue"/>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368" w:type="pct"/>
                  <w:vMerge w:val="continue"/>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p>
              </w:tc>
              <w:tc>
                <w:tcPr>
                  <w:tcW w:w="343"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p>
              </w:tc>
              <w:tc>
                <w:tcPr>
                  <w:tcW w:w="615"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废牛血</w:t>
                  </w:r>
                </w:p>
              </w:tc>
              <w:tc>
                <w:tcPr>
                  <w:tcW w:w="700" w:type="pct"/>
                  <w:vMerge w:val="continue"/>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456" w:type="pct"/>
                  <w:vMerge w:val="continue"/>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p>
              </w:tc>
              <w:tc>
                <w:tcPr>
                  <w:tcW w:w="750" w:type="pct"/>
                  <w:vMerge w:val="continue"/>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p>
              </w:tc>
              <w:tc>
                <w:tcPr>
                  <w:tcW w:w="666" w:type="pct"/>
                  <w:vMerge w:val="continue"/>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368" w:type="pct"/>
                  <w:vMerge w:val="continue"/>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p>
              </w:tc>
              <w:tc>
                <w:tcPr>
                  <w:tcW w:w="343" w:type="pct"/>
                  <w:vMerge w:val="continue"/>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p>
              </w:tc>
              <w:tc>
                <w:tcPr>
                  <w:tcW w:w="615"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lang w:val="en-US"/>
                    </w:rPr>
                  </w:pPr>
                  <w:r>
                    <w:rPr>
                      <w:rFonts w:hint="default" w:ascii="Times New Roman" w:hAnsi="Times New Roman" w:cs="Times New Roman"/>
                      <w:color w:val="auto"/>
                      <w:lang w:val="en-US" w:eastAsia="zh-CN"/>
                    </w:rPr>
                    <w:t>实验器皿前段清洗废水</w:t>
                  </w:r>
                </w:p>
              </w:tc>
              <w:tc>
                <w:tcPr>
                  <w:tcW w:w="700" w:type="pct"/>
                  <w:vMerge w:val="continue"/>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456" w:type="pct"/>
                  <w:vMerge w:val="continue"/>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p>
              </w:tc>
              <w:tc>
                <w:tcPr>
                  <w:tcW w:w="750" w:type="pct"/>
                  <w:vMerge w:val="continue"/>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666" w:type="pct"/>
                  <w:vMerge w:val="continue"/>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p>
              </w:tc>
              <w:tc>
                <w:tcPr>
                  <w:tcW w:w="368" w:type="pct"/>
                  <w:vMerge w:val="continue"/>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p>
              </w:tc>
              <w:tc>
                <w:tcPr>
                  <w:tcW w:w="3901" w:type="pct"/>
                  <w:gridSpan w:val="7"/>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小计</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958" w:type="pct"/>
                  <w:gridSpan w:val="2"/>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沾染危险</w:t>
                  </w:r>
                  <w:r>
                    <w:rPr>
                      <w:rFonts w:hint="default" w:ascii="Times New Roman" w:hAnsi="Times New Roman" w:cs="Times New Roman"/>
                      <w:color w:val="auto"/>
                      <w:lang w:val="en-US" w:eastAsia="zh-CN"/>
                    </w:rPr>
                    <w:t>物质</w:t>
                  </w:r>
                  <w:r>
                    <w:rPr>
                      <w:rFonts w:hint="default" w:ascii="Times New Roman" w:hAnsi="Times New Roman" w:cs="Times New Roman"/>
                      <w:color w:val="auto"/>
                    </w:rPr>
                    <w:t>的废弃包装物</w:t>
                  </w:r>
                </w:p>
              </w:tc>
              <w:tc>
                <w:tcPr>
                  <w:tcW w:w="70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危险废物</w:t>
                  </w:r>
                </w:p>
              </w:tc>
              <w:tc>
                <w:tcPr>
                  <w:tcW w:w="456"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HW29</w:t>
                  </w:r>
                </w:p>
              </w:tc>
              <w:tc>
                <w:tcPr>
                  <w:tcW w:w="75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900-041-49</w:t>
                  </w:r>
                </w:p>
              </w:tc>
              <w:tc>
                <w:tcPr>
                  <w:tcW w:w="666"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T/In</w:t>
                  </w:r>
                </w:p>
              </w:tc>
              <w:tc>
                <w:tcPr>
                  <w:tcW w:w="368"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固态</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958" w:type="pct"/>
                  <w:gridSpan w:val="2"/>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废一次性耗材</w:t>
                  </w:r>
                </w:p>
              </w:tc>
              <w:tc>
                <w:tcPr>
                  <w:tcW w:w="70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危险废物</w:t>
                  </w:r>
                </w:p>
              </w:tc>
              <w:tc>
                <w:tcPr>
                  <w:tcW w:w="456"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HW49</w:t>
                  </w:r>
                </w:p>
              </w:tc>
              <w:tc>
                <w:tcPr>
                  <w:tcW w:w="75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900-047-49</w:t>
                  </w:r>
                </w:p>
              </w:tc>
              <w:tc>
                <w:tcPr>
                  <w:tcW w:w="666"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T/C/I/R</w:t>
                  </w:r>
                </w:p>
              </w:tc>
              <w:tc>
                <w:tcPr>
                  <w:tcW w:w="368"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固态</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958" w:type="pct"/>
                  <w:gridSpan w:val="2"/>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废活性炭</w:t>
                  </w:r>
                </w:p>
              </w:tc>
              <w:tc>
                <w:tcPr>
                  <w:tcW w:w="70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危险废物</w:t>
                  </w:r>
                </w:p>
              </w:tc>
              <w:tc>
                <w:tcPr>
                  <w:tcW w:w="456"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HW49</w:t>
                  </w:r>
                </w:p>
              </w:tc>
              <w:tc>
                <w:tcPr>
                  <w:tcW w:w="75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900-039-49</w:t>
                  </w:r>
                </w:p>
              </w:tc>
              <w:tc>
                <w:tcPr>
                  <w:tcW w:w="666"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T</w:t>
                  </w:r>
                </w:p>
              </w:tc>
              <w:tc>
                <w:tcPr>
                  <w:tcW w:w="368"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固态</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w:t>
                  </w:r>
                  <w:r>
                    <w:rPr>
                      <w:rFonts w:hint="default" w:ascii="Times New Roman" w:hAnsi="Times New Roman" w:cs="Times New Roman"/>
                      <w:color w:val="auto"/>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94"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958" w:type="pct"/>
                  <w:gridSpan w:val="2"/>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废弃化学试剂</w:t>
                  </w:r>
                </w:p>
              </w:tc>
              <w:tc>
                <w:tcPr>
                  <w:tcW w:w="70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危险废物</w:t>
                  </w:r>
                </w:p>
              </w:tc>
              <w:tc>
                <w:tcPr>
                  <w:tcW w:w="456"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HW49</w:t>
                  </w:r>
                </w:p>
              </w:tc>
              <w:tc>
                <w:tcPr>
                  <w:tcW w:w="750" w:type="pct"/>
                  <w:tcBorders>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900-047-49</w:t>
                  </w:r>
                </w:p>
              </w:tc>
              <w:tc>
                <w:tcPr>
                  <w:tcW w:w="666"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T/C/I/R</w:t>
                  </w:r>
                </w:p>
              </w:tc>
              <w:tc>
                <w:tcPr>
                  <w:tcW w:w="368" w:type="pct"/>
                  <w:tcBorders>
                    <w:left w:val="single" w:color="auto" w:sz="4" w:space="0"/>
                    <w:righ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液态/</w:t>
                  </w:r>
                  <w:r>
                    <w:rPr>
                      <w:rFonts w:hint="default" w:ascii="Times New Roman" w:hAnsi="Times New Roman" w:cs="Times New Roman"/>
                      <w:color w:val="auto"/>
                    </w:rPr>
                    <w:t>固态</w:t>
                  </w:r>
                </w:p>
              </w:tc>
              <w:tc>
                <w:tcPr>
                  <w:tcW w:w="60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rPr>
                    <w:t>0.002</w:t>
                  </w:r>
                </w:p>
              </w:tc>
            </w:tr>
          </w:tbl>
          <w:p>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4.2 处置及去向</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本项目固体废物处置去向见表4-</w:t>
            </w:r>
            <w:r>
              <w:rPr>
                <w:rFonts w:hint="default" w:ascii="Times New Roman" w:hAnsi="Times New Roman" w:cs="Times New Roman"/>
                <w:color w:val="auto"/>
                <w:sz w:val="24"/>
                <w:lang w:val="en-US" w:eastAsia="zh-CN"/>
              </w:rPr>
              <w:t>9</w:t>
            </w:r>
            <w:r>
              <w:rPr>
                <w:rFonts w:hint="default" w:ascii="Times New Roman" w:hAnsi="Times New Roman" w:cs="Times New Roman"/>
                <w:color w:val="auto"/>
                <w:sz w:val="24"/>
              </w:rPr>
              <w:t>。</w:t>
            </w:r>
          </w:p>
          <w:p>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表4-</w:t>
            </w:r>
            <w:r>
              <w:rPr>
                <w:rFonts w:hint="default" w:ascii="Times New Roman" w:hAnsi="Times New Roman" w:eastAsia="黑体" w:cs="Times New Roman"/>
                <w:color w:val="auto"/>
                <w:sz w:val="24"/>
                <w:lang w:val="en-US" w:eastAsia="zh-CN"/>
              </w:rPr>
              <w:t>9</w:t>
            </w:r>
            <w:r>
              <w:rPr>
                <w:rFonts w:hint="default" w:ascii="Times New Roman" w:hAnsi="Times New Roman" w:eastAsia="黑体" w:cs="Times New Roman"/>
                <w:color w:val="auto"/>
                <w:sz w:val="24"/>
              </w:rPr>
              <w:t xml:space="preserve">  本项目固体废物处置去向一览表</w:t>
            </w:r>
          </w:p>
          <w:tbl>
            <w:tblPr>
              <w:tblStyle w:val="25"/>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340"/>
              <w:gridCol w:w="2137"/>
              <w:gridCol w:w="2783"/>
              <w:gridCol w:w="20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名称</w:t>
                  </w:r>
                </w:p>
              </w:tc>
              <w:tc>
                <w:tcPr>
                  <w:tcW w:w="128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贮存方式</w:t>
                  </w:r>
                </w:p>
              </w:tc>
              <w:tc>
                <w:tcPr>
                  <w:tcW w:w="167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利用处置方式和去向</w:t>
                  </w: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b/>
                      <w:bCs/>
                      <w:color w:val="auto"/>
                    </w:rPr>
                  </w:pPr>
                  <w:r>
                    <w:rPr>
                      <w:rFonts w:hint="default" w:ascii="Times New Roman" w:hAnsi="Times New Roman" w:cs="Times New Roman"/>
                      <w:b/>
                      <w:bCs/>
                      <w:color w:val="auto"/>
                    </w:rPr>
                    <w:t>利用或处置量t/a</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生活垃圾</w:t>
                  </w:r>
                </w:p>
              </w:tc>
              <w:tc>
                <w:tcPr>
                  <w:tcW w:w="128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垃圾桶分类收集</w:t>
                  </w:r>
                </w:p>
              </w:tc>
              <w:tc>
                <w:tcPr>
                  <w:tcW w:w="167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环卫部门统一收集处置</w:t>
                  </w: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0.750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highlight w:val="none"/>
                      <w:lang w:val="en-US" w:eastAsia="zh-CN"/>
                    </w:rPr>
                    <w:t>未沾染危险物质的废弃包装物</w:t>
                  </w:r>
                </w:p>
              </w:tc>
              <w:tc>
                <w:tcPr>
                  <w:tcW w:w="128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垃圾桶收集</w:t>
                  </w:r>
                </w:p>
              </w:tc>
              <w:tc>
                <w:tcPr>
                  <w:tcW w:w="167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废纸箱、玻璃瓶由废品回收站回收，废塑料由环卫部门统一收集处置</w:t>
                  </w: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废饲料</w:t>
                  </w:r>
                </w:p>
              </w:tc>
              <w:tc>
                <w:tcPr>
                  <w:tcW w:w="128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垃圾桶收集</w:t>
                  </w:r>
                </w:p>
              </w:tc>
              <w:tc>
                <w:tcPr>
                  <w:tcW w:w="167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rPr>
                    <w:t>环卫部门统一收集处置</w:t>
                  </w: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废离子交换树脂</w:t>
                  </w:r>
                </w:p>
              </w:tc>
              <w:tc>
                <w:tcPr>
                  <w:tcW w:w="128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rPr>
                    <w:t>/</w:t>
                  </w:r>
                </w:p>
              </w:tc>
              <w:tc>
                <w:tcPr>
                  <w:tcW w:w="167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厂家定期更换回收</w:t>
                  </w: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rPr>
                    <w:t>0.00</w:t>
                  </w:r>
                  <w:r>
                    <w:rPr>
                      <w:rFonts w:hint="default" w:ascii="Times New Roman" w:hAnsi="Times New Roman" w:cs="Times New Roman"/>
                      <w:color w:val="auto"/>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废活性炭</w:t>
                  </w:r>
                </w:p>
              </w:tc>
              <w:tc>
                <w:tcPr>
                  <w:tcW w:w="1288" w:type="pct"/>
                  <w:tcMar>
                    <w:top w:w="12" w:type="dxa"/>
                    <w:left w:w="12" w:type="dxa"/>
                    <w:right w:w="12" w:type="dxa"/>
                  </w:tcMar>
                  <w:vAlign w:val="center"/>
                </w:tcPr>
                <w:p>
                  <w:pPr>
                    <w:widowControl/>
                    <w:adjustRightInd w:val="0"/>
                    <w:snapToGrid w:val="0"/>
                    <w:jc w:val="center"/>
                    <w:textAlignment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危废暂存库</w:t>
                  </w:r>
                </w:p>
              </w:tc>
              <w:tc>
                <w:tcPr>
                  <w:tcW w:w="1678" w:type="pct"/>
                  <w:vMerge w:val="restart"/>
                  <w:tcMar>
                    <w:top w:w="12" w:type="dxa"/>
                    <w:left w:w="12" w:type="dxa"/>
                    <w:right w:w="12" w:type="dxa"/>
                  </w:tcMar>
                  <w:vAlign w:val="center"/>
                </w:tcPr>
                <w:p>
                  <w:pPr>
                    <w:widowControl/>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交由</w:t>
                  </w:r>
                  <w:r>
                    <w:rPr>
                      <w:rFonts w:hint="default" w:ascii="Times New Roman" w:hAnsi="Times New Roman" w:cs="Times New Roman"/>
                      <w:color w:val="auto"/>
                    </w:rPr>
                    <w:t>宁夏宁东清大国华环境资源有限公司</w:t>
                  </w:r>
                  <w:r>
                    <w:rPr>
                      <w:rFonts w:hint="default" w:ascii="Times New Roman" w:hAnsi="Times New Roman" w:cs="Times New Roman"/>
                      <w:color w:val="auto"/>
                      <w:lang w:val="en-US" w:eastAsia="zh-CN"/>
                    </w:rPr>
                    <w:t>处置</w:t>
                  </w: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0.</w:t>
                  </w:r>
                  <w:r>
                    <w:rPr>
                      <w:rFonts w:hint="default" w:ascii="Times New Roman" w:hAnsi="Times New Roman" w:cs="Times New Roman"/>
                      <w:color w:val="auto"/>
                      <w:lang w:val="en-US" w:eastAsia="zh-CN"/>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highlight w:val="none"/>
                    </w:rPr>
                    <w:t>实验废液</w:t>
                  </w:r>
                </w:p>
              </w:tc>
              <w:tc>
                <w:tcPr>
                  <w:tcW w:w="1288" w:type="pct"/>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危废暂存库</w:t>
                  </w:r>
                </w:p>
              </w:tc>
              <w:tc>
                <w:tcPr>
                  <w:tcW w:w="1678"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3.098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废弃化学试剂</w:t>
                  </w:r>
                </w:p>
              </w:tc>
              <w:tc>
                <w:tcPr>
                  <w:tcW w:w="1288" w:type="pct"/>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危废暂存库</w:t>
                  </w:r>
                </w:p>
              </w:tc>
              <w:tc>
                <w:tcPr>
                  <w:tcW w:w="1678"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沾染危险</w:t>
                  </w:r>
                  <w:r>
                    <w:rPr>
                      <w:rFonts w:hint="default" w:ascii="Times New Roman" w:hAnsi="Times New Roman" w:cs="Times New Roman"/>
                      <w:color w:val="auto"/>
                      <w:lang w:val="en-US" w:eastAsia="zh-CN"/>
                    </w:rPr>
                    <w:t>物质</w:t>
                  </w:r>
                  <w:r>
                    <w:rPr>
                      <w:rFonts w:hint="default" w:ascii="Times New Roman" w:hAnsi="Times New Roman" w:cs="Times New Roman"/>
                      <w:color w:val="auto"/>
                    </w:rPr>
                    <w:t>的废弃包装物</w:t>
                  </w:r>
                </w:p>
              </w:tc>
              <w:tc>
                <w:tcPr>
                  <w:tcW w:w="1288" w:type="pct"/>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危废暂存库</w:t>
                  </w:r>
                </w:p>
              </w:tc>
              <w:tc>
                <w:tcPr>
                  <w:tcW w:w="1678"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8" w:type="pct"/>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废一次性耗材</w:t>
                  </w:r>
                </w:p>
              </w:tc>
              <w:tc>
                <w:tcPr>
                  <w:tcW w:w="1288" w:type="pct"/>
                  <w:tcMar>
                    <w:top w:w="12" w:type="dxa"/>
                    <w:left w:w="12" w:type="dxa"/>
                    <w:right w:w="12" w:type="dxa"/>
                  </w:tcMar>
                  <w:vAlign w:val="center"/>
                </w:tcPr>
                <w:p>
                  <w:pPr>
                    <w:widowControl/>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危废暂存库</w:t>
                  </w:r>
                </w:p>
              </w:tc>
              <w:tc>
                <w:tcPr>
                  <w:tcW w:w="1678" w:type="pct"/>
                  <w:vMerge w:val="continue"/>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p>
              </w:tc>
              <w:tc>
                <w:tcPr>
                  <w:tcW w:w="1224" w:type="pct"/>
                  <w:tcBorders>
                    <w:left w:val="single" w:color="auto" w:sz="4" w:space="0"/>
                  </w:tcBorders>
                  <w:tcMar>
                    <w:top w:w="12" w:type="dxa"/>
                    <w:left w:w="12" w:type="dxa"/>
                    <w:right w:w="12" w:type="dxa"/>
                  </w:tcMar>
                  <w:vAlign w:val="center"/>
                </w:tcPr>
                <w:p>
                  <w:pPr>
                    <w:widowControl/>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0.500</w:t>
                  </w:r>
                </w:p>
              </w:tc>
            </w:tr>
          </w:tbl>
          <w:p>
            <w:pPr>
              <w:pStyle w:val="24"/>
              <w:spacing w:before="240" w:after="60"/>
              <w:ind w:left="0" w:leftChars="0" w:firstLine="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 xml:space="preserve">4.3 </w:t>
            </w:r>
            <w:r>
              <w:rPr>
                <w:rFonts w:hint="default" w:ascii="Times New Roman" w:hAnsi="Times New Roman" w:eastAsia="黑体" w:cs="Times New Roman"/>
                <w:color w:val="auto"/>
                <w:sz w:val="24"/>
                <w:szCs w:val="24"/>
                <w:lang w:eastAsia="zh-CN"/>
              </w:rPr>
              <w:t>危废暂存库</w:t>
            </w:r>
            <w:r>
              <w:rPr>
                <w:rFonts w:hint="default" w:ascii="Times New Roman" w:hAnsi="Times New Roman" w:eastAsia="黑体" w:cs="Times New Roman"/>
                <w:color w:val="auto"/>
                <w:sz w:val="24"/>
                <w:szCs w:val="24"/>
              </w:rPr>
              <w:t>设置要求</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本项目建设1座</w:t>
            </w:r>
            <w:r>
              <w:rPr>
                <w:rFonts w:hint="default" w:ascii="Times New Roman" w:hAnsi="Times New Roman" w:cs="Times New Roman"/>
                <w:color w:val="auto"/>
                <w:sz w:val="24"/>
                <w:lang w:eastAsia="zh-CN"/>
              </w:rPr>
              <w:t>危废暂存库</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2</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根据《危险废物识别标志设置技术规范》（HJ1276-2022），危险废物标签应以醒目的字样标注“危险废物”；危险废物标签应包含废物名称、废物类别、废物代码、废物形态、危险特性、主要成分、有害成分、注意事项、产生/收集单位名称、联系人、联系方式、产生日期、废物重量和备注，危险废物标签宜设置危险废物数字识别码和二维码。本项目危险废物主要有废活性炭过滤器</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沾染危险废物的废弃包装物</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实验废液</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配制试剂废液</w:t>
            </w:r>
            <w:r>
              <w:rPr>
                <w:rFonts w:hint="default" w:ascii="Times New Roman" w:hAnsi="Times New Roman" w:cs="Times New Roman"/>
                <w:color w:val="auto"/>
                <w:sz w:val="24"/>
                <w:lang w:eastAsia="zh-CN"/>
              </w:rPr>
              <w:t>、</w:t>
            </w:r>
            <w:r>
              <w:rPr>
                <w:rFonts w:hint="default" w:ascii="Times New Roman" w:hAnsi="Times New Roman" w:cs="Times New Roman"/>
                <w:color w:val="auto"/>
                <w:sz w:val="24"/>
                <w:highlight w:val="none"/>
              </w:rPr>
              <w:t>废</w:t>
            </w:r>
            <w:r>
              <w:rPr>
                <w:rFonts w:hint="default" w:ascii="Times New Roman" w:hAnsi="Times New Roman" w:cs="Times New Roman"/>
                <w:color w:val="auto"/>
                <w:sz w:val="24"/>
                <w:highlight w:val="none"/>
                <w:lang w:val="en-US" w:eastAsia="zh-CN"/>
              </w:rPr>
              <w:t>牛奶</w:t>
            </w:r>
            <w:r>
              <w:rPr>
                <w:rFonts w:hint="default" w:ascii="Times New Roman" w:hAnsi="Times New Roman" w:cs="Times New Roman"/>
                <w:color w:val="auto"/>
                <w:sz w:val="24"/>
                <w:highlight w:val="none"/>
                <w:lang w:eastAsia="zh-CN"/>
              </w:rPr>
              <w:t>、</w:t>
            </w:r>
            <w:r>
              <w:rPr>
                <w:rFonts w:hint="default" w:ascii="Times New Roman" w:hAnsi="Times New Roman" w:cs="Times New Roman"/>
                <w:color w:val="auto"/>
                <w:sz w:val="24"/>
                <w:highlight w:val="none"/>
                <w:lang w:val="en-US" w:eastAsia="zh-CN"/>
              </w:rPr>
              <w:t>废牛血、实验器皿前段清洗废水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废弃化学试剂</w:t>
            </w:r>
            <w:r>
              <w:rPr>
                <w:rFonts w:hint="default" w:ascii="Times New Roman" w:hAnsi="Times New Roman" w:cs="Times New Roman"/>
                <w:color w:val="auto"/>
                <w:sz w:val="24"/>
              </w:rPr>
              <w:t>试剂</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废一次性耗材</w:t>
            </w:r>
            <w:r>
              <w:rPr>
                <w:rFonts w:hint="default" w:ascii="Times New Roman" w:hAnsi="Times New Roman" w:cs="Times New Roman"/>
                <w:color w:val="auto"/>
                <w:sz w:val="24"/>
              </w:rPr>
              <w:t>。根据《危险废物贮存污染控制标准》（GB18597-2023）中防渗要求，</w:t>
            </w:r>
            <w:r>
              <w:rPr>
                <w:rFonts w:hint="default" w:ascii="Times New Roman" w:hAnsi="Times New Roman" w:cs="Times New Roman"/>
                <w:color w:val="auto"/>
                <w:sz w:val="24"/>
                <w:szCs w:val="24"/>
                <w:highlight w:val="none"/>
              </w:rPr>
              <w:t>危险废物暂存场所基础</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地面+裙脚</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lang w:val="en-US" w:eastAsia="zh-CN"/>
              </w:rPr>
              <w:t>已采用抗渗混凝土、</w:t>
            </w:r>
            <w:r>
              <w:rPr>
                <w:rFonts w:hint="default" w:ascii="Times New Roman" w:hAnsi="Times New Roman" w:eastAsia="宋体" w:cs="Times New Roman"/>
                <w:color w:val="auto"/>
                <w:kern w:val="0"/>
                <w:sz w:val="24"/>
                <w:szCs w:val="24"/>
                <w:highlight w:val="none"/>
                <w:lang w:val="en-US" w:eastAsia="zh-CN" w:bidi="ar"/>
              </w:rPr>
              <w:t>高密度聚乙烯膜等材料进行防渗</w:t>
            </w:r>
            <w:r>
              <w:rPr>
                <w:rFonts w:hint="default" w:ascii="Times New Roman" w:hAnsi="Times New Roman" w:cs="Times New Roman"/>
                <w:color w:val="auto"/>
                <w:sz w:val="24"/>
                <w:szCs w:val="24"/>
                <w:highlight w:val="none"/>
              </w:rPr>
              <w:t>，防渗层渗透系数≤10</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cm/s</w:t>
            </w:r>
            <w:r>
              <w:rPr>
                <w:rFonts w:hint="default" w:ascii="Times New Roman" w:hAnsi="Times New Roman" w:cs="Times New Roman"/>
                <w:color w:val="auto"/>
                <w:sz w:val="24"/>
                <w:szCs w:val="24"/>
                <w:highlight w:val="none"/>
                <w:lang w:eastAsia="zh-CN"/>
              </w:rPr>
              <w:t>。</w:t>
            </w:r>
          </w:p>
          <w:p>
            <w:pPr>
              <w:widowControl/>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危废暂存库</w:t>
            </w:r>
            <w:r>
              <w:rPr>
                <w:rFonts w:hint="default" w:ascii="Times New Roman" w:hAnsi="Times New Roman" w:cs="Times New Roman"/>
                <w:color w:val="auto"/>
                <w:sz w:val="24"/>
              </w:rPr>
              <w:t>在</w:t>
            </w:r>
            <w:r>
              <w:rPr>
                <w:rFonts w:hint="default" w:ascii="Times New Roman" w:hAnsi="Times New Roman" w:cs="Times New Roman"/>
                <w:color w:val="auto"/>
                <w:sz w:val="24"/>
                <w:lang w:val="en-US" w:eastAsia="zh-CN"/>
              </w:rPr>
              <w:t>建设</w:t>
            </w:r>
            <w:r>
              <w:rPr>
                <w:rFonts w:hint="default" w:ascii="Times New Roman" w:hAnsi="Times New Roman" w:cs="Times New Roman"/>
                <w:color w:val="auto"/>
                <w:sz w:val="24"/>
              </w:rPr>
              <w:t>时，</w:t>
            </w:r>
            <w:r>
              <w:rPr>
                <w:rFonts w:hint="default" w:ascii="Times New Roman" w:hAnsi="Times New Roman" w:cs="Times New Roman"/>
                <w:color w:val="auto"/>
                <w:sz w:val="24"/>
                <w:lang w:val="en-US" w:eastAsia="zh-CN"/>
              </w:rPr>
              <w:t>已按</w:t>
            </w:r>
            <w:r>
              <w:rPr>
                <w:rFonts w:hint="default" w:ascii="Times New Roman" w:hAnsi="Times New Roman" w:cs="Times New Roman"/>
                <w:color w:val="auto"/>
                <w:sz w:val="24"/>
              </w:rPr>
              <w:t>以下要求规范化建设：</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①危险废物贮存场所的地面与</w:t>
            </w:r>
            <w:r>
              <w:rPr>
                <w:rFonts w:hint="default" w:ascii="Times New Roman" w:hAnsi="Times New Roman" w:cs="Times New Roman"/>
                <w:color w:val="auto"/>
                <w:sz w:val="24"/>
                <w:lang w:val="en-US" w:eastAsia="zh-CN"/>
              </w:rPr>
              <w:t>裙</w:t>
            </w:r>
            <w:r>
              <w:rPr>
                <w:rFonts w:hint="default" w:ascii="Times New Roman" w:hAnsi="Times New Roman" w:cs="Times New Roman"/>
                <w:color w:val="auto"/>
                <w:sz w:val="24"/>
              </w:rPr>
              <w:t>脚</w:t>
            </w:r>
            <w:r>
              <w:rPr>
                <w:rFonts w:hint="default" w:ascii="Times New Roman" w:hAnsi="Times New Roman" w:cs="Times New Roman"/>
                <w:color w:val="auto"/>
                <w:sz w:val="24"/>
                <w:lang w:val="en-US" w:eastAsia="zh-CN"/>
              </w:rPr>
              <w:t>已</w:t>
            </w:r>
            <w:r>
              <w:rPr>
                <w:rFonts w:hint="default" w:ascii="Times New Roman" w:hAnsi="Times New Roman" w:cs="Times New Roman"/>
                <w:color w:val="auto"/>
                <w:sz w:val="24"/>
                <w:szCs w:val="24"/>
                <w:highlight w:val="none"/>
                <w:lang w:val="en-US" w:eastAsia="zh-CN"/>
              </w:rPr>
              <w:t>采用抗渗混凝土、</w:t>
            </w:r>
            <w:r>
              <w:rPr>
                <w:rFonts w:hint="default" w:ascii="Times New Roman" w:hAnsi="Times New Roman" w:eastAsia="宋体" w:cs="Times New Roman"/>
                <w:color w:val="auto"/>
                <w:kern w:val="0"/>
                <w:sz w:val="24"/>
                <w:szCs w:val="24"/>
                <w:highlight w:val="none"/>
                <w:lang w:val="en-US" w:eastAsia="zh-CN" w:bidi="ar"/>
              </w:rPr>
              <w:t>高密度聚乙烯膜等材料建造</w:t>
            </w:r>
            <w:r>
              <w:rPr>
                <w:rFonts w:hint="default" w:ascii="Times New Roman" w:hAnsi="Times New Roman" w:cs="Times New Roman"/>
                <w:color w:val="auto"/>
                <w:sz w:val="24"/>
              </w:rPr>
              <w:t>，不与废物产生化学反应。</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②危险废物堆放场所基础</w:t>
            </w:r>
            <w:r>
              <w:rPr>
                <w:rFonts w:hint="default" w:ascii="Times New Roman" w:hAnsi="Times New Roman" w:cs="Times New Roman"/>
                <w:color w:val="auto"/>
                <w:sz w:val="24"/>
                <w:lang w:val="en-US" w:eastAsia="zh-CN"/>
              </w:rPr>
              <w:t>已</w:t>
            </w:r>
            <w:r>
              <w:rPr>
                <w:rFonts w:hint="default" w:ascii="Times New Roman" w:hAnsi="Times New Roman" w:cs="Times New Roman"/>
                <w:color w:val="auto"/>
                <w:sz w:val="24"/>
                <w:szCs w:val="24"/>
                <w:highlight w:val="none"/>
                <w:lang w:val="en-US" w:eastAsia="zh-CN"/>
              </w:rPr>
              <w:t>采用抗渗混凝土、</w:t>
            </w:r>
            <w:r>
              <w:rPr>
                <w:rFonts w:hint="default" w:ascii="Times New Roman" w:hAnsi="Times New Roman" w:eastAsia="宋体" w:cs="Times New Roman"/>
                <w:color w:val="auto"/>
                <w:kern w:val="0"/>
                <w:sz w:val="24"/>
                <w:szCs w:val="24"/>
                <w:highlight w:val="none"/>
                <w:lang w:val="en-US" w:eastAsia="zh-CN" w:bidi="ar"/>
              </w:rPr>
              <w:t>高密度聚乙烯膜等材料进行防渗</w:t>
            </w:r>
            <w:r>
              <w:rPr>
                <w:rFonts w:hint="default" w:ascii="Times New Roman" w:hAnsi="Times New Roman" w:cs="Times New Roman"/>
                <w:color w:val="auto"/>
                <w:sz w:val="24"/>
                <w:szCs w:val="24"/>
                <w:highlight w:val="none"/>
              </w:rPr>
              <w:t>，防渗层渗透系数≤10</w:t>
            </w:r>
            <w:r>
              <w:rPr>
                <w:rFonts w:hint="default" w:ascii="Times New Roman" w:hAnsi="Times New Roman" w:cs="Times New Roman"/>
                <w:color w:val="auto"/>
                <w:sz w:val="24"/>
                <w:szCs w:val="24"/>
                <w:highlight w:val="none"/>
                <w:vertAlign w:val="superscript"/>
              </w:rPr>
              <w:t>-7</w:t>
            </w:r>
            <w:r>
              <w:rPr>
                <w:rFonts w:hint="default" w:ascii="Times New Roman" w:hAnsi="Times New Roman" w:cs="Times New Roman"/>
                <w:color w:val="auto"/>
                <w:sz w:val="24"/>
                <w:szCs w:val="24"/>
                <w:highlight w:val="none"/>
              </w:rPr>
              <w:t>cm/s</w:t>
            </w:r>
            <w:r>
              <w:rPr>
                <w:rFonts w:hint="default" w:ascii="Times New Roman" w:hAnsi="Times New Roman" w:cs="Times New Roman"/>
                <w:color w:val="auto"/>
                <w:sz w:val="24"/>
                <w:szCs w:val="24"/>
                <w:highlight w:val="none"/>
                <w:lang w:eastAsia="zh-CN"/>
              </w:rPr>
              <w:t>。</w:t>
            </w:r>
            <w:r>
              <w:rPr>
                <w:rFonts w:hint="default" w:ascii="Times New Roman" w:hAnsi="Times New Roman" w:cs="Times New Roman"/>
                <w:color w:val="auto"/>
                <w:sz w:val="24"/>
              </w:rPr>
              <w:t>同时危险废物堆放场所</w:t>
            </w:r>
            <w:r>
              <w:rPr>
                <w:rFonts w:hint="default" w:ascii="Times New Roman" w:hAnsi="Times New Roman" w:cs="Times New Roman"/>
                <w:color w:val="auto"/>
                <w:sz w:val="24"/>
                <w:lang w:val="en-US" w:eastAsia="zh-CN"/>
              </w:rPr>
              <w:t>处于室内，满足</w:t>
            </w:r>
            <w:r>
              <w:rPr>
                <w:rFonts w:hint="default" w:ascii="Times New Roman" w:hAnsi="Times New Roman" w:cs="Times New Roman"/>
                <w:color w:val="auto"/>
                <w:sz w:val="24"/>
              </w:rPr>
              <w:t>防风、防雨、防晒</w:t>
            </w:r>
            <w:r>
              <w:rPr>
                <w:rFonts w:hint="default" w:ascii="Times New Roman" w:hAnsi="Times New Roman" w:cs="Times New Roman"/>
                <w:color w:val="auto"/>
                <w:sz w:val="24"/>
                <w:lang w:val="en-US" w:eastAsia="zh-CN"/>
              </w:rPr>
              <w:t>的要求</w:t>
            </w:r>
            <w:r>
              <w:rPr>
                <w:rFonts w:hint="default" w:ascii="Times New Roman" w:hAnsi="Times New Roman" w:cs="Times New Roman"/>
                <w:color w:val="auto"/>
                <w:sz w:val="24"/>
              </w:rPr>
              <w:t>。</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③堆放危险废物的高度</w:t>
            </w:r>
            <w:r>
              <w:rPr>
                <w:rFonts w:hint="default" w:ascii="Times New Roman" w:hAnsi="Times New Roman" w:cs="Times New Roman"/>
                <w:color w:val="auto"/>
                <w:sz w:val="24"/>
                <w:lang w:val="en-US" w:eastAsia="zh-CN"/>
              </w:rPr>
              <w:t>已</w:t>
            </w:r>
            <w:r>
              <w:rPr>
                <w:rFonts w:hint="default" w:ascii="Times New Roman" w:hAnsi="Times New Roman" w:cs="Times New Roman"/>
                <w:color w:val="auto"/>
                <w:sz w:val="24"/>
              </w:rPr>
              <w:t>根据地面承载能力确定，衬里放在一个基础或坐垫上，覆盖危险废物或其溶出物可能涉及到的范围；衬里材料与堆放危险废物相容。</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④所有危险废物产生</w:t>
            </w:r>
            <w:r>
              <w:rPr>
                <w:rFonts w:hint="default" w:ascii="Times New Roman" w:hAnsi="Times New Roman" w:cs="Times New Roman"/>
                <w:color w:val="auto"/>
                <w:sz w:val="24"/>
                <w:lang w:val="en-US" w:eastAsia="zh-CN"/>
              </w:rPr>
              <w:t>者</w:t>
            </w:r>
            <w:r>
              <w:rPr>
                <w:rFonts w:hint="default" w:ascii="Times New Roman" w:hAnsi="Times New Roman" w:cs="Times New Roman"/>
                <w:color w:val="auto"/>
                <w:sz w:val="24"/>
              </w:rPr>
              <w:t>和危险废物经营者设置专用的危险废物贮存设施，</w:t>
            </w:r>
            <w:r>
              <w:rPr>
                <w:rFonts w:hint="default" w:ascii="Times New Roman" w:hAnsi="Times New Roman" w:cs="Times New Roman"/>
                <w:color w:val="auto"/>
                <w:sz w:val="24"/>
                <w:lang w:val="en-US" w:eastAsia="zh-CN"/>
              </w:rPr>
              <w:t>危险</w:t>
            </w:r>
            <w:r>
              <w:rPr>
                <w:rFonts w:hint="default" w:ascii="Times New Roman" w:hAnsi="Times New Roman" w:cs="Times New Roman"/>
                <w:color w:val="auto"/>
                <w:sz w:val="24"/>
              </w:rPr>
              <w:t>废物装入专属容器内。</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⑤无法装入常用容器的危险废物用防渗胶袋等盛装；装载液体、半固体危险废物的容器内留有足够的空间，容器顶部距液面之间的距离不小于100mm。</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⑥使用符合标准的容器盛装危险废物。危险废物分类贮存，不与一般固废混合存放，不同类型的危险废物分开存放。</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⑦盛装危险废物的容器完好无损，容器所选用的材质不与危险废物产生化学反应，液体危险废物注入开孔直径不超过70mm并放有气孔的桶中。</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⑧危险废物转移</w:t>
            </w:r>
            <w:r>
              <w:rPr>
                <w:rFonts w:hint="default" w:ascii="Times New Roman" w:hAnsi="Times New Roman" w:cs="Times New Roman"/>
                <w:color w:val="auto"/>
                <w:sz w:val="24"/>
                <w:lang w:val="en-US" w:eastAsia="zh-CN"/>
              </w:rPr>
              <w:t>严格</w:t>
            </w:r>
            <w:r>
              <w:rPr>
                <w:rFonts w:hint="default" w:ascii="Times New Roman" w:hAnsi="Times New Roman" w:cs="Times New Roman"/>
                <w:color w:val="auto"/>
                <w:sz w:val="24"/>
              </w:rPr>
              <w:t>执行《危险废物转移管理办法》，定期送往</w:t>
            </w:r>
            <w:r>
              <w:rPr>
                <w:rFonts w:hint="default" w:ascii="Times New Roman" w:hAnsi="Times New Roman" w:cs="Times New Roman"/>
                <w:color w:val="auto"/>
                <w:sz w:val="24"/>
                <w:lang w:val="en-US" w:eastAsia="zh-CN"/>
              </w:rPr>
              <w:t>宁夏宁东清大国华环境资源有限公司</w:t>
            </w:r>
            <w:r>
              <w:rPr>
                <w:rFonts w:hint="default" w:ascii="Times New Roman" w:hAnsi="Times New Roman" w:cs="Times New Roman"/>
                <w:color w:val="auto"/>
                <w:sz w:val="24"/>
              </w:rPr>
              <w:t>处理，防止二次污染。</w:t>
            </w:r>
          </w:p>
          <w:p>
            <w:pPr>
              <w:spacing w:before="240" w:after="6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 xml:space="preserve"> 4.</w:t>
            </w:r>
            <w:r>
              <w:rPr>
                <w:rFonts w:hint="default" w:ascii="Times New Roman" w:hAnsi="Times New Roman" w:eastAsia="黑体" w:cs="Times New Roman"/>
                <w:color w:val="auto"/>
                <w:sz w:val="24"/>
                <w:lang w:val="en-US" w:eastAsia="zh-CN"/>
              </w:rPr>
              <w:t>4</w:t>
            </w:r>
            <w:r>
              <w:rPr>
                <w:rFonts w:hint="default" w:ascii="Times New Roman" w:hAnsi="Times New Roman" w:eastAsia="黑体" w:cs="Times New Roman"/>
                <w:color w:val="auto"/>
                <w:sz w:val="24"/>
              </w:rPr>
              <w:t xml:space="preserve"> 固体废物环境管理</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（1）</w:t>
            </w:r>
            <w:r>
              <w:rPr>
                <w:rFonts w:hint="default" w:ascii="Times New Roman" w:hAnsi="Times New Roman" w:eastAsia="黑体" w:cs="Times New Roman"/>
                <w:color w:val="auto"/>
                <w:sz w:val="24"/>
              </w:rPr>
              <w:t>危险废物处置管理流程</w:t>
            </w:r>
          </w:p>
          <w:p>
            <w:pPr>
              <w:ind w:firstLine="512" w:firstLineChars="200"/>
              <w:rPr>
                <w:rFonts w:hint="default" w:ascii="Times New Roman" w:hAnsi="Times New Roman" w:cs="Times New Roman"/>
                <w:color w:val="auto"/>
              </w:rPr>
            </w:pPr>
            <w:r>
              <w:rPr>
                <w:rFonts w:hint="default" w:ascii="Times New Roman" w:hAnsi="Times New Roman" w:cs="Times New Roman"/>
                <w:color w:val="auto"/>
                <w:sz w:val="24"/>
              </w:rPr>
              <w:t>总经理是危险废物管理的第一负责人，对全公司危险废物管理负全面的领导责任；设立以总经理为组长、各部门领导组成的危险废物管理小组，对公司的各项危废管理工作进行决策、监督和协调；生产部经理负责主持危险废物管理职能机构的日常工作。</w:t>
            </w:r>
          </w:p>
          <w:p>
            <w:pPr>
              <w:ind w:firstLine="512" w:firstLineChars="20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① 标识管理制度</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a.危险废物的容器和包装物必须设置危险废物识别标志。</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b.收集、贮存、运输、利用、综合利用危险废物的设施、场所，必须设置危险废物识别标志。危险废弃物的容器不能有破损、盖子损坏或其它可能导致废弃物泄漏的隐患。废弃物收集容器应粘贴危险废弃物标签，明显标示其中的废弃物名称、主要成分与性质，并保持清晰可见。</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c.危险废物的标识必须符合《危险废物贮存污染控制标准》（GB18597-2023）及《环境保护图形标志</w:t>
            </w:r>
            <w:r>
              <w:rPr>
                <w:rFonts w:hint="default" w:ascii="Times New Roman" w:hAnsi="Times New Roman" w:cs="Times New Roman"/>
                <w:color w:val="auto"/>
                <w:sz w:val="24"/>
                <w:lang w:val="en-US" w:eastAsia="zh-CN"/>
              </w:rPr>
              <w:t>-</w:t>
            </w:r>
            <w:r>
              <w:rPr>
                <w:rFonts w:hint="default" w:ascii="Times New Roman" w:hAnsi="Times New Roman" w:cs="Times New Roman"/>
                <w:color w:val="auto"/>
                <w:sz w:val="24"/>
              </w:rPr>
              <w:t>固体废物贮存（处置）场所》（GB15562.2-1995）</w:t>
            </w:r>
            <w:r>
              <w:rPr>
                <w:rFonts w:hint="default" w:ascii="Times New Roman" w:hAnsi="Times New Roman" w:cs="Times New Roman"/>
                <w:color w:val="auto"/>
                <w:sz w:val="24"/>
                <w:szCs w:val="24"/>
                <w:lang w:val="en-US" w:eastAsia="zh-CN"/>
              </w:rPr>
              <w:t>及2023修改单中</w:t>
            </w:r>
            <w:r>
              <w:rPr>
                <w:rFonts w:hint="default" w:ascii="Times New Roman" w:hAnsi="Times New Roman" w:cs="Times New Roman"/>
                <w:color w:val="auto"/>
                <w:sz w:val="24"/>
              </w:rPr>
              <w:t>要求。</w:t>
            </w:r>
          </w:p>
          <w:p>
            <w:pPr>
              <w:ind w:firstLine="512" w:firstLineChars="20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② 管理计划制度</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a.每年1月15日之前由</w:t>
            </w:r>
            <w:r>
              <w:rPr>
                <w:rFonts w:hint="default" w:ascii="Times New Roman" w:hAnsi="Times New Roman" w:cs="Times New Roman"/>
                <w:color w:val="auto"/>
                <w:sz w:val="24"/>
                <w:lang w:val="en-US" w:eastAsia="zh-CN"/>
              </w:rPr>
              <w:t>实验室管理人员</w:t>
            </w:r>
            <w:r>
              <w:rPr>
                <w:rFonts w:hint="default" w:ascii="Times New Roman" w:hAnsi="Times New Roman" w:cs="Times New Roman"/>
                <w:color w:val="auto"/>
                <w:sz w:val="24"/>
              </w:rPr>
              <w:t>根据危险废物收集、产生、贮存、利用、转移台账汇总年度的公司的危险废物情况，总结上年度危险管理工作进展及存在的问题，并在此基础上提出下一年度的危险废物减排计划、危废减量化及整改措施。按照</w:t>
            </w:r>
            <w:r>
              <w:rPr>
                <w:rFonts w:hint="default" w:ascii="Times New Roman" w:hAnsi="Times New Roman" w:cs="Times New Roman"/>
                <w:color w:val="auto"/>
                <w:sz w:val="24"/>
                <w:lang w:val="en-US" w:eastAsia="zh-CN"/>
              </w:rPr>
              <w:t>生态环境</w:t>
            </w:r>
            <w:r>
              <w:rPr>
                <w:rFonts w:hint="default" w:ascii="Times New Roman" w:hAnsi="Times New Roman" w:cs="Times New Roman"/>
                <w:color w:val="auto"/>
                <w:sz w:val="24"/>
              </w:rPr>
              <w:t>部门要求填写《危险废物管理计划》。</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b.《危险废物管理计划》经公司危废管理小组负责人签字盖章，交当地生态环境局，同时送自治区生态环境厅备案。</w:t>
            </w:r>
          </w:p>
          <w:p>
            <w:pPr>
              <w:ind w:firstLine="512" w:firstLineChars="20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③ 申报登记制度</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a.项目产生的危险废物种类、性质、数量、浓度、转移(或综合利用)去向、危险废物的贮存、利用场所，严格按照国家规定的内容和程序，如实进行申报登记。</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b.每年1月根据</w:t>
            </w:r>
            <w:r>
              <w:rPr>
                <w:rFonts w:hint="default" w:ascii="Times New Roman" w:hAnsi="Times New Roman" w:cs="Times New Roman"/>
                <w:color w:val="auto"/>
                <w:sz w:val="24"/>
                <w:lang w:val="en-US" w:eastAsia="zh-CN"/>
              </w:rPr>
              <w:t>生态环境</w:t>
            </w:r>
            <w:r>
              <w:rPr>
                <w:rFonts w:hint="default" w:ascii="Times New Roman" w:hAnsi="Times New Roman" w:cs="Times New Roman"/>
                <w:color w:val="auto"/>
                <w:sz w:val="24"/>
              </w:rPr>
              <w:t>部门规定结合公司实际情况填写上一年度固废申报登记表，经危废管理小组确认后签字盖章，送交县、市生态环境局审核，再上交一份至自治区生态环境主管部门。</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c.年度危险废物申报登记表一式肆份，由省、市、县环保主管部门及产生单位存档，于每年2月底前完成上报工作。</w:t>
            </w:r>
          </w:p>
          <w:p>
            <w:pPr>
              <w:ind w:firstLine="512" w:firstLineChars="20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④ 分类管理制度</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a.收集、贮存、转移危险废物时，严格按照危险废物特性结合《国家危险废物名录》（2021版）对危险废物进行识别并分类，防止混合收集、贮存、运输、转移性质不相容而未经安全性处置的危险废物。</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b.贮存危险废物时严格按照国家环境保护标准的防护措施，禁止将危险废物混入非危险废物中贮存。</w:t>
            </w:r>
          </w:p>
          <w:p>
            <w:pPr>
              <w:ind w:firstLine="512" w:firstLineChars="200"/>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⑤ 转移管理制度</w:t>
            </w:r>
          </w:p>
          <w:p>
            <w:pPr>
              <w:ind w:firstLine="512" w:firstLineChars="200"/>
              <w:rPr>
                <w:rFonts w:hint="default" w:ascii="Times New Roman" w:hAnsi="Times New Roman" w:cs="Times New Roman"/>
                <w:color w:val="auto"/>
              </w:rPr>
            </w:pPr>
            <w:r>
              <w:rPr>
                <w:rFonts w:hint="default" w:ascii="Times New Roman" w:hAnsi="Times New Roman" w:cs="Times New Roman"/>
                <w:color w:val="auto"/>
                <w:sz w:val="24"/>
              </w:rPr>
              <w:t>按照《危险废物转移管理办法》执行。</w:t>
            </w:r>
          </w:p>
          <w:p>
            <w:pPr>
              <w:numPr>
                <w:ilvl w:val="0"/>
                <w:numId w:val="6"/>
              </w:numPr>
              <w:rPr>
                <w:rFonts w:hint="default" w:ascii="Times New Roman" w:hAnsi="Times New Roman" w:cs="Times New Roman"/>
                <w:color w:val="auto"/>
              </w:rPr>
            </w:pPr>
            <w:r>
              <w:rPr>
                <w:rFonts w:hint="default" w:ascii="Times New Roman" w:hAnsi="Times New Roman" w:eastAsia="黑体" w:cs="Times New Roman"/>
                <w:color w:val="auto"/>
                <w:sz w:val="24"/>
              </w:rPr>
              <w:t>固体废物处置管理流程</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对一般固体废物实行从产生、运输直至最终处理实行全过程管理，加强固体废物运输过程的事故风险防范，按照有关法律、法规的要求，对固体废弃物全过程管理应报当地环保行政主管部门等批准。</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通过以上分析可知，本项目产生的固体废物可分为危险废物和一般工业固废，均采取措施对其进行处置。只要建设单位在</w:t>
            </w:r>
            <w:r>
              <w:rPr>
                <w:rFonts w:hint="default" w:ascii="Times New Roman" w:hAnsi="Times New Roman" w:cs="Times New Roman"/>
                <w:color w:val="auto"/>
                <w:sz w:val="24"/>
                <w:lang w:val="en-US" w:eastAsia="zh-CN"/>
              </w:rPr>
              <w:t>实验室</w:t>
            </w:r>
            <w:r>
              <w:rPr>
                <w:rFonts w:hint="default" w:ascii="Times New Roman" w:hAnsi="Times New Roman" w:cs="Times New Roman"/>
                <w:color w:val="auto"/>
                <w:sz w:val="24"/>
              </w:rPr>
              <w:t>储存、转运等环节严格按《危险废物贮存污染控制标准》（GB18597-2023）和《一般工业固体废物贮存和填埋污染控制标准》（GB18599-2020）进行规范处置，杜绝二次污染的发生，落实好上述措施和建议，本项目产生的固体废物可以得到妥善的处置，不会对环境造成较大的影响。</w:t>
            </w:r>
          </w:p>
          <w:p>
            <w:pPr>
              <w:adjustRightInd w:val="0"/>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综上所述，在加强管理，并在落实好各项污染防治措施和固体废物安全处置措施的前提下，项目产生的固体废物对周围环境的影响较小。</w:t>
            </w:r>
          </w:p>
          <w:p>
            <w:pPr>
              <w:spacing w:before="240" w:after="60"/>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5、土壤、地下水</w:t>
            </w:r>
          </w:p>
          <w:p>
            <w:pPr>
              <w:ind w:firstLine="512" w:firstLineChars="200"/>
              <w:rPr>
                <w:rFonts w:hint="default" w:ascii="Times New Roman" w:hAnsi="Times New Roman" w:cs="Times New Roman"/>
                <w:color w:val="auto"/>
                <w:lang w:val="en-US" w:eastAsia="zh-CN"/>
              </w:rPr>
            </w:pPr>
            <w:r>
              <w:rPr>
                <w:rFonts w:hint="default" w:ascii="Times New Roman" w:hAnsi="Times New Roman" w:cs="Times New Roman"/>
                <w:color w:val="auto"/>
                <w:sz w:val="24"/>
              </w:rPr>
              <w:t>本项目实验</w:t>
            </w:r>
            <w:r>
              <w:rPr>
                <w:rFonts w:hint="default" w:ascii="Times New Roman" w:hAnsi="Times New Roman" w:cs="Times New Roman"/>
                <w:color w:val="auto"/>
                <w:sz w:val="24"/>
                <w:lang w:val="en-US" w:eastAsia="zh-CN"/>
              </w:rPr>
              <w:t>室位于</w:t>
            </w:r>
            <w:r>
              <w:rPr>
                <w:rFonts w:hint="default" w:ascii="Times New Roman" w:hAnsi="Times New Roman" w:cs="Times New Roman"/>
                <w:color w:val="auto"/>
                <w:kern w:val="0"/>
                <w:sz w:val="24"/>
                <w:highlight w:val="none"/>
                <w:lang w:eastAsia="zh-CN"/>
              </w:rPr>
              <w:t>中卫市职业技术学校3</w:t>
            </w:r>
            <w:r>
              <w:rPr>
                <w:rFonts w:hint="default" w:ascii="Times New Roman" w:hAnsi="Times New Roman" w:cs="Times New Roman"/>
                <w:color w:val="auto"/>
                <w:kern w:val="0"/>
                <w:sz w:val="24"/>
                <w:szCs w:val="24"/>
                <w:highlight w:val="none"/>
                <w:lang w:eastAsia="zh-CN"/>
              </w:rPr>
              <w:t>号实训楼一楼</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水泥框架结构</w:t>
            </w:r>
            <w:r>
              <w:rPr>
                <w:rFonts w:hint="default" w:ascii="Times New Roman" w:hAnsi="Times New Roman" w:cs="Times New Roman"/>
                <w:color w:val="auto"/>
                <w:sz w:val="24"/>
                <w:szCs w:val="24"/>
                <w:lang w:eastAsia="zh-CN"/>
              </w:rPr>
              <w:t>。危废暂存库</w:t>
            </w:r>
            <w:r>
              <w:rPr>
                <w:rFonts w:hint="default" w:ascii="Times New Roman" w:hAnsi="Times New Roman" w:cs="Times New Roman"/>
                <w:color w:val="auto"/>
                <w:sz w:val="24"/>
                <w:szCs w:val="24"/>
                <w:lang w:val="en-US" w:eastAsia="zh-CN"/>
              </w:rPr>
              <w:t>设置在楼梯间，占地面积2m</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w:t>
            </w:r>
          </w:p>
          <w:p>
            <w:pPr>
              <w:ind w:firstLine="512" w:firstLineChars="200"/>
              <w:rPr>
                <w:rFonts w:hint="default" w:ascii="Times New Roman" w:hAnsi="Times New Roman" w:cs="Times New Roman"/>
                <w:color w:val="auto"/>
                <w:sz w:val="24"/>
              </w:rPr>
            </w:pPr>
            <w:r>
              <w:rPr>
                <w:rFonts w:hint="default" w:ascii="Times New Roman" w:hAnsi="Times New Roman" w:eastAsia="宋体" w:cs="Times New Roman"/>
                <w:color w:val="auto"/>
                <w:sz w:val="24"/>
                <w:szCs w:val="24"/>
                <w:highlight w:val="none"/>
              </w:rPr>
              <w:t>项目</w:t>
            </w:r>
            <w:r>
              <w:rPr>
                <w:rFonts w:hint="default" w:ascii="Times New Roman" w:hAnsi="Times New Roman" w:cs="Times New Roman"/>
                <w:color w:val="auto"/>
                <w:sz w:val="24"/>
                <w:szCs w:val="24"/>
                <w:highlight w:val="none"/>
                <w:lang w:eastAsia="zh-CN"/>
              </w:rPr>
              <w:t>危废暂存库</w:t>
            </w:r>
            <w:r>
              <w:rPr>
                <w:rFonts w:hint="default" w:ascii="Times New Roman" w:hAnsi="Times New Roman" w:eastAsia="宋体" w:cs="Times New Roman"/>
                <w:color w:val="auto"/>
                <w:sz w:val="24"/>
                <w:szCs w:val="24"/>
                <w:highlight w:val="none"/>
              </w:rPr>
              <w:t>严格按照《危险废物贮存污染控制标准（GB18597-2023）建设，地面</w:t>
            </w:r>
            <w:r>
              <w:rPr>
                <w:rFonts w:hint="default" w:ascii="Times New Roman" w:hAnsi="Times New Roman" w:cs="Times New Roman"/>
                <w:color w:val="auto"/>
                <w:sz w:val="24"/>
                <w:szCs w:val="24"/>
                <w:highlight w:val="none"/>
                <w:lang w:val="en-US" w:eastAsia="zh-CN"/>
              </w:rPr>
              <w:t>+裙脚</w:t>
            </w:r>
            <w:r>
              <w:rPr>
                <w:rFonts w:hint="default" w:ascii="Times New Roman" w:hAnsi="Times New Roman" w:eastAsia="宋体" w:cs="Times New Roman"/>
                <w:color w:val="auto"/>
                <w:sz w:val="24"/>
                <w:szCs w:val="24"/>
                <w:highlight w:val="none"/>
              </w:rPr>
              <w:t>基础防渗采用混凝土硬化，漆刷防渗涂料，设置防渗托盘，危险废物贮存不与地面直接接触</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rPr>
              <w:t>防止了项目废水及液体化学品泄漏不被发现而污染土壤及地下水情况，因此本项目不对地下水及土壤环境影响进行分析。</w:t>
            </w:r>
          </w:p>
          <w:p>
            <w:pPr>
              <w:pStyle w:val="19"/>
              <w:spacing w:before="240" w:after="60"/>
              <w:jc w:val="both"/>
              <w:rPr>
                <w:rFonts w:hint="default" w:ascii="Times New Roman" w:hAnsi="Times New Roman" w:eastAsia="黑体" w:cs="Times New Roman"/>
                <w:color w:val="auto"/>
              </w:rPr>
            </w:pPr>
            <w:r>
              <w:rPr>
                <w:rFonts w:hint="default" w:ascii="Times New Roman" w:hAnsi="Times New Roman" w:eastAsia="黑体" w:cs="Times New Roman"/>
                <w:color w:val="auto"/>
              </w:rPr>
              <w:t>6、环境风险</w:t>
            </w:r>
          </w:p>
          <w:p>
            <w:pPr>
              <w:spacing w:before="240" w:after="60"/>
              <w:rPr>
                <w:rFonts w:hint="default" w:ascii="Times New Roman" w:hAnsi="Times New Roman" w:eastAsia="黑体" w:cs="Times New Roman"/>
                <w:color w:val="auto"/>
                <w:sz w:val="24"/>
              </w:rPr>
            </w:pPr>
            <w:r>
              <w:rPr>
                <w:rFonts w:hint="default" w:ascii="Times New Roman" w:hAnsi="Times New Roman" w:cs="Times New Roman"/>
                <w:color w:val="auto"/>
                <w:sz w:val="24"/>
              </w:rPr>
              <w:t xml:space="preserve">6.1 </w:t>
            </w:r>
            <w:r>
              <w:rPr>
                <w:rFonts w:hint="default" w:ascii="Times New Roman" w:hAnsi="Times New Roman" w:eastAsia="黑体" w:cs="Times New Roman"/>
                <w:color w:val="auto"/>
                <w:sz w:val="24"/>
              </w:rPr>
              <w:t>风险源调查</w:t>
            </w:r>
          </w:p>
          <w:p>
            <w:pPr>
              <w:ind w:firstLine="512" w:firstLineChars="200"/>
              <w:rPr>
                <w:rFonts w:hint="default" w:ascii="Times New Roman" w:hAnsi="Times New Roman" w:cs="Times New Roman"/>
                <w:color w:val="auto"/>
              </w:rPr>
            </w:pPr>
            <w:r>
              <w:rPr>
                <w:rFonts w:hint="default" w:ascii="Times New Roman" w:hAnsi="Times New Roman" w:cs="Times New Roman"/>
                <w:color w:val="auto"/>
                <w:sz w:val="24"/>
              </w:rPr>
              <w:t>项目风险源主要来自原辅材料的使用，具体风险源、基本情况见表4-</w:t>
            </w:r>
            <w:r>
              <w:rPr>
                <w:rFonts w:hint="default" w:ascii="Times New Roman" w:hAnsi="Times New Roman" w:cs="Times New Roman"/>
                <w:color w:val="auto"/>
                <w:sz w:val="24"/>
                <w:lang w:val="en-US" w:eastAsia="zh-CN"/>
              </w:rPr>
              <w:t>10</w:t>
            </w:r>
            <w:r>
              <w:rPr>
                <w:rFonts w:hint="default" w:ascii="Times New Roman" w:hAnsi="Times New Roman" w:cs="Times New Roman"/>
                <w:color w:val="auto"/>
                <w:sz w:val="24"/>
              </w:rPr>
              <w:t>。</w:t>
            </w:r>
          </w:p>
          <w:p>
            <w:pPr>
              <w:pStyle w:val="53"/>
              <w:snapToGrid/>
              <w:spacing w:beforeLines="0" w:afterLines="0" w:line="240" w:lineRule="auto"/>
              <w:ind w:firstLine="0"/>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表4-</w:t>
            </w:r>
            <w:r>
              <w:rPr>
                <w:rFonts w:hint="default" w:ascii="Times New Roman" w:hAnsi="Times New Roman" w:eastAsia="黑体" w:cs="Times New Roman"/>
                <w:color w:val="auto"/>
                <w:sz w:val="24"/>
                <w:szCs w:val="24"/>
                <w:lang w:val="en-US" w:eastAsia="zh-CN"/>
              </w:rPr>
              <w:t>10</w:t>
            </w:r>
            <w:r>
              <w:rPr>
                <w:rFonts w:hint="default" w:ascii="Times New Roman" w:hAnsi="Times New Roman" w:eastAsia="黑体" w:cs="Times New Roman"/>
                <w:color w:val="auto"/>
                <w:sz w:val="24"/>
                <w:szCs w:val="24"/>
              </w:rPr>
              <w:t xml:space="preserve">  项目风险源调查表</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19"/>
              <w:gridCol w:w="2359"/>
              <w:gridCol w:w="2302"/>
              <w:gridCol w:w="1004"/>
              <w:gridCol w:w="1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422" w:type="pct"/>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危险物质</w:t>
                  </w:r>
                </w:p>
              </w:tc>
              <w:tc>
                <w:tcPr>
                  <w:tcW w:w="1388" w:type="pct"/>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CAS号</w:t>
                  </w:r>
                </w:p>
              </w:tc>
              <w:tc>
                <w:tcPr>
                  <w:tcW w:w="605" w:type="pct"/>
                  <w:vAlign w:val="center"/>
                </w:tcPr>
                <w:p>
                  <w:pPr>
                    <w:adjustRightInd w:val="0"/>
                    <w:snapToGrid w:val="0"/>
                    <w:jc w:val="center"/>
                    <w:rPr>
                      <w:rFonts w:hint="default" w:ascii="Times New Roman" w:hAnsi="Times New Roman" w:eastAsia="宋体" w:cs="Times New Roman"/>
                      <w:b/>
                      <w:bCs/>
                      <w:color w:val="auto"/>
                      <w:lang w:eastAsia="zh-CN"/>
                    </w:rPr>
                  </w:pPr>
                  <w:r>
                    <w:rPr>
                      <w:rFonts w:hint="default" w:ascii="Times New Roman" w:hAnsi="Times New Roman" w:cs="Times New Roman"/>
                      <w:b/>
                      <w:bCs/>
                      <w:color w:val="auto"/>
                      <w:lang w:val="en-US" w:eastAsia="zh-CN"/>
                    </w:rPr>
                    <w:t>最大存在量</w:t>
                  </w:r>
                  <w:r>
                    <w:rPr>
                      <w:rFonts w:hint="default" w:ascii="Times New Roman" w:hAnsi="Times New Roman" w:cs="Times New Roman"/>
                      <w:b/>
                      <w:bCs/>
                      <w:color w:val="auto"/>
                    </w:rPr>
                    <w:t>(t)</w:t>
                  </w:r>
                </w:p>
              </w:tc>
              <w:tc>
                <w:tcPr>
                  <w:tcW w:w="788" w:type="pct"/>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分布情况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w:t>
                  </w:r>
                </w:p>
              </w:tc>
              <w:tc>
                <w:tcPr>
                  <w:tcW w:w="142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kern w:val="2"/>
                      <w:sz w:val="21"/>
                      <w:szCs w:val="21"/>
                      <w:u w:val="none"/>
                      <w:lang w:val="en-US" w:eastAsia="zh-CN" w:bidi="ar"/>
                    </w:rPr>
                  </w:pPr>
                  <w:r>
                    <w:rPr>
                      <w:rFonts w:hint="default" w:ascii="Times New Roman" w:hAnsi="Times New Roman" w:eastAsia="宋体" w:cs="Times New Roman"/>
                      <w:color w:val="auto"/>
                      <w:kern w:val="0"/>
                      <w:szCs w:val="21"/>
                      <w:lang w:val="en-US" w:eastAsia="zh-CN" w:bidi="ar"/>
                    </w:rPr>
                    <w:t>丙酮</w:t>
                  </w:r>
                </w:p>
              </w:tc>
              <w:tc>
                <w:tcPr>
                  <w:tcW w:w="1388" w:type="pct"/>
                  <w:vAlign w:val="top"/>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67-64-1</w:t>
                  </w:r>
                </w:p>
              </w:tc>
              <w:tc>
                <w:tcPr>
                  <w:tcW w:w="605"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0.0237</w:t>
                  </w:r>
                </w:p>
              </w:tc>
              <w:tc>
                <w:tcPr>
                  <w:tcW w:w="788" w:type="pct"/>
                  <w:vMerge w:val="restart"/>
                  <w:vAlign w:val="center"/>
                </w:tcPr>
                <w:p>
                  <w:pPr>
                    <w:adjustRightInd w:val="0"/>
                    <w:snapToGrid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highlight w:val="none"/>
                      <w:lang w:eastAsia="zh-CN"/>
                    </w:rPr>
                    <w:t>样品及试剂室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w:t>
                  </w:r>
                </w:p>
              </w:tc>
              <w:tc>
                <w:tcPr>
                  <w:tcW w:w="1422" w:type="pct"/>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kern w:val="2"/>
                      <w:sz w:val="21"/>
                      <w:szCs w:val="21"/>
                      <w:u w:val="none"/>
                      <w:lang w:val="en-US" w:eastAsia="zh-CN" w:bidi="ar"/>
                    </w:rPr>
                  </w:pPr>
                  <w:r>
                    <w:rPr>
                      <w:rStyle w:val="71"/>
                      <w:rFonts w:hint="default" w:ascii="Times New Roman" w:hAnsi="Times New Roman" w:eastAsia="宋体" w:cs="Times New Roman"/>
                      <w:color w:val="auto"/>
                      <w:sz w:val="21"/>
                      <w:szCs w:val="21"/>
                      <w:lang w:bidi="ar"/>
                    </w:rPr>
                    <w:t>硫酸</w:t>
                  </w:r>
                </w:p>
              </w:tc>
              <w:tc>
                <w:tcPr>
                  <w:tcW w:w="1388" w:type="pct"/>
                  <w:vAlign w:val="top"/>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7664-93-9</w:t>
                  </w:r>
                </w:p>
              </w:tc>
              <w:tc>
                <w:tcPr>
                  <w:tcW w:w="605" w:type="pct"/>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0.0276</w:t>
                  </w:r>
                </w:p>
              </w:tc>
              <w:tc>
                <w:tcPr>
                  <w:tcW w:w="788" w:type="pct"/>
                  <w:vMerge w:val="continue"/>
                  <w:vAlign w:val="center"/>
                </w:tcPr>
                <w:p>
                  <w:pPr>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w:t>
                  </w:r>
                </w:p>
              </w:tc>
              <w:tc>
                <w:tcPr>
                  <w:tcW w:w="1422" w:type="pct"/>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kern w:val="2"/>
                      <w:sz w:val="21"/>
                      <w:szCs w:val="21"/>
                      <w:u w:val="none"/>
                      <w:lang w:val="en-US" w:eastAsia="zh-CN" w:bidi="ar"/>
                    </w:rPr>
                  </w:pPr>
                  <w:r>
                    <w:rPr>
                      <w:rStyle w:val="71"/>
                      <w:rFonts w:hint="default" w:ascii="Times New Roman" w:hAnsi="Times New Roman" w:eastAsia="宋体" w:cs="Times New Roman"/>
                      <w:color w:val="auto"/>
                      <w:sz w:val="21"/>
                      <w:szCs w:val="21"/>
                      <w:lang w:bidi="ar"/>
                    </w:rPr>
                    <w:t>盐酸</w:t>
                  </w:r>
                </w:p>
              </w:tc>
              <w:tc>
                <w:tcPr>
                  <w:tcW w:w="1388" w:type="pct"/>
                  <w:vAlign w:val="top"/>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7647-01-0</w:t>
                  </w:r>
                </w:p>
              </w:tc>
              <w:tc>
                <w:tcPr>
                  <w:tcW w:w="605" w:type="pct"/>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0.0177</w:t>
                  </w:r>
                </w:p>
              </w:tc>
              <w:tc>
                <w:tcPr>
                  <w:tcW w:w="788" w:type="pct"/>
                  <w:vMerge w:val="continue"/>
                  <w:vAlign w:val="center"/>
                </w:tcPr>
                <w:p>
                  <w:pPr>
                    <w:adjustRightInd w:val="0"/>
                    <w:snapToGrid w:val="0"/>
                    <w:jc w:val="center"/>
                    <w:rPr>
                      <w:rFonts w:hint="default" w:ascii="Times New Roman" w:hAnsi="Times New Roman" w:cs="Times New Roman"/>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95"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4</w:t>
                  </w:r>
                </w:p>
              </w:tc>
              <w:tc>
                <w:tcPr>
                  <w:tcW w:w="1422"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lang w:val="en-US" w:eastAsia="zh-CN"/>
                    </w:rPr>
                    <w:t>石油醚</w:t>
                  </w:r>
                </w:p>
              </w:tc>
              <w:tc>
                <w:tcPr>
                  <w:tcW w:w="1388" w:type="pct"/>
                  <w:vAlign w:val="top"/>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8032-32-4</w:t>
                  </w:r>
                </w:p>
              </w:tc>
              <w:tc>
                <w:tcPr>
                  <w:tcW w:w="1004" w:type="dxa"/>
                  <w:vAlign w:val="center"/>
                </w:tcPr>
                <w:p>
                  <w:pPr>
                    <w:adjustRightInd w:val="0"/>
                    <w:snapToGrid w:val="0"/>
                    <w:jc w:val="center"/>
                    <w:rPr>
                      <w:rFonts w:hint="default" w:ascii="Times New Roman" w:hAnsi="Times New Roman" w:eastAsia="宋体" w:cs="Times New Roman"/>
                      <w:color w:val="auto"/>
                      <w:kern w:val="0"/>
                      <w:szCs w:val="21"/>
                      <w:lang w:val="en-US" w:eastAsia="zh-CN" w:bidi="ar"/>
                    </w:rPr>
                  </w:pPr>
                  <w:r>
                    <w:rPr>
                      <w:rFonts w:hint="default" w:ascii="Times New Roman" w:hAnsi="Times New Roman" w:eastAsia="宋体" w:cs="Times New Roman"/>
                      <w:color w:val="auto"/>
                      <w:lang w:val="en-US" w:eastAsia="zh-CN"/>
                    </w:rPr>
                    <w:t>0.0062</w:t>
                  </w:r>
                </w:p>
              </w:tc>
              <w:tc>
                <w:tcPr>
                  <w:tcW w:w="788" w:type="pct"/>
                  <w:vMerge w:val="continue"/>
                  <w:vAlign w:val="center"/>
                </w:tcPr>
                <w:p>
                  <w:pPr>
                    <w:adjustRightInd w:val="0"/>
                    <w:snapToGrid w:val="0"/>
                    <w:jc w:val="center"/>
                    <w:rPr>
                      <w:rFonts w:hint="default" w:ascii="Times New Roman" w:hAnsi="Times New Roman" w:cs="Times New Roman"/>
                      <w:color w:val="auto"/>
                    </w:rPr>
                  </w:pPr>
                </w:p>
              </w:tc>
            </w:tr>
          </w:tbl>
          <w:p>
            <w:pPr>
              <w:spacing w:before="240" w:after="60"/>
              <w:rPr>
                <w:rFonts w:hint="default" w:ascii="Times New Roman" w:hAnsi="Times New Roman" w:cs="Times New Roman"/>
                <w:color w:val="auto"/>
                <w:sz w:val="24"/>
              </w:rPr>
            </w:pPr>
            <w:r>
              <w:rPr>
                <w:rFonts w:hint="default" w:ascii="Times New Roman" w:hAnsi="Times New Roman" w:cs="Times New Roman"/>
                <w:color w:val="auto"/>
                <w:sz w:val="24"/>
              </w:rPr>
              <w:t xml:space="preserve">6.2 </w:t>
            </w:r>
            <w:r>
              <w:rPr>
                <w:rFonts w:hint="default" w:ascii="Times New Roman" w:hAnsi="Times New Roman" w:eastAsia="黑体" w:cs="Times New Roman"/>
                <w:color w:val="auto"/>
                <w:sz w:val="24"/>
              </w:rPr>
              <w:t>环境风险物质与临界量比值</w:t>
            </w:r>
            <w:r>
              <w:rPr>
                <w:rFonts w:hint="default" w:ascii="Times New Roman" w:hAnsi="Times New Roman" w:cs="Times New Roman"/>
                <w:color w:val="auto"/>
                <w:sz w:val="24"/>
              </w:rPr>
              <w:t>（Q）</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计算所涉及的每种危险物质在厂界内的最大存在总量与其在《建设项目环境风险评价技术导则》（HJ 169-2018）附录B中对应临界量的比值Q。</w:t>
            </w:r>
          </w:p>
          <w:p>
            <w:pPr>
              <w:rPr>
                <w:rFonts w:hint="default" w:ascii="Times New Roman" w:hAnsi="Times New Roman" w:cs="Times New Roman"/>
                <w:color w:val="auto"/>
                <w:sz w:val="24"/>
              </w:rPr>
            </w:pPr>
            <w:r>
              <w:rPr>
                <w:rFonts w:hint="default" w:ascii="Times New Roman" w:hAnsi="Times New Roman" w:cs="Times New Roman"/>
                <w:color w:val="auto"/>
                <w:sz w:val="24"/>
              </w:rPr>
              <w:t>当只涉及一种危险物质时，计算该物质的总量与其临界量比值，即为Q；</w:t>
            </w:r>
          </w:p>
          <w:p>
            <w:pPr>
              <w:rPr>
                <w:rFonts w:hint="default" w:ascii="Times New Roman" w:hAnsi="Times New Roman" w:cs="Times New Roman"/>
                <w:color w:val="auto"/>
                <w:sz w:val="24"/>
              </w:rPr>
            </w:pPr>
            <w:r>
              <w:rPr>
                <w:rFonts w:hint="default" w:ascii="Times New Roman" w:hAnsi="Times New Roman" w:cs="Times New Roman"/>
                <w:color w:val="auto"/>
                <w:sz w:val="24"/>
              </w:rPr>
              <w:t>当存在多种危险物质时，则按下式计算物质总量与其临界量比值（Q）：</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Q= q1/Q1+ q2/Q2+……+qn/Qn</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式中：q1，q2，…，qn—每种危险物质的最大存在总量，t；</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Q1，Q2，…，Qn—每种危险物质的临界量，t。</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当Q＜1时，该项目环境风险潜势为I。</w:t>
            </w:r>
          </w:p>
          <w:p>
            <w:pPr>
              <w:jc w:val="center"/>
              <w:rPr>
                <w:rFonts w:hint="default" w:ascii="Times New Roman" w:hAnsi="Times New Roman" w:cs="Times New Roman"/>
                <w:color w:val="auto"/>
                <w:sz w:val="24"/>
              </w:rPr>
            </w:pPr>
            <w:r>
              <w:rPr>
                <w:rFonts w:hint="default" w:ascii="Times New Roman" w:hAnsi="Times New Roman" w:cs="Times New Roman"/>
                <w:color w:val="auto"/>
                <w:sz w:val="24"/>
              </w:rPr>
              <w:t>当Q≥1时，将Q值划分为：</w:t>
            </w:r>
          </w:p>
          <w:p>
            <w:pPr>
              <w:jc w:val="center"/>
              <w:rPr>
                <w:rFonts w:hint="default" w:ascii="Times New Roman" w:hAnsi="Times New Roman" w:cs="Times New Roman"/>
                <w:color w:val="auto"/>
              </w:rPr>
            </w:pPr>
            <w:r>
              <w:rPr>
                <w:rFonts w:hint="default" w:ascii="Times New Roman" w:hAnsi="Times New Roman" w:cs="Times New Roman"/>
                <w:color w:val="auto"/>
                <w:sz w:val="24"/>
              </w:rPr>
              <w:t>（1）1≤Q＜10；（2）10≤Q＜100；（3）Q≥100。</w:t>
            </w:r>
          </w:p>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根据调查，本项目不设物料储罐，原料根据公司需求由物料生产厂家进行配送，</w:t>
            </w:r>
            <w:r>
              <w:rPr>
                <w:rFonts w:hint="default" w:ascii="Times New Roman" w:hAnsi="Times New Roman" w:cs="Times New Roman"/>
                <w:color w:val="auto"/>
                <w:sz w:val="24"/>
                <w:lang w:val="en-US" w:eastAsia="zh-CN"/>
              </w:rPr>
              <w:t>以小包装</w:t>
            </w:r>
            <w:r>
              <w:rPr>
                <w:rFonts w:hint="default" w:ascii="Times New Roman" w:hAnsi="Times New Roman" w:cs="Times New Roman"/>
                <w:color w:val="auto"/>
                <w:sz w:val="24"/>
              </w:rPr>
              <w:t>购入后在</w:t>
            </w:r>
            <w:r>
              <w:rPr>
                <w:rFonts w:hint="default" w:ascii="Times New Roman" w:hAnsi="Times New Roman" w:cs="Times New Roman"/>
                <w:color w:val="auto"/>
                <w:sz w:val="24"/>
                <w:highlight w:val="none"/>
                <w:lang w:val="en-US" w:eastAsia="zh-CN"/>
              </w:rPr>
              <w:t>样品及试剂室</w:t>
            </w:r>
            <w:r>
              <w:rPr>
                <w:rFonts w:hint="default" w:ascii="Times New Roman" w:hAnsi="Times New Roman" w:cs="Times New Roman"/>
                <w:color w:val="auto"/>
                <w:sz w:val="24"/>
              </w:rPr>
              <w:t>储存，且原料存储量较小。项目物料存储情况见表4-</w:t>
            </w:r>
            <w:r>
              <w:rPr>
                <w:rFonts w:hint="default" w:ascii="Times New Roman" w:hAnsi="Times New Roman" w:cs="Times New Roman"/>
                <w:color w:val="auto"/>
                <w:sz w:val="24"/>
                <w:lang w:val="en-US" w:eastAsia="zh-CN"/>
              </w:rPr>
              <w:t>11</w:t>
            </w:r>
            <w:r>
              <w:rPr>
                <w:rFonts w:hint="default" w:ascii="Times New Roman" w:hAnsi="Times New Roman" w:cs="Times New Roman"/>
                <w:color w:val="auto"/>
                <w:sz w:val="24"/>
              </w:rPr>
              <w:t>。</w:t>
            </w:r>
          </w:p>
          <w:p>
            <w:pPr>
              <w:jc w:val="center"/>
              <w:rPr>
                <w:rFonts w:hint="default" w:ascii="Times New Roman" w:hAnsi="Times New Roman" w:eastAsia="黑体" w:cs="Times New Roman"/>
                <w:color w:val="auto"/>
                <w:sz w:val="24"/>
              </w:rPr>
            </w:pPr>
            <w:r>
              <w:rPr>
                <w:rFonts w:hint="default" w:ascii="Times New Roman" w:hAnsi="Times New Roman" w:eastAsia="黑体" w:cs="Times New Roman"/>
                <w:color w:val="auto"/>
                <w:sz w:val="24"/>
              </w:rPr>
              <w:t>表4-</w:t>
            </w:r>
            <w:r>
              <w:rPr>
                <w:rFonts w:hint="default" w:ascii="Times New Roman" w:hAnsi="Times New Roman" w:eastAsia="黑体" w:cs="Times New Roman"/>
                <w:color w:val="auto"/>
                <w:sz w:val="24"/>
                <w:lang w:val="en-US" w:eastAsia="zh-CN"/>
              </w:rPr>
              <w:t>11</w:t>
            </w:r>
            <w:r>
              <w:rPr>
                <w:rFonts w:hint="default" w:ascii="Times New Roman" w:hAnsi="Times New Roman" w:eastAsia="黑体" w:cs="Times New Roman"/>
                <w:color w:val="auto"/>
                <w:sz w:val="24"/>
              </w:rPr>
              <w:t xml:space="preserve">  项目物料存储情况</w:t>
            </w:r>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1727"/>
              <w:gridCol w:w="1365"/>
              <w:gridCol w:w="1984"/>
              <w:gridCol w:w="2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041" w:type="pct"/>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危险物质</w:t>
                  </w:r>
                </w:p>
              </w:tc>
              <w:tc>
                <w:tcPr>
                  <w:tcW w:w="823" w:type="pct"/>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最大储存量(t)</w:t>
                  </w:r>
                </w:p>
              </w:tc>
              <w:tc>
                <w:tcPr>
                  <w:tcW w:w="1196" w:type="pct"/>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风险物质临界量(t)</w:t>
                  </w:r>
                </w:p>
              </w:tc>
              <w:tc>
                <w:tcPr>
                  <w:tcW w:w="1318" w:type="pct"/>
                  <w:vAlign w:val="center"/>
                </w:tcPr>
                <w:p>
                  <w:pPr>
                    <w:adjustRightInd w:val="0"/>
                    <w:snapToGrid w:val="0"/>
                    <w:jc w:val="center"/>
                    <w:rPr>
                      <w:rFonts w:hint="default" w:ascii="Times New Roman" w:hAnsi="Times New Roman" w:cs="Times New Roman"/>
                      <w:b/>
                      <w:bCs/>
                      <w:color w:val="auto"/>
                    </w:rPr>
                  </w:pPr>
                  <w:r>
                    <w:rPr>
                      <w:rFonts w:hint="default" w:ascii="Times New Roman" w:hAnsi="Times New Roman" w:cs="Times New Roman"/>
                      <w:b/>
                      <w:bCs/>
                      <w:color w:val="auto"/>
                    </w:rPr>
                    <w:t>q/Q</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1</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eastAsia="宋体" w:cs="Times New Roman"/>
                      <w:color w:val="auto"/>
                      <w:kern w:val="0"/>
                      <w:szCs w:val="21"/>
                      <w:lang w:val="en-US" w:eastAsia="zh-CN" w:bidi="ar"/>
                    </w:rPr>
                    <w:t>丙酮</w:t>
                  </w:r>
                </w:p>
              </w:tc>
              <w:tc>
                <w:tcPr>
                  <w:tcW w:w="1365"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center"/>
                    <w:rPr>
                      <w:rFonts w:hint="default" w:ascii="Times New Roman" w:hAnsi="Times New Roman" w:cs="Times New Roman"/>
                      <w:color w:val="auto"/>
                    </w:rPr>
                  </w:pPr>
                  <w:r>
                    <w:rPr>
                      <w:rFonts w:hint="default" w:ascii="Times New Roman" w:hAnsi="Times New Roman" w:cs="Times New Roman"/>
                      <w:color w:val="auto"/>
                      <w:lang w:val="en-US" w:eastAsia="zh-CN"/>
                    </w:rPr>
                    <w:t>0.0237</w:t>
                  </w:r>
                </w:p>
              </w:tc>
              <w:tc>
                <w:tcPr>
                  <w:tcW w:w="1196"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10</w:t>
                  </w:r>
                </w:p>
              </w:tc>
              <w:tc>
                <w:tcPr>
                  <w:tcW w:w="1318" w:type="pct"/>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0.00237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2</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lang w:eastAsia="zh-CN"/>
                    </w:rPr>
                  </w:pPr>
                  <w:r>
                    <w:rPr>
                      <w:rStyle w:val="71"/>
                      <w:rFonts w:hint="default" w:ascii="Times New Roman" w:hAnsi="Times New Roman" w:eastAsia="宋体" w:cs="Times New Roman"/>
                      <w:color w:val="auto"/>
                      <w:sz w:val="21"/>
                      <w:szCs w:val="21"/>
                      <w:lang w:bidi="ar"/>
                    </w:rPr>
                    <w:t>硫酸</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98%</w:t>
                  </w:r>
                  <w:r>
                    <w:rPr>
                      <w:rFonts w:hint="default" w:ascii="Times New Roman" w:hAnsi="Times New Roman" w:cs="Times New Roman"/>
                      <w:color w:val="auto"/>
                      <w:lang w:eastAsia="zh-CN"/>
                    </w:rPr>
                    <w:t>）</w:t>
                  </w:r>
                </w:p>
              </w:tc>
              <w:tc>
                <w:tcPr>
                  <w:tcW w:w="1365" w:type="dxa"/>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0.0276</w:t>
                  </w:r>
                </w:p>
              </w:tc>
              <w:tc>
                <w:tcPr>
                  <w:tcW w:w="1196"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10</w:t>
                  </w:r>
                </w:p>
              </w:tc>
              <w:tc>
                <w:tcPr>
                  <w:tcW w:w="1318" w:type="pct"/>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rPr>
                    <w:t>3</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rPr>
                      <w:rFonts w:hint="default" w:ascii="Times New Roman" w:hAnsi="Times New Roman" w:eastAsia="宋体" w:cs="Times New Roman"/>
                      <w:color w:val="auto"/>
                      <w:lang w:eastAsia="zh-CN"/>
                    </w:rPr>
                  </w:pPr>
                  <w:r>
                    <w:rPr>
                      <w:rStyle w:val="71"/>
                      <w:rFonts w:hint="default" w:ascii="Times New Roman" w:hAnsi="Times New Roman" w:eastAsia="宋体" w:cs="Times New Roman"/>
                      <w:color w:val="auto"/>
                      <w:sz w:val="21"/>
                      <w:szCs w:val="21"/>
                      <w:lang w:bidi="ar"/>
                    </w:rPr>
                    <w:t>盐酸</w:t>
                  </w:r>
                  <w:r>
                    <w:rPr>
                      <w:rStyle w:val="71"/>
                      <w:rFonts w:hint="default" w:ascii="Times New Roman" w:hAnsi="Times New Roman" w:cs="Times New Roman"/>
                      <w:color w:val="auto"/>
                      <w:sz w:val="21"/>
                      <w:szCs w:val="21"/>
                      <w:lang w:eastAsia="zh-CN" w:bidi="ar"/>
                    </w:rPr>
                    <w:t>（</w:t>
                  </w:r>
                  <w:r>
                    <w:rPr>
                      <w:rStyle w:val="71"/>
                      <w:rFonts w:hint="default" w:ascii="Times New Roman" w:hAnsi="Times New Roman" w:cs="Times New Roman"/>
                      <w:color w:val="auto"/>
                      <w:sz w:val="21"/>
                      <w:szCs w:val="21"/>
                      <w:lang w:val="en-US" w:eastAsia="zh-CN" w:bidi="ar"/>
                    </w:rPr>
                    <w:t>38%</w:t>
                  </w:r>
                  <w:r>
                    <w:rPr>
                      <w:rStyle w:val="71"/>
                      <w:rFonts w:hint="default" w:ascii="Times New Roman" w:hAnsi="Times New Roman" w:cs="Times New Roman"/>
                      <w:color w:val="auto"/>
                      <w:sz w:val="21"/>
                      <w:szCs w:val="21"/>
                      <w:lang w:eastAsia="zh-CN" w:bidi="ar"/>
                    </w:rPr>
                    <w:t>）</w:t>
                  </w:r>
                </w:p>
              </w:tc>
              <w:tc>
                <w:tcPr>
                  <w:tcW w:w="1365" w:type="dxa"/>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0.0177</w:t>
                  </w:r>
                </w:p>
              </w:tc>
              <w:tc>
                <w:tcPr>
                  <w:tcW w:w="1196" w:type="pct"/>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7.5</w:t>
                  </w:r>
                </w:p>
              </w:tc>
              <w:tc>
                <w:tcPr>
                  <w:tcW w:w="1318" w:type="pct"/>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0.00236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0" w:type="pct"/>
                  <w:vAlign w:val="center"/>
                </w:tcPr>
                <w:p>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w:t>
                  </w:r>
                </w:p>
              </w:tc>
              <w:tc>
                <w:tcPr>
                  <w:tcW w:w="1041" w:type="pct"/>
                  <w:vAlign w:val="center"/>
                </w:tcPr>
                <w:p>
                  <w:pPr>
                    <w:keepNext w:val="0"/>
                    <w:keepLines w:val="0"/>
                    <w:pageBreakBefore w:val="0"/>
                    <w:widowControl w:val="0"/>
                    <w:kinsoku/>
                    <w:wordWrap/>
                    <w:overflowPunct/>
                    <w:topLinePunct w:val="0"/>
                    <w:autoSpaceDE/>
                    <w:autoSpaceDN/>
                    <w:bidi w:val="0"/>
                    <w:adjustRightInd w:val="0"/>
                    <w:snapToGrid w:val="0"/>
                    <w:spacing w:line="240" w:lineRule="exact"/>
                    <w:jc w:val="center"/>
                    <w:rPr>
                      <w:rStyle w:val="71"/>
                      <w:rFonts w:hint="default" w:ascii="Times New Roman" w:hAnsi="Times New Roman" w:eastAsia="宋体" w:cs="Times New Roman"/>
                      <w:color w:val="auto"/>
                      <w:sz w:val="21"/>
                      <w:szCs w:val="21"/>
                      <w:lang w:bidi="ar"/>
                    </w:rPr>
                  </w:pPr>
                  <w:r>
                    <w:rPr>
                      <w:rFonts w:hint="default" w:ascii="Times New Roman" w:hAnsi="Times New Roman" w:cs="Times New Roman"/>
                      <w:color w:val="auto"/>
                      <w:lang w:val="en-US" w:eastAsia="zh-CN"/>
                    </w:rPr>
                    <w:t>石油醚</w:t>
                  </w:r>
                </w:p>
              </w:tc>
              <w:tc>
                <w:tcPr>
                  <w:tcW w:w="1365" w:type="dxa"/>
                  <w:vAlign w:val="center"/>
                </w:tcPr>
                <w:p>
                  <w:pPr>
                    <w:adjustRightInd w:val="0"/>
                    <w:snapToGrid w:val="0"/>
                    <w:jc w:val="center"/>
                    <w:rPr>
                      <w:rFonts w:hint="default" w:ascii="Times New Roman" w:hAnsi="Times New Roman" w:cs="Times New Roman"/>
                      <w:color w:val="auto"/>
                      <w:lang w:val="en-US" w:eastAsia="zh-CN"/>
                    </w:rPr>
                  </w:pPr>
                  <w:r>
                    <w:rPr>
                      <w:rFonts w:hint="default" w:ascii="Times New Roman" w:hAnsi="Times New Roman" w:eastAsia="宋体" w:cs="Times New Roman"/>
                      <w:color w:val="auto"/>
                      <w:lang w:val="en-US" w:eastAsia="zh-CN"/>
                    </w:rPr>
                    <w:t>0.0062</w:t>
                  </w:r>
                </w:p>
              </w:tc>
              <w:tc>
                <w:tcPr>
                  <w:tcW w:w="1196" w:type="pct"/>
                  <w:vAlign w:val="center"/>
                </w:tcPr>
                <w:p>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318" w:type="pct"/>
                  <w:vAlign w:val="center"/>
                </w:tcPr>
                <w:p>
                  <w:pPr>
                    <w:widowControl/>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0.00062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81" w:type="pct"/>
                  <w:gridSpan w:val="4"/>
                  <w:vAlign w:val="center"/>
                </w:tcPr>
                <w:p>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合计</w:t>
                  </w:r>
                  <w:r>
                    <w:rPr>
                      <w:rFonts w:hint="default" w:ascii="Times New Roman" w:hAnsi="Times New Roman" w:cs="Times New Roman"/>
                      <w:color w:val="auto"/>
                      <w:sz w:val="24"/>
                    </w:rPr>
                    <w:t>Q</w:t>
                  </w:r>
                </w:p>
              </w:tc>
              <w:tc>
                <w:tcPr>
                  <w:tcW w:w="1318" w:type="pct"/>
                  <w:vAlign w:val="center"/>
                </w:tcPr>
                <w:p>
                  <w:pPr>
                    <w:widowControl/>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0.00811</w:t>
                  </w:r>
                </w:p>
              </w:tc>
            </w:tr>
          </w:tbl>
          <w:p>
            <w:pPr>
              <w:ind w:firstLine="512" w:firstLineChars="200"/>
              <w:rPr>
                <w:rFonts w:hint="default" w:ascii="Times New Roman" w:hAnsi="Times New Roman" w:cs="Times New Roman"/>
                <w:color w:val="auto"/>
                <w:sz w:val="24"/>
              </w:rPr>
            </w:pPr>
            <w:r>
              <w:rPr>
                <w:rFonts w:hint="default" w:ascii="Times New Roman" w:hAnsi="Times New Roman" w:cs="Times New Roman"/>
                <w:color w:val="auto"/>
                <w:sz w:val="24"/>
              </w:rPr>
              <w:t>综上，项目Q</w:t>
            </w:r>
            <w:r>
              <w:rPr>
                <w:rFonts w:hint="default" w:ascii="Times New Roman" w:hAnsi="Times New Roman" w:cs="Times New Roman"/>
                <w:color w:val="auto"/>
                <w:sz w:val="24"/>
                <w:lang w:val="en-US" w:eastAsia="zh-CN"/>
              </w:rPr>
              <w:t>=0.00811</w:t>
            </w:r>
            <w:r>
              <w:rPr>
                <w:rFonts w:hint="default" w:ascii="Times New Roman" w:hAnsi="Times New Roman" w:cs="Times New Roman"/>
                <w:color w:val="auto"/>
                <w:sz w:val="24"/>
              </w:rPr>
              <w:t>＜1，</w:t>
            </w:r>
            <w:r>
              <w:rPr>
                <w:rFonts w:hint="default" w:ascii="Times New Roman" w:hAnsi="Times New Roman" w:cs="Times New Roman"/>
                <w:color w:val="auto"/>
                <w:sz w:val="24"/>
                <w:lang w:val="en-US" w:eastAsia="zh-CN"/>
              </w:rPr>
              <w:t>环境风险潜势为</w:t>
            </w:r>
            <w:r>
              <w:rPr>
                <w:rFonts w:hint="default" w:ascii="Times New Roman" w:hAnsi="Times New Roman" w:eastAsia="宋体" w:cs="Times New Roman"/>
                <w:color w:val="auto"/>
                <w:sz w:val="24"/>
                <w:lang w:val="en-US" w:eastAsia="zh-CN"/>
              </w:rPr>
              <w:t>Ⅰ</w:t>
            </w:r>
            <w:r>
              <w:rPr>
                <w:rFonts w:hint="default" w:ascii="Times New Roman" w:hAnsi="Times New Roman" w:cs="Times New Roman"/>
                <w:color w:val="auto"/>
                <w:sz w:val="24"/>
                <w:lang w:val="en-US" w:eastAsia="zh-CN"/>
              </w:rPr>
              <w:t>，环境风险评价等级为简单分析。</w:t>
            </w:r>
            <w:r>
              <w:rPr>
                <w:rFonts w:hint="default" w:ascii="Times New Roman" w:hAnsi="Times New Roman" w:cs="Times New Roman"/>
                <w:color w:val="auto"/>
                <w:sz w:val="24"/>
              </w:rPr>
              <w:t xml:space="preserve"> </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本项目主要环境风险物质：丙酮、硫酸、盐酸以及石油醚，计算Q值为0.00811。项目风险源主要为实验室。</w:t>
            </w:r>
          </w:p>
          <w:p>
            <w:pPr>
              <w:spacing w:before="240" w:after="60"/>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rPr>
              <w:t>6.</w:t>
            </w:r>
            <w:r>
              <w:rPr>
                <w:rFonts w:hint="default" w:ascii="Times New Roman" w:hAnsi="Times New Roman" w:eastAsia="黑体" w:cs="Times New Roman"/>
                <w:color w:val="auto"/>
                <w:sz w:val="24"/>
                <w:lang w:val="en-US" w:eastAsia="zh-CN"/>
              </w:rPr>
              <w:t>3</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可能影响途径</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 xml:space="preserve">本项目危险物质主要为各类化学试剂，可能的影响途径主要有： </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大气：化学试剂在储存、转运、使用过程中，因人员操作失误或其他外因导致泄漏，挥发将影响大气环境。由于项目使用的化学品数量较少，可及时收集全部泄漏物，并转移到空置的容器内：或是可及时用抹布或专用蘸布进行擦洗，不会引起大气环境污染。</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地表水：本项目实验过程中所涉及的各类试剂按理化性质分类存放于室内，正常操作情况下，废液均收集于专用收集桶内，不会对地表水环境造成影响。但存在发生风险事故时，消防废水、事故废水经下水、雨水管道进入周边地表水的风险。</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地下水、土壤：若发生泄漏，由于使用量少，并且实验室采用耐腐蚀地面：如及时采取有效措施进行清理，不随意冲洗地面，泄漏物质不会对周边水体和土壤造成影响。</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其他：本项目产生的危险废物主要为废活性炭、实验废液、废试剂瓶、过期试剂等。危险废物均设置专用收集装置分类暂存于危废暂存库，待危险废物处置单位集中收运并安全处置。此系统有可能因为操作人员失误将危险废物混入生活垃圾或随意丢弃，导致危险废物污染环境事故。</w:t>
            </w:r>
          </w:p>
          <w:p>
            <w:pPr>
              <w:spacing w:before="240" w:after="60"/>
              <w:rPr>
                <w:rFonts w:hint="default" w:ascii="Times New Roman" w:hAnsi="Times New Roman" w:eastAsia="黑体" w:cs="Times New Roman"/>
                <w:color w:val="auto"/>
                <w:sz w:val="24"/>
                <w:lang w:val="en-US" w:eastAsia="zh-CN"/>
              </w:rPr>
            </w:pPr>
            <w:r>
              <w:rPr>
                <w:rFonts w:hint="default" w:ascii="Times New Roman" w:hAnsi="Times New Roman" w:eastAsia="黑体" w:cs="Times New Roman"/>
                <w:color w:val="auto"/>
                <w:sz w:val="24"/>
              </w:rPr>
              <w:t>6.</w:t>
            </w:r>
            <w:r>
              <w:rPr>
                <w:rFonts w:hint="default" w:ascii="Times New Roman" w:hAnsi="Times New Roman" w:eastAsia="黑体" w:cs="Times New Roman"/>
                <w:color w:val="auto"/>
                <w:sz w:val="24"/>
                <w:lang w:val="en-US" w:eastAsia="zh-CN"/>
              </w:rPr>
              <w:t>4</w:t>
            </w:r>
            <w:r>
              <w:rPr>
                <w:rFonts w:hint="default" w:ascii="Times New Roman" w:hAnsi="Times New Roman" w:eastAsia="黑体" w:cs="Times New Roman"/>
                <w:color w:val="auto"/>
                <w:sz w:val="24"/>
              </w:rPr>
              <w:t xml:space="preserve"> </w:t>
            </w:r>
            <w:r>
              <w:rPr>
                <w:rFonts w:hint="default" w:ascii="Times New Roman" w:hAnsi="Times New Roman" w:eastAsia="黑体" w:cs="Times New Roman"/>
                <w:color w:val="auto"/>
                <w:sz w:val="24"/>
                <w:lang w:val="en-US" w:eastAsia="zh-CN"/>
              </w:rPr>
              <w:t>环境风险防范措施</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（1）物质危险性识别</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原料及实验过程中涉及到的危险物质均分布在实验室、危险废物暂存区及相应的生产设施内;本项目为环境检测实验室项目，不用于生产，各类化学物质的使用量均较小，并且均严格按照相关的规定存放，危险性较小。</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（2）生产系统危险性识别</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项目环境风险设施主要有实验室、危险废物暂存区等。</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（3）环境风险类型及危害分析</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本项目可能存在的风险类型有泄露、火灾、爆炸及事故排放等。</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（4）事故影响途径</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有毒有害原料在泄露时，如果能及时对泄露的物料进行收集，则可避免对环境造成污染如果收集不及时，泄露物料因蒸发进入大气，部分随地表径流进入地表水体，甚至会渗透进入土壤和地下水环境造成污染。本项目的危险化学品包装桶均放置于化学品暂存区内，地面已进行防渗处理，可防止泄露的液体径流至厂房外以及渗入土壤和地下水。因此泄露事故主要扩散途径为液体泄露至房内地面，因蒸发进入大气，对大气环境造成污染。</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（5）环境风险防范措施</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要求实验操作人员严格按操作规程作业。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器材、消防器材，并确保其处于完好状态；所有使用危险化学品的人员，都必须严格遵守《危险化学品管理制度》。采购危险化学品时，应到已获得危险化学品经营许可证的企业进行采购，并要求供应商提供技术说明书及相关技术资料；采购人员必须进行专业培训并取证；危险化学品的包装物、容器必须有专业检测机构检验合格才能使用。</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针对试剂管理，应遵循以下原则：</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⑴实验室的药剂由专人对其负责摆放，严禁危险药品、普通试剂、玻璃仪器、常用药品在同一层货架摆放。</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⑵化学危险品应分类、分开存贮，并做好标识；毒害品、强酸类、强碱类、易燃易爆品应存放于阴凉干燥、通风良好处、远离火种热源，避免阳光直射、强酸、强碱等应分开存放。</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⑶实验室药品的领取由专人负责；试剂应存放在柜中，做到双人双锁、专人保管。</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⑷使用硫酸、盐酸等具有挥发特性试剂时，必须在通风橱内进行操作，严格按照实验室操作规程开展。</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⑸产生的实验废液等应由专人负责处理，并填好处理记录，不得随意抛弃污染环境。</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⑹药品在加热时必须放置平稳、瓶口或管口严禁直接对着人，在移动沸腾的液体时，要轻拿轻放，小心注意烫伤；使用浓酸时，必须在通风橱内进行操作。</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⑺对于无标签或掉标签的药品在使用时必须先进行标明，不能标明时严禁使用药品时，药品瓶应轻拿轻放，避免碰撞以免药品泄漏。</w:t>
            </w:r>
          </w:p>
          <w:p>
            <w:pPr>
              <w:ind w:firstLine="512"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⑻使用后的废酸等化学药品应由专人负责处理，并填好处理记录，不得随意抛弃污染环境。</w:t>
            </w:r>
          </w:p>
          <w:p>
            <w:pPr>
              <w:pStyle w:val="37"/>
              <w:ind w:firstLine="512" w:firstLineChars="200"/>
              <w:jc w:val="left"/>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综上所述，本项目在化学试剂的使用过程中，由于人为操作不当等原因，存在着发生泄漏和突发性污染事故风险的可能性。对于这种风险，公司应制定相应的防范措施及应急预案，明确责任人员，配备一定的防治设备和应急响应能力。由于本项目的环境风险主要是人为事件，完全可以通过政府各有关职能部门加强监督指导，公司内部制定严格的管理条例和岗位责任制，加强实验人员的安全教育，增强风险意识。在项目采取相应的防范措施后，可以减少项目的环境风险，降低环境风险事故的危害程度，且在加强管理及提高实验人员操作水平的前提下，本项目的环境风险是可防可控的。</w:t>
            </w:r>
          </w:p>
          <w:p>
            <w:pPr>
              <w:pStyle w:val="37"/>
              <w:jc w:val="center"/>
              <w:rPr>
                <w:rFonts w:hint="default" w:ascii="Times New Roman" w:hAnsi="Times New Roman" w:eastAsia="黑体" w:cs="Times New Roman"/>
                <w:color w:val="auto"/>
                <w:kern w:val="0"/>
              </w:rPr>
            </w:pPr>
            <w:r>
              <w:rPr>
                <w:rFonts w:hint="default" w:ascii="Times New Roman" w:hAnsi="Times New Roman" w:eastAsia="黑体" w:cs="Times New Roman"/>
                <w:color w:val="auto"/>
                <w:kern w:val="0"/>
              </w:rPr>
              <w:t>表4-1</w:t>
            </w:r>
            <w:r>
              <w:rPr>
                <w:rFonts w:hint="default" w:ascii="Times New Roman" w:hAnsi="Times New Roman" w:eastAsia="黑体" w:cs="Times New Roman"/>
                <w:color w:val="auto"/>
                <w:kern w:val="0"/>
                <w:lang w:val="en-US" w:eastAsia="zh-CN"/>
              </w:rPr>
              <w:t>2</w:t>
            </w:r>
            <w:r>
              <w:rPr>
                <w:rFonts w:hint="default" w:ascii="Times New Roman" w:hAnsi="Times New Roman" w:eastAsia="黑体" w:cs="Times New Roman"/>
                <w:color w:val="auto"/>
                <w:kern w:val="0"/>
              </w:rPr>
              <w:t xml:space="preserve">  建设项目环境风险简单分析内容表</w:t>
            </w:r>
          </w:p>
          <w:tbl>
            <w:tblPr>
              <w:tblStyle w:val="25"/>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716"/>
              <w:gridCol w:w="2701"/>
              <w:gridCol w:w="863"/>
              <w:gridCol w:w="23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建设项目名称</w:t>
                  </w:r>
                </w:p>
              </w:tc>
              <w:tc>
                <w:tcPr>
                  <w:tcW w:w="6664" w:type="dxa"/>
                  <w:gridSpan w:val="4"/>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光明牧业有限公司宁夏奶业科创中心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建设地点</w:t>
                  </w:r>
                </w:p>
              </w:tc>
              <w:tc>
                <w:tcPr>
                  <w:tcW w:w="6664" w:type="dxa"/>
                  <w:gridSpan w:val="4"/>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宁夏回族自治区中卫市职业技术学校</w:t>
                  </w:r>
                  <w:r>
                    <w:rPr>
                      <w:rFonts w:hint="default" w:ascii="Times New Roman" w:hAnsi="Times New Roman" w:eastAsia="宋体" w:cs="Times New Roman"/>
                      <w:color w:val="auto"/>
                      <w:sz w:val="21"/>
                      <w:szCs w:val="21"/>
                      <w:lang w:val="en-US" w:eastAsia="zh-CN"/>
                    </w:rPr>
                    <w:t>3号实训楼一楼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地理坐标</w:t>
                  </w:r>
                </w:p>
              </w:tc>
              <w:tc>
                <w:tcPr>
                  <w:tcW w:w="716" w:type="dxa"/>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经度</w:t>
                  </w:r>
                </w:p>
              </w:tc>
              <w:tc>
                <w:tcPr>
                  <w:tcW w:w="2701" w:type="dxa"/>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105度8分9.354秒</w:t>
                  </w:r>
                </w:p>
              </w:tc>
              <w:tc>
                <w:tcPr>
                  <w:tcW w:w="863" w:type="dxa"/>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纬度</w:t>
                  </w:r>
                </w:p>
              </w:tc>
              <w:tc>
                <w:tcPr>
                  <w:tcW w:w="2384" w:type="dxa"/>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37度34分17.662秒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主要危险物质及分布</w:t>
                  </w:r>
                </w:p>
              </w:tc>
              <w:tc>
                <w:tcPr>
                  <w:tcW w:w="6664" w:type="dxa"/>
                  <w:gridSpan w:val="4"/>
                  <w:noWrap w:val="0"/>
                  <w:vAlign w:val="center"/>
                </w:tcPr>
                <w:p>
                  <w:pPr>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val="en-US" w:eastAsia="zh-CN" w:bidi="ar"/>
                    </w:rPr>
                    <w:t>丙酮、硫酸、盐酸、石油醚</w:t>
                  </w:r>
                  <w:r>
                    <w:rPr>
                      <w:rFonts w:hint="default" w:ascii="Times New Roman" w:hAnsi="Times New Roman" w:cs="Times New Roman"/>
                      <w:color w:val="auto"/>
                      <w:sz w:val="21"/>
                      <w:szCs w:val="21"/>
                      <w:lang w:bidi="ar"/>
                    </w:rPr>
                    <w:t>；</w:t>
                  </w:r>
                  <w:r>
                    <w:rPr>
                      <w:rFonts w:hint="default" w:ascii="Times New Roman" w:hAnsi="Times New Roman" w:cs="Times New Roman"/>
                      <w:color w:val="auto"/>
                      <w:sz w:val="21"/>
                      <w:szCs w:val="21"/>
                      <w:lang w:val="en-US" w:eastAsia="zh-CN" w:bidi="ar"/>
                    </w:rPr>
                    <w:t>试剂室（小包装）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noWrap w:val="0"/>
                  <w:vAlign w:val="center"/>
                </w:tcPr>
                <w:p>
                  <w:pPr>
                    <w:pStyle w:val="37"/>
                    <w:keepNext w:val="0"/>
                    <w:keepLines w:val="0"/>
                    <w:pageBreakBefore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环境影响途径及危害后果（大气、地表水、地下水）</w:t>
                  </w:r>
                </w:p>
              </w:tc>
              <w:tc>
                <w:tcPr>
                  <w:tcW w:w="6664" w:type="dxa"/>
                  <w:gridSpan w:val="4"/>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0"/>
                      <w:szCs w:val="20"/>
                      <w:lang w:val="en-US" w:eastAsia="zh-CN" w:bidi="ar"/>
                    </w:rPr>
                    <w:t>本项目环境风险源主要为实验室，所涉化学品均为瓶装等小规模包装，只要严格按照操作过程取用和操作，发生倾倒或破碎等造成泄漏、火灾的可能性较小，一旦泄漏其泄漏量也较小，能够及时收容处理，对环境和地表水的影响较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noWrap w:val="0"/>
                  <w:vAlign w:val="center"/>
                </w:tcPr>
                <w:p>
                  <w:pPr>
                    <w:pStyle w:val="37"/>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风险方案措施要求</w:t>
                  </w:r>
                </w:p>
              </w:tc>
              <w:tc>
                <w:tcPr>
                  <w:tcW w:w="6664" w:type="dxa"/>
                  <w:gridSpan w:val="4"/>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0"/>
                      <w:szCs w:val="20"/>
                      <w:lang w:val="en-US" w:eastAsia="zh-CN" w:bidi="ar"/>
                    </w:rPr>
                    <w:t>项目检测过程中应加强火灾、泄漏事故防范措施，避免事故发生时造成重大损失；加强实验室药品、易燃易爆气体的管理，以及在灾害发生的时候采取及时有效的应急救援行动，及系统恢复和善后处理。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25" w:type="dxa"/>
                  <w:noWrap w:val="0"/>
                  <w:vAlign w:val="center"/>
                </w:tcPr>
                <w:p>
                  <w:pPr>
                    <w:pStyle w:val="37"/>
                    <w:keepNext w:val="0"/>
                    <w:keepLines w:val="0"/>
                    <w:pageBreakBefore w:val="0"/>
                    <w:kinsoku/>
                    <w:wordWrap/>
                    <w:overflowPunct/>
                    <w:topLinePunct w:val="0"/>
                    <w:bidi w:val="0"/>
                    <w:adjustRightInd w:val="0"/>
                    <w:snapToGrid w:val="0"/>
                    <w:spacing w:line="24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填表说明</w:t>
                  </w:r>
                </w:p>
              </w:tc>
              <w:tc>
                <w:tcPr>
                  <w:tcW w:w="6664" w:type="dxa"/>
                  <w:gridSpan w:val="4"/>
                  <w:noWrap w:val="0"/>
                  <w:vAlign w:val="center"/>
                </w:tcPr>
                <w:p>
                  <w:pPr>
                    <w:keepNext w:val="0"/>
                    <w:keepLines w:val="0"/>
                    <w:pageBreakBefore w:val="0"/>
                    <w:widowControl/>
                    <w:suppressLineNumbers w:val="0"/>
                    <w:kinsoku/>
                    <w:wordWrap/>
                    <w:overflowPunct/>
                    <w:topLinePunct w:val="0"/>
                    <w:bidi w:val="0"/>
                    <w:adjustRightInd w:val="0"/>
                    <w:snapToGrid w:val="0"/>
                    <w:spacing w:line="240" w:lineRule="auto"/>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0"/>
                      <w:szCs w:val="20"/>
                      <w:lang w:val="en-US" w:eastAsia="zh-CN" w:bidi="ar"/>
                    </w:rPr>
                    <w:t>本项目风险事故主要为危险物质泄漏，以及火灾、爆炸等引发的伴生/次生污染物排放，在规范操作、加强管理的前提下，本项目环境风险可防可控。</w:t>
                  </w:r>
                </w:p>
              </w:tc>
            </w:tr>
          </w:tbl>
          <w:p>
            <w:pPr>
              <w:ind w:firstLine="452" w:firstLineChars="200"/>
              <w:rPr>
                <w:rFonts w:hint="default" w:ascii="Times New Roman" w:hAnsi="Times New Roman" w:cs="Times New Roman"/>
                <w:color w:val="auto"/>
              </w:rPr>
            </w:pPr>
          </w:p>
          <w:p>
            <w:pPr>
              <w:pStyle w:val="5"/>
              <w:rPr>
                <w:rFonts w:hint="default" w:ascii="Times New Roman" w:hAnsi="Times New Roman" w:cs="Times New Roman"/>
                <w:color w:val="auto"/>
              </w:rPr>
            </w:pPr>
          </w:p>
          <w:p>
            <w:pPr>
              <w:pStyle w:val="5"/>
              <w:rPr>
                <w:rFonts w:hint="default" w:ascii="Times New Roman" w:hAnsi="Times New Roman" w:cs="Times New Roman"/>
                <w:color w:val="auto"/>
              </w:rPr>
            </w:pPr>
          </w:p>
          <w:p>
            <w:pPr>
              <w:pStyle w:val="5"/>
              <w:rPr>
                <w:rFonts w:hint="default" w:ascii="Times New Roman" w:hAnsi="Times New Roman" w:cs="Times New Roman"/>
                <w:color w:val="auto"/>
              </w:rPr>
            </w:pPr>
          </w:p>
          <w:p>
            <w:pPr>
              <w:pStyle w:val="5"/>
              <w:ind w:left="0" w:leftChars="0" w:firstLine="0" w:firstLineChars="0"/>
              <w:rPr>
                <w:rFonts w:hint="default" w:ascii="Times New Roman" w:hAnsi="Times New Roman" w:cs="Times New Roman"/>
                <w:color w:val="auto"/>
              </w:rPr>
            </w:pPr>
          </w:p>
        </w:tc>
      </w:tr>
    </w:tbl>
    <w:p>
      <w:pPr>
        <w:adjustRightInd w:val="0"/>
        <w:snapToGrid w:val="0"/>
        <w:spacing w:line="360" w:lineRule="auto"/>
        <w:rPr>
          <w:rFonts w:hint="default" w:ascii="Times New Roman" w:hAnsi="Times New Roman" w:cs="Times New Roman"/>
          <w:b/>
          <w:color w:val="auto"/>
          <w:kern w:val="0"/>
          <w:sz w:val="28"/>
          <w:szCs w:val="28"/>
        </w:rPr>
        <w:sectPr>
          <w:type w:val="continuous"/>
          <w:pgSz w:w="11905" w:h="16838"/>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435"/>
        </w:sectPr>
      </w:pPr>
    </w:p>
    <w:p>
      <w:pPr>
        <w:pStyle w:val="20"/>
        <w:spacing w:before="240" w:beforeAutospacing="0" w:after="60" w:afterAutospacing="0"/>
        <w:jc w:val="center"/>
        <w:outlineLvl w:val="0"/>
        <w:rPr>
          <w:rFonts w:hint="default" w:ascii="Times New Roman" w:hAnsi="Times New Roman" w:eastAsia="黑体" w:cs="Times New Roman"/>
          <w:snapToGrid w:val="0"/>
          <w:color w:val="auto"/>
          <w:sz w:val="30"/>
          <w:szCs w:val="30"/>
        </w:rPr>
      </w:pPr>
      <w:bookmarkStart w:id="2" w:name="_Hlk54167917"/>
      <w:r>
        <w:rPr>
          <w:rFonts w:hint="default" w:ascii="Times New Roman" w:hAnsi="Times New Roman" w:eastAsia="黑体" w:cs="Times New Roman"/>
          <w:snapToGrid w:val="0"/>
          <w:color w:val="auto"/>
          <w:sz w:val="30"/>
          <w:szCs w:val="30"/>
        </w:rPr>
        <w:t>五、环境保护措施监督检查清单</w:t>
      </w:r>
      <w:bookmarkEnd w:id="2"/>
    </w:p>
    <w:tbl>
      <w:tblPr>
        <w:tblStyle w:val="2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19"/>
        <w:gridCol w:w="1300"/>
        <w:gridCol w:w="1432"/>
        <w:gridCol w:w="2460"/>
        <w:gridCol w:w="24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tcBorders>
              <w:tl2br w:val="single" w:color="auto" w:sz="12" w:space="0"/>
            </w:tcBorders>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内容</w:t>
            </w:r>
          </w:p>
          <w:p>
            <w:pPr>
              <w:pStyle w:val="3"/>
              <w:adjustRightInd w:val="0"/>
              <w:snapToGrid w:val="0"/>
              <w:spacing w:line="240" w:lineRule="auto"/>
              <w:ind w:firstLine="0" w:firstLineChars="0"/>
              <w:jc w:val="both"/>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要素</w:t>
            </w:r>
          </w:p>
        </w:tc>
        <w:tc>
          <w:tcPr>
            <w:tcW w:w="1300" w:type="dxa"/>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排放口（编号、名称）/污染源</w:t>
            </w:r>
          </w:p>
        </w:tc>
        <w:tc>
          <w:tcPr>
            <w:tcW w:w="1432" w:type="dxa"/>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污染物项目</w:t>
            </w:r>
          </w:p>
        </w:tc>
        <w:tc>
          <w:tcPr>
            <w:tcW w:w="2460" w:type="dxa"/>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环境保护措施</w:t>
            </w:r>
          </w:p>
        </w:tc>
        <w:tc>
          <w:tcPr>
            <w:tcW w:w="2476" w:type="dxa"/>
            <w:vAlign w:val="center"/>
          </w:tcPr>
          <w:p>
            <w:pPr>
              <w:adjustRightInd w:val="0"/>
              <w:snapToGrid w:val="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大气环境</w:t>
            </w:r>
          </w:p>
        </w:tc>
        <w:tc>
          <w:tcPr>
            <w:tcW w:w="1300" w:type="dxa"/>
            <w:vAlign w:val="center"/>
          </w:tcPr>
          <w:p>
            <w:pPr>
              <w:adjustRightInd w:val="0"/>
              <w:snapToGrid w:val="0"/>
              <w:jc w:val="center"/>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lang w:val="en-US" w:eastAsia="zh-CN"/>
              </w:rPr>
              <w:t>无组织</w:t>
            </w:r>
          </w:p>
        </w:tc>
        <w:tc>
          <w:tcPr>
            <w:tcW w:w="1432" w:type="dxa"/>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非甲烷总烃</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硫酸雾</w:t>
            </w:r>
          </w:p>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氯化氢</w:t>
            </w:r>
          </w:p>
        </w:tc>
        <w:tc>
          <w:tcPr>
            <w:tcW w:w="2460"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经</w:t>
            </w:r>
            <w:r>
              <w:rPr>
                <w:rFonts w:hint="default" w:ascii="Times New Roman" w:hAnsi="Times New Roman" w:cs="Times New Roman"/>
                <w:color w:val="auto"/>
                <w:sz w:val="24"/>
              </w:rPr>
              <w:t>通风橱收集</w:t>
            </w:r>
            <w:r>
              <w:rPr>
                <w:rFonts w:hint="default" w:ascii="Times New Roman" w:hAnsi="Times New Roman" w:cs="Times New Roman"/>
                <w:color w:val="auto"/>
                <w:sz w:val="24"/>
                <w:lang w:val="en-US" w:eastAsia="zh-CN"/>
              </w:rPr>
              <w:t>+再</w:t>
            </w:r>
            <w:r>
              <w:rPr>
                <w:rFonts w:hint="default" w:ascii="Times New Roman" w:hAnsi="Times New Roman" w:cs="Times New Roman"/>
                <w:color w:val="auto"/>
                <w:sz w:val="24"/>
              </w:rPr>
              <w:t>由活性炭吸附处理后</w:t>
            </w:r>
            <w:r>
              <w:rPr>
                <w:rFonts w:hint="default" w:ascii="Times New Roman" w:hAnsi="Times New Roman" w:cs="Times New Roman"/>
                <w:color w:val="auto"/>
                <w:sz w:val="24"/>
                <w:lang w:val="en-US" w:eastAsia="zh-CN"/>
              </w:rPr>
              <w:t>无组织</w:t>
            </w:r>
            <w:r>
              <w:rPr>
                <w:rFonts w:hint="default" w:ascii="Times New Roman" w:hAnsi="Times New Roman" w:cs="Times New Roman"/>
                <w:color w:val="auto"/>
                <w:sz w:val="24"/>
              </w:rPr>
              <w:t>排放</w:t>
            </w:r>
          </w:p>
        </w:tc>
        <w:tc>
          <w:tcPr>
            <w:tcW w:w="2476"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kern w:val="0"/>
                <w:sz w:val="24"/>
                <w:lang w:bidi="ar"/>
              </w:rPr>
              <w:t>《大气污染物综合排放标准》(</w:t>
            </w:r>
            <w:r>
              <w:rPr>
                <w:rFonts w:hint="default" w:ascii="Times New Roman" w:hAnsi="Times New Roman" w:cs="Times New Roman"/>
                <w:color w:val="auto"/>
                <w:kern w:val="0"/>
                <w:sz w:val="24"/>
                <w:lang w:val="en-US" w:eastAsia="zh-CN" w:bidi="ar"/>
              </w:rPr>
              <w:t>G</w:t>
            </w:r>
            <w:r>
              <w:rPr>
                <w:rFonts w:hint="default" w:ascii="Times New Roman" w:hAnsi="Times New Roman" w:cs="Times New Roman"/>
                <w:color w:val="auto"/>
                <w:kern w:val="0"/>
                <w:sz w:val="24"/>
                <w:lang w:bidi="ar"/>
              </w:rPr>
              <w:t>B</w:t>
            </w:r>
            <w:r>
              <w:rPr>
                <w:rFonts w:hint="default" w:ascii="Times New Roman" w:hAnsi="Times New Roman" w:cs="Times New Roman"/>
                <w:color w:val="auto"/>
                <w:kern w:val="0"/>
                <w:sz w:val="24"/>
                <w:highlight w:val="none"/>
                <w:lang w:bidi="ar"/>
              </w:rPr>
              <w:t>16297-1996)表</w:t>
            </w:r>
            <w:r>
              <w:rPr>
                <w:rFonts w:hint="default" w:ascii="Times New Roman" w:hAnsi="Times New Roman" w:cs="Times New Roman"/>
                <w:color w:val="auto"/>
                <w:kern w:val="0"/>
                <w:sz w:val="24"/>
                <w:highlight w:val="none"/>
                <w:lang w:val="en-US" w:eastAsia="zh-CN" w:bidi="ar"/>
              </w:rPr>
              <w:t>2</w:t>
            </w:r>
            <w:r>
              <w:rPr>
                <w:rFonts w:hint="default" w:ascii="Times New Roman" w:hAnsi="Times New Roman" w:cs="Times New Roman"/>
                <w:color w:val="auto"/>
                <w:kern w:val="0"/>
                <w:sz w:val="24"/>
                <w:highlight w:val="none"/>
                <w:lang w:bidi="ar"/>
              </w:rPr>
              <w:t>中相关</w:t>
            </w:r>
            <w:r>
              <w:rPr>
                <w:rFonts w:hint="default" w:ascii="Times New Roman" w:hAnsi="Times New Roman" w:cs="Times New Roman"/>
                <w:color w:val="auto"/>
                <w:kern w:val="0"/>
                <w:sz w:val="24"/>
                <w:lang w:bidi="ar"/>
              </w:rPr>
              <w:t>污染物排放限值要求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Merge w:val="restart"/>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水环境</w:t>
            </w:r>
          </w:p>
        </w:tc>
        <w:tc>
          <w:tcPr>
            <w:tcW w:w="1300"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szCs w:val="24"/>
              </w:rPr>
              <w:t>实验器皿后段清洗废水</w:t>
            </w:r>
          </w:p>
        </w:tc>
        <w:tc>
          <w:tcPr>
            <w:tcW w:w="1432" w:type="dxa"/>
            <w:vMerge w:val="restart"/>
            <w:vAlign w:val="center"/>
          </w:tcPr>
          <w:p>
            <w:pPr>
              <w:adjustRightInd w:val="0"/>
              <w:snapToGrid w:val="0"/>
              <w:jc w:val="center"/>
              <w:rPr>
                <w:rFonts w:hint="default" w:ascii="Times New Roman" w:hAnsi="Times New Roman" w:eastAsia="宋体" w:cs="Times New Roman"/>
                <w:snapToGrid w:val="0"/>
                <w:color w:val="auto"/>
                <w:kern w:val="0"/>
                <w:sz w:val="24"/>
                <w:lang w:val="en-US" w:eastAsia="zh-CN"/>
              </w:rPr>
            </w:pPr>
            <w:r>
              <w:rPr>
                <w:rFonts w:hint="default" w:ascii="Times New Roman" w:hAnsi="Times New Roman" w:eastAsia="宋体" w:cs="Times New Roman"/>
                <w:color w:val="auto"/>
                <w:sz w:val="24"/>
                <w:szCs w:val="24"/>
              </w:rPr>
              <w:t>p</w:t>
            </w:r>
            <w:r>
              <w:rPr>
                <w:rFonts w:hint="default" w:ascii="Times New Roman" w:hAnsi="Times New Roman" w:cs="Times New Roman"/>
                <w:color w:val="auto"/>
                <w:sz w:val="24"/>
              </w:rPr>
              <w:t>H、COD</w:t>
            </w:r>
            <w:r>
              <w:rPr>
                <w:rFonts w:hint="default" w:ascii="Times New Roman" w:hAnsi="Times New Roman" w:cs="Times New Roman"/>
                <w:color w:val="auto"/>
                <w:sz w:val="24"/>
                <w:lang w:eastAsia="zh-CN"/>
              </w:rPr>
              <w:t>、</w:t>
            </w:r>
            <w:r>
              <w:rPr>
                <w:rFonts w:hint="default" w:ascii="Times New Roman" w:hAnsi="Times New Roman" w:eastAsia="宋体" w:cs="Times New Roman"/>
                <w:color w:val="auto"/>
                <w:kern w:val="0"/>
                <w:sz w:val="24"/>
                <w:lang w:val="en-US" w:eastAsia="zh-CN"/>
              </w:rPr>
              <w:t>BOD</w:t>
            </w:r>
            <w:r>
              <w:rPr>
                <w:rFonts w:hint="default" w:ascii="Times New Roman" w:hAnsi="Times New Roman" w:eastAsia="宋体" w:cs="Times New Roman"/>
                <w:color w:val="auto"/>
                <w:kern w:val="0"/>
                <w:sz w:val="24"/>
                <w:vertAlign w:val="subscript"/>
                <w:lang w:val="en-US" w:eastAsia="zh-CN"/>
              </w:rPr>
              <w:t>5</w:t>
            </w:r>
            <w:r>
              <w:rPr>
                <w:rFonts w:hint="default" w:ascii="Times New Roman" w:hAnsi="Times New Roman" w:eastAsia="宋体" w:cs="Times New Roman"/>
                <w:color w:val="auto"/>
                <w:kern w:val="0"/>
                <w:sz w:val="24"/>
                <w:szCs w:val="24"/>
                <w:vertAlign w:val="subscript"/>
                <w:lang w:val="en-US" w:eastAsia="zh-CN"/>
              </w:rPr>
              <w:t>、</w:t>
            </w:r>
            <w:r>
              <w:rPr>
                <w:rFonts w:hint="default" w:ascii="Times New Roman" w:hAnsi="Times New Roman" w:eastAsia="宋体" w:cs="Times New Roman"/>
                <w:color w:val="auto"/>
                <w:sz w:val="24"/>
                <w:szCs w:val="24"/>
              </w:rPr>
              <w:t>SS、NH</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总溶解固体</w:t>
            </w:r>
          </w:p>
        </w:tc>
        <w:tc>
          <w:tcPr>
            <w:tcW w:w="2460" w:type="dxa"/>
            <w:vMerge w:val="restart"/>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实验器皿后段清洗废水经中和调节桶调节pH至6-9后，与生活污水和纯水制备系统产生的浓盐水一起排入现有化粪池处理后经市政污水管网最终进入中卫市第三污水处理厂集中处理</w:t>
            </w:r>
            <w:r>
              <w:rPr>
                <w:rFonts w:hint="default" w:ascii="Times New Roman" w:hAnsi="Times New Roman" w:eastAsia="宋体" w:cs="Times New Roman"/>
                <w:color w:val="auto"/>
                <w:sz w:val="28"/>
                <w:szCs w:val="28"/>
                <w:lang w:val="en-US" w:eastAsia="zh-CN"/>
              </w:rPr>
              <w:t>。</w:t>
            </w:r>
          </w:p>
        </w:tc>
        <w:tc>
          <w:tcPr>
            <w:tcW w:w="2476" w:type="dxa"/>
            <w:vMerge w:val="restart"/>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eastAsia="宋体" w:cs="Times New Roman"/>
                <w:color w:val="auto"/>
                <w:sz w:val="24"/>
                <w:szCs w:val="24"/>
                <w:highlight w:val="none"/>
              </w:rPr>
              <w:t>《污水排入城镇下水道水质标准》（GB/T31962-2015）中A级标准标准及</w:t>
            </w:r>
            <w:r>
              <w:rPr>
                <w:rFonts w:hint="default" w:ascii="Times New Roman" w:hAnsi="Times New Roman" w:cs="Times New Roman"/>
                <w:color w:val="auto"/>
                <w:sz w:val="24"/>
                <w:szCs w:val="24"/>
                <w:highlight w:val="none"/>
                <w:lang w:val="en-US" w:eastAsia="zh-CN"/>
              </w:rPr>
              <w:t>中卫市第三污水处理厂</w:t>
            </w:r>
            <w:r>
              <w:rPr>
                <w:rFonts w:hint="default" w:ascii="Times New Roman" w:hAnsi="Times New Roman" w:eastAsia="宋体" w:cs="Times New Roman"/>
                <w:color w:val="auto"/>
                <w:sz w:val="24"/>
                <w:szCs w:val="24"/>
                <w:highlight w:val="none"/>
              </w:rPr>
              <w:t>接管标</w:t>
            </w:r>
            <w:r>
              <w:rPr>
                <w:rFonts w:hint="default" w:ascii="Times New Roman" w:hAnsi="Times New Roman" w:eastAsia="宋体" w:cs="Times New Roman"/>
                <w:color w:val="auto"/>
                <w:sz w:val="24"/>
                <w:szCs w:val="24"/>
              </w:rPr>
              <w:t>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Merge w:val="continue"/>
            <w:vAlign w:val="center"/>
          </w:tcPr>
          <w:p>
            <w:pPr>
              <w:adjustRightInd w:val="0"/>
              <w:snapToGrid w:val="0"/>
              <w:jc w:val="center"/>
              <w:rPr>
                <w:rFonts w:hint="default" w:ascii="Times New Roman" w:hAnsi="Times New Roman" w:cs="Times New Roman"/>
                <w:color w:val="auto"/>
              </w:rPr>
            </w:pPr>
          </w:p>
        </w:tc>
        <w:tc>
          <w:tcPr>
            <w:tcW w:w="1300"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浓盐水</w:t>
            </w:r>
          </w:p>
        </w:tc>
        <w:tc>
          <w:tcPr>
            <w:tcW w:w="1432" w:type="dxa"/>
            <w:vMerge w:val="continue"/>
            <w:vAlign w:val="center"/>
          </w:tcPr>
          <w:p>
            <w:pPr>
              <w:adjustRightInd w:val="0"/>
              <w:snapToGrid w:val="0"/>
              <w:jc w:val="center"/>
              <w:rPr>
                <w:rFonts w:hint="default" w:ascii="Times New Roman" w:hAnsi="Times New Roman" w:cs="Times New Roman"/>
                <w:color w:val="auto"/>
                <w:sz w:val="24"/>
              </w:rPr>
            </w:pPr>
          </w:p>
        </w:tc>
        <w:tc>
          <w:tcPr>
            <w:tcW w:w="2460" w:type="dxa"/>
            <w:vMerge w:val="continue"/>
            <w:vAlign w:val="center"/>
          </w:tcPr>
          <w:p>
            <w:pPr>
              <w:adjustRightInd w:val="0"/>
              <w:snapToGrid w:val="0"/>
              <w:jc w:val="center"/>
              <w:rPr>
                <w:rFonts w:hint="default" w:ascii="Times New Roman" w:hAnsi="Times New Roman" w:cs="Times New Roman"/>
                <w:color w:val="auto"/>
                <w:sz w:val="24"/>
              </w:rPr>
            </w:pPr>
          </w:p>
        </w:tc>
        <w:tc>
          <w:tcPr>
            <w:tcW w:w="2476" w:type="dxa"/>
            <w:vMerge w:val="continue"/>
            <w:vAlign w:val="center"/>
          </w:tcPr>
          <w:p>
            <w:pPr>
              <w:adjustRightInd w:val="0"/>
              <w:snapToGrid w:val="0"/>
              <w:jc w:val="center"/>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Merge w:val="continue"/>
            <w:vAlign w:val="center"/>
          </w:tcPr>
          <w:p>
            <w:pPr>
              <w:adjustRightInd w:val="0"/>
              <w:snapToGrid w:val="0"/>
              <w:jc w:val="center"/>
              <w:rPr>
                <w:rFonts w:hint="default" w:ascii="Times New Roman" w:hAnsi="Times New Roman" w:cs="Times New Roman"/>
                <w:color w:val="auto"/>
                <w:sz w:val="24"/>
              </w:rPr>
            </w:pPr>
          </w:p>
        </w:tc>
        <w:tc>
          <w:tcPr>
            <w:tcW w:w="1300"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生活污水</w:t>
            </w:r>
          </w:p>
        </w:tc>
        <w:tc>
          <w:tcPr>
            <w:tcW w:w="1432" w:type="dxa"/>
            <w:vMerge w:val="continue"/>
            <w:vAlign w:val="center"/>
          </w:tcPr>
          <w:p>
            <w:pPr>
              <w:adjustRightInd w:val="0"/>
              <w:snapToGrid w:val="0"/>
              <w:jc w:val="center"/>
              <w:rPr>
                <w:rFonts w:hint="default" w:ascii="Times New Roman" w:hAnsi="Times New Roman" w:cs="Times New Roman"/>
                <w:color w:val="auto"/>
                <w:sz w:val="24"/>
              </w:rPr>
            </w:pPr>
          </w:p>
        </w:tc>
        <w:tc>
          <w:tcPr>
            <w:tcW w:w="2460" w:type="dxa"/>
            <w:vMerge w:val="continue"/>
            <w:vAlign w:val="center"/>
          </w:tcPr>
          <w:p>
            <w:pPr>
              <w:adjustRightInd w:val="0"/>
              <w:snapToGrid w:val="0"/>
              <w:jc w:val="center"/>
              <w:rPr>
                <w:rFonts w:hint="default" w:ascii="Times New Roman" w:hAnsi="Times New Roman" w:cs="Times New Roman"/>
                <w:color w:val="auto"/>
                <w:sz w:val="24"/>
              </w:rPr>
            </w:pPr>
          </w:p>
        </w:tc>
        <w:tc>
          <w:tcPr>
            <w:tcW w:w="2476" w:type="dxa"/>
            <w:vMerge w:val="continue"/>
            <w:vAlign w:val="center"/>
          </w:tcPr>
          <w:p>
            <w:pPr>
              <w:adjustRightInd w:val="0"/>
              <w:snapToGrid w:val="0"/>
              <w:jc w:val="center"/>
              <w:rPr>
                <w:rFonts w:hint="default" w:ascii="Times New Roman" w:hAnsi="Times New Roman" w:cs="Times New Roman"/>
                <w:color w:val="auto"/>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highlight w:val="none"/>
              </w:rPr>
              <w:t>固体废物</w:t>
            </w:r>
          </w:p>
        </w:tc>
        <w:tc>
          <w:tcPr>
            <w:tcW w:w="7668" w:type="dxa"/>
            <w:gridSpan w:val="4"/>
            <w:vAlign w:val="center"/>
          </w:tcPr>
          <w:p>
            <w:pPr>
              <w:adjustRightInd w:val="0"/>
              <w:snapToGrid w:val="0"/>
              <w:jc w:val="center"/>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一般固体废物：未沾染</w:t>
            </w:r>
            <w:r>
              <w:rPr>
                <w:rFonts w:hint="default" w:ascii="Times New Roman" w:hAnsi="Times New Roman" w:eastAsia="宋体" w:cs="Times New Roman"/>
                <w:color w:val="auto"/>
                <w:sz w:val="24"/>
              </w:rPr>
              <w:t>危险</w:t>
            </w:r>
            <w:r>
              <w:rPr>
                <w:rFonts w:hint="default" w:ascii="Times New Roman" w:hAnsi="Times New Roman" w:eastAsia="宋体" w:cs="Times New Roman"/>
                <w:color w:val="auto"/>
                <w:sz w:val="24"/>
                <w:lang w:val="en-US" w:eastAsia="zh-CN"/>
              </w:rPr>
              <w:t>物质的</w:t>
            </w:r>
            <w:r>
              <w:rPr>
                <w:rFonts w:hint="default" w:ascii="Times New Roman" w:hAnsi="Times New Roman" w:cs="Times New Roman"/>
                <w:color w:val="auto"/>
                <w:sz w:val="24"/>
                <w:lang w:val="en-US" w:eastAsia="zh-CN"/>
              </w:rPr>
              <w:t>废弃包装物</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废饲料以及</w:t>
            </w:r>
            <w:r>
              <w:rPr>
                <w:rFonts w:hint="default" w:ascii="Times New Roman" w:hAnsi="Times New Roman" w:cs="Times New Roman"/>
                <w:color w:val="auto"/>
                <w:sz w:val="24"/>
              </w:rPr>
              <w:t>生活垃圾由环卫部门收集处置</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废离子交换树脂</w:t>
            </w:r>
            <w:r>
              <w:rPr>
                <w:rFonts w:hint="default" w:ascii="Times New Roman" w:hAnsi="Times New Roman" w:cs="Times New Roman"/>
                <w:color w:val="auto"/>
                <w:sz w:val="24"/>
                <w:lang w:val="en-US" w:eastAsia="zh-CN"/>
              </w:rPr>
              <w:t>厂家定期更换回收；</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危险废物：</w:t>
            </w:r>
            <w:r>
              <w:rPr>
                <w:rFonts w:hint="default" w:ascii="Times New Roman" w:hAnsi="Times New Roman" w:cs="Times New Roman"/>
                <w:color w:val="auto"/>
                <w:sz w:val="24"/>
              </w:rPr>
              <w:t>实验废液</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配制试剂废液、废牛奶、废牛血、实验器皿前段清洗废水</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、废一次性耗材、废弃化学试剂、废活性炭、沾染危险</w:t>
            </w:r>
            <w:r>
              <w:rPr>
                <w:rFonts w:hint="default" w:ascii="Times New Roman" w:hAnsi="Times New Roman" w:cs="Times New Roman"/>
                <w:color w:val="auto"/>
                <w:sz w:val="24"/>
                <w:lang w:val="en-US" w:eastAsia="zh-CN"/>
              </w:rPr>
              <w:t>物质</w:t>
            </w:r>
            <w:r>
              <w:rPr>
                <w:rFonts w:hint="default" w:ascii="Times New Roman" w:hAnsi="Times New Roman" w:cs="Times New Roman"/>
                <w:color w:val="auto"/>
                <w:sz w:val="24"/>
              </w:rPr>
              <w:t>的废弃包装物暂存于</w:t>
            </w:r>
            <w:r>
              <w:rPr>
                <w:rFonts w:hint="default" w:ascii="Times New Roman" w:hAnsi="Times New Roman" w:cs="Times New Roman"/>
                <w:color w:val="auto"/>
                <w:sz w:val="24"/>
                <w:lang w:eastAsia="zh-CN"/>
              </w:rPr>
              <w:t>危废暂存库</w:t>
            </w:r>
            <w:r>
              <w:rPr>
                <w:rFonts w:hint="default" w:ascii="Times New Roman" w:hAnsi="Times New Roman" w:cs="Times New Roman"/>
                <w:color w:val="auto"/>
                <w:sz w:val="24"/>
              </w:rPr>
              <w:t>，定期交由</w:t>
            </w:r>
            <w:r>
              <w:rPr>
                <w:rFonts w:hint="default" w:ascii="Times New Roman" w:hAnsi="Times New Roman" w:cs="Times New Roman"/>
                <w:color w:val="auto"/>
                <w:sz w:val="24"/>
                <w:lang w:eastAsia="zh-CN"/>
              </w:rPr>
              <w:t>宁夏宁东清大国华环境资源有限公司</w:t>
            </w:r>
            <w:r>
              <w:rPr>
                <w:rFonts w:hint="default" w:ascii="Times New Roman" w:hAnsi="Times New Roman" w:cs="Times New Roman"/>
                <w:color w:val="auto"/>
                <w:sz w:val="24"/>
              </w:rPr>
              <w:t>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声环境</w:t>
            </w:r>
          </w:p>
        </w:tc>
        <w:tc>
          <w:tcPr>
            <w:tcW w:w="1300"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设备噪声</w:t>
            </w:r>
          </w:p>
        </w:tc>
        <w:tc>
          <w:tcPr>
            <w:tcW w:w="1432" w:type="dxa"/>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w:t>
            </w:r>
          </w:p>
        </w:tc>
        <w:tc>
          <w:tcPr>
            <w:tcW w:w="2460"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基础减振、降噪等</w:t>
            </w:r>
          </w:p>
        </w:tc>
        <w:tc>
          <w:tcPr>
            <w:tcW w:w="2476"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《工业企业厂界环境噪声排放标准》(GB12348-2008)中</w:t>
            </w: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电磁环境</w:t>
            </w:r>
          </w:p>
        </w:tc>
        <w:tc>
          <w:tcPr>
            <w:tcW w:w="1300"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c>
          <w:tcPr>
            <w:tcW w:w="1432"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c>
          <w:tcPr>
            <w:tcW w:w="2460"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c>
          <w:tcPr>
            <w:tcW w:w="2476"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土壤及地下水污染防治措施</w:t>
            </w:r>
          </w:p>
        </w:tc>
        <w:tc>
          <w:tcPr>
            <w:tcW w:w="7668" w:type="dxa"/>
            <w:gridSpan w:val="4"/>
            <w:vAlign w:val="center"/>
          </w:tcPr>
          <w:p>
            <w:pPr>
              <w:adjustRightInd w:val="0"/>
              <w:snapToGrid w:val="0"/>
              <w:jc w:val="both"/>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szCs w:val="24"/>
                <w:highlight w:val="none"/>
              </w:rPr>
              <w:t>本项目试剂设专用</w:t>
            </w:r>
            <w:r>
              <w:rPr>
                <w:rFonts w:hint="default" w:ascii="Times New Roman" w:hAnsi="Times New Roman" w:cs="Times New Roman"/>
                <w:color w:val="auto"/>
                <w:sz w:val="24"/>
                <w:szCs w:val="24"/>
                <w:highlight w:val="none"/>
                <w:lang w:eastAsia="zh-CN"/>
              </w:rPr>
              <w:t>样品及试剂室</w:t>
            </w:r>
            <w:r>
              <w:rPr>
                <w:rFonts w:hint="default" w:ascii="Times New Roman" w:hAnsi="Times New Roman" w:eastAsia="宋体" w:cs="Times New Roman"/>
                <w:color w:val="auto"/>
                <w:sz w:val="24"/>
                <w:szCs w:val="24"/>
                <w:highlight w:val="none"/>
              </w:rPr>
              <w:t>，试剂药品等储存于试剂柜内；项目危险废物暂存间严格按照《危险废物贮存污染控制标准（GB18597-2023）建设，地面基础防渗采用混凝土硬化，漆刷防渗涂料，设置防渗托盘，危险废物贮存不与地面直接接触</w:t>
            </w:r>
            <w:r>
              <w:rPr>
                <w:rFonts w:hint="default" w:ascii="Times New Roman" w:hAnsi="Times New Roman" w:eastAsia="宋体" w:cs="Times New Roman"/>
                <w:color w:val="auto"/>
                <w:sz w:val="24"/>
                <w:szCs w:val="24"/>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生态保护措施</w:t>
            </w:r>
          </w:p>
        </w:tc>
        <w:tc>
          <w:tcPr>
            <w:tcW w:w="7668" w:type="dxa"/>
            <w:gridSpan w:val="4"/>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①做好噪声的降噪工作，减少对周围声学环境的影响。</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②妥善处置固体废物，杜绝二次污染。</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③做好废气的达标排放工作，减少其对周围环境的影响，保护员工的身体健康。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环境风险</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防范措施</w:t>
            </w:r>
          </w:p>
        </w:tc>
        <w:tc>
          <w:tcPr>
            <w:tcW w:w="7668" w:type="dxa"/>
            <w:gridSpan w:val="4"/>
            <w:vAlign w:val="center"/>
          </w:tcPr>
          <w:p>
            <w:pPr>
              <w:adjustRightInd w:val="0"/>
              <w:snapToGrid w:val="0"/>
              <w:rPr>
                <w:rFonts w:hint="default" w:ascii="Times New Roman" w:hAnsi="Times New Roman" w:cs="Times New Roman"/>
                <w:color w:val="auto"/>
              </w:rPr>
            </w:pPr>
            <w:r>
              <w:rPr>
                <w:rFonts w:hint="default" w:ascii="Times New Roman" w:hAnsi="Times New Roman" w:cs="Times New Roman"/>
                <w:color w:val="auto"/>
                <w:sz w:val="24"/>
              </w:rPr>
              <w:t>①</w:t>
            </w:r>
            <w:r>
              <w:rPr>
                <w:rFonts w:hint="default" w:ascii="Times New Roman" w:hAnsi="Times New Roman" w:eastAsia="宋体" w:cs="Times New Roman"/>
                <w:color w:val="auto"/>
                <w:sz w:val="24"/>
                <w:szCs w:val="24"/>
              </w:rPr>
              <w:t>实验室的药剂由专人对其负责摆放，严禁危险药品、普通试剂、 玻璃仪器、常用药品在同一层货架摆放。</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②</w:t>
            </w:r>
            <w:r>
              <w:rPr>
                <w:rFonts w:hint="default" w:ascii="Times New Roman" w:hAnsi="Times New Roman" w:eastAsia="宋体" w:cs="Times New Roman"/>
                <w:color w:val="auto"/>
                <w:sz w:val="24"/>
                <w:szCs w:val="24"/>
              </w:rPr>
              <w:t>化学危险品应分类、分开存贮，并做好标识；毒害品、强酸类、 强碱类、易燃易爆品应存放于阴凉干燥、通风良好处、远离火种热源， 避免阳光直射、强酸、强碱等应分开存放。</w:t>
            </w:r>
          </w:p>
          <w:p>
            <w:pPr>
              <w:adjustRightInd w:val="0"/>
              <w:snapToGrid w:val="0"/>
              <w:rPr>
                <w:rFonts w:hint="default" w:ascii="Times New Roman" w:hAnsi="Times New Roman" w:eastAsia="宋体" w:cs="Times New Roman"/>
                <w:color w:val="auto"/>
                <w:sz w:val="24"/>
                <w:szCs w:val="24"/>
              </w:rPr>
            </w:pPr>
            <w:r>
              <w:rPr>
                <w:rFonts w:hint="default" w:ascii="Times New Roman" w:hAnsi="Times New Roman" w:cs="Times New Roman"/>
                <w:color w:val="auto"/>
                <w:sz w:val="24"/>
              </w:rPr>
              <w:t>③</w:t>
            </w:r>
            <w:r>
              <w:rPr>
                <w:rFonts w:hint="default" w:ascii="Times New Roman" w:hAnsi="Times New Roman" w:eastAsia="宋体" w:cs="Times New Roman"/>
                <w:color w:val="auto"/>
                <w:sz w:val="24"/>
                <w:szCs w:val="24"/>
              </w:rPr>
              <w:t>实验室药品的领取由专人负责；试剂应存放在柜中，做到双人双 锁、专人保管。</w:t>
            </w:r>
          </w:p>
          <w:p>
            <w:pPr>
              <w:pStyle w:val="16"/>
              <w:adjustRightInd w:val="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④使用硫酸、盐酸等具有挥发特性试剂时，必须在通风橱内进行操作，严格按照实验室操作规程开展。</w:t>
            </w:r>
          </w:p>
          <w:p>
            <w:pPr>
              <w:pStyle w:val="16"/>
              <w:adjustRightInd w:val="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⑤产生的实验废液等应由专人负责处理，并填好处理记录，不得随 意抛弃污染环境</w:t>
            </w:r>
            <w:r>
              <w:rPr>
                <w:rFonts w:hint="default" w:ascii="Times New Roman" w:hAnsi="Times New Roman" w:cs="Times New Roman"/>
                <w:color w:val="auto"/>
                <w:sz w:val="24"/>
                <w:szCs w:val="24"/>
                <w:lang w:eastAsia="zh-CN"/>
              </w:rPr>
              <w:t>。</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⑥</w:t>
            </w:r>
            <w:r>
              <w:rPr>
                <w:rFonts w:hint="default" w:ascii="Times New Roman" w:hAnsi="Times New Roman" w:cs="Times New Roman"/>
                <w:color w:val="auto"/>
                <w:sz w:val="24"/>
                <w:lang w:val="en-US" w:eastAsia="zh-CN"/>
              </w:rPr>
              <w:t>危废暂存库</w:t>
            </w:r>
            <w:r>
              <w:rPr>
                <w:rFonts w:hint="default" w:ascii="Times New Roman" w:hAnsi="Times New Roman" w:cs="Times New Roman"/>
                <w:color w:val="auto"/>
                <w:sz w:val="24"/>
              </w:rPr>
              <w:t>按规范建设，做到“三防”要求。</w:t>
            </w:r>
          </w:p>
          <w:p>
            <w:pPr>
              <w:pStyle w:val="53"/>
              <w:keepNext w:val="0"/>
              <w:keepLines w:val="0"/>
              <w:pageBreakBefore w:val="0"/>
              <w:widowControl w:val="0"/>
              <w:kinsoku/>
              <w:wordWrap/>
              <w:overflowPunct/>
              <w:topLinePunct w:val="0"/>
              <w:autoSpaceDE/>
              <w:autoSpaceDN/>
              <w:bidi w:val="0"/>
              <w:adjustRightInd w:val="0"/>
              <w:snapToGrid w:val="0"/>
              <w:spacing w:line="260" w:lineRule="auto"/>
              <w:ind w:firstLine="0" w:firstLineChars="0"/>
              <w:jc w:val="left"/>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szCs w:val="24"/>
                <w:lang w:val="en-US" w:eastAsia="zh-CN" w:bidi="ar-SA"/>
              </w:rPr>
              <w:t>⑦本项目试剂或者药品均小瓶单独包装，最大包装规格为500mL，一次性泄露的液体较少。试剂容器发生泄漏时，迅速将容器倾斜，使破损处朝上，防止其继续泄漏。已经泄露的少量液体化学品采用水吸棉、沙土等将物料收集、存放于桶内，作为危险废物处理。</w:t>
            </w:r>
          </w:p>
          <w:p>
            <w:pPr>
              <w:pStyle w:val="53"/>
              <w:keepNext w:val="0"/>
              <w:keepLines w:val="0"/>
              <w:pageBreakBefore w:val="0"/>
              <w:widowControl w:val="0"/>
              <w:kinsoku/>
              <w:wordWrap/>
              <w:overflowPunct/>
              <w:topLinePunct w:val="0"/>
              <w:autoSpaceDE/>
              <w:autoSpaceDN/>
              <w:bidi w:val="0"/>
              <w:adjustRightInd w:val="0"/>
              <w:snapToGrid w:val="0"/>
              <w:spacing w:line="260" w:lineRule="auto"/>
              <w:ind w:firstLine="0" w:firstLineChars="0"/>
              <w:jc w:val="left"/>
              <w:textAlignment w:val="auto"/>
              <w:rPr>
                <w:rFonts w:hint="default" w:ascii="Times New Roman" w:hAnsi="Times New Roman" w:cs="Times New Roman"/>
                <w:color w:val="auto"/>
                <w:sz w:val="24"/>
              </w:rPr>
            </w:pPr>
            <w:r>
              <w:rPr>
                <w:rFonts w:hint="default" w:ascii="Times New Roman" w:hAnsi="Times New Roman" w:eastAsia="宋体" w:cs="Times New Roman"/>
                <w:color w:val="auto"/>
                <w:kern w:val="0"/>
                <w:sz w:val="24"/>
                <w:szCs w:val="24"/>
                <w:lang w:val="en-US" w:eastAsia="zh-CN" w:bidi="ar-SA"/>
              </w:rPr>
              <w:t>⑧在火灾爆炸事故发生时，首先应尽可能切断泄漏源，再根据储存物质的性质选择干粉灭火器处理</w:t>
            </w:r>
            <w:r>
              <w:rPr>
                <w:rFonts w:hint="default" w:ascii="Times New Roman" w:hAnsi="Times New Roman" w:cs="Times New Roman"/>
                <w:color w:val="auto"/>
                <w:kern w:val="0"/>
                <w:sz w:val="24"/>
                <w:szCs w:val="24"/>
                <w:lang w:val="en-US" w:eastAsia="zh-CN" w:bidi="ar-SA"/>
              </w:rPr>
              <w:t>；</w:t>
            </w:r>
            <w:r>
              <w:rPr>
                <w:rFonts w:hint="default" w:ascii="Times New Roman" w:hAnsi="Times New Roman" w:eastAsia="宋体" w:cs="Times New Roman"/>
                <w:color w:val="auto"/>
                <w:kern w:val="0"/>
                <w:sz w:val="24"/>
                <w:szCs w:val="24"/>
                <w:lang w:val="en-US" w:eastAsia="zh-CN" w:bidi="ar-SA"/>
              </w:rPr>
              <w:t>发生泄漏时，采用沙土吸附或吸收，物料集中后通过导排设施导入专用收集容器内。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9" w:type="dxa"/>
            <w:vAlign w:val="center"/>
          </w:tcPr>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其他环境</w:t>
            </w:r>
          </w:p>
          <w:p>
            <w:pPr>
              <w:adjustRightInd w:val="0"/>
              <w:snapToGrid w:val="0"/>
              <w:jc w:val="center"/>
              <w:rPr>
                <w:rFonts w:hint="default" w:ascii="Times New Roman" w:hAnsi="Times New Roman" w:cs="Times New Roman"/>
                <w:color w:val="auto"/>
                <w:sz w:val="24"/>
              </w:rPr>
            </w:pPr>
            <w:r>
              <w:rPr>
                <w:rFonts w:hint="default" w:ascii="Times New Roman" w:hAnsi="Times New Roman" w:cs="Times New Roman"/>
                <w:color w:val="auto"/>
                <w:sz w:val="24"/>
              </w:rPr>
              <w:t>管理要求</w:t>
            </w:r>
          </w:p>
        </w:tc>
        <w:tc>
          <w:tcPr>
            <w:tcW w:w="7668" w:type="dxa"/>
            <w:gridSpan w:val="4"/>
            <w:vAlign w:val="center"/>
          </w:tcPr>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①建立健全企业环保规章制度和企业环境管理责任体系。</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②建立完善相关台账，记录每日的废气处理设施运行情况，确保污染物稳定达标排放；制定危险废物管理计划并报环保部门备案，如实记录危险废物贮存、利用处置相关情况。</w:t>
            </w:r>
          </w:p>
          <w:p>
            <w:pPr>
              <w:adjustRightInd w:val="0"/>
              <w:snapToGrid w:val="0"/>
              <w:rPr>
                <w:rFonts w:hint="default" w:ascii="Times New Roman" w:hAnsi="Times New Roman" w:cs="Times New Roman"/>
                <w:color w:val="auto"/>
                <w:sz w:val="24"/>
              </w:rPr>
            </w:pPr>
            <w:r>
              <w:rPr>
                <w:rFonts w:hint="default" w:ascii="Times New Roman" w:hAnsi="Times New Roman" w:cs="Times New Roman"/>
                <w:color w:val="auto"/>
                <w:sz w:val="24"/>
              </w:rPr>
              <w:t>③落实日常环境管理和污染源监测工作。</w:t>
            </w:r>
          </w:p>
          <w:p>
            <w:pPr>
              <w:pStyle w:val="32"/>
              <w:rPr>
                <w:rFonts w:hint="default" w:ascii="Times New Roman" w:hAnsi="Times New Roman" w:cs="Times New Roman"/>
                <w:color w:val="auto"/>
              </w:rPr>
            </w:pPr>
          </w:p>
          <w:p>
            <w:pPr>
              <w:adjustRightInd w:val="0"/>
              <w:snapToGrid w:val="0"/>
              <w:rPr>
                <w:rFonts w:hint="default" w:ascii="Times New Roman" w:hAnsi="Times New Roman" w:cs="Times New Roman"/>
                <w:color w:val="auto"/>
                <w:sz w:val="24"/>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p>
            <w:pPr>
              <w:adjustRightInd w:val="0"/>
              <w:snapToGrid w:val="0"/>
              <w:rPr>
                <w:rFonts w:hint="default" w:ascii="Times New Roman" w:hAnsi="Times New Roman" w:cs="Times New Roman"/>
                <w:color w:val="auto"/>
              </w:rPr>
            </w:pPr>
          </w:p>
        </w:tc>
      </w:tr>
    </w:tbl>
    <w:p>
      <w:pPr>
        <w:pStyle w:val="20"/>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r>
        <w:rPr>
          <w:rFonts w:hint="default" w:ascii="Times New Roman" w:hAnsi="Times New Roman" w:eastAsia="黑体" w:cs="Times New Roman"/>
          <w:snapToGrid w:val="0"/>
          <w:color w:val="auto"/>
          <w:sz w:val="30"/>
          <w:szCs w:val="30"/>
        </w:rPr>
        <w:t>六、结论</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none" w:color="auto" w:sz="0" w:space="0"/>
          </w:tblBorders>
          <w:tblCellMar>
            <w:top w:w="0" w:type="dxa"/>
            <w:left w:w="108" w:type="dxa"/>
            <w:bottom w:w="0" w:type="dxa"/>
            <w:right w:w="108" w:type="dxa"/>
          </w:tblCellMar>
        </w:tblPrEx>
        <w:trPr>
          <w:trHeight w:val="11991" w:hRule="atLeast"/>
          <w:jc w:val="center"/>
        </w:trPr>
        <w:tc>
          <w:tcPr>
            <w:tcW w:w="8865" w:type="dxa"/>
            <w:tcBorders>
              <w:tl2br w:val="nil"/>
              <w:tr2bl w:val="nil"/>
            </w:tcBorders>
            <w:vAlign w:val="center"/>
          </w:tcPr>
          <w:p>
            <w:pPr>
              <w:ind w:firstLine="512" w:firstLineChars="200"/>
              <w:jc w:val="center"/>
              <w:rPr>
                <w:rFonts w:hint="default" w:ascii="Times New Roman" w:hAnsi="Times New Roman" w:cs="Times New Roman"/>
                <w:color w:val="auto"/>
              </w:rPr>
            </w:pPr>
            <w:r>
              <w:rPr>
                <w:rFonts w:hint="default" w:ascii="Times New Roman" w:hAnsi="Times New Roman" w:cs="Times New Roman"/>
                <w:color w:val="auto"/>
                <w:sz w:val="24"/>
              </w:rPr>
              <w:t>本建设项目符合国家及地方产业政策要求、规划要求，选址合理，有良好的社会效益和环境效益。本项目施工期和运行期</w:t>
            </w:r>
            <w:r>
              <w:rPr>
                <w:rFonts w:hint="default" w:ascii="Times New Roman" w:hAnsi="Times New Roman" w:cs="Times New Roman"/>
                <w:color w:val="auto"/>
                <w:sz w:val="24"/>
                <w:lang w:val="en-US" w:eastAsia="zh-CN"/>
              </w:rPr>
              <w:t>均采取有效的污染防治措施，各项污染物均能达标排放，</w:t>
            </w:r>
            <w:r>
              <w:rPr>
                <w:rFonts w:hint="default" w:ascii="Times New Roman" w:hAnsi="Times New Roman" w:cs="Times New Roman"/>
                <w:color w:val="auto"/>
                <w:sz w:val="24"/>
              </w:rPr>
              <w:t>项目建设不会降低</w:t>
            </w:r>
            <w:r>
              <w:rPr>
                <w:rFonts w:hint="default" w:ascii="Times New Roman" w:hAnsi="Times New Roman" w:cs="Times New Roman"/>
                <w:color w:val="auto"/>
                <w:sz w:val="24"/>
                <w:lang w:val="en-US" w:eastAsia="zh-CN"/>
              </w:rPr>
              <w:t>区域环境质量。</w:t>
            </w:r>
            <w:r>
              <w:rPr>
                <w:rFonts w:hint="default" w:ascii="Times New Roman" w:hAnsi="Times New Roman" w:cs="Times New Roman"/>
                <w:color w:val="auto"/>
                <w:sz w:val="24"/>
              </w:rPr>
              <w:t>在认真</w:t>
            </w:r>
            <w:r>
              <w:rPr>
                <w:rFonts w:hint="default" w:ascii="Times New Roman" w:hAnsi="Times New Roman" w:cs="Times New Roman"/>
                <w:color w:val="auto"/>
                <w:sz w:val="24"/>
                <w:lang w:val="en-US" w:eastAsia="zh-CN"/>
              </w:rPr>
              <w:t>落实</w:t>
            </w:r>
            <w:r>
              <w:rPr>
                <w:rFonts w:hint="default" w:ascii="Times New Roman" w:hAnsi="Times New Roman" w:cs="Times New Roman"/>
                <w:color w:val="auto"/>
                <w:sz w:val="24"/>
              </w:rPr>
              <w:t>环评提出的</w:t>
            </w:r>
            <w:r>
              <w:rPr>
                <w:rFonts w:hint="default" w:ascii="Times New Roman" w:hAnsi="Times New Roman" w:cs="Times New Roman"/>
                <w:color w:val="auto"/>
                <w:sz w:val="24"/>
                <w:lang w:val="en-US" w:eastAsia="zh-CN"/>
              </w:rPr>
              <w:t>各项污染防治</w:t>
            </w:r>
            <w:r>
              <w:rPr>
                <w:rFonts w:hint="default" w:ascii="Times New Roman" w:hAnsi="Times New Roman" w:cs="Times New Roman"/>
                <w:color w:val="auto"/>
                <w:sz w:val="24"/>
              </w:rPr>
              <w:t>措施后</w:t>
            </w:r>
            <w:r>
              <w:rPr>
                <w:rFonts w:hint="default" w:ascii="Times New Roman" w:hAnsi="Times New Roman" w:cs="Times New Roman"/>
                <w:color w:val="auto"/>
                <w:sz w:val="24"/>
                <w:lang w:eastAsia="zh-CN"/>
              </w:rPr>
              <w:t>，</w:t>
            </w:r>
            <w:r>
              <w:rPr>
                <w:rFonts w:hint="default" w:ascii="Times New Roman" w:hAnsi="Times New Roman" w:cs="Times New Roman"/>
                <w:color w:val="auto"/>
                <w:sz w:val="24"/>
              </w:rPr>
              <w:t>从</w:t>
            </w:r>
            <w:r>
              <w:rPr>
                <w:rFonts w:hint="default" w:ascii="Times New Roman" w:hAnsi="Times New Roman" w:cs="Times New Roman"/>
                <w:color w:val="auto"/>
                <w:sz w:val="24"/>
                <w:lang w:val="en-US" w:eastAsia="zh-CN"/>
              </w:rPr>
              <w:t>环境保护</w:t>
            </w:r>
            <w:r>
              <w:rPr>
                <w:rFonts w:hint="default" w:ascii="Times New Roman" w:hAnsi="Times New Roman" w:cs="Times New Roman"/>
                <w:color w:val="auto"/>
                <w:sz w:val="24"/>
              </w:rPr>
              <w:t>角度而言，本项目建设是可行的。</w:t>
            </w:r>
          </w:p>
        </w:tc>
      </w:tr>
    </w:tbl>
    <w:p>
      <w:pPr>
        <w:rPr>
          <w:rFonts w:hint="default" w:ascii="Times New Roman" w:hAnsi="Times New Roman" w:cs="Times New Roman"/>
          <w:color w:val="auto"/>
        </w:rPr>
        <w:sectPr>
          <w:pgSz w:w="11905" w:h="16838"/>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435"/>
        </w:sectPr>
      </w:pPr>
    </w:p>
    <w:p>
      <w:pPr>
        <w:pStyle w:val="21"/>
        <w:spacing w:before="0" w:after="0"/>
        <w:rPr>
          <w:rFonts w:hint="default" w:ascii="Times New Roman" w:hAnsi="Times New Roman" w:cs="Times New Roman"/>
          <w:snapToGrid w:val="0"/>
          <w:color w:val="auto"/>
          <w:sz w:val="32"/>
        </w:rPr>
      </w:pPr>
      <w:r>
        <w:rPr>
          <w:rFonts w:hint="default" w:ascii="Times New Roman" w:hAnsi="Times New Roman" w:eastAsia="宋体" w:cs="Times New Roman"/>
          <w:b/>
          <w:bCs w:val="0"/>
          <w:snapToGrid w:val="0"/>
          <w:color w:val="auto"/>
        </w:rPr>
        <w:t>建设项目污染物排放量汇总表</w:t>
      </w:r>
    </w:p>
    <w:tbl>
      <w:tblPr>
        <w:tblStyle w:val="25"/>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853"/>
        <w:gridCol w:w="1505"/>
        <w:gridCol w:w="1297"/>
        <w:gridCol w:w="1729"/>
        <w:gridCol w:w="1585"/>
        <w:gridCol w:w="1789"/>
        <w:gridCol w:w="1557"/>
        <w:gridCol w:w="12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tcBorders>
              <w:tl2br w:val="single" w:color="auto" w:sz="12" w:space="0"/>
            </w:tcBorders>
            <w:tcMar>
              <w:left w:w="28" w:type="dxa"/>
              <w:right w:w="28" w:type="dxa"/>
            </w:tcMar>
            <w:vAlign w:val="center"/>
          </w:tcPr>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 xml:space="preserve">       项目</w:t>
            </w:r>
          </w:p>
          <w:p>
            <w:pPr>
              <w:adjustRightInd w:val="0"/>
              <w:snapToGrid w:val="0"/>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分类</w:t>
            </w:r>
          </w:p>
        </w:tc>
        <w:tc>
          <w:tcPr>
            <w:tcW w:w="1853" w:type="dxa"/>
            <w:tcMar>
              <w:left w:w="28" w:type="dxa"/>
              <w:right w:w="28" w:type="dxa"/>
            </w:tcMar>
            <w:vAlign w:val="center"/>
          </w:tcPr>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污染物名称</w:t>
            </w:r>
          </w:p>
        </w:tc>
        <w:tc>
          <w:tcPr>
            <w:tcW w:w="1505" w:type="dxa"/>
            <w:tcMar>
              <w:left w:w="28" w:type="dxa"/>
              <w:right w:w="28" w:type="dxa"/>
            </w:tcMar>
            <w:vAlign w:val="center"/>
          </w:tcPr>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现有工程</w:t>
            </w:r>
          </w:p>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排放量（固体废物产生量）</w:t>
            </w: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1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color w:val="auto"/>
                <w:szCs w:val="21"/>
              </w:rPr>
              <w:t>①</w:t>
            </w:r>
            <w:r>
              <w:rPr>
                <w:rFonts w:hint="default" w:ascii="Times New Roman" w:hAnsi="Times New Roman" w:cs="Times New Roman"/>
                <w:b/>
                <w:bCs/>
                <w:snapToGrid w:val="0"/>
                <w:color w:val="auto"/>
                <w:spacing w:val="-6"/>
                <w:kern w:val="21"/>
                <w:szCs w:val="21"/>
              </w:rPr>
              <w:fldChar w:fldCharType="end"/>
            </w:r>
          </w:p>
        </w:tc>
        <w:tc>
          <w:tcPr>
            <w:tcW w:w="1297" w:type="dxa"/>
            <w:tcMar>
              <w:left w:w="28" w:type="dxa"/>
              <w:right w:w="28" w:type="dxa"/>
            </w:tcMar>
            <w:vAlign w:val="center"/>
          </w:tcPr>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现有工程</w:t>
            </w:r>
          </w:p>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许可排放量</w:t>
            </w:r>
          </w:p>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2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snapToGrid w:val="0"/>
                <w:color w:val="auto"/>
                <w:spacing w:val="-6"/>
                <w:kern w:val="21"/>
                <w:szCs w:val="21"/>
              </w:rPr>
              <w:t>②</w:t>
            </w:r>
            <w:r>
              <w:rPr>
                <w:rFonts w:hint="default" w:ascii="Times New Roman" w:hAnsi="Times New Roman" w:cs="Times New Roman"/>
                <w:b/>
                <w:bCs/>
                <w:snapToGrid w:val="0"/>
                <w:color w:val="auto"/>
                <w:spacing w:val="-6"/>
                <w:kern w:val="21"/>
                <w:szCs w:val="21"/>
              </w:rPr>
              <w:fldChar w:fldCharType="end"/>
            </w:r>
          </w:p>
        </w:tc>
        <w:tc>
          <w:tcPr>
            <w:tcW w:w="1729" w:type="dxa"/>
            <w:tcMar>
              <w:left w:w="28" w:type="dxa"/>
              <w:right w:w="28" w:type="dxa"/>
            </w:tcMar>
            <w:vAlign w:val="center"/>
          </w:tcPr>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在建工程</w:t>
            </w:r>
          </w:p>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排放量（固体废物产生量）</w:t>
            </w: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3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color w:val="auto"/>
                <w:szCs w:val="21"/>
              </w:rPr>
              <w:t>③</w:t>
            </w:r>
            <w:r>
              <w:rPr>
                <w:rFonts w:hint="default" w:ascii="Times New Roman" w:hAnsi="Times New Roman" w:cs="Times New Roman"/>
                <w:b/>
                <w:bCs/>
                <w:snapToGrid w:val="0"/>
                <w:color w:val="auto"/>
                <w:spacing w:val="-6"/>
                <w:kern w:val="21"/>
                <w:szCs w:val="21"/>
              </w:rPr>
              <w:fldChar w:fldCharType="end"/>
            </w:r>
          </w:p>
        </w:tc>
        <w:tc>
          <w:tcPr>
            <w:tcW w:w="1585" w:type="dxa"/>
            <w:tcMar>
              <w:left w:w="28" w:type="dxa"/>
              <w:right w:w="28" w:type="dxa"/>
            </w:tcMar>
            <w:vAlign w:val="center"/>
          </w:tcPr>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本项目</w:t>
            </w:r>
          </w:p>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排放量（固体废物产生量）</w:t>
            </w: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4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color w:val="auto"/>
                <w:szCs w:val="21"/>
              </w:rPr>
              <w:t>④</w:t>
            </w:r>
            <w:r>
              <w:rPr>
                <w:rFonts w:hint="default" w:ascii="Times New Roman" w:hAnsi="Times New Roman" w:cs="Times New Roman"/>
                <w:b/>
                <w:bCs/>
                <w:snapToGrid w:val="0"/>
                <w:color w:val="auto"/>
                <w:spacing w:val="-6"/>
                <w:kern w:val="21"/>
                <w:szCs w:val="21"/>
              </w:rPr>
              <w:fldChar w:fldCharType="end"/>
            </w:r>
          </w:p>
        </w:tc>
        <w:tc>
          <w:tcPr>
            <w:tcW w:w="1789" w:type="dxa"/>
            <w:tcMar>
              <w:left w:w="28" w:type="dxa"/>
              <w:right w:w="28" w:type="dxa"/>
            </w:tcMar>
            <w:vAlign w:val="center"/>
          </w:tcPr>
          <w:p>
            <w:pPr>
              <w:adjustRightInd w:val="0"/>
              <w:snapToGrid w:val="0"/>
              <w:jc w:val="center"/>
              <w:rPr>
                <w:rFonts w:hint="default" w:ascii="Times New Roman" w:hAnsi="Times New Roman" w:cs="Times New Roman"/>
                <w:b/>
                <w:bCs/>
                <w:snapToGrid w:val="0"/>
                <w:color w:val="auto"/>
                <w:spacing w:val="-16"/>
                <w:kern w:val="21"/>
                <w:szCs w:val="21"/>
              </w:rPr>
            </w:pPr>
            <w:r>
              <w:rPr>
                <w:rFonts w:hint="default" w:ascii="Times New Roman" w:hAnsi="Times New Roman" w:cs="Times New Roman"/>
                <w:b/>
                <w:bCs/>
                <w:snapToGrid w:val="0"/>
                <w:color w:val="auto"/>
                <w:spacing w:val="-16"/>
                <w:kern w:val="21"/>
                <w:szCs w:val="21"/>
              </w:rPr>
              <w:t>以新带老削减量</w:t>
            </w:r>
          </w:p>
          <w:p>
            <w:pPr>
              <w:adjustRightInd w:val="0"/>
              <w:snapToGrid w:val="0"/>
              <w:jc w:val="center"/>
              <w:rPr>
                <w:rFonts w:hint="default" w:ascii="Times New Roman" w:hAnsi="Times New Roman" w:cs="Times New Roman"/>
                <w:b/>
                <w:bCs/>
                <w:snapToGrid w:val="0"/>
                <w:color w:val="auto"/>
                <w:spacing w:val="-16"/>
                <w:kern w:val="21"/>
                <w:szCs w:val="21"/>
              </w:rPr>
            </w:pPr>
            <w:r>
              <w:rPr>
                <w:rFonts w:hint="default" w:ascii="Times New Roman" w:hAnsi="Times New Roman" w:cs="Times New Roman"/>
                <w:b/>
                <w:bCs/>
                <w:snapToGrid w:val="0"/>
                <w:color w:val="auto"/>
                <w:spacing w:val="-16"/>
                <w:kern w:val="21"/>
                <w:szCs w:val="21"/>
              </w:rPr>
              <w:t>（新建项目不填）</w:t>
            </w:r>
            <w:r>
              <w:rPr>
                <w:rFonts w:hint="default" w:ascii="Times New Roman" w:hAnsi="Times New Roman" w:cs="Times New Roman"/>
                <w:b/>
                <w:bCs/>
                <w:snapToGrid w:val="0"/>
                <w:color w:val="auto"/>
                <w:spacing w:val="-16"/>
                <w:kern w:val="21"/>
                <w:szCs w:val="21"/>
              </w:rPr>
              <w:fldChar w:fldCharType="begin"/>
            </w:r>
            <w:r>
              <w:rPr>
                <w:rFonts w:hint="default" w:ascii="Times New Roman" w:hAnsi="Times New Roman" w:cs="Times New Roman"/>
                <w:b/>
                <w:bCs/>
                <w:snapToGrid w:val="0"/>
                <w:color w:val="auto"/>
                <w:spacing w:val="-16"/>
                <w:kern w:val="21"/>
                <w:szCs w:val="21"/>
              </w:rPr>
              <w:instrText xml:space="preserve"> = 5 \* GB3 \* MERGEFORMAT </w:instrText>
            </w:r>
            <w:r>
              <w:rPr>
                <w:rFonts w:hint="default" w:ascii="Times New Roman" w:hAnsi="Times New Roman" w:cs="Times New Roman"/>
                <w:b/>
                <w:bCs/>
                <w:snapToGrid w:val="0"/>
                <w:color w:val="auto"/>
                <w:spacing w:val="-16"/>
                <w:kern w:val="21"/>
                <w:szCs w:val="21"/>
              </w:rPr>
              <w:fldChar w:fldCharType="separate"/>
            </w:r>
            <w:r>
              <w:rPr>
                <w:rFonts w:hint="default" w:ascii="Times New Roman" w:hAnsi="Times New Roman" w:cs="Times New Roman"/>
                <w:b/>
                <w:bCs/>
                <w:color w:val="auto"/>
                <w:szCs w:val="21"/>
              </w:rPr>
              <w:t>⑤</w:t>
            </w:r>
            <w:r>
              <w:rPr>
                <w:rFonts w:hint="default" w:ascii="Times New Roman" w:hAnsi="Times New Roman" w:cs="Times New Roman"/>
                <w:b/>
                <w:bCs/>
                <w:snapToGrid w:val="0"/>
                <w:color w:val="auto"/>
                <w:spacing w:val="-16"/>
                <w:kern w:val="21"/>
                <w:szCs w:val="21"/>
              </w:rPr>
              <w:fldChar w:fldCharType="end"/>
            </w:r>
          </w:p>
        </w:tc>
        <w:tc>
          <w:tcPr>
            <w:tcW w:w="1557" w:type="dxa"/>
            <w:tcMar>
              <w:left w:w="28" w:type="dxa"/>
              <w:right w:w="28" w:type="dxa"/>
            </w:tcMar>
            <w:vAlign w:val="center"/>
          </w:tcPr>
          <w:p>
            <w:pPr>
              <w:adjustRightInd w:val="0"/>
              <w:snapToGrid w:val="0"/>
              <w:jc w:val="center"/>
              <w:rPr>
                <w:rFonts w:hint="default" w:ascii="Times New Roman" w:hAnsi="Times New Roman" w:cs="Times New Roman"/>
                <w:b/>
                <w:bCs/>
                <w:snapToGrid w:val="0"/>
                <w:color w:val="auto"/>
                <w:spacing w:val="-16"/>
                <w:kern w:val="21"/>
                <w:szCs w:val="21"/>
              </w:rPr>
            </w:pPr>
            <w:r>
              <w:rPr>
                <w:rFonts w:hint="default" w:ascii="Times New Roman" w:hAnsi="Times New Roman" w:cs="Times New Roman"/>
                <w:b/>
                <w:bCs/>
                <w:snapToGrid w:val="0"/>
                <w:color w:val="auto"/>
                <w:spacing w:val="-16"/>
                <w:kern w:val="21"/>
                <w:szCs w:val="21"/>
              </w:rPr>
              <w:t>本项目建成后</w:t>
            </w:r>
          </w:p>
          <w:p>
            <w:pPr>
              <w:adjustRightInd w:val="0"/>
              <w:snapToGrid w:val="0"/>
              <w:jc w:val="center"/>
              <w:rPr>
                <w:rFonts w:hint="default" w:ascii="Times New Roman" w:hAnsi="Times New Roman" w:cs="Times New Roman"/>
                <w:b/>
                <w:bCs/>
                <w:snapToGrid w:val="0"/>
                <w:color w:val="auto"/>
                <w:spacing w:val="-16"/>
                <w:kern w:val="21"/>
                <w:szCs w:val="21"/>
              </w:rPr>
            </w:pPr>
            <w:r>
              <w:rPr>
                <w:rFonts w:hint="default" w:ascii="Times New Roman" w:hAnsi="Times New Roman" w:cs="Times New Roman"/>
                <w:b/>
                <w:bCs/>
                <w:snapToGrid w:val="0"/>
                <w:color w:val="auto"/>
                <w:spacing w:val="-16"/>
                <w:kern w:val="21"/>
                <w:szCs w:val="21"/>
              </w:rPr>
              <w:t>全厂排放量（固体废物产生量）</w:t>
            </w:r>
            <w:r>
              <w:rPr>
                <w:rFonts w:hint="default" w:ascii="Times New Roman" w:hAnsi="Times New Roman" w:cs="Times New Roman"/>
                <w:b/>
                <w:bCs/>
                <w:snapToGrid w:val="0"/>
                <w:color w:val="auto"/>
                <w:spacing w:val="-16"/>
                <w:kern w:val="21"/>
                <w:szCs w:val="21"/>
              </w:rPr>
              <w:fldChar w:fldCharType="begin"/>
            </w:r>
            <w:r>
              <w:rPr>
                <w:rFonts w:hint="default" w:ascii="Times New Roman" w:hAnsi="Times New Roman" w:cs="Times New Roman"/>
                <w:b/>
                <w:bCs/>
                <w:snapToGrid w:val="0"/>
                <w:color w:val="auto"/>
                <w:spacing w:val="-16"/>
                <w:kern w:val="21"/>
                <w:szCs w:val="21"/>
              </w:rPr>
              <w:instrText xml:space="preserve"> = 6 \* GB3 \* MERGEFORMAT </w:instrText>
            </w:r>
            <w:r>
              <w:rPr>
                <w:rFonts w:hint="default" w:ascii="Times New Roman" w:hAnsi="Times New Roman" w:cs="Times New Roman"/>
                <w:b/>
                <w:bCs/>
                <w:snapToGrid w:val="0"/>
                <w:color w:val="auto"/>
                <w:spacing w:val="-16"/>
                <w:kern w:val="21"/>
                <w:szCs w:val="21"/>
              </w:rPr>
              <w:fldChar w:fldCharType="separate"/>
            </w:r>
            <w:r>
              <w:rPr>
                <w:rFonts w:hint="default" w:ascii="Times New Roman" w:hAnsi="Times New Roman" w:cs="Times New Roman"/>
                <w:b/>
                <w:bCs/>
                <w:color w:val="auto"/>
                <w:szCs w:val="21"/>
              </w:rPr>
              <w:t>⑥</w:t>
            </w:r>
            <w:r>
              <w:rPr>
                <w:rFonts w:hint="default" w:ascii="Times New Roman" w:hAnsi="Times New Roman" w:cs="Times New Roman"/>
                <w:b/>
                <w:bCs/>
                <w:snapToGrid w:val="0"/>
                <w:color w:val="auto"/>
                <w:spacing w:val="-16"/>
                <w:kern w:val="21"/>
                <w:szCs w:val="21"/>
              </w:rPr>
              <w:fldChar w:fldCharType="end"/>
            </w:r>
          </w:p>
        </w:tc>
        <w:tc>
          <w:tcPr>
            <w:tcW w:w="1274" w:type="dxa"/>
            <w:tcMar>
              <w:left w:w="28" w:type="dxa"/>
              <w:right w:w="28" w:type="dxa"/>
            </w:tcMar>
            <w:vAlign w:val="center"/>
          </w:tcPr>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t>变化量</w:t>
            </w:r>
          </w:p>
          <w:p>
            <w:pPr>
              <w:adjustRightInd w:val="0"/>
              <w:snapToGrid w:val="0"/>
              <w:jc w:val="center"/>
              <w:rPr>
                <w:rFonts w:hint="default" w:ascii="Times New Roman" w:hAnsi="Times New Roman" w:cs="Times New Roman"/>
                <w:b/>
                <w:bCs/>
                <w:snapToGrid w:val="0"/>
                <w:color w:val="auto"/>
                <w:spacing w:val="-6"/>
                <w:kern w:val="21"/>
                <w:szCs w:val="21"/>
              </w:rPr>
            </w:pPr>
            <w:r>
              <w:rPr>
                <w:rFonts w:hint="default" w:ascii="Times New Roman" w:hAnsi="Times New Roman" w:cs="Times New Roman"/>
                <w:b/>
                <w:bCs/>
                <w:snapToGrid w:val="0"/>
                <w:color w:val="auto"/>
                <w:spacing w:val="-6"/>
                <w:kern w:val="21"/>
                <w:szCs w:val="21"/>
              </w:rPr>
              <w:fldChar w:fldCharType="begin"/>
            </w:r>
            <w:r>
              <w:rPr>
                <w:rFonts w:hint="default" w:ascii="Times New Roman" w:hAnsi="Times New Roman" w:cs="Times New Roman"/>
                <w:b/>
                <w:bCs/>
                <w:snapToGrid w:val="0"/>
                <w:color w:val="auto"/>
                <w:spacing w:val="-6"/>
                <w:kern w:val="21"/>
                <w:szCs w:val="21"/>
              </w:rPr>
              <w:instrText xml:space="preserve"> = 7 \* GB3 \* MERGEFORMAT </w:instrText>
            </w:r>
            <w:r>
              <w:rPr>
                <w:rFonts w:hint="default" w:ascii="Times New Roman" w:hAnsi="Times New Roman" w:cs="Times New Roman"/>
                <w:b/>
                <w:bCs/>
                <w:snapToGrid w:val="0"/>
                <w:color w:val="auto"/>
                <w:spacing w:val="-6"/>
                <w:kern w:val="21"/>
                <w:szCs w:val="21"/>
              </w:rPr>
              <w:fldChar w:fldCharType="separate"/>
            </w:r>
            <w:r>
              <w:rPr>
                <w:rFonts w:hint="default" w:ascii="Times New Roman" w:hAnsi="Times New Roman" w:cs="Times New Roman"/>
                <w:b/>
                <w:bCs/>
                <w:color w:val="auto"/>
                <w:szCs w:val="21"/>
              </w:rPr>
              <w:t>⑦</w:t>
            </w:r>
            <w:r>
              <w:rPr>
                <w:rFonts w:hint="default" w:ascii="Times New Roman" w:hAnsi="Times New Roman" w:cs="Times New Roman"/>
                <w:b/>
                <w:bCs/>
                <w:snapToGrid w:val="0"/>
                <w:color w:val="auto"/>
                <w:spacing w:val="-6"/>
                <w:kern w:val="21"/>
                <w:szCs w:val="21"/>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restart"/>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废气</w:t>
            </w:r>
          </w:p>
        </w:tc>
        <w:tc>
          <w:tcPr>
            <w:tcW w:w="1853" w:type="dxa"/>
            <w:vAlign w:val="center"/>
          </w:tcPr>
          <w:p>
            <w:pPr>
              <w:adjustRightInd w:val="0"/>
              <w:snapToGrid w:val="0"/>
              <w:jc w:val="both"/>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挥发性有机物</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adjustRightInd w:val="0"/>
              <w:snapToGrid w:val="0"/>
              <w:jc w:val="center"/>
              <w:rPr>
                <w:rFonts w:hint="default" w:ascii="Times New Roman" w:hAnsi="Times New Roman" w:cs="Times New Roman"/>
                <w:color w:val="auto"/>
                <w:lang w:val="en-US" w:eastAsia="zh-CN"/>
              </w:rPr>
            </w:pPr>
            <w:r>
              <w:rPr>
                <w:rFonts w:hint="default" w:ascii="Times New Roman" w:hAnsi="Times New Roman" w:cs="Times New Roman"/>
                <w:snapToGrid w:val="0"/>
                <w:color w:val="auto"/>
                <w:kern w:val="21"/>
                <w:szCs w:val="21"/>
                <w:lang w:val="en-US" w:eastAsia="zh-CN"/>
              </w:rPr>
              <w:t>4.035g</w:t>
            </w:r>
            <w:r>
              <w:rPr>
                <w:rFonts w:hint="default" w:ascii="Times New Roman" w:hAnsi="Times New Roman" w:cs="Times New Roman"/>
                <w:snapToGrid w:val="0"/>
                <w:color w:val="auto"/>
                <w:kern w:val="21"/>
                <w:szCs w:val="21"/>
              </w:rPr>
              <w: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adjustRightInd w:val="0"/>
              <w:snapToGrid w:val="0"/>
              <w:jc w:val="center"/>
              <w:rPr>
                <w:rFonts w:hint="default" w:ascii="Times New Roman" w:hAnsi="Times New Roman" w:cs="Times New Roman"/>
                <w:snapToGrid w:val="0"/>
                <w:color w:val="auto"/>
                <w:kern w:val="21"/>
                <w:szCs w:val="21"/>
                <w:highlight w:val="yellow"/>
              </w:rPr>
            </w:pPr>
            <w:r>
              <w:rPr>
                <w:rFonts w:hint="default" w:ascii="Times New Roman" w:hAnsi="Times New Roman" w:cs="Times New Roman"/>
                <w:snapToGrid w:val="0"/>
                <w:color w:val="auto"/>
                <w:kern w:val="21"/>
                <w:szCs w:val="21"/>
                <w:lang w:val="en-US" w:eastAsia="zh-CN"/>
              </w:rPr>
              <w:t>4.035g</w:t>
            </w:r>
            <w:r>
              <w:rPr>
                <w:rFonts w:hint="default" w:ascii="Times New Roman" w:hAnsi="Times New Roman" w:cs="Times New Roman"/>
                <w:snapToGrid w:val="0"/>
                <w:color w:val="auto"/>
                <w:kern w:val="21"/>
                <w:szCs w:val="21"/>
              </w:rPr>
              <w: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color w:val="auto"/>
              </w:rPr>
            </w:pPr>
          </w:p>
        </w:tc>
        <w:tc>
          <w:tcPr>
            <w:tcW w:w="1853" w:type="dxa"/>
            <w:vAlign w:val="center"/>
          </w:tcPr>
          <w:p>
            <w:pPr>
              <w:adjustRightInd w:val="0"/>
              <w:snapToGrid w:val="0"/>
              <w:jc w:val="both"/>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硫酸雾</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0.00708</w:t>
            </w:r>
            <w:r>
              <w:rPr>
                <w:rFonts w:hint="default" w:ascii="Times New Roman" w:hAnsi="Times New Roman" w:cs="Times New Roman"/>
                <w:snapToGrid w:val="0"/>
                <w:color w:val="auto"/>
                <w:kern w:val="21"/>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0.000099t/a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adjustRightInd w:val="0"/>
              <w:snapToGrid w:val="0"/>
              <w:jc w:val="both"/>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氯化氢</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0.01104</w:t>
            </w:r>
            <w:r>
              <w:rPr>
                <w:rFonts w:hint="default" w:ascii="Times New Roman" w:hAnsi="Times New Roman" w:cs="Times New Roman"/>
                <w:snapToGrid w:val="0"/>
                <w:color w:val="auto"/>
                <w:kern w:val="21"/>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0.000099t/a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restart"/>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废水</w:t>
            </w:r>
          </w:p>
        </w:tc>
        <w:tc>
          <w:tcPr>
            <w:tcW w:w="1853" w:type="dxa"/>
            <w:vAlign w:val="center"/>
          </w:tcPr>
          <w:p>
            <w:pPr>
              <w:adjustRightInd w:val="0"/>
              <w:snapToGrid w:val="0"/>
              <w:jc w:val="both"/>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COD</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585"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lang w:val="en-US"/>
              </w:rPr>
            </w:pPr>
            <w:r>
              <w:rPr>
                <w:rFonts w:hint="default" w:ascii="Times New Roman" w:hAnsi="Times New Roman" w:cs="Times New Roman"/>
                <w:snapToGrid w:val="0"/>
                <w:color w:val="auto"/>
                <w:kern w:val="21"/>
                <w:szCs w:val="21"/>
                <w:lang w:val="en-US" w:eastAsia="zh-CN"/>
              </w:rPr>
              <w:t>0.02992</w:t>
            </w:r>
            <w:r>
              <w:rPr>
                <w:rFonts w:hint="default" w:ascii="Times New Roman" w:hAnsi="Times New Roman" w:cs="Times New Roman"/>
                <w:snapToGrid w:val="0"/>
                <w:color w:val="auto"/>
                <w:kern w:val="21"/>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0.02992</w:t>
            </w:r>
            <w:r>
              <w:rPr>
                <w:rFonts w:hint="default" w:ascii="Times New Roman" w:hAnsi="Times New Roman" w:cs="Times New Roman"/>
                <w:snapToGrid w:val="0"/>
                <w:color w:val="auto"/>
                <w:kern w:val="21"/>
                <w:szCs w:val="21"/>
              </w:rPr>
              <w:t>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adjustRightInd w:val="0"/>
              <w:snapToGrid w:val="0"/>
              <w:jc w:val="both"/>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BOD</w:t>
            </w:r>
            <w:r>
              <w:rPr>
                <w:rFonts w:hint="default" w:ascii="Times New Roman" w:hAnsi="Times New Roman" w:cs="Times New Roman"/>
                <w:snapToGrid w:val="0"/>
                <w:color w:val="auto"/>
                <w:kern w:val="21"/>
                <w:szCs w:val="21"/>
                <w:vertAlign w:val="subscript"/>
                <w:lang w:val="en-US" w:eastAsia="zh-CN"/>
              </w:rPr>
              <w:t>5</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729" w:type="dxa"/>
            <w:vAlign w:val="center"/>
          </w:tcPr>
          <w:p>
            <w:pPr>
              <w:adjustRightInd w:val="0"/>
              <w:snapToGrid w:val="0"/>
              <w:jc w:val="center"/>
              <w:rPr>
                <w:rFonts w:hint="default" w:ascii="Times New Roman" w:hAnsi="Times New Roman" w:cs="Times New Roman"/>
                <w:color w:val="auto"/>
                <w:szCs w:val="21"/>
              </w:rPr>
            </w:pPr>
          </w:p>
        </w:tc>
        <w:tc>
          <w:tcPr>
            <w:tcW w:w="1585"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0.19000</w:t>
            </w:r>
            <w:r>
              <w:rPr>
                <w:rFonts w:hint="default" w:ascii="Times New Roman" w:hAnsi="Times New Roman" w:cs="Times New Roman"/>
                <w:snapToGrid w:val="0"/>
                <w:color w:val="auto"/>
                <w:kern w:val="21"/>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557"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0.19000</w:t>
            </w:r>
            <w:r>
              <w:rPr>
                <w:rFonts w:hint="default" w:ascii="Times New Roman" w:hAnsi="Times New Roman" w:cs="Times New Roman"/>
                <w:snapToGrid w:val="0"/>
                <w:color w:val="auto"/>
                <w:kern w:val="21"/>
                <w:szCs w:val="21"/>
              </w:rPr>
              <w:t>t/a</w:t>
            </w:r>
          </w:p>
        </w:tc>
        <w:tc>
          <w:tcPr>
            <w:tcW w:w="1274"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adjustRightInd w:val="0"/>
              <w:snapToGrid w:val="0"/>
              <w:jc w:val="both"/>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SS</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729" w:type="dxa"/>
            <w:vAlign w:val="center"/>
          </w:tcPr>
          <w:p>
            <w:pPr>
              <w:adjustRightInd w:val="0"/>
              <w:snapToGrid w:val="0"/>
              <w:jc w:val="center"/>
              <w:rPr>
                <w:rFonts w:hint="default" w:ascii="Times New Roman" w:hAnsi="Times New Roman" w:cs="Times New Roman"/>
                <w:color w:val="auto"/>
                <w:szCs w:val="21"/>
              </w:rPr>
            </w:pPr>
          </w:p>
        </w:tc>
        <w:tc>
          <w:tcPr>
            <w:tcW w:w="1585"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0.00996</w:t>
            </w:r>
            <w:r>
              <w:rPr>
                <w:rFonts w:hint="default" w:ascii="Times New Roman" w:hAnsi="Times New Roman" w:cs="Times New Roman"/>
                <w:snapToGrid w:val="0"/>
                <w:color w:val="auto"/>
                <w:kern w:val="21"/>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557"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0.00996</w:t>
            </w:r>
            <w:r>
              <w:rPr>
                <w:rFonts w:hint="default" w:ascii="Times New Roman" w:hAnsi="Times New Roman" w:cs="Times New Roman"/>
                <w:snapToGrid w:val="0"/>
                <w:color w:val="auto"/>
                <w:kern w:val="21"/>
                <w:szCs w:val="21"/>
              </w:rPr>
              <w:t>t/a</w:t>
            </w:r>
          </w:p>
        </w:tc>
        <w:tc>
          <w:tcPr>
            <w:tcW w:w="1274"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adjustRightInd w:val="0"/>
              <w:snapToGrid w:val="0"/>
              <w:jc w:val="both"/>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NH</w:t>
            </w:r>
            <w:r>
              <w:rPr>
                <w:rFonts w:hint="default" w:ascii="Times New Roman" w:hAnsi="Times New Roman" w:cs="Times New Roman"/>
                <w:snapToGrid w:val="0"/>
                <w:color w:val="auto"/>
                <w:kern w:val="21"/>
                <w:szCs w:val="21"/>
                <w:vertAlign w:val="subscript"/>
                <w:lang w:val="en-US" w:eastAsia="zh-CN"/>
              </w:rPr>
              <w:t>3</w:t>
            </w:r>
            <w:r>
              <w:rPr>
                <w:rFonts w:hint="default" w:ascii="Times New Roman" w:hAnsi="Times New Roman" w:cs="Times New Roman"/>
                <w:snapToGrid w:val="0"/>
                <w:color w:val="auto"/>
                <w:kern w:val="21"/>
                <w:szCs w:val="21"/>
                <w:lang w:val="en-US" w:eastAsia="zh-CN"/>
              </w:rPr>
              <w:t>-N</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729" w:type="dxa"/>
            <w:vAlign w:val="center"/>
          </w:tcPr>
          <w:p>
            <w:pPr>
              <w:adjustRightInd w:val="0"/>
              <w:snapToGrid w:val="0"/>
              <w:jc w:val="center"/>
              <w:rPr>
                <w:rFonts w:hint="default" w:ascii="Times New Roman" w:hAnsi="Times New Roman" w:cs="Times New Roman"/>
                <w:color w:val="auto"/>
                <w:szCs w:val="21"/>
              </w:rPr>
            </w:pPr>
          </w:p>
        </w:tc>
        <w:tc>
          <w:tcPr>
            <w:tcW w:w="1585"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0.00270</w:t>
            </w:r>
            <w:r>
              <w:rPr>
                <w:rFonts w:hint="default" w:ascii="Times New Roman" w:hAnsi="Times New Roman" w:cs="Times New Roman"/>
                <w:snapToGrid w:val="0"/>
                <w:color w:val="auto"/>
                <w:kern w:val="21"/>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557"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0.00270</w:t>
            </w:r>
            <w:r>
              <w:rPr>
                <w:rFonts w:hint="default" w:ascii="Times New Roman" w:hAnsi="Times New Roman" w:cs="Times New Roman"/>
                <w:snapToGrid w:val="0"/>
                <w:color w:val="auto"/>
                <w:kern w:val="21"/>
                <w:szCs w:val="21"/>
              </w:rPr>
              <w:t>t/a</w:t>
            </w:r>
          </w:p>
        </w:tc>
        <w:tc>
          <w:tcPr>
            <w:tcW w:w="1274"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adjustRightInd w:val="0"/>
              <w:snapToGrid w:val="0"/>
              <w:jc w:val="both"/>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溶解性总固体</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729" w:type="dxa"/>
            <w:vAlign w:val="center"/>
          </w:tcPr>
          <w:p>
            <w:pPr>
              <w:adjustRightInd w:val="0"/>
              <w:snapToGrid w:val="0"/>
              <w:jc w:val="center"/>
              <w:rPr>
                <w:rFonts w:hint="default" w:ascii="Times New Roman" w:hAnsi="Times New Roman" w:cs="Times New Roman"/>
                <w:color w:val="auto"/>
                <w:szCs w:val="21"/>
              </w:rPr>
            </w:pPr>
          </w:p>
        </w:tc>
        <w:tc>
          <w:tcPr>
            <w:tcW w:w="1585"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0.06404</w:t>
            </w:r>
            <w:r>
              <w:rPr>
                <w:rFonts w:hint="default" w:ascii="Times New Roman" w:hAnsi="Times New Roman" w:cs="Times New Roman"/>
                <w:snapToGrid w:val="0"/>
                <w:color w:val="auto"/>
                <w:kern w:val="21"/>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p>
        </w:tc>
        <w:tc>
          <w:tcPr>
            <w:tcW w:w="1557" w:type="dxa"/>
            <w:vAlign w:val="center"/>
          </w:tcPr>
          <w:p>
            <w:pPr>
              <w:tabs>
                <w:tab w:val="left" w:pos="520"/>
              </w:tabs>
              <w:adjustRightInd w:val="0"/>
              <w:snapToGrid w:val="0"/>
              <w:jc w:val="center"/>
              <w:rPr>
                <w:rFonts w:hint="default" w:ascii="Times New Roman" w:hAnsi="Times New Roman" w:cs="Times New Roman"/>
                <w:snapToGrid w:val="0"/>
                <w:color w:val="auto"/>
                <w:kern w:val="21"/>
                <w:szCs w:val="21"/>
                <w:lang w:val="en-US" w:eastAsia="zh-CN"/>
              </w:rPr>
            </w:pPr>
            <w:r>
              <w:rPr>
                <w:rFonts w:hint="default" w:ascii="Times New Roman" w:hAnsi="Times New Roman" w:cs="Times New Roman"/>
                <w:snapToGrid w:val="0"/>
                <w:color w:val="auto"/>
                <w:kern w:val="21"/>
                <w:szCs w:val="21"/>
                <w:lang w:val="en-US" w:eastAsia="zh-CN"/>
              </w:rPr>
              <w:t>0.06404</w:t>
            </w:r>
            <w:r>
              <w:rPr>
                <w:rFonts w:hint="default" w:ascii="Times New Roman" w:hAnsi="Times New Roman" w:cs="Times New Roman"/>
                <w:snapToGrid w:val="0"/>
                <w:color w:val="auto"/>
                <w:kern w:val="21"/>
                <w:szCs w:val="21"/>
              </w:rPr>
              <w:t>t/a</w:t>
            </w:r>
          </w:p>
        </w:tc>
        <w:tc>
          <w:tcPr>
            <w:tcW w:w="1274" w:type="dxa"/>
            <w:vAlign w:val="center"/>
          </w:tcPr>
          <w:p>
            <w:pPr>
              <w:adjustRightInd w:val="0"/>
              <w:snapToGrid w:val="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restart"/>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一般固体废物</w:t>
            </w:r>
          </w:p>
        </w:tc>
        <w:tc>
          <w:tcPr>
            <w:tcW w:w="1853" w:type="dxa"/>
            <w:vAlign w:val="center"/>
          </w:tcPr>
          <w:p>
            <w:pPr>
              <w:pStyle w:val="53"/>
              <w:spacing w:beforeLines="0" w:afterLines="0" w:line="240" w:lineRule="auto"/>
              <w:ind w:left="0" w:leftChars="0" w:firstLine="0" w:firstLineChars="0"/>
              <w:jc w:val="both"/>
              <w:rPr>
                <w:rFonts w:hint="default" w:ascii="Times New Roman" w:hAnsi="Times New Roman" w:cs="Times New Roman"/>
                <w:color w:val="auto"/>
              </w:rPr>
            </w:pPr>
            <w:r>
              <w:rPr>
                <w:rFonts w:hint="default" w:ascii="Times New Roman" w:hAnsi="Times New Roman" w:cs="Times New Roman"/>
                <w:snapToGrid w:val="0"/>
                <w:color w:val="auto"/>
                <w:szCs w:val="21"/>
              </w:rPr>
              <w:t>生活垃圾</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adjustRightInd w:val="0"/>
              <w:snapToGrid w:val="0"/>
              <w:jc w:val="center"/>
              <w:rPr>
                <w:rFonts w:hint="default" w:ascii="Times New Roman" w:hAnsi="Times New Roman" w:cs="Times New Roman"/>
                <w:color w:val="auto"/>
                <w:spacing w:val="-11"/>
                <w:szCs w:val="21"/>
              </w:rPr>
            </w:pPr>
            <w:r>
              <w:rPr>
                <w:rFonts w:hint="default" w:ascii="Times New Roman" w:hAnsi="Times New Roman" w:cs="Times New Roman"/>
                <w:snapToGrid w:val="0"/>
                <w:color w:val="auto"/>
                <w:kern w:val="21"/>
                <w:szCs w:val="21"/>
                <w:lang w:val="en-US" w:eastAsia="zh-CN"/>
              </w:rPr>
              <w:t>0.750</w:t>
            </w:r>
            <w:r>
              <w:rPr>
                <w:rFonts w:hint="default" w:ascii="Times New Roman" w:hAnsi="Times New Roman" w:cs="Times New Roman"/>
                <w:snapToGrid w:val="0"/>
                <w:color w:val="auto"/>
                <w:kern w:val="21"/>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lang w:val="en-US" w:eastAsia="zh-CN"/>
              </w:rPr>
              <w:t>0.750</w:t>
            </w:r>
            <w:r>
              <w:rPr>
                <w:rFonts w:hint="default" w:ascii="Times New Roman" w:hAnsi="Times New Roman" w:cs="Times New Roman"/>
                <w:snapToGrid w:val="0"/>
                <w:color w:val="auto"/>
                <w:kern w:val="21"/>
                <w:szCs w:val="21"/>
              </w:rPr>
              <w:t>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pStyle w:val="53"/>
              <w:spacing w:beforeLines="0" w:afterLines="0" w:line="240" w:lineRule="auto"/>
              <w:ind w:left="0" w:leftChars="0" w:firstLine="0" w:firstLineChars="0"/>
              <w:jc w:val="both"/>
              <w:rPr>
                <w:rFonts w:hint="default" w:ascii="Times New Roman" w:hAnsi="Times New Roman" w:eastAsia="宋体" w:cs="Times New Roman"/>
                <w:snapToGrid w:val="0"/>
                <w:color w:val="auto"/>
                <w:kern w:val="21"/>
                <w:szCs w:val="21"/>
                <w:lang w:eastAsia="zh-CN"/>
              </w:rPr>
            </w:pPr>
            <w:r>
              <w:rPr>
                <w:rFonts w:hint="default" w:ascii="Times New Roman" w:hAnsi="Times New Roman" w:cs="Times New Roman"/>
                <w:snapToGrid w:val="0"/>
                <w:color w:val="auto"/>
                <w:kern w:val="21"/>
                <w:szCs w:val="21"/>
                <w:lang w:val="en-US" w:eastAsia="zh-CN"/>
              </w:rPr>
              <w:t>未沾染危险物质的废弃包装物</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lang w:val="en-US" w:eastAsia="zh-CN"/>
              </w:rPr>
              <w:t>0.010</w:t>
            </w:r>
            <w:r>
              <w:rPr>
                <w:rFonts w:hint="default" w:ascii="Times New Roman" w:hAnsi="Times New Roman" w:cs="Times New Roman"/>
                <w:color w:val="auto"/>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lang w:val="en-US" w:eastAsia="zh-CN"/>
              </w:rPr>
              <w:t>0.010</w:t>
            </w:r>
            <w:r>
              <w:rPr>
                <w:rFonts w:hint="default" w:ascii="Times New Roman" w:hAnsi="Times New Roman" w:cs="Times New Roman"/>
                <w:color w:val="auto"/>
              </w:rPr>
              <w:t>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pStyle w:val="53"/>
              <w:spacing w:beforeLines="0" w:afterLines="0" w:line="240" w:lineRule="auto"/>
              <w:ind w:left="0" w:leftChars="0" w:firstLine="0" w:firstLineChars="0"/>
              <w:jc w:val="both"/>
              <w:rPr>
                <w:rFonts w:hint="default" w:ascii="Times New Roman" w:hAnsi="Times New Roman" w:cs="Times New Roman"/>
                <w:snapToGrid w:val="0"/>
                <w:color w:val="auto"/>
                <w:szCs w:val="21"/>
              </w:rPr>
            </w:pPr>
            <w:r>
              <w:rPr>
                <w:rFonts w:hint="default" w:ascii="Times New Roman" w:hAnsi="Times New Roman" w:cs="Times New Roman"/>
                <w:color w:val="auto"/>
                <w:highlight w:val="none"/>
              </w:rPr>
              <w:t>废离子交换树</w:t>
            </w:r>
            <w:r>
              <w:rPr>
                <w:rFonts w:hint="default" w:ascii="Times New Roman" w:hAnsi="Times New Roman" w:cs="Times New Roman"/>
                <w:color w:val="auto"/>
              </w:rPr>
              <w:t>脂</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lang w:val="en-US" w:eastAsia="zh-CN"/>
              </w:rPr>
              <w:t>0.002</w:t>
            </w:r>
            <w:r>
              <w:rPr>
                <w:rFonts w:hint="default" w:ascii="Times New Roman" w:hAnsi="Times New Roman" w:cs="Times New Roman"/>
                <w:color w:val="auto"/>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0.002</w:t>
            </w:r>
            <w:r>
              <w:rPr>
                <w:rFonts w:hint="default" w:ascii="Times New Roman" w:hAnsi="Times New Roman" w:cs="Times New Roman"/>
                <w:color w:val="auto"/>
              </w:rPr>
              <w:t>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restart"/>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危险废物</w:t>
            </w:r>
          </w:p>
        </w:tc>
        <w:tc>
          <w:tcPr>
            <w:tcW w:w="1853" w:type="dxa"/>
            <w:vAlign w:val="center"/>
          </w:tcPr>
          <w:p>
            <w:pPr>
              <w:pStyle w:val="53"/>
              <w:spacing w:beforeLines="0" w:afterLines="0" w:line="240" w:lineRule="auto"/>
              <w:ind w:left="0" w:leftChars="0" w:firstLine="0" w:firstLineChars="0"/>
              <w:jc w:val="both"/>
              <w:rPr>
                <w:rFonts w:hint="default" w:ascii="Times New Roman" w:hAnsi="Times New Roman" w:cs="Times New Roman"/>
                <w:snapToGrid w:val="0"/>
                <w:color w:val="auto"/>
                <w:kern w:val="21"/>
                <w:szCs w:val="21"/>
              </w:rPr>
            </w:pPr>
            <w:r>
              <w:rPr>
                <w:rFonts w:hint="default" w:ascii="Times New Roman" w:hAnsi="Times New Roman" w:cs="Times New Roman"/>
                <w:color w:val="auto"/>
              </w:rPr>
              <w:t>实验废液</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pStyle w:val="62"/>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Cs w:val="21"/>
                <w:lang w:val="en-US" w:eastAsia="zh-CN"/>
              </w:rPr>
              <w:t>3.098</w:t>
            </w:r>
            <w:r>
              <w:rPr>
                <w:rFonts w:hint="default" w:ascii="Times New Roman" w:hAnsi="Times New Roman" w:eastAsia="宋体" w:cs="Times New Roman"/>
                <w:color w:val="auto"/>
                <w:szCs w:val="21"/>
                <w:lang w:val="en-US"/>
              </w:rPr>
              <w:t>t</w:t>
            </w:r>
            <w:r>
              <w:rPr>
                <w:rFonts w:hint="default" w:ascii="Times New Roman" w:hAnsi="Times New Roman" w:eastAsia="宋体" w:cs="Times New Roman"/>
                <w:color w:val="auto"/>
                <w:szCs w:val="21"/>
              </w:rPr>
              <w: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pStyle w:val="62"/>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Cs w:val="21"/>
                <w:lang w:val="en-US" w:eastAsia="zh-CN"/>
              </w:rPr>
              <w:t>3.098</w:t>
            </w:r>
            <w:r>
              <w:rPr>
                <w:rFonts w:hint="default" w:ascii="Times New Roman" w:hAnsi="Times New Roman" w:eastAsia="宋体" w:cs="Times New Roman"/>
                <w:color w:val="auto"/>
                <w:szCs w:val="21"/>
                <w:lang w:val="en-US"/>
              </w:rPr>
              <w:t>t</w:t>
            </w:r>
            <w:r>
              <w:rPr>
                <w:rFonts w:hint="default" w:ascii="Times New Roman" w:hAnsi="Times New Roman" w:eastAsia="宋体" w:cs="Times New Roman"/>
                <w:color w:val="auto"/>
                <w:szCs w:val="21"/>
              </w:rPr>
              <w: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pStyle w:val="53"/>
              <w:spacing w:beforeLines="0" w:afterLines="0" w:line="240" w:lineRule="auto"/>
              <w:ind w:left="0" w:leftChars="0" w:firstLine="0" w:firstLineChars="0"/>
              <w:jc w:val="both"/>
              <w:rPr>
                <w:rFonts w:hint="default" w:ascii="Times New Roman" w:hAnsi="Times New Roman" w:cs="Times New Roman"/>
                <w:snapToGrid w:val="0"/>
                <w:color w:val="auto"/>
                <w:kern w:val="21"/>
                <w:szCs w:val="21"/>
              </w:rPr>
            </w:pPr>
            <w:r>
              <w:rPr>
                <w:rFonts w:hint="default" w:ascii="Times New Roman" w:hAnsi="Times New Roman" w:cs="Times New Roman"/>
                <w:color w:val="auto"/>
              </w:rPr>
              <w:t>废弃化学试剂</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pStyle w:val="62"/>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Cs w:val="21"/>
                <w:lang w:val="en-US" w:eastAsia="zh-CN"/>
              </w:rPr>
              <w:t>0.002</w:t>
            </w:r>
            <w:r>
              <w:rPr>
                <w:rFonts w:hint="default" w:ascii="Times New Roman" w:hAnsi="Times New Roman" w:eastAsia="宋体" w:cs="Times New Roman"/>
                <w:color w:val="auto"/>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pStyle w:val="62"/>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Cs w:val="21"/>
                <w:lang w:val="en-US" w:eastAsia="zh-CN"/>
              </w:rPr>
              <w:t>0.002</w:t>
            </w:r>
            <w:r>
              <w:rPr>
                <w:rFonts w:hint="default" w:ascii="Times New Roman" w:hAnsi="Times New Roman" w:eastAsia="宋体" w:cs="Times New Roman"/>
                <w:color w:val="auto"/>
                <w:szCs w:val="21"/>
              </w:rPr>
              <w:t>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pStyle w:val="53"/>
              <w:spacing w:beforeLines="0" w:afterLines="0" w:line="240" w:lineRule="auto"/>
              <w:ind w:left="0" w:leftChars="0" w:firstLine="0" w:firstLineChars="0"/>
              <w:jc w:val="both"/>
              <w:rPr>
                <w:rFonts w:hint="default" w:ascii="Times New Roman" w:hAnsi="Times New Roman" w:eastAsia="宋体" w:cs="Times New Roman"/>
                <w:snapToGrid w:val="0"/>
                <w:color w:val="auto"/>
                <w:kern w:val="21"/>
                <w:szCs w:val="21"/>
                <w:lang w:val="en-US" w:eastAsia="zh-CN"/>
              </w:rPr>
            </w:pPr>
            <w:r>
              <w:rPr>
                <w:rFonts w:hint="default" w:ascii="Times New Roman" w:hAnsi="Times New Roman" w:cs="Times New Roman"/>
                <w:color w:val="auto"/>
              </w:rPr>
              <w:t>沾染危险</w:t>
            </w:r>
            <w:r>
              <w:rPr>
                <w:rFonts w:hint="default" w:ascii="Times New Roman" w:hAnsi="Times New Roman" w:cs="Times New Roman"/>
                <w:color w:val="auto"/>
                <w:lang w:val="en-US" w:eastAsia="zh-CN"/>
              </w:rPr>
              <w:t>物质的废弃包装物</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pStyle w:val="62"/>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Cs w:val="21"/>
                <w:lang w:val="en-US" w:eastAsia="zh-CN"/>
              </w:rPr>
              <w:t>0.010</w:t>
            </w:r>
            <w:r>
              <w:rPr>
                <w:rFonts w:hint="default" w:ascii="Times New Roman" w:hAnsi="Times New Roman" w:eastAsia="宋体" w:cs="Times New Roman"/>
                <w:color w:val="auto"/>
                <w:szCs w:val="21"/>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pStyle w:val="62"/>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color w:val="auto"/>
                <w:szCs w:val="21"/>
                <w:lang w:val="en-US" w:eastAsia="zh-CN"/>
              </w:rPr>
              <w:t>0.010</w:t>
            </w:r>
            <w:r>
              <w:rPr>
                <w:rFonts w:hint="default" w:ascii="Times New Roman" w:hAnsi="Times New Roman" w:eastAsia="宋体" w:cs="Times New Roman"/>
                <w:color w:val="auto"/>
                <w:szCs w:val="21"/>
              </w:rPr>
              <w:t>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pStyle w:val="53"/>
              <w:spacing w:beforeLines="0" w:afterLines="0" w:line="240" w:lineRule="auto"/>
              <w:ind w:left="0" w:leftChars="0" w:firstLine="0" w:firstLineChars="0"/>
              <w:jc w:val="both"/>
              <w:rPr>
                <w:rFonts w:hint="default" w:ascii="Times New Roman" w:hAnsi="Times New Roman" w:cs="Times New Roman"/>
                <w:color w:val="auto"/>
              </w:rPr>
            </w:pPr>
            <w:r>
              <w:rPr>
                <w:rFonts w:hint="default" w:ascii="Times New Roman" w:hAnsi="Times New Roman" w:cs="Times New Roman"/>
                <w:color w:val="auto"/>
              </w:rPr>
              <w:t>废一次性耗材</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color w:val="auto"/>
                <w:lang w:val="en-US" w:eastAsia="zh-CN"/>
              </w:rPr>
              <w:t>0.500</w:t>
            </w:r>
            <w:r>
              <w:rPr>
                <w:rFonts w:hint="default" w:ascii="Times New Roman" w:hAnsi="Times New Roman" w:cs="Times New Roman"/>
                <w:color w:val="auto"/>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lang w:val="en-US" w:eastAsia="zh-CN"/>
              </w:rPr>
              <w:t>0.500</w:t>
            </w:r>
            <w:r>
              <w:rPr>
                <w:rFonts w:hint="default" w:ascii="Times New Roman" w:hAnsi="Times New Roman" w:cs="Times New Roman"/>
                <w:color w:val="auto"/>
              </w:rPr>
              <w:t>t/a</w:t>
            </w:r>
          </w:p>
        </w:tc>
        <w:tc>
          <w:tcPr>
            <w:tcW w:w="1274" w:type="dxa"/>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snapToGrid w:val="0"/>
                <w:color w:val="auto"/>
                <w:kern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3" w:type="dxa"/>
            <w:vMerge w:val="continue"/>
            <w:vAlign w:val="center"/>
          </w:tcPr>
          <w:p>
            <w:pPr>
              <w:adjustRightInd w:val="0"/>
              <w:snapToGrid w:val="0"/>
              <w:jc w:val="center"/>
              <w:rPr>
                <w:rFonts w:hint="default" w:ascii="Times New Roman" w:hAnsi="Times New Roman" w:cs="Times New Roman"/>
                <w:snapToGrid w:val="0"/>
                <w:color w:val="auto"/>
                <w:kern w:val="21"/>
                <w:szCs w:val="21"/>
              </w:rPr>
            </w:pPr>
          </w:p>
        </w:tc>
        <w:tc>
          <w:tcPr>
            <w:tcW w:w="1853" w:type="dxa"/>
            <w:vAlign w:val="center"/>
          </w:tcPr>
          <w:p>
            <w:pPr>
              <w:pStyle w:val="53"/>
              <w:spacing w:beforeLines="0" w:afterLines="0" w:line="240" w:lineRule="auto"/>
              <w:ind w:left="0" w:leftChars="0" w:firstLine="0" w:firstLineChars="0"/>
              <w:jc w:val="both"/>
              <w:rPr>
                <w:rFonts w:hint="default" w:ascii="Times New Roman" w:hAnsi="Times New Roman" w:cs="Times New Roman"/>
                <w:color w:val="auto"/>
              </w:rPr>
            </w:pPr>
            <w:r>
              <w:rPr>
                <w:rFonts w:hint="default" w:ascii="Times New Roman" w:hAnsi="Times New Roman" w:cs="Times New Roman"/>
                <w:color w:val="auto"/>
              </w:rPr>
              <w:t>废活性炭</w:t>
            </w:r>
          </w:p>
        </w:tc>
        <w:tc>
          <w:tcPr>
            <w:tcW w:w="1505"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297"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72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85" w:type="dxa"/>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0.004</w:t>
            </w:r>
            <w:r>
              <w:rPr>
                <w:rFonts w:hint="default" w:ascii="Times New Roman" w:hAnsi="Times New Roman" w:cs="Times New Roman"/>
                <w:color w:val="auto"/>
              </w:rPr>
              <w:t>t/a</w:t>
            </w:r>
          </w:p>
        </w:tc>
        <w:tc>
          <w:tcPr>
            <w:tcW w:w="1789"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c>
          <w:tcPr>
            <w:tcW w:w="1557" w:type="dxa"/>
            <w:vAlign w:val="center"/>
          </w:tcPr>
          <w:p>
            <w:pPr>
              <w:adjustRightInd w:val="0"/>
              <w:snapToGrid w:val="0"/>
              <w:jc w:val="center"/>
              <w:rPr>
                <w:rFonts w:hint="default" w:ascii="Times New Roman" w:hAnsi="Times New Roman" w:cs="Times New Roman"/>
                <w:color w:val="auto"/>
              </w:rPr>
            </w:pPr>
            <w:r>
              <w:rPr>
                <w:rFonts w:hint="default" w:ascii="Times New Roman" w:hAnsi="Times New Roman" w:cs="Times New Roman"/>
                <w:color w:val="auto"/>
                <w:lang w:val="en-US" w:eastAsia="zh-CN"/>
              </w:rPr>
              <w:t>0.004</w:t>
            </w:r>
            <w:r>
              <w:rPr>
                <w:rFonts w:hint="default" w:ascii="Times New Roman" w:hAnsi="Times New Roman" w:cs="Times New Roman"/>
                <w:color w:val="auto"/>
              </w:rPr>
              <w:t>t/a</w:t>
            </w:r>
          </w:p>
        </w:tc>
        <w:tc>
          <w:tcPr>
            <w:tcW w:w="1274" w:type="dxa"/>
            <w:vAlign w:val="center"/>
          </w:tcPr>
          <w:p>
            <w:pPr>
              <w:adjustRightInd w:val="0"/>
              <w:snapToGrid w:val="0"/>
              <w:jc w:val="center"/>
              <w:rPr>
                <w:rFonts w:hint="default" w:ascii="Times New Roman" w:hAnsi="Times New Roman" w:cs="Times New Roman"/>
                <w:snapToGrid w:val="0"/>
                <w:color w:val="auto"/>
                <w:kern w:val="21"/>
                <w:szCs w:val="21"/>
              </w:rPr>
            </w:pPr>
            <w:r>
              <w:rPr>
                <w:rFonts w:hint="default" w:ascii="Times New Roman" w:hAnsi="Times New Roman" w:cs="Times New Roman"/>
                <w:snapToGrid w:val="0"/>
                <w:color w:val="auto"/>
                <w:kern w:val="21"/>
                <w:szCs w:val="21"/>
              </w:rPr>
              <w:t>/</w:t>
            </w:r>
          </w:p>
        </w:tc>
      </w:tr>
    </w:tbl>
    <w:p>
      <w:pPr>
        <w:tabs>
          <w:tab w:val="left" w:pos="8344"/>
        </w:tabs>
        <w:rPr>
          <w:rFonts w:hint="default" w:ascii="Times New Roman" w:hAnsi="Times New Roman" w:cs="Times New Roman"/>
          <w:color w:val="auto"/>
        </w:rPr>
        <w:sectPr>
          <w:footerReference r:id="rId6" w:type="default"/>
          <w:pgSz w:w="16838" w:h="11906" w:orient="landscape"/>
          <w:pgMar w:top="1800" w:right="1440" w:bottom="1800" w:left="1440" w:header="851" w:footer="964"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pStyle w:val="53"/>
        <w:spacing w:before="372" w:beforeLines="80" w:after="46"/>
        <w:ind w:firstLine="0"/>
        <w:jc w:val="left"/>
        <w:rPr>
          <w:rFonts w:hint="default" w:ascii="Times New Roman" w:hAnsi="Times New Roman" w:cs="Times New Roman"/>
          <w:snapToGrid w:val="0"/>
          <w:color w:val="auto"/>
          <w:spacing w:val="-6"/>
          <w:kern w:val="21"/>
          <w:szCs w:val="21"/>
        </w:rPr>
      </w:pPr>
    </w:p>
    <w:sectPr>
      <w:footerReference r:id="rId7" w:type="default"/>
      <w:pgSz w:w="16838" w:h="11905" w:orient="landscape"/>
      <w:pgMar w:top="1417" w:right="1417" w:bottom="1417" w:left="1417" w:header="851" w:footer="964" w:gutter="0"/>
      <w:pgBorders>
        <w:top w:val="none" w:sz="0" w:space="0"/>
        <w:left w:val="none" w:sz="0" w:space="0"/>
        <w:bottom w:val="none" w:sz="0" w:space="0"/>
        <w:right w:val="none" w:sz="0" w:space="0"/>
      </w:pgBorders>
      <w:cols w:space="720" w:num="1"/>
      <w:docGrid w:type="linesAndChars" w:linePitch="466" w:charSpace="3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86"/>
    <w:family w:val="auto"/>
    <w:pitch w:val="default"/>
    <w:sig w:usb0="00000000" w:usb1="00000000" w:usb2="00000009" w:usb3="00000000" w:csb0="400001FF" w:csb1="FFFF0000"/>
  </w:font>
  <w:font w:name="宋体">
    <w:altName w:val="方正书宋_GBK"/>
    <w:panose1 w:val="02010600030101010101"/>
    <w:charset w:val="88"/>
    <w:family w:val="modern"/>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DejaVu Sans">
    <w:panose1 w:val="020B0603030804020204"/>
    <w:charset w:val="00"/>
    <w:family w:val="auto"/>
    <w:pitch w:val="default"/>
    <w:sig w:usb0="E7006EFF" w:usb1="D200FDFF" w:usb2="0A246029" w:usb3="0400200C" w:csb0="600001FF" w:csb1="DFFF0000"/>
  </w:font>
  <w:font w:name="方正宋体S-超大字符集">
    <w:panose1 w:val="02000000000000000000"/>
    <w:charset w:val="86"/>
    <w:family w:val="auto"/>
    <w:pitch w:val="default"/>
    <w:sig w:usb0="00000001" w:usb1="08000000" w:usb2="00000000" w:usb3="00000000" w:csb0="00040000" w:csb1="00000000"/>
  </w:font>
  <w:font w:name="汉仪仿宋简">
    <w:panose1 w:val="02010600000101010101"/>
    <w:charset w:val="86"/>
    <w:family w:val="auto"/>
    <w:pitch w:val="default"/>
    <w:sig w:usb0="00000001" w:usb1="080E0800" w:usb2="00000002"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FgAAAGRycy9QSwECFAAUAAAACACH&#10;TuJAs0lY7tAAAAAFAQAADwAAAAAAAAABACAAAAA4AAAAZHJzL2Rvd25yZXYueG1sUEsBAhQAFAAA&#10;AAgAh07iQCYa0m4aAgAAKQQAAA4AAAAAAAAAAQAgAAAANQEAAGRycy9lMm9Eb2MueG1sUEsFBgAA&#10;AAAGAAYAWQEAAMEFAAAAAA==&#10;">
              <v:fill on="f" focussize="0,0"/>
              <v:stroke on="f" weight="0.5pt"/>
              <v:imagedata o:title=""/>
              <o:lock v:ext="edit" aspectratio="f"/>
              <v:textbox inset="0mm,0mm,0mm,0mm" style="mso-fit-shape-to-text:t;">
                <w:txbxContent>
                  <w:p>
                    <w:pPr>
                      <w:pStyle w:val="1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33"/>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w:t>
                          </w:r>
                          <w:r>
                            <w:fldChar w:fldCharType="end"/>
                          </w:r>
                        </w:p>
                      </w:txbxContent>
                    </wps:txbx>
                    <wps:bodyPr vert="horz" wrap="none" lIns="0" tIns="0" rIns="0" bIns="0" anchor="t" anchorCtr="false">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BYAAABkcnMvUEsBAhQAFAAAAAgAh07iQM6pebnPAAAABQEAAA8AAAAAAAAAAQAgAAAA&#10;OAAAAGRycy9kb3ducmV2LnhtbFBLAQIUABQAAAAIAIdO4kDEJUjxxQEAAG4DAAAOAAAAAAAAAAEA&#10;IAAAADQBAABkcnMvZTJvRG9jLnhtbFBLBQYAAAAABgAGAFkBAABr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60288" behindDoc="0" locked="0" layoutInCell="1" allowOverlap="1">
              <wp:simplePos x="0" y="0"/>
              <wp:positionH relativeFrom="margin">
                <wp:posOffset>2851150</wp:posOffset>
              </wp:positionH>
              <wp:positionV relativeFrom="paragraph">
                <wp:posOffset>-30480</wp:posOffset>
              </wp:positionV>
              <wp:extent cx="346710" cy="170180"/>
              <wp:effectExtent l="0" t="0" r="0" b="0"/>
              <wp:wrapNone/>
              <wp:docPr id="4" name="文本框 3"/>
              <wp:cNvGraphicFramePr/>
              <a:graphic xmlns:a="http://schemas.openxmlformats.org/drawingml/2006/main">
                <a:graphicData uri="http://schemas.microsoft.com/office/word/2010/wordprocessingShape">
                  <wps:wsp>
                    <wps:cNvSpPr txBox="true"/>
                    <wps:spPr>
                      <a:xfrm>
                        <a:off x="0" y="0"/>
                        <a:ext cx="346710" cy="170180"/>
                      </a:xfrm>
                      <a:prstGeom prst="rect">
                        <a:avLst/>
                      </a:prstGeom>
                      <a:noFill/>
                      <a:ln>
                        <a:noFill/>
                      </a:ln>
                    </wps:spPr>
                    <wps:txbx>
                      <w:txbxContent>
                        <w:p>
                          <w:pPr>
                            <w:pStyle w:val="16"/>
                          </w:pPr>
                        </w:p>
                      </w:txbxContent>
                    </wps:txbx>
                    <wps:bodyPr wrap="square" lIns="0" tIns="0" rIns="0" bIns="0"/>
                  </wps:wsp>
                </a:graphicData>
              </a:graphic>
            </wp:anchor>
          </w:drawing>
        </mc:Choice>
        <mc:Fallback>
          <w:pict>
            <v:shape id="文本框 3" o:spid="_x0000_s1026" o:spt="202" type="#_x0000_t202" style="position:absolute;left:0pt;margin-left:224.5pt;margin-top:-2.4pt;height:13.4pt;width:27.3pt;mso-position-horizontal-relative:margin;z-index:251660288;mso-width-relative:page;mso-height-relative:page;" filled="f" stroked="f" coordsize="21600,21600" o:gfxdata="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FgAAAGRycy9QSwECFAAU&#10;AAAACACHTuJAPCCzItkAAAAJAQAADwAAAAAAAAABACAAAAA4AAAAZHJzL2Rvd25yZXYueG1sUEsB&#10;AhQAFAAAAAgAh07iQFYEtrKlAQAAKAMAAA4AAAAAAAAAAQAgAAAAPgEAAGRycy9lMm9Eb2MueG1s&#10;UEsFBgAAAAAGAAYAWQEAAFUFAAAAAA==&#10;">
              <v:fill on="f" focussize="0,0"/>
              <v:stroke on="f"/>
              <v:imagedata o:title=""/>
              <o:lock v:ext="edit" aspectratio="f"/>
              <v:textbox inset="0mm,0mm,0mm,0mm">
                <w:txbxContent>
                  <w:p>
                    <w:pPr>
                      <w:pStyle w:val="16"/>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A4984"/>
    <w:multiLevelType w:val="singleLevel"/>
    <w:tmpl w:val="8B3A4984"/>
    <w:lvl w:ilvl="0" w:tentative="0">
      <w:start w:val="2"/>
      <w:numFmt w:val="decimal"/>
      <w:suff w:val="nothing"/>
      <w:lvlText w:val="%1、"/>
      <w:lvlJc w:val="left"/>
      <w:rPr>
        <w:rFonts w:hint="default"/>
        <w:sz w:val="28"/>
        <w:szCs w:val="28"/>
      </w:rPr>
    </w:lvl>
  </w:abstractNum>
  <w:abstractNum w:abstractNumId="1">
    <w:nsid w:val="AEEDA190"/>
    <w:multiLevelType w:val="singleLevel"/>
    <w:tmpl w:val="AEEDA190"/>
    <w:lvl w:ilvl="0" w:tentative="0">
      <w:start w:val="1"/>
      <w:numFmt w:val="decimal"/>
      <w:suff w:val="space"/>
      <w:lvlText w:val="（%1）"/>
      <w:lvlJc w:val="left"/>
      <w:rPr>
        <w:rFonts w:hint="default" w:ascii="Times New Roman" w:hAnsi="Times New Roman" w:cs="Times New Roman"/>
        <w:sz w:val="24"/>
        <w:szCs w:val="24"/>
      </w:rPr>
    </w:lvl>
  </w:abstractNum>
  <w:abstractNum w:abstractNumId="2">
    <w:nsid w:val="C72BF31F"/>
    <w:multiLevelType w:val="multilevel"/>
    <w:tmpl w:val="C72BF31F"/>
    <w:lvl w:ilvl="0" w:tentative="0">
      <w:start w:val="1"/>
      <w:numFmt w:val="chineseCounting"/>
      <w:suff w:val="space"/>
      <w:lvlText w:val="%1、"/>
      <w:lvlJc w:val="left"/>
      <w:rPr>
        <w:rFonts w:hint="eastAsia"/>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3">
    <w:nsid w:val="025508CD"/>
    <w:multiLevelType w:val="singleLevel"/>
    <w:tmpl w:val="025508CD"/>
    <w:lvl w:ilvl="0" w:tentative="0">
      <w:start w:val="1"/>
      <w:numFmt w:val="decimal"/>
      <w:suff w:val="nothing"/>
      <w:lvlText w:val="（%1）"/>
      <w:lvlJc w:val="left"/>
    </w:lvl>
  </w:abstractNum>
  <w:abstractNum w:abstractNumId="4">
    <w:nsid w:val="02955494"/>
    <w:multiLevelType w:val="singleLevel"/>
    <w:tmpl w:val="02955494"/>
    <w:lvl w:ilvl="0" w:tentative="0">
      <w:start w:val="1"/>
      <w:numFmt w:val="decimal"/>
      <w:suff w:val="nothing"/>
      <w:lvlText w:val="%1、"/>
      <w:lvlJc w:val="left"/>
    </w:lvl>
  </w:abstractNum>
  <w:abstractNum w:abstractNumId="5">
    <w:nsid w:val="08BB6C78"/>
    <w:multiLevelType w:val="singleLevel"/>
    <w:tmpl w:val="08BB6C78"/>
    <w:lvl w:ilvl="0" w:tentative="0">
      <w:start w:val="2"/>
      <w:numFmt w:val="decimal"/>
      <w:suff w:val="nothing"/>
      <w:lvlText w:val="%1、"/>
      <w:lvlJc w:val="left"/>
      <w:rPr>
        <w:rFonts w:hint="default"/>
        <w:sz w:val="28"/>
        <w:szCs w:val="28"/>
      </w:rPr>
    </w:lvl>
  </w:abstractNum>
  <w:abstractNum w:abstractNumId="6">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9"/>
      <w:suff w:val="space"/>
      <w:lvlText w:val="%1.%2"/>
      <w:lvlJc w:val="left"/>
      <w:pPr>
        <w:ind w:left="15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4BD65C7B"/>
    <w:multiLevelType w:val="singleLevel"/>
    <w:tmpl w:val="4BD65C7B"/>
    <w:lvl w:ilvl="0" w:tentative="0">
      <w:start w:val="1"/>
      <w:numFmt w:val="chineseCounting"/>
      <w:suff w:val="space"/>
      <w:lvlText w:val="%1、"/>
      <w:lvlJc w:val="left"/>
      <w:rPr>
        <w:rFonts w:hint="eastAsia"/>
      </w:rPr>
    </w:lvl>
  </w:abstractNum>
  <w:abstractNum w:abstractNumId="8">
    <w:nsid w:val="4F734289"/>
    <w:multiLevelType w:val="singleLevel"/>
    <w:tmpl w:val="4F734289"/>
    <w:lvl w:ilvl="0" w:tentative="0">
      <w:start w:val="2"/>
      <w:numFmt w:val="upperLetter"/>
      <w:lvlText w:val="%1."/>
      <w:lvlJc w:val="left"/>
      <w:pPr>
        <w:tabs>
          <w:tab w:val="left" w:pos="312"/>
        </w:tabs>
      </w:pPr>
    </w:lvl>
  </w:abstractNum>
  <w:abstractNum w:abstractNumId="9">
    <w:nsid w:val="56808505"/>
    <w:multiLevelType w:val="singleLevel"/>
    <w:tmpl w:val="56808505"/>
    <w:lvl w:ilvl="0" w:tentative="0">
      <w:start w:val="2"/>
      <w:numFmt w:val="decimal"/>
      <w:suff w:val="space"/>
      <w:lvlText w:val="（%1）"/>
      <w:lvlJc w:val="left"/>
    </w:lvl>
  </w:abstractNum>
  <w:abstractNum w:abstractNumId="10">
    <w:nsid w:val="57B03238"/>
    <w:multiLevelType w:val="singleLevel"/>
    <w:tmpl w:val="57B03238"/>
    <w:lvl w:ilvl="0" w:tentative="0">
      <w:start w:val="1"/>
      <w:numFmt w:val="decimal"/>
      <w:suff w:val="space"/>
      <w:lvlText w:val="%1、"/>
      <w:lvlJc w:val="left"/>
    </w:lvl>
  </w:abstractNum>
  <w:abstractNum w:abstractNumId="11">
    <w:nsid w:val="675CD266"/>
    <w:multiLevelType w:val="singleLevel"/>
    <w:tmpl w:val="675CD266"/>
    <w:lvl w:ilvl="0" w:tentative="0">
      <w:start w:val="2"/>
      <w:numFmt w:val="decimal"/>
      <w:suff w:val="space"/>
      <w:lvlText w:val="（%1）"/>
      <w:lvlJc w:val="left"/>
      <w:rPr>
        <w:rFonts w:hint="default" w:ascii="Times New Roman" w:hAnsi="Times New Roman" w:cs="Times New Roman"/>
      </w:rPr>
    </w:lvl>
  </w:abstractNum>
  <w:abstractNum w:abstractNumId="12">
    <w:nsid w:val="7B2E9C59"/>
    <w:multiLevelType w:val="singleLevel"/>
    <w:tmpl w:val="7B2E9C59"/>
    <w:lvl w:ilvl="0" w:tentative="0">
      <w:start w:val="1"/>
      <w:numFmt w:val="decimal"/>
      <w:suff w:val="nothing"/>
      <w:lvlText w:val="%1、"/>
      <w:lvlJc w:val="left"/>
      <w:rPr>
        <w:rFonts w:hint="default"/>
        <w:color w:val="auto"/>
        <w:sz w:val="28"/>
        <w:szCs w:val="28"/>
      </w:rPr>
    </w:lvl>
  </w:abstractNum>
  <w:num w:numId="1">
    <w:abstractNumId w:val="6"/>
  </w:num>
  <w:num w:numId="2">
    <w:abstractNumId w:val="7"/>
  </w:num>
  <w:num w:numId="3">
    <w:abstractNumId w:val="2"/>
  </w:num>
  <w:num w:numId="4">
    <w:abstractNumId w:val="10"/>
  </w:num>
  <w:num w:numId="5">
    <w:abstractNumId w:val="11"/>
  </w:num>
  <w:num w:numId="6">
    <w:abstractNumId w:val="1"/>
  </w:num>
  <w:num w:numId="7">
    <w:abstractNumId w:val="9"/>
  </w:num>
  <w:num w:numId="8">
    <w:abstractNumId w:val="4"/>
  </w:num>
  <w:num w:numId="9">
    <w:abstractNumId w:val="3"/>
  </w:num>
  <w:num w:numId="10">
    <w:abstractNumId w:val="8"/>
  </w:num>
  <w:num w:numId="11">
    <w:abstractNumId w:val="5"/>
  </w:num>
  <w:num w:numId="12">
    <w:abstractNumId w:val="12"/>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灿烂阳光">
    <w15:presenceInfo w15:providerId="WPS Office" w15:userId="4415324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13"/>
  <w:drawingGridVerticalSpacing w:val="233"/>
  <w:displayHorizontalDrawingGridEvery w:val="1"/>
  <w:displayVerticalDrawingGridEvery w:val="1"/>
  <w:noPunctuationKerning w:val="true"/>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5MGFlNTdlZjkzNjdlYzUyMzQ3OTY0OTRlZmU5N2IifQ=="/>
  </w:docVars>
  <w:rsids>
    <w:rsidRoot w:val="00172A27"/>
    <w:rsid w:val="000060B3"/>
    <w:rsid w:val="0004364B"/>
    <w:rsid w:val="000464A4"/>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4ED4"/>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663B3"/>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71A"/>
    <w:rsid w:val="00325928"/>
    <w:rsid w:val="00332863"/>
    <w:rsid w:val="0033684D"/>
    <w:rsid w:val="00337B42"/>
    <w:rsid w:val="00341B42"/>
    <w:rsid w:val="0034348F"/>
    <w:rsid w:val="00356653"/>
    <w:rsid w:val="0035743F"/>
    <w:rsid w:val="00357BE2"/>
    <w:rsid w:val="0036170C"/>
    <w:rsid w:val="00362D98"/>
    <w:rsid w:val="00366E0F"/>
    <w:rsid w:val="00381A72"/>
    <w:rsid w:val="00381DAB"/>
    <w:rsid w:val="00384676"/>
    <w:rsid w:val="00390857"/>
    <w:rsid w:val="003A4BF3"/>
    <w:rsid w:val="003B420D"/>
    <w:rsid w:val="003C6C16"/>
    <w:rsid w:val="003D418C"/>
    <w:rsid w:val="003D794D"/>
    <w:rsid w:val="003E3058"/>
    <w:rsid w:val="003E76A9"/>
    <w:rsid w:val="003F0809"/>
    <w:rsid w:val="003F6A8C"/>
    <w:rsid w:val="003F755C"/>
    <w:rsid w:val="00406F01"/>
    <w:rsid w:val="00416D50"/>
    <w:rsid w:val="00416FD5"/>
    <w:rsid w:val="0041721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D0F28"/>
    <w:rsid w:val="004D5AA4"/>
    <w:rsid w:val="004E6946"/>
    <w:rsid w:val="004F0C2D"/>
    <w:rsid w:val="004F1AD8"/>
    <w:rsid w:val="005039CB"/>
    <w:rsid w:val="0050558F"/>
    <w:rsid w:val="00506286"/>
    <w:rsid w:val="00507C65"/>
    <w:rsid w:val="00510813"/>
    <w:rsid w:val="00511990"/>
    <w:rsid w:val="00511DE0"/>
    <w:rsid w:val="00514870"/>
    <w:rsid w:val="00514B9B"/>
    <w:rsid w:val="00517F02"/>
    <w:rsid w:val="00524303"/>
    <w:rsid w:val="005258A2"/>
    <w:rsid w:val="00526976"/>
    <w:rsid w:val="005365A2"/>
    <w:rsid w:val="005401AE"/>
    <w:rsid w:val="00542E07"/>
    <w:rsid w:val="00545424"/>
    <w:rsid w:val="00547287"/>
    <w:rsid w:val="00554A7B"/>
    <w:rsid w:val="0055572C"/>
    <w:rsid w:val="0056106A"/>
    <w:rsid w:val="005720AE"/>
    <w:rsid w:val="0057465C"/>
    <w:rsid w:val="00594D77"/>
    <w:rsid w:val="005969E4"/>
    <w:rsid w:val="005A06B7"/>
    <w:rsid w:val="005A1759"/>
    <w:rsid w:val="005A68A7"/>
    <w:rsid w:val="005D01C8"/>
    <w:rsid w:val="005D2876"/>
    <w:rsid w:val="005D36AB"/>
    <w:rsid w:val="00615910"/>
    <w:rsid w:val="00617CC3"/>
    <w:rsid w:val="006377A6"/>
    <w:rsid w:val="00637A3D"/>
    <w:rsid w:val="006411EF"/>
    <w:rsid w:val="006748B8"/>
    <w:rsid w:val="006775C3"/>
    <w:rsid w:val="0069170F"/>
    <w:rsid w:val="0069290A"/>
    <w:rsid w:val="0069775A"/>
    <w:rsid w:val="00697813"/>
    <w:rsid w:val="006A3EE8"/>
    <w:rsid w:val="006A72BF"/>
    <w:rsid w:val="006B03F2"/>
    <w:rsid w:val="006B2B51"/>
    <w:rsid w:val="006B37DC"/>
    <w:rsid w:val="006B4F68"/>
    <w:rsid w:val="006C0592"/>
    <w:rsid w:val="006C272E"/>
    <w:rsid w:val="006C5479"/>
    <w:rsid w:val="006D13B5"/>
    <w:rsid w:val="006E12FF"/>
    <w:rsid w:val="006E607E"/>
    <w:rsid w:val="00706C5D"/>
    <w:rsid w:val="00732922"/>
    <w:rsid w:val="0075162E"/>
    <w:rsid w:val="0075168B"/>
    <w:rsid w:val="00754034"/>
    <w:rsid w:val="00754E7C"/>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F64E6"/>
    <w:rsid w:val="007F7350"/>
    <w:rsid w:val="00801393"/>
    <w:rsid w:val="00801CDB"/>
    <w:rsid w:val="00802F88"/>
    <w:rsid w:val="0081293E"/>
    <w:rsid w:val="00815465"/>
    <w:rsid w:val="00817E9A"/>
    <w:rsid w:val="008306BD"/>
    <w:rsid w:val="00831A80"/>
    <w:rsid w:val="00833743"/>
    <w:rsid w:val="008340A4"/>
    <w:rsid w:val="00860D50"/>
    <w:rsid w:val="0087135F"/>
    <w:rsid w:val="00872D94"/>
    <w:rsid w:val="00875A38"/>
    <w:rsid w:val="00880364"/>
    <w:rsid w:val="00891592"/>
    <w:rsid w:val="00891E9E"/>
    <w:rsid w:val="00893331"/>
    <w:rsid w:val="008A2F68"/>
    <w:rsid w:val="008B4FA6"/>
    <w:rsid w:val="008B5282"/>
    <w:rsid w:val="008B7C17"/>
    <w:rsid w:val="008C2D01"/>
    <w:rsid w:val="008C40E6"/>
    <w:rsid w:val="008D0F7A"/>
    <w:rsid w:val="008D456F"/>
    <w:rsid w:val="008D68E4"/>
    <w:rsid w:val="008E0506"/>
    <w:rsid w:val="008E0CFF"/>
    <w:rsid w:val="008E5D6B"/>
    <w:rsid w:val="008E76F0"/>
    <w:rsid w:val="008F15FE"/>
    <w:rsid w:val="008F2D29"/>
    <w:rsid w:val="008F5187"/>
    <w:rsid w:val="008F60D8"/>
    <w:rsid w:val="00902727"/>
    <w:rsid w:val="0090312B"/>
    <w:rsid w:val="009114FE"/>
    <w:rsid w:val="0091736D"/>
    <w:rsid w:val="0093037A"/>
    <w:rsid w:val="0094154D"/>
    <w:rsid w:val="0095155F"/>
    <w:rsid w:val="0095437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2793"/>
    <w:rsid w:val="00A14947"/>
    <w:rsid w:val="00A322C3"/>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435"/>
    <w:rsid w:val="00B1295A"/>
    <w:rsid w:val="00B20A45"/>
    <w:rsid w:val="00B22C5C"/>
    <w:rsid w:val="00B24F30"/>
    <w:rsid w:val="00B31ABF"/>
    <w:rsid w:val="00B33BE3"/>
    <w:rsid w:val="00B53B5D"/>
    <w:rsid w:val="00B559C4"/>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BF5AEC"/>
    <w:rsid w:val="00C10578"/>
    <w:rsid w:val="00C135BC"/>
    <w:rsid w:val="00C15C95"/>
    <w:rsid w:val="00C2596A"/>
    <w:rsid w:val="00C27537"/>
    <w:rsid w:val="00C328FE"/>
    <w:rsid w:val="00C33507"/>
    <w:rsid w:val="00C347A3"/>
    <w:rsid w:val="00C4409D"/>
    <w:rsid w:val="00C44E72"/>
    <w:rsid w:val="00C45A06"/>
    <w:rsid w:val="00C45D44"/>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70EBB"/>
    <w:rsid w:val="00D94A7C"/>
    <w:rsid w:val="00D95896"/>
    <w:rsid w:val="00DB2983"/>
    <w:rsid w:val="00DC1257"/>
    <w:rsid w:val="00DC3DC0"/>
    <w:rsid w:val="00DC5B2B"/>
    <w:rsid w:val="00DD318D"/>
    <w:rsid w:val="00DE0278"/>
    <w:rsid w:val="00DF2E12"/>
    <w:rsid w:val="00DF514A"/>
    <w:rsid w:val="00DF6690"/>
    <w:rsid w:val="00DF6804"/>
    <w:rsid w:val="00E0358D"/>
    <w:rsid w:val="00E04323"/>
    <w:rsid w:val="00E070A2"/>
    <w:rsid w:val="00E2656A"/>
    <w:rsid w:val="00E3021F"/>
    <w:rsid w:val="00E412D0"/>
    <w:rsid w:val="00E56322"/>
    <w:rsid w:val="00E60982"/>
    <w:rsid w:val="00E62C62"/>
    <w:rsid w:val="00E654C1"/>
    <w:rsid w:val="00E65D97"/>
    <w:rsid w:val="00E72A5A"/>
    <w:rsid w:val="00E73354"/>
    <w:rsid w:val="00E9242D"/>
    <w:rsid w:val="00E95C66"/>
    <w:rsid w:val="00EB5255"/>
    <w:rsid w:val="00EB5C47"/>
    <w:rsid w:val="00ED0639"/>
    <w:rsid w:val="00EF4755"/>
    <w:rsid w:val="00EF7135"/>
    <w:rsid w:val="00EF76F2"/>
    <w:rsid w:val="00F027DB"/>
    <w:rsid w:val="00F06AC7"/>
    <w:rsid w:val="00F14A7A"/>
    <w:rsid w:val="00F22985"/>
    <w:rsid w:val="00F3383E"/>
    <w:rsid w:val="00F37F85"/>
    <w:rsid w:val="00F465A7"/>
    <w:rsid w:val="00F50B7C"/>
    <w:rsid w:val="00F550E6"/>
    <w:rsid w:val="00F74345"/>
    <w:rsid w:val="00F80A0A"/>
    <w:rsid w:val="00F81688"/>
    <w:rsid w:val="00F82B19"/>
    <w:rsid w:val="00F9212D"/>
    <w:rsid w:val="00F965DA"/>
    <w:rsid w:val="00FA406A"/>
    <w:rsid w:val="00FB503A"/>
    <w:rsid w:val="00FB516C"/>
    <w:rsid w:val="00FD0236"/>
    <w:rsid w:val="00FD18F4"/>
    <w:rsid w:val="00FD1ACE"/>
    <w:rsid w:val="00FD54DB"/>
    <w:rsid w:val="00FD619F"/>
    <w:rsid w:val="00FF13F6"/>
    <w:rsid w:val="010B6855"/>
    <w:rsid w:val="011650B5"/>
    <w:rsid w:val="01290F7E"/>
    <w:rsid w:val="015D1E09"/>
    <w:rsid w:val="017E5B86"/>
    <w:rsid w:val="01C04E49"/>
    <w:rsid w:val="01E61E2C"/>
    <w:rsid w:val="01F75813"/>
    <w:rsid w:val="01FC2C01"/>
    <w:rsid w:val="021B6235"/>
    <w:rsid w:val="02310203"/>
    <w:rsid w:val="02404E4B"/>
    <w:rsid w:val="02434FFC"/>
    <w:rsid w:val="024E7034"/>
    <w:rsid w:val="02502E91"/>
    <w:rsid w:val="02697903"/>
    <w:rsid w:val="026C2BD6"/>
    <w:rsid w:val="02882085"/>
    <w:rsid w:val="029105DA"/>
    <w:rsid w:val="02A36C44"/>
    <w:rsid w:val="02C941D1"/>
    <w:rsid w:val="02C9794E"/>
    <w:rsid w:val="02D01647"/>
    <w:rsid w:val="02D87E24"/>
    <w:rsid w:val="02F96569"/>
    <w:rsid w:val="03420A9B"/>
    <w:rsid w:val="037360D0"/>
    <w:rsid w:val="03BB2615"/>
    <w:rsid w:val="03D251BA"/>
    <w:rsid w:val="03EA7B21"/>
    <w:rsid w:val="03EF1A15"/>
    <w:rsid w:val="04144F59"/>
    <w:rsid w:val="044F678D"/>
    <w:rsid w:val="04712C64"/>
    <w:rsid w:val="048D195A"/>
    <w:rsid w:val="04AA6C8F"/>
    <w:rsid w:val="04E72661"/>
    <w:rsid w:val="050F24D8"/>
    <w:rsid w:val="05191440"/>
    <w:rsid w:val="052C1EB9"/>
    <w:rsid w:val="053E430D"/>
    <w:rsid w:val="05C00253"/>
    <w:rsid w:val="05F83EAE"/>
    <w:rsid w:val="06015218"/>
    <w:rsid w:val="063E7D85"/>
    <w:rsid w:val="065564A8"/>
    <w:rsid w:val="065D710A"/>
    <w:rsid w:val="06722025"/>
    <w:rsid w:val="06B54F9C"/>
    <w:rsid w:val="06BF13F2"/>
    <w:rsid w:val="06F537E7"/>
    <w:rsid w:val="07293586"/>
    <w:rsid w:val="07295285"/>
    <w:rsid w:val="073D3F64"/>
    <w:rsid w:val="073F11D9"/>
    <w:rsid w:val="07432262"/>
    <w:rsid w:val="07545387"/>
    <w:rsid w:val="07636392"/>
    <w:rsid w:val="076E3F95"/>
    <w:rsid w:val="07770C56"/>
    <w:rsid w:val="084F6BAD"/>
    <w:rsid w:val="08652D8D"/>
    <w:rsid w:val="088167E5"/>
    <w:rsid w:val="08871E0C"/>
    <w:rsid w:val="089349E4"/>
    <w:rsid w:val="08C713E1"/>
    <w:rsid w:val="08D4742C"/>
    <w:rsid w:val="08DC5D0F"/>
    <w:rsid w:val="08E375A2"/>
    <w:rsid w:val="08EE393D"/>
    <w:rsid w:val="09047D11"/>
    <w:rsid w:val="092217DD"/>
    <w:rsid w:val="092E4DB4"/>
    <w:rsid w:val="093A7294"/>
    <w:rsid w:val="094D7EEB"/>
    <w:rsid w:val="096A04BC"/>
    <w:rsid w:val="09A05EB3"/>
    <w:rsid w:val="09AD3233"/>
    <w:rsid w:val="09BB5BCC"/>
    <w:rsid w:val="09BB60A9"/>
    <w:rsid w:val="09CC79CA"/>
    <w:rsid w:val="09F01C3E"/>
    <w:rsid w:val="0A051F93"/>
    <w:rsid w:val="0A0747F4"/>
    <w:rsid w:val="0A122902"/>
    <w:rsid w:val="0A263993"/>
    <w:rsid w:val="0A2D3AC2"/>
    <w:rsid w:val="0A3D7E1E"/>
    <w:rsid w:val="0A480642"/>
    <w:rsid w:val="0A734497"/>
    <w:rsid w:val="0A80726A"/>
    <w:rsid w:val="0A8A2D6D"/>
    <w:rsid w:val="0A8C002F"/>
    <w:rsid w:val="0A9C1F16"/>
    <w:rsid w:val="0AA755DF"/>
    <w:rsid w:val="0AD60640"/>
    <w:rsid w:val="0B075D93"/>
    <w:rsid w:val="0B077F8D"/>
    <w:rsid w:val="0B120D44"/>
    <w:rsid w:val="0B2F303F"/>
    <w:rsid w:val="0B310EBB"/>
    <w:rsid w:val="0B5275E7"/>
    <w:rsid w:val="0B5C5EF9"/>
    <w:rsid w:val="0B6D3D95"/>
    <w:rsid w:val="0BD27BF6"/>
    <w:rsid w:val="0BD6231D"/>
    <w:rsid w:val="0BE400DA"/>
    <w:rsid w:val="0BE462A9"/>
    <w:rsid w:val="0BEC7994"/>
    <w:rsid w:val="0BF30ABF"/>
    <w:rsid w:val="0C1A4BEB"/>
    <w:rsid w:val="0C3B3C7D"/>
    <w:rsid w:val="0CAB2EAE"/>
    <w:rsid w:val="0CB87790"/>
    <w:rsid w:val="0CDF502F"/>
    <w:rsid w:val="0D0033B0"/>
    <w:rsid w:val="0D062877"/>
    <w:rsid w:val="0D0C1F9F"/>
    <w:rsid w:val="0D621C7D"/>
    <w:rsid w:val="0D71582D"/>
    <w:rsid w:val="0D7705D0"/>
    <w:rsid w:val="0D7D0092"/>
    <w:rsid w:val="0DC45CC1"/>
    <w:rsid w:val="0DD02139"/>
    <w:rsid w:val="0DF76096"/>
    <w:rsid w:val="0E196FC3"/>
    <w:rsid w:val="0E32289A"/>
    <w:rsid w:val="0E533948"/>
    <w:rsid w:val="0E73034D"/>
    <w:rsid w:val="0E7601BA"/>
    <w:rsid w:val="0E8F2773"/>
    <w:rsid w:val="0EE67507"/>
    <w:rsid w:val="0F13775A"/>
    <w:rsid w:val="0F301627"/>
    <w:rsid w:val="0F511B4B"/>
    <w:rsid w:val="0F5F45FE"/>
    <w:rsid w:val="0F5F764C"/>
    <w:rsid w:val="0F9A112B"/>
    <w:rsid w:val="0FDF6719"/>
    <w:rsid w:val="0FF919AF"/>
    <w:rsid w:val="100C5E2B"/>
    <w:rsid w:val="10536D42"/>
    <w:rsid w:val="106D2F64"/>
    <w:rsid w:val="107B2FAF"/>
    <w:rsid w:val="107C6D27"/>
    <w:rsid w:val="108E4A9C"/>
    <w:rsid w:val="10A32541"/>
    <w:rsid w:val="10A66BB5"/>
    <w:rsid w:val="10B22749"/>
    <w:rsid w:val="10B63710"/>
    <w:rsid w:val="10C04E65"/>
    <w:rsid w:val="10C801D1"/>
    <w:rsid w:val="10E256C3"/>
    <w:rsid w:val="10E662A6"/>
    <w:rsid w:val="10F10820"/>
    <w:rsid w:val="10F669BF"/>
    <w:rsid w:val="10FD39C4"/>
    <w:rsid w:val="11173599"/>
    <w:rsid w:val="111C2F7A"/>
    <w:rsid w:val="112E0021"/>
    <w:rsid w:val="11316099"/>
    <w:rsid w:val="11396876"/>
    <w:rsid w:val="115976F6"/>
    <w:rsid w:val="11665CA1"/>
    <w:rsid w:val="11757DDD"/>
    <w:rsid w:val="11AB1672"/>
    <w:rsid w:val="12132E98"/>
    <w:rsid w:val="12136951"/>
    <w:rsid w:val="127775E3"/>
    <w:rsid w:val="129640D0"/>
    <w:rsid w:val="129F0C7F"/>
    <w:rsid w:val="12C257D3"/>
    <w:rsid w:val="12E0534B"/>
    <w:rsid w:val="13116562"/>
    <w:rsid w:val="13623FB2"/>
    <w:rsid w:val="13801743"/>
    <w:rsid w:val="13951726"/>
    <w:rsid w:val="13C52F0D"/>
    <w:rsid w:val="140E5F5C"/>
    <w:rsid w:val="142719A7"/>
    <w:rsid w:val="14396509"/>
    <w:rsid w:val="1462527F"/>
    <w:rsid w:val="147A17CF"/>
    <w:rsid w:val="147C265E"/>
    <w:rsid w:val="14A15449"/>
    <w:rsid w:val="14DD2C3C"/>
    <w:rsid w:val="15067126"/>
    <w:rsid w:val="15685945"/>
    <w:rsid w:val="156D4E90"/>
    <w:rsid w:val="156E4258"/>
    <w:rsid w:val="15AA370D"/>
    <w:rsid w:val="15E36348"/>
    <w:rsid w:val="16004302"/>
    <w:rsid w:val="1606634E"/>
    <w:rsid w:val="16087E1D"/>
    <w:rsid w:val="16223ECC"/>
    <w:rsid w:val="1629525B"/>
    <w:rsid w:val="166B7621"/>
    <w:rsid w:val="166E2C6E"/>
    <w:rsid w:val="16726C02"/>
    <w:rsid w:val="16A11112"/>
    <w:rsid w:val="16A57D8E"/>
    <w:rsid w:val="16D2651D"/>
    <w:rsid w:val="16D74CB7"/>
    <w:rsid w:val="16DB4D1C"/>
    <w:rsid w:val="17191AAC"/>
    <w:rsid w:val="172B55D1"/>
    <w:rsid w:val="173326FC"/>
    <w:rsid w:val="17362E68"/>
    <w:rsid w:val="175D2CAF"/>
    <w:rsid w:val="17701D14"/>
    <w:rsid w:val="17735226"/>
    <w:rsid w:val="177B08AD"/>
    <w:rsid w:val="17A00A1B"/>
    <w:rsid w:val="17DA4A5F"/>
    <w:rsid w:val="17F16F0D"/>
    <w:rsid w:val="17F30D6E"/>
    <w:rsid w:val="182932F0"/>
    <w:rsid w:val="18477E7F"/>
    <w:rsid w:val="189F624C"/>
    <w:rsid w:val="18A17059"/>
    <w:rsid w:val="18C80D5B"/>
    <w:rsid w:val="18DA283C"/>
    <w:rsid w:val="19074A13"/>
    <w:rsid w:val="19164BF1"/>
    <w:rsid w:val="19434886"/>
    <w:rsid w:val="19730BC5"/>
    <w:rsid w:val="19C3210F"/>
    <w:rsid w:val="19D67F7B"/>
    <w:rsid w:val="1A1C66C0"/>
    <w:rsid w:val="1A24578A"/>
    <w:rsid w:val="1A42393B"/>
    <w:rsid w:val="1A476DE3"/>
    <w:rsid w:val="1A694A5B"/>
    <w:rsid w:val="1A8567D8"/>
    <w:rsid w:val="1A915FEB"/>
    <w:rsid w:val="1AA74659"/>
    <w:rsid w:val="1AA80E44"/>
    <w:rsid w:val="1AAD45DE"/>
    <w:rsid w:val="1AD77E85"/>
    <w:rsid w:val="1AED333F"/>
    <w:rsid w:val="1B046F80"/>
    <w:rsid w:val="1B3267B5"/>
    <w:rsid w:val="1B40161D"/>
    <w:rsid w:val="1B441859"/>
    <w:rsid w:val="1B6606B1"/>
    <w:rsid w:val="1B7371BA"/>
    <w:rsid w:val="1C5340DA"/>
    <w:rsid w:val="1C5E7925"/>
    <w:rsid w:val="1C700819"/>
    <w:rsid w:val="1C7401B4"/>
    <w:rsid w:val="1C7A6810"/>
    <w:rsid w:val="1C7D00AF"/>
    <w:rsid w:val="1C994521"/>
    <w:rsid w:val="1CC7757C"/>
    <w:rsid w:val="1CC87DEB"/>
    <w:rsid w:val="1CCD1716"/>
    <w:rsid w:val="1CEE68B6"/>
    <w:rsid w:val="1CFD070F"/>
    <w:rsid w:val="1D57445C"/>
    <w:rsid w:val="1D5F6196"/>
    <w:rsid w:val="1D6132A5"/>
    <w:rsid w:val="1D631910"/>
    <w:rsid w:val="1D714F45"/>
    <w:rsid w:val="1D8E56D5"/>
    <w:rsid w:val="1DA2361F"/>
    <w:rsid w:val="1DE52543"/>
    <w:rsid w:val="1E0C3D98"/>
    <w:rsid w:val="1E2602E4"/>
    <w:rsid w:val="1E263971"/>
    <w:rsid w:val="1E5B4C05"/>
    <w:rsid w:val="1E7A43DA"/>
    <w:rsid w:val="1E7D2632"/>
    <w:rsid w:val="1E9D2F0D"/>
    <w:rsid w:val="1EA5569B"/>
    <w:rsid w:val="1EED151B"/>
    <w:rsid w:val="1EFE6273"/>
    <w:rsid w:val="1F030A0A"/>
    <w:rsid w:val="1F3F33F9"/>
    <w:rsid w:val="1F6139F7"/>
    <w:rsid w:val="1F6B41EE"/>
    <w:rsid w:val="1FC319AE"/>
    <w:rsid w:val="1FE7539E"/>
    <w:rsid w:val="20120C86"/>
    <w:rsid w:val="20524FD3"/>
    <w:rsid w:val="20671BE0"/>
    <w:rsid w:val="20685106"/>
    <w:rsid w:val="20963CB8"/>
    <w:rsid w:val="20A81A1B"/>
    <w:rsid w:val="20B07FB6"/>
    <w:rsid w:val="20B646FB"/>
    <w:rsid w:val="20BF254F"/>
    <w:rsid w:val="20C83558"/>
    <w:rsid w:val="20CB17C0"/>
    <w:rsid w:val="20D77B19"/>
    <w:rsid w:val="20EF51B5"/>
    <w:rsid w:val="20FC6F0C"/>
    <w:rsid w:val="21090163"/>
    <w:rsid w:val="211B39D0"/>
    <w:rsid w:val="213B74B1"/>
    <w:rsid w:val="215958B5"/>
    <w:rsid w:val="215A2310"/>
    <w:rsid w:val="21B1288C"/>
    <w:rsid w:val="21DC1D89"/>
    <w:rsid w:val="21DE318A"/>
    <w:rsid w:val="21EF5B80"/>
    <w:rsid w:val="22014DD8"/>
    <w:rsid w:val="2223038E"/>
    <w:rsid w:val="22576990"/>
    <w:rsid w:val="22780F57"/>
    <w:rsid w:val="22787B72"/>
    <w:rsid w:val="22AE0FC2"/>
    <w:rsid w:val="22DE2820"/>
    <w:rsid w:val="22E70030"/>
    <w:rsid w:val="22EA6499"/>
    <w:rsid w:val="22F47480"/>
    <w:rsid w:val="230806C2"/>
    <w:rsid w:val="230D2060"/>
    <w:rsid w:val="232C0139"/>
    <w:rsid w:val="23395D14"/>
    <w:rsid w:val="233F4233"/>
    <w:rsid w:val="234509C5"/>
    <w:rsid w:val="23957A8C"/>
    <w:rsid w:val="23B32608"/>
    <w:rsid w:val="23C66C7F"/>
    <w:rsid w:val="23DE1C48"/>
    <w:rsid w:val="240210CD"/>
    <w:rsid w:val="243E73AE"/>
    <w:rsid w:val="246A716A"/>
    <w:rsid w:val="24822AD1"/>
    <w:rsid w:val="248F58D4"/>
    <w:rsid w:val="24AE34FB"/>
    <w:rsid w:val="24BC4B5A"/>
    <w:rsid w:val="24BF09F7"/>
    <w:rsid w:val="24F1107B"/>
    <w:rsid w:val="252C41B1"/>
    <w:rsid w:val="252D53FE"/>
    <w:rsid w:val="257E2444"/>
    <w:rsid w:val="25B11D7C"/>
    <w:rsid w:val="25EB42DB"/>
    <w:rsid w:val="25EC2D81"/>
    <w:rsid w:val="26122C9D"/>
    <w:rsid w:val="262033F5"/>
    <w:rsid w:val="26487949"/>
    <w:rsid w:val="26DC267C"/>
    <w:rsid w:val="271B2F8C"/>
    <w:rsid w:val="272C4D17"/>
    <w:rsid w:val="277057A2"/>
    <w:rsid w:val="27840543"/>
    <w:rsid w:val="279B281E"/>
    <w:rsid w:val="279D1605"/>
    <w:rsid w:val="27D75B9B"/>
    <w:rsid w:val="27DD40F7"/>
    <w:rsid w:val="28033E36"/>
    <w:rsid w:val="28403041"/>
    <w:rsid w:val="28440FD4"/>
    <w:rsid w:val="286D6AF8"/>
    <w:rsid w:val="288D39BF"/>
    <w:rsid w:val="28CC03F4"/>
    <w:rsid w:val="28E026ED"/>
    <w:rsid w:val="291F6554"/>
    <w:rsid w:val="29206EB8"/>
    <w:rsid w:val="292B4623"/>
    <w:rsid w:val="29393852"/>
    <w:rsid w:val="29595666"/>
    <w:rsid w:val="296518F4"/>
    <w:rsid w:val="29785E02"/>
    <w:rsid w:val="29874881"/>
    <w:rsid w:val="298A13FA"/>
    <w:rsid w:val="298A7A33"/>
    <w:rsid w:val="29C83F03"/>
    <w:rsid w:val="29E325E0"/>
    <w:rsid w:val="29E4351B"/>
    <w:rsid w:val="29ED6B47"/>
    <w:rsid w:val="2A452503"/>
    <w:rsid w:val="2A48213D"/>
    <w:rsid w:val="2A72105C"/>
    <w:rsid w:val="2AF94DA4"/>
    <w:rsid w:val="2B14398C"/>
    <w:rsid w:val="2B596846"/>
    <w:rsid w:val="2B8D373E"/>
    <w:rsid w:val="2BA32627"/>
    <w:rsid w:val="2BA936A8"/>
    <w:rsid w:val="2BCF1FA9"/>
    <w:rsid w:val="2BE70C17"/>
    <w:rsid w:val="2BF23A18"/>
    <w:rsid w:val="2BF33EE9"/>
    <w:rsid w:val="2C1659A9"/>
    <w:rsid w:val="2C1A5951"/>
    <w:rsid w:val="2C315A5A"/>
    <w:rsid w:val="2C3518F9"/>
    <w:rsid w:val="2C4B1C25"/>
    <w:rsid w:val="2C5D5807"/>
    <w:rsid w:val="2C815051"/>
    <w:rsid w:val="2C88779E"/>
    <w:rsid w:val="2C9F7CF6"/>
    <w:rsid w:val="2CA652A9"/>
    <w:rsid w:val="2CA90A4C"/>
    <w:rsid w:val="2CC633AC"/>
    <w:rsid w:val="2CC87124"/>
    <w:rsid w:val="2CE670EA"/>
    <w:rsid w:val="2D140821"/>
    <w:rsid w:val="2D4445B2"/>
    <w:rsid w:val="2D4C7613"/>
    <w:rsid w:val="2D791847"/>
    <w:rsid w:val="2D9B410C"/>
    <w:rsid w:val="2D9E56F5"/>
    <w:rsid w:val="2DC926D6"/>
    <w:rsid w:val="2DD5473E"/>
    <w:rsid w:val="2DDD46C4"/>
    <w:rsid w:val="2DE962A3"/>
    <w:rsid w:val="2DF81343"/>
    <w:rsid w:val="2E156399"/>
    <w:rsid w:val="2E586DFA"/>
    <w:rsid w:val="2E667F96"/>
    <w:rsid w:val="2E6E3730"/>
    <w:rsid w:val="2E7C4042"/>
    <w:rsid w:val="2E7D0E7B"/>
    <w:rsid w:val="2E8226AB"/>
    <w:rsid w:val="2EA1210D"/>
    <w:rsid w:val="2EBD4417"/>
    <w:rsid w:val="2EC25EE7"/>
    <w:rsid w:val="2EC81296"/>
    <w:rsid w:val="2EE140AA"/>
    <w:rsid w:val="2EF11086"/>
    <w:rsid w:val="2F1D1D22"/>
    <w:rsid w:val="2F5F5D06"/>
    <w:rsid w:val="2F76174D"/>
    <w:rsid w:val="2FA21EAE"/>
    <w:rsid w:val="2FBB1B81"/>
    <w:rsid w:val="2FCB2E06"/>
    <w:rsid w:val="2FCC0CD9"/>
    <w:rsid w:val="2FD065E6"/>
    <w:rsid w:val="2FD518B2"/>
    <w:rsid w:val="2FD96870"/>
    <w:rsid w:val="2FDE0A0C"/>
    <w:rsid w:val="2FE75B13"/>
    <w:rsid w:val="2FF95F55"/>
    <w:rsid w:val="30431CEB"/>
    <w:rsid w:val="30493E95"/>
    <w:rsid w:val="305457AD"/>
    <w:rsid w:val="30580BC9"/>
    <w:rsid w:val="306E4087"/>
    <w:rsid w:val="30AA08B8"/>
    <w:rsid w:val="30DD79C3"/>
    <w:rsid w:val="30DF16B6"/>
    <w:rsid w:val="310E0E7D"/>
    <w:rsid w:val="311E2ED7"/>
    <w:rsid w:val="312542C0"/>
    <w:rsid w:val="31294AB4"/>
    <w:rsid w:val="313D701A"/>
    <w:rsid w:val="315619EE"/>
    <w:rsid w:val="315C449C"/>
    <w:rsid w:val="31652269"/>
    <w:rsid w:val="31771119"/>
    <w:rsid w:val="31836B7D"/>
    <w:rsid w:val="31945827"/>
    <w:rsid w:val="31B82709"/>
    <w:rsid w:val="31CD6048"/>
    <w:rsid w:val="31D05482"/>
    <w:rsid w:val="323E5792"/>
    <w:rsid w:val="32400B34"/>
    <w:rsid w:val="325073E4"/>
    <w:rsid w:val="32713DBA"/>
    <w:rsid w:val="32886F74"/>
    <w:rsid w:val="329E6876"/>
    <w:rsid w:val="32D14858"/>
    <w:rsid w:val="33105381"/>
    <w:rsid w:val="331E73F1"/>
    <w:rsid w:val="333015F2"/>
    <w:rsid w:val="334B6320"/>
    <w:rsid w:val="334C0B5A"/>
    <w:rsid w:val="33580FE8"/>
    <w:rsid w:val="335D1A9A"/>
    <w:rsid w:val="33802506"/>
    <w:rsid w:val="33853546"/>
    <w:rsid w:val="33D934D4"/>
    <w:rsid w:val="33FE2F6A"/>
    <w:rsid w:val="340E07E5"/>
    <w:rsid w:val="34235BF7"/>
    <w:rsid w:val="347F0504"/>
    <w:rsid w:val="34904379"/>
    <w:rsid w:val="34B14B60"/>
    <w:rsid w:val="34B21815"/>
    <w:rsid w:val="34EE3ABD"/>
    <w:rsid w:val="34FC601F"/>
    <w:rsid w:val="35236EAC"/>
    <w:rsid w:val="352B23A4"/>
    <w:rsid w:val="353130ED"/>
    <w:rsid w:val="354E6723"/>
    <w:rsid w:val="35512B77"/>
    <w:rsid w:val="356B2D42"/>
    <w:rsid w:val="357E1C87"/>
    <w:rsid w:val="358A034F"/>
    <w:rsid w:val="358C5FA8"/>
    <w:rsid w:val="35975258"/>
    <w:rsid w:val="35B75F88"/>
    <w:rsid w:val="35C15DF1"/>
    <w:rsid w:val="35CA6994"/>
    <w:rsid w:val="35CB37E1"/>
    <w:rsid w:val="36074A7F"/>
    <w:rsid w:val="36413AA3"/>
    <w:rsid w:val="3656754F"/>
    <w:rsid w:val="36923549"/>
    <w:rsid w:val="36A71B58"/>
    <w:rsid w:val="36B06EA4"/>
    <w:rsid w:val="36B75FBF"/>
    <w:rsid w:val="36BD0C45"/>
    <w:rsid w:val="36E543B1"/>
    <w:rsid w:val="36F03593"/>
    <w:rsid w:val="36F62AE0"/>
    <w:rsid w:val="379C154A"/>
    <w:rsid w:val="379C71E3"/>
    <w:rsid w:val="37B24C58"/>
    <w:rsid w:val="37C12E29"/>
    <w:rsid w:val="37C47512"/>
    <w:rsid w:val="37E00298"/>
    <w:rsid w:val="383C09C6"/>
    <w:rsid w:val="386473A8"/>
    <w:rsid w:val="387A436B"/>
    <w:rsid w:val="38B0158B"/>
    <w:rsid w:val="38B302F9"/>
    <w:rsid w:val="38C03D8C"/>
    <w:rsid w:val="38C369F1"/>
    <w:rsid w:val="38F12CD3"/>
    <w:rsid w:val="38F94775"/>
    <w:rsid w:val="39074B30"/>
    <w:rsid w:val="392971ED"/>
    <w:rsid w:val="39325651"/>
    <w:rsid w:val="395A7EDA"/>
    <w:rsid w:val="395B5403"/>
    <w:rsid w:val="396401AD"/>
    <w:rsid w:val="3A0D261A"/>
    <w:rsid w:val="3A255EE2"/>
    <w:rsid w:val="3A4D6622"/>
    <w:rsid w:val="3A4D76D5"/>
    <w:rsid w:val="3A53418B"/>
    <w:rsid w:val="3A5E22E3"/>
    <w:rsid w:val="3A6B1D34"/>
    <w:rsid w:val="3A7E7074"/>
    <w:rsid w:val="3A872856"/>
    <w:rsid w:val="3AE8273F"/>
    <w:rsid w:val="3AF34C80"/>
    <w:rsid w:val="3B2A2D58"/>
    <w:rsid w:val="3B345984"/>
    <w:rsid w:val="3B34717E"/>
    <w:rsid w:val="3B354898"/>
    <w:rsid w:val="3B3763D1"/>
    <w:rsid w:val="3B3E5224"/>
    <w:rsid w:val="3B60677A"/>
    <w:rsid w:val="3B683CCA"/>
    <w:rsid w:val="3B76575E"/>
    <w:rsid w:val="3BB36885"/>
    <w:rsid w:val="3C2F6E1E"/>
    <w:rsid w:val="3C335D04"/>
    <w:rsid w:val="3C4F64BA"/>
    <w:rsid w:val="3C502CF2"/>
    <w:rsid w:val="3C617220"/>
    <w:rsid w:val="3C901985"/>
    <w:rsid w:val="3CB94393"/>
    <w:rsid w:val="3CBC20D5"/>
    <w:rsid w:val="3CDA245A"/>
    <w:rsid w:val="3CE138EA"/>
    <w:rsid w:val="3CF718E8"/>
    <w:rsid w:val="3CF936DE"/>
    <w:rsid w:val="3CFC0ADB"/>
    <w:rsid w:val="3D1E06B7"/>
    <w:rsid w:val="3D255001"/>
    <w:rsid w:val="3D3738D7"/>
    <w:rsid w:val="3D41679C"/>
    <w:rsid w:val="3D5B369C"/>
    <w:rsid w:val="3D8B21D4"/>
    <w:rsid w:val="3D8B6100"/>
    <w:rsid w:val="3D974551"/>
    <w:rsid w:val="3DDD26FC"/>
    <w:rsid w:val="3DF5589F"/>
    <w:rsid w:val="3E0A47C6"/>
    <w:rsid w:val="3E102C4F"/>
    <w:rsid w:val="3E211D0E"/>
    <w:rsid w:val="3E2A453D"/>
    <w:rsid w:val="3EA230C3"/>
    <w:rsid w:val="3EAF4ABF"/>
    <w:rsid w:val="3EB92229"/>
    <w:rsid w:val="3EDA0523"/>
    <w:rsid w:val="3F080DCF"/>
    <w:rsid w:val="3F0F06C2"/>
    <w:rsid w:val="3F177A97"/>
    <w:rsid w:val="3F367F1D"/>
    <w:rsid w:val="3F5442F8"/>
    <w:rsid w:val="3F667BE5"/>
    <w:rsid w:val="3F910CE7"/>
    <w:rsid w:val="3FF52FC3"/>
    <w:rsid w:val="400E2C48"/>
    <w:rsid w:val="401B51E0"/>
    <w:rsid w:val="40270774"/>
    <w:rsid w:val="40385F17"/>
    <w:rsid w:val="404F1B83"/>
    <w:rsid w:val="405F15EA"/>
    <w:rsid w:val="40671B2D"/>
    <w:rsid w:val="407A6407"/>
    <w:rsid w:val="407B0D69"/>
    <w:rsid w:val="408E210F"/>
    <w:rsid w:val="40910F2D"/>
    <w:rsid w:val="40C57393"/>
    <w:rsid w:val="40CB0B39"/>
    <w:rsid w:val="40E842FD"/>
    <w:rsid w:val="41115F4D"/>
    <w:rsid w:val="414032D5"/>
    <w:rsid w:val="41456B3D"/>
    <w:rsid w:val="4168282C"/>
    <w:rsid w:val="41CF5C69"/>
    <w:rsid w:val="41DB69FA"/>
    <w:rsid w:val="41E225DE"/>
    <w:rsid w:val="41EA0DF0"/>
    <w:rsid w:val="41EC7A84"/>
    <w:rsid w:val="41EE1E0E"/>
    <w:rsid w:val="41F83BB0"/>
    <w:rsid w:val="4200449D"/>
    <w:rsid w:val="422A1A2B"/>
    <w:rsid w:val="42376A1C"/>
    <w:rsid w:val="423A3BCC"/>
    <w:rsid w:val="424E57D2"/>
    <w:rsid w:val="427A4DA6"/>
    <w:rsid w:val="427F3403"/>
    <w:rsid w:val="42862BA5"/>
    <w:rsid w:val="428B7C5E"/>
    <w:rsid w:val="428E0070"/>
    <w:rsid w:val="42B26C49"/>
    <w:rsid w:val="42C87614"/>
    <w:rsid w:val="42CB3072"/>
    <w:rsid w:val="42F50BFD"/>
    <w:rsid w:val="42F548E1"/>
    <w:rsid w:val="433A6FE6"/>
    <w:rsid w:val="433C21A6"/>
    <w:rsid w:val="433F1E40"/>
    <w:rsid w:val="4340181D"/>
    <w:rsid w:val="43480868"/>
    <w:rsid w:val="4350713C"/>
    <w:rsid w:val="43585B6C"/>
    <w:rsid w:val="43625855"/>
    <w:rsid w:val="436653E0"/>
    <w:rsid w:val="43886295"/>
    <w:rsid w:val="43C4431A"/>
    <w:rsid w:val="43C55D14"/>
    <w:rsid w:val="43DF41A5"/>
    <w:rsid w:val="440523CD"/>
    <w:rsid w:val="441B400A"/>
    <w:rsid w:val="443B6ACE"/>
    <w:rsid w:val="444F6193"/>
    <w:rsid w:val="44722C21"/>
    <w:rsid w:val="447237D0"/>
    <w:rsid w:val="4488300E"/>
    <w:rsid w:val="448F6662"/>
    <w:rsid w:val="44B951CC"/>
    <w:rsid w:val="44CD14E0"/>
    <w:rsid w:val="44D25FF7"/>
    <w:rsid w:val="44E275A7"/>
    <w:rsid w:val="44F20B0B"/>
    <w:rsid w:val="45164573"/>
    <w:rsid w:val="45260A34"/>
    <w:rsid w:val="452847AC"/>
    <w:rsid w:val="452E5F4C"/>
    <w:rsid w:val="45596DE4"/>
    <w:rsid w:val="45612018"/>
    <w:rsid w:val="4563650E"/>
    <w:rsid w:val="45844ED3"/>
    <w:rsid w:val="45890380"/>
    <w:rsid w:val="458946E9"/>
    <w:rsid w:val="459B57C3"/>
    <w:rsid w:val="45A47C0E"/>
    <w:rsid w:val="45D55395"/>
    <w:rsid w:val="45FE72BB"/>
    <w:rsid w:val="4603066A"/>
    <w:rsid w:val="46236D21"/>
    <w:rsid w:val="46577FD6"/>
    <w:rsid w:val="46873754"/>
    <w:rsid w:val="46A937CA"/>
    <w:rsid w:val="46BD6B2D"/>
    <w:rsid w:val="46C3280E"/>
    <w:rsid w:val="46D955A7"/>
    <w:rsid w:val="46FA2446"/>
    <w:rsid w:val="47133957"/>
    <w:rsid w:val="471355E4"/>
    <w:rsid w:val="47370CD6"/>
    <w:rsid w:val="475B6938"/>
    <w:rsid w:val="4768030F"/>
    <w:rsid w:val="47681FC6"/>
    <w:rsid w:val="47A07E0C"/>
    <w:rsid w:val="47AA1785"/>
    <w:rsid w:val="47B53A49"/>
    <w:rsid w:val="47B93F31"/>
    <w:rsid w:val="47BE4F54"/>
    <w:rsid w:val="47DE73A4"/>
    <w:rsid w:val="480D1A37"/>
    <w:rsid w:val="482800E2"/>
    <w:rsid w:val="483F7BA8"/>
    <w:rsid w:val="48425B85"/>
    <w:rsid w:val="484A33AB"/>
    <w:rsid w:val="4870272E"/>
    <w:rsid w:val="48AC1250"/>
    <w:rsid w:val="48EA75CF"/>
    <w:rsid w:val="48F152D3"/>
    <w:rsid w:val="48FD3903"/>
    <w:rsid w:val="492D4C9C"/>
    <w:rsid w:val="49773C28"/>
    <w:rsid w:val="49AE328B"/>
    <w:rsid w:val="49C7304E"/>
    <w:rsid w:val="49DC7715"/>
    <w:rsid w:val="49F21192"/>
    <w:rsid w:val="49FE1D0E"/>
    <w:rsid w:val="4A023139"/>
    <w:rsid w:val="4A1C69D8"/>
    <w:rsid w:val="4A220A47"/>
    <w:rsid w:val="4A443E36"/>
    <w:rsid w:val="4A487729"/>
    <w:rsid w:val="4A605CE6"/>
    <w:rsid w:val="4A7B576F"/>
    <w:rsid w:val="4AD6445A"/>
    <w:rsid w:val="4AD836AA"/>
    <w:rsid w:val="4AE205A1"/>
    <w:rsid w:val="4AF561A9"/>
    <w:rsid w:val="4B2444D5"/>
    <w:rsid w:val="4B412678"/>
    <w:rsid w:val="4B49722A"/>
    <w:rsid w:val="4B4D5699"/>
    <w:rsid w:val="4BA6642B"/>
    <w:rsid w:val="4BE41A1D"/>
    <w:rsid w:val="4BEF62B4"/>
    <w:rsid w:val="4C130027"/>
    <w:rsid w:val="4C285091"/>
    <w:rsid w:val="4C341C88"/>
    <w:rsid w:val="4C4A0649"/>
    <w:rsid w:val="4C4F3818"/>
    <w:rsid w:val="4C577725"/>
    <w:rsid w:val="4C6065D9"/>
    <w:rsid w:val="4C7E5ECA"/>
    <w:rsid w:val="4C876AA5"/>
    <w:rsid w:val="4C9702F9"/>
    <w:rsid w:val="4CBC5740"/>
    <w:rsid w:val="4CE511D4"/>
    <w:rsid w:val="4CFB6302"/>
    <w:rsid w:val="4D0E00FB"/>
    <w:rsid w:val="4D176606"/>
    <w:rsid w:val="4D1B4B30"/>
    <w:rsid w:val="4D5F682B"/>
    <w:rsid w:val="4D6C5536"/>
    <w:rsid w:val="4D7F134C"/>
    <w:rsid w:val="4D947C34"/>
    <w:rsid w:val="4DAD3AA0"/>
    <w:rsid w:val="4DC211B0"/>
    <w:rsid w:val="4DE72E07"/>
    <w:rsid w:val="4DEC4FB0"/>
    <w:rsid w:val="4DFA2A5E"/>
    <w:rsid w:val="4E075D8A"/>
    <w:rsid w:val="4E197388"/>
    <w:rsid w:val="4E2E3AE2"/>
    <w:rsid w:val="4E9763B3"/>
    <w:rsid w:val="4EC00FAD"/>
    <w:rsid w:val="4EC126AA"/>
    <w:rsid w:val="4F223C54"/>
    <w:rsid w:val="4F361873"/>
    <w:rsid w:val="4F4441F4"/>
    <w:rsid w:val="4F591A54"/>
    <w:rsid w:val="4F5A1355"/>
    <w:rsid w:val="4F6547DA"/>
    <w:rsid w:val="4F842277"/>
    <w:rsid w:val="4F8E51C8"/>
    <w:rsid w:val="4F9843DC"/>
    <w:rsid w:val="4F9B0FDE"/>
    <w:rsid w:val="4FC62A8C"/>
    <w:rsid w:val="4FE030EE"/>
    <w:rsid w:val="4FE20F0D"/>
    <w:rsid w:val="4FE51552"/>
    <w:rsid w:val="500F27D5"/>
    <w:rsid w:val="50175B9D"/>
    <w:rsid w:val="5019276B"/>
    <w:rsid w:val="50504C4B"/>
    <w:rsid w:val="50964618"/>
    <w:rsid w:val="509C6E7C"/>
    <w:rsid w:val="50A63F56"/>
    <w:rsid w:val="50C8686E"/>
    <w:rsid w:val="50E03D74"/>
    <w:rsid w:val="510734C7"/>
    <w:rsid w:val="511465B5"/>
    <w:rsid w:val="5162104E"/>
    <w:rsid w:val="517C704B"/>
    <w:rsid w:val="51A0063D"/>
    <w:rsid w:val="51B15B29"/>
    <w:rsid w:val="51C276E7"/>
    <w:rsid w:val="51C74CB3"/>
    <w:rsid w:val="526E48F5"/>
    <w:rsid w:val="52756B57"/>
    <w:rsid w:val="52826C42"/>
    <w:rsid w:val="52B56FEB"/>
    <w:rsid w:val="52BE22AC"/>
    <w:rsid w:val="52D90BA6"/>
    <w:rsid w:val="530F668E"/>
    <w:rsid w:val="535350EA"/>
    <w:rsid w:val="5391086E"/>
    <w:rsid w:val="539E7D07"/>
    <w:rsid w:val="53A039CC"/>
    <w:rsid w:val="53A1505A"/>
    <w:rsid w:val="54063E08"/>
    <w:rsid w:val="543437E8"/>
    <w:rsid w:val="543640C4"/>
    <w:rsid w:val="54412EFF"/>
    <w:rsid w:val="54760E5B"/>
    <w:rsid w:val="54A2071D"/>
    <w:rsid w:val="54A259DA"/>
    <w:rsid w:val="54AE00FE"/>
    <w:rsid w:val="54B576DE"/>
    <w:rsid w:val="54F05360"/>
    <w:rsid w:val="54F73313"/>
    <w:rsid w:val="54F80955"/>
    <w:rsid w:val="55111DB3"/>
    <w:rsid w:val="555170A7"/>
    <w:rsid w:val="55522B78"/>
    <w:rsid w:val="55644B37"/>
    <w:rsid w:val="55822F90"/>
    <w:rsid w:val="5587536D"/>
    <w:rsid w:val="55902DF0"/>
    <w:rsid w:val="5590667B"/>
    <w:rsid w:val="559B174B"/>
    <w:rsid w:val="55C03EFA"/>
    <w:rsid w:val="55CE0CF4"/>
    <w:rsid w:val="55E83D00"/>
    <w:rsid w:val="560E05C4"/>
    <w:rsid w:val="563B3DFE"/>
    <w:rsid w:val="56B22A9C"/>
    <w:rsid w:val="56E06D93"/>
    <w:rsid w:val="573332D2"/>
    <w:rsid w:val="57544F8D"/>
    <w:rsid w:val="57B44B4D"/>
    <w:rsid w:val="57B72A76"/>
    <w:rsid w:val="57C3426C"/>
    <w:rsid w:val="57C739B1"/>
    <w:rsid w:val="57CE1F93"/>
    <w:rsid w:val="57DC4895"/>
    <w:rsid w:val="582C6BD8"/>
    <w:rsid w:val="58523BC2"/>
    <w:rsid w:val="588743D1"/>
    <w:rsid w:val="5887701A"/>
    <w:rsid w:val="588B65C4"/>
    <w:rsid w:val="58D5034F"/>
    <w:rsid w:val="58F24A5D"/>
    <w:rsid w:val="5931179D"/>
    <w:rsid w:val="59446EE7"/>
    <w:rsid w:val="594F34CE"/>
    <w:rsid w:val="5979517E"/>
    <w:rsid w:val="59841787"/>
    <w:rsid w:val="59C0439F"/>
    <w:rsid w:val="59D34FB6"/>
    <w:rsid w:val="5A267EE4"/>
    <w:rsid w:val="5A345FAE"/>
    <w:rsid w:val="5A7476F4"/>
    <w:rsid w:val="5A882914"/>
    <w:rsid w:val="5ABE2233"/>
    <w:rsid w:val="5ACB7A4F"/>
    <w:rsid w:val="5ACB7C5C"/>
    <w:rsid w:val="5AE76118"/>
    <w:rsid w:val="5AEC3C3B"/>
    <w:rsid w:val="5B4E5440"/>
    <w:rsid w:val="5B4F263B"/>
    <w:rsid w:val="5B5C151D"/>
    <w:rsid w:val="5B7D2CDE"/>
    <w:rsid w:val="5BB04C2C"/>
    <w:rsid w:val="5BDF5D95"/>
    <w:rsid w:val="5BFE7528"/>
    <w:rsid w:val="5C1A7550"/>
    <w:rsid w:val="5CD5434D"/>
    <w:rsid w:val="5D0D455B"/>
    <w:rsid w:val="5D465377"/>
    <w:rsid w:val="5D4E06D0"/>
    <w:rsid w:val="5D5817B8"/>
    <w:rsid w:val="5DA8539B"/>
    <w:rsid w:val="5DFB0858"/>
    <w:rsid w:val="5E0C65C1"/>
    <w:rsid w:val="5E20206C"/>
    <w:rsid w:val="5E2467F1"/>
    <w:rsid w:val="5E4428C3"/>
    <w:rsid w:val="5E766130"/>
    <w:rsid w:val="5E941B34"/>
    <w:rsid w:val="5ED7208C"/>
    <w:rsid w:val="5F0A577B"/>
    <w:rsid w:val="5F0C53C6"/>
    <w:rsid w:val="5F1A2B43"/>
    <w:rsid w:val="5F5C5FB8"/>
    <w:rsid w:val="5FA9199E"/>
    <w:rsid w:val="5FB837BB"/>
    <w:rsid w:val="5FB960D2"/>
    <w:rsid w:val="60082AA9"/>
    <w:rsid w:val="601F5686"/>
    <w:rsid w:val="606F00D1"/>
    <w:rsid w:val="607544CD"/>
    <w:rsid w:val="60844B35"/>
    <w:rsid w:val="608A2795"/>
    <w:rsid w:val="608B742A"/>
    <w:rsid w:val="60C94994"/>
    <w:rsid w:val="60CC405A"/>
    <w:rsid w:val="60E76855"/>
    <w:rsid w:val="61007FD3"/>
    <w:rsid w:val="612B3202"/>
    <w:rsid w:val="612E2CF2"/>
    <w:rsid w:val="61441884"/>
    <w:rsid w:val="615A2C61"/>
    <w:rsid w:val="618B4015"/>
    <w:rsid w:val="619F24BE"/>
    <w:rsid w:val="61A905CB"/>
    <w:rsid w:val="61B62F4A"/>
    <w:rsid w:val="61C375DB"/>
    <w:rsid w:val="61E215D8"/>
    <w:rsid w:val="61F1371B"/>
    <w:rsid w:val="62137904"/>
    <w:rsid w:val="621B3775"/>
    <w:rsid w:val="62364782"/>
    <w:rsid w:val="623A09B2"/>
    <w:rsid w:val="62600B75"/>
    <w:rsid w:val="62721717"/>
    <w:rsid w:val="62917095"/>
    <w:rsid w:val="629403C4"/>
    <w:rsid w:val="62945132"/>
    <w:rsid w:val="62FB4E56"/>
    <w:rsid w:val="632E45C0"/>
    <w:rsid w:val="633914DA"/>
    <w:rsid w:val="634B6F1D"/>
    <w:rsid w:val="637B358C"/>
    <w:rsid w:val="63860BC4"/>
    <w:rsid w:val="6394356A"/>
    <w:rsid w:val="63A42D06"/>
    <w:rsid w:val="63C61B2C"/>
    <w:rsid w:val="63D40BE9"/>
    <w:rsid w:val="63E5763D"/>
    <w:rsid w:val="64102431"/>
    <w:rsid w:val="642E78AE"/>
    <w:rsid w:val="643F5E57"/>
    <w:rsid w:val="64852C29"/>
    <w:rsid w:val="648A6492"/>
    <w:rsid w:val="64A439A6"/>
    <w:rsid w:val="64A5243A"/>
    <w:rsid w:val="64A70733"/>
    <w:rsid w:val="64DD3F4F"/>
    <w:rsid w:val="64F531DE"/>
    <w:rsid w:val="65330398"/>
    <w:rsid w:val="65336B29"/>
    <w:rsid w:val="65373578"/>
    <w:rsid w:val="655B17D7"/>
    <w:rsid w:val="655B7E2E"/>
    <w:rsid w:val="655F0F2C"/>
    <w:rsid w:val="65A610A9"/>
    <w:rsid w:val="65AF0915"/>
    <w:rsid w:val="65C75A22"/>
    <w:rsid w:val="65E47E23"/>
    <w:rsid w:val="65ED0206"/>
    <w:rsid w:val="660653CC"/>
    <w:rsid w:val="665453F1"/>
    <w:rsid w:val="666953FA"/>
    <w:rsid w:val="666F1DE3"/>
    <w:rsid w:val="66F355D4"/>
    <w:rsid w:val="67087A71"/>
    <w:rsid w:val="671F124A"/>
    <w:rsid w:val="674F1917"/>
    <w:rsid w:val="677A33C6"/>
    <w:rsid w:val="67897B1A"/>
    <w:rsid w:val="6796784A"/>
    <w:rsid w:val="67B719E9"/>
    <w:rsid w:val="67C9107F"/>
    <w:rsid w:val="67D6076F"/>
    <w:rsid w:val="67DA6AE9"/>
    <w:rsid w:val="680736D8"/>
    <w:rsid w:val="681D1DF8"/>
    <w:rsid w:val="681F6961"/>
    <w:rsid w:val="682B70F9"/>
    <w:rsid w:val="68310758"/>
    <w:rsid w:val="68610A2F"/>
    <w:rsid w:val="68805514"/>
    <w:rsid w:val="68B059AC"/>
    <w:rsid w:val="68B319EB"/>
    <w:rsid w:val="68BA7BE6"/>
    <w:rsid w:val="68D37C3F"/>
    <w:rsid w:val="68DB3760"/>
    <w:rsid w:val="68FE744E"/>
    <w:rsid w:val="690507DD"/>
    <w:rsid w:val="692C10EA"/>
    <w:rsid w:val="69316E2F"/>
    <w:rsid w:val="69320EA6"/>
    <w:rsid w:val="694E2071"/>
    <w:rsid w:val="696251DE"/>
    <w:rsid w:val="6975354F"/>
    <w:rsid w:val="69766163"/>
    <w:rsid w:val="697A3B33"/>
    <w:rsid w:val="697F3E98"/>
    <w:rsid w:val="699B74C7"/>
    <w:rsid w:val="69B32B0D"/>
    <w:rsid w:val="69CC6296"/>
    <w:rsid w:val="69D230CB"/>
    <w:rsid w:val="69D44760"/>
    <w:rsid w:val="6A1A24A6"/>
    <w:rsid w:val="6A342D4C"/>
    <w:rsid w:val="6A3B3D8A"/>
    <w:rsid w:val="6A520EC7"/>
    <w:rsid w:val="6A53461B"/>
    <w:rsid w:val="6A662579"/>
    <w:rsid w:val="6A6D488B"/>
    <w:rsid w:val="6A84734E"/>
    <w:rsid w:val="6A8C3902"/>
    <w:rsid w:val="6A9516EC"/>
    <w:rsid w:val="6A9736B6"/>
    <w:rsid w:val="6AC738DA"/>
    <w:rsid w:val="6AF87E20"/>
    <w:rsid w:val="6B066BC9"/>
    <w:rsid w:val="6B234479"/>
    <w:rsid w:val="6B322639"/>
    <w:rsid w:val="6B3716CF"/>
    <w:rsid w:val="6B427AC6"/>
    <w:rsid w:val="6B4A30FB"/>
    <w:rsid w:val="6B762FFB"/>
    <w:rsid w:val="6B7B4319"/>
    <w:rsid w:val="6B835906"/>
    <w:rsid w:val="6BAF5C87"/>
    <w:rsid w:val="6BE17EDA"/>
    <w:rsid w:val="6C2062AB"/>
    <w:rsid w:val="6C215E63"/>
    <w:rsid w:val="6C3C6B8F"/>
    <w:rsid w:val="6C636C38"/>
    <w:rsid w:val="6C6548DB"/>
    <w:rsid w:val="6C752555"/>
    <w:rsid w:val="6CAB169B"/>
    <w:rsid w:val="6CBC2D77"/>
    <w:rsid w:val="6CEC1476"/>
    <w:rsid w:val="6D000BE4"/>
    <w:rsid w:val="6D0473B2"/>
    <w:rsid w:val="6D396CA7"/>
    <w:rsid w:val="6D4B15EF"/>
    <w:rsid w:val="6D6E293E"/>
    <w:rsid w:val="6D7F6FE9"/>
    <w:rsid w:val="6D800432"/>
    <w:rsid w:val="6DA52D29"/>
    <w:rsid w:val="6DB34098"/>
    <w:rsid w:val="6DB545B6"/>
    <w:rsid w:val="6DBE0F5A"/>
    <w:rsid w:val="6DE02FB4"/>
    <w:rsid w:val="6E072901"/>
    <w:rsid w:val="6E1123FF"/>
    <w:rsid w:val="6E44082E"/>
    <w:rsid w:val="6E514CED"/>
    <w:rsid w:val="6E5673E4"/>
    <w:rsid w:val="6E5905ED"/>
    <w:rsid w:val="6E5951E7"/>
    <w:rsid w:val="6E8B186F"/>
    <w:rsid w:val="6E9D62D5"/>
    <w:rsid w:val="6EB378BE"/>
    <w:rsid w:val="6EB563D5"/>
    <w:rsid w:val="6EB81C75"/>
    <w:rsid w:val="6EC1007C"/>
    <w:rsid w:val="6ED722D3"/>
    <w:rsid w:val="6ED92677"/>
    <w:rsid w:val="6EF42A20"/>
    <w:rsid w:val="6F225983"/>
    <w:rsid w:val="6F2E5B95"/>
    <w:rsid w:val="6FFC4D49"/>
    <w:rsid w:val="6FFC5590"/>
    <w:rsid w:val="6FFD7EAF"/>
    <w:rsid w:val="6FFE32A4"/>
    <w:rsid w:val="706D1DD0"/>
    <w:rsid w:val="70856B87"/>
    <w:rsid w:val="70B52AE8"/>
    <w:rsid w:val="70C17291"/>
    <w:rsid w:val="70D527EE"/>
    <w:rsid w:val="70DF1913"/>
    <w:rsid w:val="70F14129"/>
    <w:rsid w:val="70FB41E1"/>
    <w:rsid w:val="710C007F"/>
    <w:rsid w:val="711041C2"/>
    <w:rsid w:val="713339F3"/>
    <w:rsid w:val="715B5300"/>
    <w:rsid w:val="718F1599"/>
    <w:rsid w:val="71D27F8A"/>
    <w:rsid w:val="72035AD5"/>
    <w:rsid w:val="720E70E5"/>
    <w:rsid w:val="7216360B"/>
    <w:rsid w:val="7229305F"/>
    <w:rsid w:val="72317646"/>
    <w:rsid w:val="723355ED"/>
    <w:rsid w:val="72343EE1"/>
    <w:rsid w:val="723F6838"/>
    <w:rsid w:val="72553024"/>
    <w:rsid w:val="726F4AA3"/>
    <w:rsid w:val="72907369"/>
    <w:rsid w:val="72A11C3F"/>
    <w:rsid w:val="72A750F0"/>
    <w:rsid w:val="72A9536C"/>
    <w:rsid w:val="73093A66"/>
    <w:rsid w:val="73102258"/>
    <w:rsid w:val="73122968"/>
    <w:rsid w:val="73145DEA"/>
    <w:rsid w:val="731F5D5E"/>
    <w:rsid w:val="734C22E8"/>
    <w:rsid w:val="73721680"/>
    <w:rsid w:val="73A5553F"/>
    <w:rsid w:val="73A95C04"/>
    <w:rsid w:val="73B04727"/>
    <w:rsid w:val="73C51AD5"/>
    <w:rsid w:val="73C53EEB"/>
    <w:rsid w:val="73DD7E99"/>
    <w:rsid w:val="73F81896"/>
    <w:rsid w:val="74075A23"/>
    <w:rsid w:val="741E0336"/>
    <w:rsid w:val="741E793C"/>
    <w:rsid w:val="744512F5"/>
    <w:rsid w:val="745E3944"/>
    <w:rsid w:val="748C1DB2"/>
    <w:rsid w:val="74933140"/>
    <w:rsid w:val="74AF587A"/>
    <w:rsid w:val="74D021CC"/>
    <w:rsid w:val="74D06DFA"/>
    <w:rsid w:val="75664514"/>
    <w:rsid w:val="75671ED7"/>
    <w:rsid w:val="75880F51"/>
    <w:rsid w:val="75C82CFE"/>
    <w:rsid w:val="75F340D3"/>
    <w:rsid w:val="76024B05"/>
    <w:rsid w:val="7635099D"/>
    <w:rsid w:val="764E30F5"/>
    <w:rsid w:val="76852F5D"/>
    <w:rsid w:val="768C2C03"/>
    <w:rsid w:val="76AC4443"/>
    <w:rsid w:val="76BF73E1"/>
    <w:rsid w:val="76EA3D48"/>
    <w:rsid w:val="76F04E68"/>
    <w:rsid w:val="76F13846"/>
    <w:rsid w:val="76F436D6"/>
    <w:rsid w:val="76FE0619"/>
    <w:rsid w:val="77200F38"/>
    <w:rsid w:val="775D17E4"/>
    <w:rsid w:val="77762421"/>
    <w:rsid w:val="77B56B1F"/>
    <w:rsid w:val="77BD1520"/>
    <w:rsid w:val="77DE2925"/>
    <w:rsid w:val="77E34BBF"/>
    <w:rsid w:val="77FE4975"/>
    <w:rsid w:val="78042B76"/>
    <w:rsid w:val="780F09F4"/>
    <w:rsid w:val="7832288F"/>
    <w:rsid w:val="78327197"/>
    <w:rsid w:val="783726B7"/>
    <w:rsid w:val="78487A16"/>
    <w:rsid w:val="78491384"/>
    <w:rsid w:val="784B788E"/>
    <w:rsid w:val="78527F95"/>
    <w:rsid w:val="786E3BD1"/>
    <w:rsid w:val="787D0DB5"/>
    <w:rsid w:val="78A45073"/>
    <w:rsid w:val="78A90480"/>
    <w:rsid w:val="78BF0689"/>
    <w:rsid w:val="78D76701"/>
    <w:rsid w:val="78F3316E"/>
    <w:rsid w:val="78FE0E86"/>
    <w:rsid w:val="790C75C7"/>
    <w:rsid w:val="79342F77"/>
    <w:rsid w:val="79706DE0"/>
    <w:rsid w:val="797D7A7F"/>
    <w:rsid w:val="79921C19"/>
    <w:rsid w:val="79A310D4"/>
    <w:rsid w:val="79D13A24"/>
    <w:rsid w:val="79F93E93"/>
    <w:rsid w:val="7A023F54"/>
    <w:rsid w:val="7A075733"/>
    <w:rsid w:val="7A3040F5"/>
    <w:rsid w:val="7A364017"/>
    <w:rsid w:val="7A590988"/>
    <w:rsid w:val="7A5F5EC1"/>
    <w:rsid w:val="7A69077B"/>
    <w:rsid w:val="7A7E705F"/>
    <w:rsid w:val="7A8265E1"/>
    <w:rsid w:val="7AA60479"/>
    <w:rsid w:val="7AAA201F"/>
    <w:rsid w:val="7AB74574"/>
    <w:rsid w:val="7B0B661E"/>
    <w:rsid w:val="7B362A78"/>
    <w:rsid w:val="7B3C538E"/>
    <w:rsid w:val="7B4C70F3"/>
    <w:rsid w:val="7B686D42"/>
    <w:rsid w:val="7B7470FC"/>
    <w:rsid w:val="7B7D40A6"/>
    <w:rsid w:val="7B841746"/>
    <w:rsid w:val="7B89704B"/>
    <w:rsid w:val="7B975DAC"/>
    <w:rsid w:val="7BA82956"/>
    <w:rsid w:val="7BE2047E"/>
    <w:rsid w:val="7C29201E"/>
    <w:rsid w:val="7C557468"/>
    <w:rsid w:val="7C6C5AC7"/>
    <w:rsid w:val="7C77581A"/>
    <w:rsid w:val="7C782867"/>
    <w:rsid w:val="7C7B6148"/>
    <w:rsid w:val="7C9347D2"/>
    <w:rsid w:val="7C975798"/>
    <w:rsid w:val="7CC6544B"/>
    <w:rsid w:val="7CCB2334"/>
    <w:rsid w:val="7D0239FF"/>
    <w:rsid w:val="7D0E375F"/>
    <w:rsid w:val="7D5E40CD"/>
    <w:rsid w:val="7DC379D6"/>
    <w:rsid w:val="7DCD56F2"/>
    <w:rsid w:val="7E137C0B"/>
    <w:rsid w:val="7E37640D"/>
    <w:rsid w:val="7E513CAE"/>
    <w:rsid w:val="7E584065"/>
    <w:rsid w:val="7E9555D7"/>
    <w:rsid w:val="7EB50B00"/>
    <w:rsid w:val="7EBE0DBA"/>
    <w:rsid w:val="7EC15C9E"/>
    <w:rsid w:val="7EC93025"/>
    <w:rsid w:val="7EE34CC4"/>
    <w:rsid w:val="7EEA2249"/>
    <w:rsid w:val="7EEB5927"/>
    <w:rsid w:val="7F001CE7"/>
    <w:rsid w:val="7F067AF6"/>
    <w:rsid w:val="7F435763"/>
    <w:rsid w:val="7F512A56"/>
    <w:rsid w:val="7F5E63AE"/>
    <w:rsid w:val="7F8D69DE"/>
    <w:rsid w:val="7FAC7684"/>
    <w:rsid w:val="7FC44AF6"/>
    <w:rsid w:val="7FDB3BED"/>
    <w:rsid w:val="7FE47E50"/>
    <w:rsid w:val="7FE67A7B"/>
    <w:rsid w:val="D5C3CB3E"/>
    <w:rsid w:val="D9F7B6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9"/>
    <w:pPr>
      <w:spacing w:line="360" w:lineRule="auto"/>
      <w:ind w:firstLine="200" w:firstLineChars="200"/>
      <w:jc w:val="left"/>
      <w:outlineLvl w:val="1"/>
    </w:pPr>
    <w:rPr>
      <w:rFonts w:eastAsia="黑体"/>
      <w:bCs/>
      <w:sz w:val="28"/>
      <w:szCs w:val="32"/>
    </w:rPr>
  </w:style>
  <w:style w:type="paragraph" w:styleId="4">
    <w:name w:val="heading 3"/>
    <w:basedOn w:val="1"/>
    <w:next w:val="1"/>
    <w:semiHidden/>
    <w:unhideWhenUsed/>
    <w:qFormat/>
    <w:locked/>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locked/>
    <w:uiPriority w:val="0"/>
    <w:pPr>
      <w:ind w:firstLine="420" w:firstLineChars="200"/>
    </w:pPr>
    <w:rPr>
      <w:rFonts w:ascii="宋体" w:hAnsi="宋体"/>
    </w:rPr>
  </w:style>
  <w:style w:type="paragraph" w:styleId="6">
    <w:name w:val="annotation text"/>
    <w:basedOn w:val="1"/>
    <w:link w:val="41"/>
    <w:semiHidden/>
    <w:qFormat/>
    <w:uiPriority w:val="0"/>
    <w:pPr>
      <w:jc w:val="left"/>
      <w:pPrChange w:id="0" w:author="辽佳 解" w:date="2024-01-10T15:46:00Z">
        <w:pPr>
          <w:widowControl w:val="0"/>
        </w:pPr>
      </w:pPrChange>
    </w:pPr>
    <w:rPr>
      <w:kern w:val="0"/>
      <w:sz w:val="24"/>
      <w:szCs w:val="20"/>
      <w:rPrChange w:id="1" w:author="辽佳 解" w:date="2024-01-10T15:46:00Z">
        <w:rPr>
          <w:rFonts w:eastAsia="宋体"/>
          <w:sz w:val="24"/>
          <w:lang w:val="en-US" w:eastAsia="zh-CN" w:bidi="ar-SA"/>
        </w:rPr>
      </w:rPrChange>
    </w:rPr>
  </w:style>
  <w:style w:type="paragraph" w:styleId="7">
    <w:name w:val="Body Text"/>
    <w:basedOn w:val="1"/>
    <w:next w:val="1"/>
    <w:link w:val="42"/>
    <w:qFormat/>
    <w:uiPriority w:val="0"/>
    <w:pPr>
      <w:widowControl/>
      <w:snapToGrid w:val="0"/>
      <w:spacing w:before="60" w:after="160" w:line="259" w:lineRule="auto"/>
      <w:ind w:right="113"/>
    </w:pPr>
    <w:rPr>
      <w:kern w:val="0"/>
      <w:sz w:val="18"/>
      <w:szCs w:val="20"/>
    </w:rPr>
  </w:style>
  <w:style w:type="paragraph" w:styleId="8">
    <w:name w:val="Body Text Indent"/>
    <w:basedOn w:val="1"/>
    <w:next w:val="9"/>
    <w:link w:val="43"/>
    <w:qFormat/>
    <w:uiPriority w:val="0"/>
    <w:pPr>
      <w:spacing w:after="120"/>
      <w:ind w:left="420" w:leftChars="200"/>
    </w:pPr>
    <w:rPr>
      <w:kern w:val="0"/>
      <w:sz w:val="24"/>
      <w:szCs w:val="20"/>
    </w:rPr>
  </w:style>
  <w:style w:type="paragraph" w:customStyle="1" w:styleId="9">
    <w:name w:val="样式 正文文本缩进 + 行距: 1.5 倍行距"/>
    <w:basedOn w:val="1"/>
    <w:qFormat/>
    <w:uiPriority w:val="0"/>
    <w:pPr>
      <w:spacing w:after="120" w:line="360" w:lineRule="auto"/>
      <w:ind w:left="90" w:leftChars="32" w:firstLine="560" w:firstLineChars="200"/>
    </w:pPr>
    <w:rPr>
      <w:rFonts w:cs="宋体"/>
    </w:rPr>
  </w:style>
  <w:style w:type="paragraph" w:styleId="10">
    <w:name w:val="Plain Text"/>
    <w:basedOn w:val="1"/>
    <w:qFormat/>
    <w:locked/>
    <w:uiPriority w:val="0"/>
    <w:rPr>
      <w:rFonts w:ascii="宋体" w:hAnsi="Courier New"/>
    </w:rPr>
  </w:style>
  <w:style w:type="paragraph" w:styleId="11">
    <w:name w:val="Date"/>
    <w:basedOn w:val="1"/>
    <w:next w:val="1"/>
    <w:link w:val="44"/>
    <w:qFormat/>
    <w:uiPriority w:val="0"/>
    <w:pPr>
      <w:ind w:left="100" w:leftChars="2500"/>
    </w:pPr>
    <w:rPr>
      <w:kern w:val="0"/>
      <w:sz w:val="24"/>
      <w:szCs w:val="20"/>
    </w:rPr>
  </w:style>
  <w:style w:type="paragraph" w:styleId="12">
    <w:name w:val="Body Text Indent 2"/>
    <w:basedOn w:val="1"/>
    <w:next w:val="13"/>
    <w:unhideWhenUsed/>
    <w:qFormat/>
    <w:locked/>
    <w:uiPriority w:val="0"/>
    <w:pPr>
      <w:spacing w:after="120" w:line="480" w:lineRule="auto"/>
      <w:ind w:left="420" w:leftChars="200"/>
    </w:pPr>
    <w:rPr>
      <w:rFonts w:ascii="宋体"/>
      <w:sz w:val="28"/>
    </w:rPr>
  </w:style>
  <w:style w:type="paragraph" w:customStyle="1" w:styleId="13">
    <w:name w:val="表格文字"/>
    <w:basedOn w:val="14"/>
    <w:next w:val="1"/>
    <w:qFormat/>
    <w:uiPriority w:val="0"/>
    <w:pPr>
      <w:adjustRightInd w:val="0"/>
      <w:jc w:val="center"/>
    </w:pPr>
    <w:rPr>
      <w:kern w:val="0"/>
    </w:rPr>
  </w:style>
  <w:style w:type="paragraph" w:customStyle="1" w:styleId="14">
    <w:name w:val="表格编号"/>
    <w:basedOn w:val="1"/>
    <w:next w:val="13"/>
    <w:qFormat/>
    <w:uiPriority w:val="0"/>
    <w:pPr>
      <w:snapToGrid w:val="0"/>
      <w:spacing w:line="20" w:lineRule="atLeast"/>
    </w:pPr>
  </w:style>
  <w:style w:type="paragraph" w:styleId="15">
    <w:name w:val="Balloon Text"/>
    <w:basedOn w:val="1"/>
    <w:link w:val="45"/>
    <w:semiHidden/>
    <w:qFormat/>
    <w:uiPriority w:val="0"/>
    <w:rPr>
      <w:kern w:val="0"/>
      <w:sz w:val="18"/>
      <w:szCs w:val="20"/>
    </w:rPr>
  </w:style>
  <w:style w:type="paragraph" w:styleId="16">
    <w:name w:val="footer"/>
    <w:basedOn w:val="1"/>
    <w:next w:val="1"/>
    <w:link w:val="46"/>
    <w:qFormat/>
    <w:uiPriority w:val="99"/>
    <w:pPr>
      <w:tabs>
        <w:tab w:val="center" w:pos="4153"/>
        <w:tab w:val="right" w:pos="8306"/>
      </w:tabs>
      <w:snapToGrid w:val="0"/>
      <w:jc w:val="left"/>
    </w:pPr>
    <w:rPr>
      <w:kern w:val="0"/>
      <w:sz w:val="18"/>
      <w:szCs w:val="20"/>
    </w:rPr>
  </w:style>
  <w:style w:type="paragraph" w:styleId="17">
    <w:name w:val="header"/>
    <w:basedOn w:val="1"/>
    <w:link w:val="47"/>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List"/>
    <w:basedOn w:val="1"/>
    <w:qFormat/>
    <w:locked/>
    <w:uiPriority w:val="0"/>
    <w:pPr>
      <w:ind w:left="200" w:hanging="200" w:hangingChars="200"/>
    </w:pPr>
  </w:style>
  <w:style w:type="paragraph" w:styleId="19">
    <w:name w:val="Body Text 2"/>
    <w:basedOn w:val="1"/>
    <w:qFormat/>
    <w:locked/>
    <w:uiPriority w:val="0"/>
    <w:pPr>
      <w:jc w:val="left"/>
    </w:pPr>
    <w:rPr>
      <w:sz w:val="28"/>
    </w:rPr>
  </w:style>
  <w:style w:type="paragraph" w:styleId="20">
    <w:name w:val="Normal (Web)"/>
    <w:basedOn w:val="1"/>
    <w:link w:val="48"/>
    <w:qFormat/>
    <w:uiPriority w:val="0"/>
    <w:pPr>
      <w:widowControl/>
      <w:spacing w:before="100" w:beforeAutospacing="1" w:after="100" w:afterAutospacing="1"/>
      <w:jc w:val="left"/>
    </w:pPr>
    <w:rPr>
      <w:rFonts w:ascii="宋体" w:hAnsi="宋体"/>
      <w:kern w:val="0"/>
      <w:sz w:val="24"/>
      <w:szCs w:val="20"/>
    </w:rPr>
  </w:style>
  <w:style w:type="paragraph" w:styleId="21">
    <w:name w:val="Title"/>
    <w:basedOn w:val="1"/>
    <w:next w:val="1"/>
    <w:qFormat/>
    <w:locked/>
    <w:uiPriority w:val="0"/>
    <w:pPr>
      <w:spacing w:before="240" w:after="240"/>
      <w:jc w:val="center"/>
      <w:outlineLvl w:val="0"/>
    </w:pPr>
    <w:rPr>
      <w:rFonts w:eastAsia="黑体"/>
      <w:bCs/>
      <w:sz w:val="30"/>
      <w:szCs w:val="32"/>
      <w:lang w:val="zh-CN"/>
    </w:rPr>
  </w:style>
  <w:style w:type="paragraph" w:styleId="22">
    <w:name w:val="annotation subject"/>
    <w:basedOn w:val="6"/>
    <w:next w:val="6"/>
    <w:link w:val="49"/>
    <w:semiHidden/>
    <w:qFormat/>
    <w:uiPriority w:val="0"/>
    <w:rPr>
      <w:b/>
    </w:rPr>
  </w:style>
  <w:style w:type="paragraph" w:styleId="23">
    <w:name w:val="Body Text First Indent"/>
    <w:basedOn w:val="7"/>
    <w:next w:val="1"/>
    <w:qFormat/>
    <w:locked/>
    <w:uiPriority w:val="0"/>
    <w:pPr>
      <w:widowControl w:val="0"/>
      <w:spacing w:before="0" w:after="120"/>
      <w:ind w:right="0" w:firstLine="420" w:firstLineChars="100"/>
    </w:pPr>
    <w:rPr>
      <w:sz w:val="21"/>
    </w:rPr>
  </w:style>
  <w:style w:type="paragraph" w:styleId="24">
    <w:name w:val="Body Text First Indent 2"/>
    <w:basedOn w:val="8"/>
    <w:next w:val="1"/>
    <w:qFormat/>
    <w:locked/>
    <w:uiPriority w:val="0"/>
    <w:pPr>
      <w:ind w:firstLine="420"/>
    </w:pPr>
    <w:rPr>
      <w:sz w:val="20"/>
    </w:r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locked/>
    <w:uiPriority w:val="0"/>
  </w:style>
  <w:style w:type="character" w:styleId="29">
    <w:name w:val="Emphasis"/>
    <w:basedOn w:val="27"/>
    <w:qFormat/>
    <w:locked/>
    <w:uiPriority w:val="0"/>
    <w:rPr>
      <w:i/>
    </w:rPr>
  </w:style>
  <w:style w:type="character" w:styleId="30">
    <w:name w:val="Hyperlink"/>
    <w:basedOn w:val="27"/>
    <w:qFormat/>
    <w:locked/>
    <w:uiPriority w:val="0"/>
    <w:rPr>
      <w:color w:val="0000FF"/>
      <w:u w:val="single"/>
    </w:rPr>
  </w:style>
  <w:style w:type="character" w:styleId="31">
    <w:name w:val="annotation reference"/>
    <w:semiHidden/>
    <w:qFormat/>
    <w:uiPriority w:val="0"/>
    <w:rPr>
      <w:sz w:val="21"/>
    </w:rPr>
  </w:style>
  <w:style w:type="paragraph" w:customStyle="1" w:styleId="32">
    <w:name w:val="正文首行缩进 21"/>
    <w:basedOn w:val="8"/>
    <w:next w:val="1"/>
    <w:qFormat/>
    <w:uiPriority w:val="0"/>
    <w:pPr>
      <w:spacing w:before="100" w:beforeAutospacing="1"/>
      <w:ind w:firstLine="420"/>
    </w:pPr>
    <w:rPr>
      <w:rFonts w:cs="宋体"/>
      <w:sz w:val="28"/>
      <w:szCs w:val="28"/>
    </w:rPr>
  </w:style>
  <w:style w:type="paragraph" w:customStyle="1" w:styleId="33">
    <w:name w:val="正文（缩进）"/>
    <w:basedOn w:val="34"/>
    <w:next w:val="1"/>
    <w:qFormat/>
    <w:uiPriority w:val="99"/>
    <w:pPr>
      <w:spacing w:line="360" w:lineRule="auto"/>
      <w:ind w:firstLine="480"/>
    </w:pPr>
  </w:style>
  <w:style w:type="paragraph" w:customStyle="1" w:styleId="34">
    <w:name w:val="正文(首行缩进)"/>
    <w:basedOn w:val="1"/>
    <w:qFormat/>
    <w:uiPriority w:val="0"/>
    <w:pPr>
      <w:spacing w:line="460" w:lineRule="exact"/>
      <w:ind w:firstLine="560" w:firstLineChars="200"/>
    </w:pPr>
    <w:rPr>
      <w:rFonts w:ascii="宋体" w:hAnsi="宋体"/>
      <w:snapToGrid w:val="0"/>
      <w:color w:val="000000"/>
      <w:kern w:val="0"/>
    </w:rPr>
  </w:style>
  <w:style w:type="paragraph" w:customStyle="1" w:styleId="35">
    <w:name w:val="样式 正文缩进正文缩进2正文缩进 Char Char正文缩进 Char Char Char Char正文缩进 Char ..."/>
    <w:basedOn w:val="5"/>
    <w:qFormat/>
    <w:uiPriority w:val="0"/>
    <w:pPr>
      <w:spacing w:line="360" w:lineRule="auto"/>
      <w:ind w:firstLine="200"/>
    </w:pPr>
    <w:rPr>
      <w:rFonts w:cs="宋体"/>
      <w:sz w:val="24"/>
    </w:rPr>
  </w:style>
  <w:style w:type="paragraph" w:customStyle="1" w:styleId="36">
    <w:name w:val="正文."/>
    <w:basedOn w:val="1"/>
    <w:qFormat/>
    <w:uiPriority w:val="0"/>
  </w:style>
  <w:style w:type="paragraph" w:customStyle="1" w:styleId="37">
    <w:name w:val="Default"/>
    <w:basedOn w:val="38"/>
    <w:qFormat/>
    <w:uiPriority w:val="0"/>
    <w:pPr>
      <w:autoSpaceDE w:val="0"/>
      <w:autoSpaceDN w:val="0"/>
      <w:adjustRightInd w:val="0"/>
      <w:ind w:left="0"/>
    </w:pPr>
    <w:rPr>
      <w:rFonts w:hint="eastAsia" w:ascii="黑体" w:hAnsi="宋体"/>
      <w:color w:val="000000"/>
      <w:sz w:val="24"/>
      <w:szCs w:val="24"/>
    </w:rPr>
  </w:style>
  <w:style w:type="paragraph" w:customStyle="1" w:styleId="38">
    <w:name w:val="纯文本1"/>
    <w:basedOn w:val="1"/>
    <w:qFormat/>
    <w:uiPriority w:val="0"/>
    <w:rPr>
      <w:rFonts w:hint="eastAsia" w:ascii="宋体" w:hAnsi="Courier New"/>
      <w:szCs w:val="22"/>
    </w:rPr>
  </w:style>
  <w:style w:type="paragraph" w:customStyle="1" w:styleId="39">
    <w:name w:val="标题2"/>
    <w:basedOn w:val="3"/>
    <w:qFormat/>
    <w:uiPriority w:val="0"/>
    <w:pPr>
      <w:numPr>
        <w:ilvl w:val="1"/>
        <w:numId w:val="1"/>
      </w:numPr>
      <w:spacing w:line="440" w:lineRule="exact"/>
    </w:pPr>
    <w:rPr>
      <w:kern w:val="0"/>
    </w:rPr>
  </w:style>
  <w:style w:type="paragraph" w:customStyle="1" w:styleId="40">
    <w:name w:val="1正文段落"/>
    <w:basedOn w:val="1"/>
    <w:qFormat/>
    <w:uiPriority w:val="99"/>
    <w:pPr>
      <w:spacing w:line="360" w:lineRule="auto"/>
      <w:ind w:firstLine="480" w:firstLineChars="200"/>
      <w:jc w:val="left"/>
    </w:pPr>
    <w:rPr>
      <w:snapToGrid w:val="0"/>
      <w:kern w:val="0"/>
      <w:sz w:val="24"/>
    </w:rPr>
  </w:style>
  <w:style w:type="character" w:customStyle="1" w:styleId="41">
    <w:name w:val="批注文字 字符"/>
    <w:link w:val="6"/>
    <w:semiHidden/>
    <w:qFormat/>
    <w:locked/>
    <w:uiPriority w:val="0"/>
    <w:rPr>
      <w:sz w:val="24"/>
    </w:rPr>
  </w:style>
  <w:style w:type="character" w:customStyle="1" w:styleId="42">
    <w:name w:val="正文文本 字符"/>
    <w:link w:val="7"/>
    <w:qFormat/>
    <w:locked/>
    <w:uiPriority w:val="0"/>
    <w:rPr>
      <w:sz w:val="18"/>
    </w:rPr>
  </w:style>
  <w:style w:type="character" w:customStyle="1" w:styleId="43">
    <w:name w:val="正文文本缩进 字符"/>
    <w:link w:val="8"/>
    <w:semiHidden/>
    <w:qFormat/>
    <w:locked/>
    <w:uiPriority w:val="0"/>
    <w:rPr>
      <w:rFonts w:ascii="Times New Roman" w:hAnsi="Times New Roman" w:eastAsia="宋体"/>
      <w:sz w:val="24"/>
    </w:rPr>
  </w:style>
  <w:style w:type="character" w:customStyle="1" w:styleId="44">
    <w:name w:val="日期 字符1"/>
    <w:link w:val="11"/>
    <w:qFormat/>
    <w:locked/>
    <w:uiPriority w:val="0"/>
    <w:rPr>
      <w:rFonts w:ascii="Times New Roman" w:hAnsi="Times New Roman" w:eastAsia="宋体"/>
      <w:sz w:val="24"/>
    </w:rPr>
  </w:style>
  <w:style w:type="character" w:customStyle="1" w:styleId="45">
    <w:name w:val="批注框文本 字符"/>
    <w:link w:val="15"/>
    <w:semiHidden/>
    <w:qFormat/>
    <w:locked/>
    <w:uiPriority w:val="0"/>
    <w:rPr>
      <w:rFonts w:ascii="Times New Roman" w:hAnsi="Times New Roman" w:eastAsia="宋体"/>
      <w:sz w:val="18"/>
    </w:rPr>
  </w:style>
  <w:style w:type="character" w:customStyle="1" w:styleId="46">
    <w:name w:val="页脚 字符1"/>
    <w:link w:val="16"/>
    <w:qFormat/>
    <w:locked/>
    <w:uiPriority w:val="99"/>
    <w:rPr>
      <w:sz w:val="18"/>
    </w:rPr>
  </w:style>
  <w:style w:type="character" w:customStyle="1" w:styleId="47">
    <w:name w:val="页眉 字符"/>
    <w:link w:val="17"/>
    <w:qFormat/>
    <w:locked/>
    <w:uiPriority w:val="0"/>
    <w:rPr>
      <w:sz w:val="18"/>
    </w:rPr>
  </w:style>
  <w:style w:type="character" w:customStyle="1" w:styleId="48">
    <w:name w:val="普通(网站) 字符"/>
    <w:link w:val="20"/>
    <w:qFormat/>
    <w:locked/>
    <w:uiPriority w:val="0"/>
    <w:rPr>
      <w:rFonts w:ascii="宋体" w:hAnsi="宋体" w:eastAsia="宋体"/>
      <w:sz w:val="24"/>
    </w:rPr>
  </w:style>
  <w:style w:type="character" w:customStyle="1" w:styleId="49">
    <w:name w:val="批注主题 字符"/>
    <w:link w:val="22"/>
    <w:semiHidden/>
    <w:qFormat/>
    <w:locked/>
    <w:uiPriority w:val="0"/>
    <w:rPr>
      <w:rFonts w:ascii="Times New Roman" w:hAnsi="Times New Roman" w:eastAsia="宋体"/>
      <w:b/>
      <w:kern w:val="2"/>
      <w:sz w:val="24"/>
    </w:rPr>
  </w:style>
  <w:style w:type="character" w:customStyle="1" w:styleId="50">
    <w:name w:val="页脚 字符"/>
    <w:basedOn w:val="27"/>
    <w:qFormat/>
    <w:uiPriority w:val="99"/>
  </w:style>
  <w:style w:type="character" w:customStyle="1" w:styleId="51">
    <w:name w:val="正文文本 字符1"/>
    <w:semiHidden/>
    <w:qFormat/>
    <w:uiPriority w:val="0"/>
    <w:rPr>
      <w:rFonts w:ascii="Times New Roman" w:hAnsi="Times New Roman" w:eastAsia="宋体"/>
      <w:sz w:val="24"/>
    </w:rPr>
  </w:style>
  <w:style w:type="character" w:customStyle="1" w:styleId="52">
    <w:name w:val="表格 Char"/>
    <w:link w:val="53"/>
    <w:qFormat/>
    <w:locked/>
    <w:uiPriority w:val="0"/>
    <w:rPr>
      <w:rFonts w:ascii="宋体"/>
      <w:sz w:val="21"/>
    </w:rPr>
  </w:style>
  <w:style w:type="paragraph" w:customStyle="1" w:styleId="53">
    <w:name w:val="表格"/>
    <w:basedOn w:val="5"/>
    <w:next w:val="1"/>
    <w:link w:val="52"/>
    <w:qFormat/>
    <w:uiPriority w:val="0"/>
    <w:pPr>
      <w:adjustRightInd w:val="0"/>
      <w:snapToGrid w:val="0"/>
      <w:spacing w:beforeLines="10" w:afterLines="10" w:line="259" w:lineRule="auto"/>
      <w:jc w:val="center"/>
    </w:pPr>
    <w:rPr>
      <w:rFonts w:ascii="宋体"/>
      <w:kern w:val="0"/>
      <w:szCs w:val="20"/>
    </w:rPr>
  </w:style>
  <w:style w:type="paragraph" w:customStyle="1" w:styleId="54">
    <w:name w:val="Normal Indent1"/>
    <w:basedOn w:val="1"/>
    <w:qFormat/>
    <w:uiPriority w:val="0"/>
    <w:pPr>
      <w:ind w:firstLine="420"/>
    </w:pPr>
  </w:style>
  <w:style w:type="character" w:customStyle="1" w:styleId="55">
    <w:name w:val="日期 字符"/>
    <w:semiHidden/>
    <w:qFormat/>
    <w:uiPriority w:val="0"/>
    <w:rPr>
      <w:rFonts w:ascii="Times New Roman" w:hAnsi="Times New Roman" w:eastAsia="宋体"/>
      <w:sz w:val="24"/>
    </w:rPr>
  </w:style>
  <w:style w:type="character" w:customStyle="1" w:styleId="56">
    <w:name w:val="批注文字 字符1"/>
    <w:semiHidden/>
    <w:qFormat/>
    <w:uiPriority w:val="0"/>
    <w:rPr>
      <w:rFonts w:ascii="Times New Roman" w:hAnsi="Times New Roman" w:eastAsia="宋体"/>
      <w:sz w:val="24"/>
    </w:rPr>
  </w:style>
  <w:style w:type="paragraph" w:customStyle="1" w:styleId="5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59">
    <w:name w:val="文章正文 Char Char"/>
    <w:link w:val="60"/>
    <w:qFormat/>
    <w:locked/>
    <w:uiPriority w:val="0"/>
    <w:rPr>
      <w:kern w:val="0"/>
      <w:sz w:val="24"/>
      <w:szCs w:val="20"/>
    </w:rPr>
  </w:style>
  <w:style w:type="paragraph" w:customStyle="1" w:styleId="60">
    <w:name w:val="文章正文"/>
    <w:basedOn w:val="1"/>
    <w:link w:val="59"/>
    <w:qFormat/>
    <w:uiPriority w:val="0"/>
    <w:pPr>
      <w:spacing w:line="440" w:lineRule="exact"/>
      <w:ind w:firstLine="600" w:firstLineChars="200"/>
    </w:pPr>
    <w:rPr>
      <w:kern w:val="0"/>
      <w:sz w:val="24"/>
      <w:szCs w:val="20"/>
    </w:rPr>
  </w:style>
  <w:style w:type="paragraph" w:customStyle="1" w:styleId="61">
    <w:name w:val="正文样式100"/>
    <w:basedOn w:val="1"/>
    <w:qFormat/>
    <w:uiPriority w:val="0"/>
    <w:pPr>
      <w:spacing w:line="360" w:lineRule="auto"/>
      <w:ind w:firstLine="480" w:firstLineChars="200"/>
    </w:pPr>
    <w:rPr>
      <w:rFonts w:ascii="宋体" w:hAnsi="Courier New" w:cs="Courier New"/>
      <w:sz w:val="24"/>
      <w:szCs w:val="21"/>
    </w:rPr>
  </w:style>
  <w:style w:type="paragraph" w:customStyle="1" w:styleId="62">
    <w:name w:val="Table Paragraph"/>
    <w:basedOn w:val="1"/>
    <w:qFormat/>
    <w:uiPriority w:val="1"/>
    <w:rPr>
      <w:rFonts w:eastAsia="Times New Roman"/>
      <w:lang w:val="zh-CN" w:bidi="zh-CN"/>
    </w:rPr>
  </w:style>
  <w:style w:type="paragraph" w:customStyle="1" w:styleId="63">
    <w:name w:val="环评列表"/>
    <w:basedOn w:val="18"/>
    <w:qFormat/>
    <w:uiPriority w:val="0"/>
    <w:pPr>
      <w:ind w:left="0"/>
      <w:jc w:val="center"/>
    </w:pPr>
    <w:rPr>
      <w:kern w:val="0"/>
      <w:sz w:val="20"/>
      <w:szCs w:val="20"/>
    </w:rPr>
  </w:style>
  <w:style w:type="paragraph" w:customStyle="1" w:styleId="64">
    <w:name w:val="1正文"/>
    <w:basedOn w:val="1"/>
    <w:qFormat/>
    <w:uiPriority w:val="0"/>
    <w:pPr>
      <w:adjustRightInd w:val="0"/>
      <w:snapToGrid w:val="0"/>
      <w:spacing w:line="360" w:lineRule="auto"/>
      <w:ind w:firstLine="480" w:firstLineChars="200"/>
    </w:pPr>
    <w:rPr>
      <w:sz w:val="24"/>
    </w:rPr>
  </w:style>
  <w:style w:type="paragraph" w:customStyle="1" w:styleId="65">
    <w:name w:val="李发荣个人正文"/>
    <w:basedOn w:val="1"/>
    <w:next w:val="1"/>
    <w:qFormat/>
    <w:uiPriority w:val="0"/>
    <w:pPr>
      <w:spacing w:line="360" w:lineRule="auto"/>
      <w:ind w:firstLine="504" w:firstLineChars="200"/>
    </w:pPr>
    <w:rPr>
      <w:rFonts w:hint="eastAsia" w:ascii="宋体" w:hAnsi="宋体"/>
      <w:kern w:val="0"/>
      <w:sz w:val="24"/>
    </w:rPr>
  </w:style>
  <w:style w:type="paragraph" w:customStyle="1" w:styleId="66">
    <w:name w:val="Other|1"/>
    <w:basedOn w:val="1"/>
    <w:qFormat/>
    <w:uiPriority w:val="0"/>
    <w:pPr>
      <w:spacing w:after="220" w:line="480" w:lineRule="auto"/>
      <w:ind w:firstLine="400"/>
    </w:pPr>
    <w:rPr>
      <w:rFonts w:ascii="宋体" w:hAnsi="宋体" w:cs="宋体"/>
      <w:sz w:val="20"/>
      <w:szCs w:val="20"/>
      <w:lang w:val="zh-TW" w:eastAsia="zh-TW" w:bidi="zh-TW"/>
    </w:rPr>
  </w:style>
  <w:style w:type="paragraph" w:customStyle="1" w:styleId="67">
    <w:name w:val="正文12"/>
    <w:basedOn w:val="1"/>
    <w:qFormat/>
    <w:uiPriority w:val="0"/>
    <w:pPr>
      <w:adjustRightInd w:val="0"/>
      <w:snapToGrid w:val="0"/>
      <w:spacing w:line="360" w:lineRule="auto"/>
      <w:ind w:firstLine="200" w:firstLineChars="200"/>
      <w:jc w:val="left"/>
    </w:pPr>
    <w:rPr>
      <w:kern w:val="0"/>
      <w:szCs w:val="21"/>
    </w:rPr>
  </w:style>
  <w:style w:type="paragraph" w:customStyle="1" w:styleId="68">
    <w:name w:val="表内文字"/>
    <w:basedOn w:val="69"/>
    <w:next w:val="1"/>
    <w:qFormat/>
    <w:uiPriority w:val="0"/>
    <w:rPr>
      <w:rFonts w:eastAsia="宋体"/>
    </w:rPr>
  </w:style>
  <w:style w:type="paragraph" w:customStyle="1" w:styleId="69">
    <w:name w:val="表头11"/>
    <w:basedOn w:val="1"/>
    <w:next w:val="1"/>
    <w:qFormat/>
    <w:uiPriority w:val="0"/>
    <w:pPr>
      <w:adjustRightInd w:val="0"/>
      <w:snapToGrid w:val="0"/>
    </w:pPr>
    <w:rPr>
      <w:rFonts w:eastAsia="黑体"/>
    </w:rPr>
  </w:style>
  <w:style w:type="paragraph" w:customStyle="1" w:styleId="70">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71">
    <w:name w:val="font11"/>
    <w:qFormat/>
    <w:uiPriority w:val="0"/>
    <w:rPr>
      <w:rFonts w:hint="eastAsia" w:ascii="宋体" w:hAnsi="宋体" w:eastAsia="宋体" w:cs="宋体"/>
      <w:color w:val="000000"/>
      <w:sz w:val="22"/>
      <w:szCs w:val="22"/>
      <w:u w:val="none"/>
    </w:rPr>
  </w:style>
  <w:style w:type="paragraph" w:customStyle="1" w:styleId="72">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73">
    <w:name w:val="表格表格标题标题"/>
    <w:qFormat/>
    <w:uiPriority w:val="0"/>
    <w:pPr>
      <w:adjustRightInd w:val="0"/>
      <w:snapToGrid w:val="0"/>
      <w:jc w:val="center"/>
    </w:pPr>
    <w:rPr>
      <w:rFonts w:ascii="Times New Roman" w:hAnsi="Times New Roman" w:eastAsia="黑体" w:cs="Times New Roman"/>
      <w:bCs/>
      <w:kern w:val="2"/>
      <w:sz w:val="24"/>
      <w:szCs w:val="21"/>
      <w:lang w:val="en-US" w:eastAsia="zh-CN" w:bidi="ar-SA"/>
    </w:rPr>
  </w:style>
  <w:style w:type="paragraph" w:customStyle="1" w:styleId="74">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75">
    <w:name w:val="Table Text"/>
    <w:basedOn w:val="1"/>
    <w:semiHidden/>
    <w:qFormat/>
    <w:uiPriority w:val="0"/>
    <w:rPr>
      <w:rFonts w:ascii="宋体" w:hAnsi="宋体" w:eastAsia="宋体" w:cs="宋体"/>
      <w:sz w:val="21"/>
      <w:szCs w:val="21"/>
      <w:lang w:val="en-US" w:eastAsia="en-US" w:bidi="ar-SA"/>
    </w:rPr>
  </w:style>
  <w:style w:type="paragraph" w:customStyle="1" w:styleId="76">
    <w:name w:val="WSH"/>
    <w:basedOn w:val="1"/>
    <w:qFormat/>
    <w:uiPriority w:val="0"/>
    <w:pPr>
      <w:autoSpaceDE w:val="0"/>
      <w:autoSpaceDN w:val="0"/>
      <w:spacing w:line="360" w:lineRule="auto"/>
    </w:pPr>
    <w:rPr>
      <w:bCs/>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5" Type="http://schemas.microsoft.com/office/2011/relationships/people" Target="people.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6.wmf"/><Relationship Id="rId40" Type="http://schemas.openxmlformats.org/officeDocument/2006/relationships/image" Target="media/image25.wmf"/><Relationship Id="rId4" Type="http://schemas.openxmlformats.org/officeDocument/2006/relationships/footer" Target="footer2.xml"/><Relationship Id="rId39" Type="http://schemas.openxmlformats.org/officeDocument/2006/relationships/image" Target="media/image24.wmf"/><Relationship Id="rId38" Type="http://schemas.openxmlformats.org/officeDocument/2006/relationships/image" Target="media/image23.wmf"/><Relationship Id="rId37" Type="http://schemas.openxmlformats.org/officeDocument/2006/relationships/image" Target="media/image22.wmf"/><Relationship Id="rId36" Type="http://schemas.openxmlformats.org/officeDocument/2006/relationships/image" Target="media/image21.wmf"/><Relationship Id="rId35" Type="http://schemas.openxmlformats.org/officeDocument/2006/relationships/image" Target="media/image20.wmf"/><Relationship Id="rId34" Type="http://schemas.openxmlformats.org/officeDocument/2006/relationships/image" Target="media/image19.wmf"/><Relationship Id="rId33" Type="http://schemas.openxmlformats.org/officeDocument/2006/relationships/image" Target="media/image18.wmf"/><Relationship Id="rId32" Type="http://schemas.openxmlformats.org/officeDocument/2006/relationships/image" Target="media/image17.wmf"/><Relationship Id="rId31" Type="http://schemas.openxmlformats.org/officeDocument/2006/relationships/image" Target="media/image16.wmf"/><Relationship Id="rId30" Type="http://schemas.openxmlformats.org/officeDocument/2006/relationships/image" Target="media/image15.wmf"/><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image" Target="media/image13.wmf"/><Relationship Id="rId27" Type="http://schemas.openxmlformats.org/officeDocument/2006/relationships/image" Target="media/image12.wmf"/><Relationship Id="rId26" Type="http://schemas.openxmlformats.org/officeDocument/2006/relationships/image" Target="media/image11.wmf"/><Relationship Id="rId25" Type="http://schemas.openxmlformats.org/officeDocument/2006/relationships/image" Target="media/image10.wmf"/><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emf"/><Relationship Id="rId21" Type="http://schemas.openxmlformats.org/officeDocument/2006/relationships/oleObject" Target="embeddings/oleObject7.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6.bin"/><Relationship Id="rId18" Type="http://schemas.openxmlformats.org/officeDocument/2006/relationships/image" Target="media/image5.emf"/><Relationship Id="rId17" Type="http://schemas.openxmlformats.org/officeDocument/2006/relationships/oleObject" Target="embeddings/oleObject5.bin"/><Relationship Id="rId16" Type="http://schemas.openxmlformats.org/officeDocument/2006/relationships/image" Target="media/image4.emf"/><Relationship Id="rId15" Type="http://schemas.openxmlformats.org/officeDocument/2006/relationships/oleObject" Target="embeddings/oleObject4.bin"/><Relationship Id="rId14" Type="http://schemas.openxmlformats.org/officeDocument/2006/relationships/image" Target="media/image3.emf"/><Relationship Id="rId13" Type="http://schemas.openxmlformats.org/officeDocument/2006/relationships/oleObject" Target="embeddings/oleObject3.bin"/><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63</Pages>
  <Words>34367</Words>
  <Characters>39612</Characters>
  <Lines>277</Lines>
  <Paragraphs>78</Paragraphs>
  <TotalTime>91</TotalTime>
  <ScaleCrop>false</ScaleCrop>
  <LinksUpToDate>false</LinksUpToDate>
  <CharactersWithSpaces>39943</CharactersWithSpaces>
  <Application>WPS Office_11.8.2.10337_F1E327BC-269C-435d-A152-05C5408002CA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2024-07-04T16:19:00Z</dcterms:created>
  <dc:creator>lhj</dc:creator>
  <cp:lastModifiedBy>zw</cp:lastModifiedBy>
  <cp:lastPrinted>2020-12-29T10:43:00Z</cp:lastPrinted>
  <dcterms:modified xsi:type="dcterms:W3CDTF">2024-11-18T15:42:14Z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2052-11.8.2.10337</vt:lpwstr>
  </property>
  <property fmtid="{D5CDD505-2E9C-101B-9397-08002B2CF9AE}" pid="3" name="ICV">
    <vt:lpwstr>9DD45F47518847BB91F00C8F66C67472</vt:lpwstr>
  </property>
</Properties>
</file>