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adjustRightInd w:val="0"/>
        <w:snapToGrid w:val="0"/>
        <w:jc w:val="center"/>
        <w:outlineLvl w:val="0"/>
        <w:rPr>
          <w:rFonts w:hint="eastAsia" w:ascii="仿宋" w:hAnsi="仿宋" w:eastAsia="仿宋" w:cs="仿宋"/>
          <w:color w:val="auto"/>
          <w:sz w:val="36"/>
          <w:szCs w:val="36"/>
          <w:highlight w:val="none"/>
        </w:rPr>
      </w:pPr>
      <w:r>
        <w:rPr>
          <w:rFonts w:hint="eastAsia" w:ascii="Arial Unicode MS" w:hAnsi="Arial Unicode MS" w:eastAsia="Arial Unicode MS" w:cs="Arial Unicode MS"/>
          <w:bCs/>
          <w:color w:val="auto"/>
          <w:sz w:val="72"/>
          <w:szCs w:val="72"/>
          <w:highlight w:val="none"/>
        </w:rPr>
        <w:t>建设项目环境影响报告表</w:t>
      </w:r>
    </w:p>
    <w:p>
      <w:pPr>
        <w:adjustRightInd w:val="0"/>
        <w:snapToGrid w:val="0"/>
        <w:spacing w:before="192" w:beforeLines="80"/>
        <w:jc w:val="center"/>
        <w:rPr>
          <w:rFonts w:hint="eastAsia" w:ascii="楷体" w:hAnsi="楷体" w:eastAsia="楷体" w:cs="楷体"/>
          <w:bCs/>
          <w:color w:val="auto"/>
          <w:sz w:val="48"/>
          <w:szCs w:val="48"/>
          <w:highlight w:val="none"/>
        </w:rPr>
      </w:pPr>
      <w:r>
        <w:rPr>
          <w:rFonts w:hint="eastAsia" w:ascii="楷体" w:hAnsi="楷体" w:eastAsia="楷体" w:cs="楷体"/>
          <w:bCs/>
          <w:color w:val="auto"/>
          <w:sz w:val="48"/>
          <w:szCs w:val="48"/>
          <w:highlight w:val="none"/>
        </w:rPr>
        <w:t>（</w:t>
      </w:r>
      <w:r>
        <w:rPr>
          <w:rFonts w:hint="eastAsia" w:ascii="楷体" w:hAnsi="楷体" w:eastAsia="楷体" w:cs="楷体"/>
          <w:bCs/>
          <w:color w:val="auto"/>
          <w:sz w:val="48"/>
          <w:szCs w:val="48"/>
          <w:highlight w:val="none"/>
          <w:lang w:eastAsia="zh-CN"/>
        </w:rPr>
        <w:t>生态</w:t>
      </w:r>
      <w:r>
        <w:rPr>
          <w:rFonts w:hint="eastAsia" w:ascii="楷体" w:hAnsi="楷体" w:eastAsia="楷体" w:cs="楷体"/>
          <w:bCs/>
          <w:color w:val="auto"/>
          <w:sz w:val="48"/>
          <w:szCs w:val="48"/>
          <w:highlight w:val="none"/>
        </w:rPr>
        <w:t>影响类）</w:t>
      </w:r>
    </w:p>
    <w:p>
      <w:pPr>
        <w:adjustRightInd w:val="0"/>
        <w:snapToGrid w:val="0"/>
        <w:spacing w:line="288" w:lineRule="auto"/>
        <w:jc w:val="center"/>
        <w:outlineLvl w:val="0"/>
        <w:rPr>
          <w:rFonts w:hint="eastAsia" w:ascii="仿宋" w:hAnsi="仿宋" w:eastAsia="仿宋" w:cs="仿宋"/>
          <w:color w:val="auto"/>
          <w:kern w:val="44"/>
          <w:sz w:val="44"/>
          <w:szCs w:val="44"/>
          <w:highlight w:val="none"/>
        </w:rPr>
      </w:pPr>
    </w:p>
    <w:p>
      <w:pPr>
        <w:jc w:val="center"/>
        <w:rPr>
          <w:rFonts w:hint="eastAsia" w:ascii="仿宋" w:hAnsi="仿宋" w:eastAsia="仿宋" w:cs="仿宋"/>
          <w:color w:val="auto"/>
          <w:sz w:val="52"/>
          <w:szCs w:val="52"/>
          <w:highlight w:val="none"/>
        </w:rPr>
      </w:pPr>
    </w:p>
    <w:p>
      <w:pPr>
        <w:ind w:firstLine="1040"/>
        <w:rPr>
          <w:rFonts w:hint="eastAsia" w:ascii="仿宋" w:hAnsi="仿宋" w:eastAsia="仿宋" w:cs="仿宋"/>
          <w:color w:val="auto"/>
          <w:sz w:val="44"/>
          <w:szCs w:val="44"/>
          <w:highlight w:val="none"/>
        </w:rPr>
      </w:pPr>
    </w:p>
    <w:p>
      <w:pPr>
        <w:ind w:firstLine="1040"/>
        <w:rPr>
          <w:rFonts w:hint="eastAsia" w:ascii="仿宋" w:hAnsi="仿宋" w:eastAsia="仿宋" w:cs="仿宋"/>
          <w:color w:val="auto"/>
          <w:sz w:val="44"/>
          <w:szCs w:val="44"/>
          <w:highlight w:val="none"/>
        </w:rPr>
      </w:pPr>
    </w:p>
    <w:p>
      <w:pPr>
        <w:pStyle w:val="10"/>
        <w:rPr>
          <w:rFonts w:hint="eastAsia" w:ascii="仿宋" w:hAnsi="仿宋" w:eastAsia="仿宋" w:cs="仿宋"/>
          <w:color w:val="auto"/>
          <w:highlight w:val="none"/>
        </w:rPr>
      </w:pPr>
    </w:p>
    <w:p>
      <w:pPr>
        <w:pStyle w:val="1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w:t>
      </w:r>
    </w:p>
    <w:p>
      <w:pPr>
        <w:ind w:firstLine="1040"/>
        <w:rPr>
          <w:rFonts w:hint="eastAsia" w:ascii="仿宋" w:hAnsi="仿宋" w:eastAsia="仿宋" w:cs="仿宋"/>
          <w:color w:val="auto"/>
          <w:sz w:val="44"/>
          <w:szCs w:val="44"/>
          <w:highlight w:val="none"/>
        </w:rPr>
      </w:pPr>
    </w:p>
    <w:p>
      <w:pPr>
        <w:ind w:firstLine="1040"/>
        <w:rPr>
          <w:rFonts w:hint="eastAsia" w:ascii="仿宋" w:hAnsi="仿宋" w:eastAsia="仿宋" w:cs="仿宋"/>
          <w:color w:val="auto"/>
          <w:sz w:val="44"/>
          <w:szCs w:val="44"/>
          <w:highlight w:val="none"/>
        </w:rPr>
      </w:pPr>
    </w:p>
    <w:p>
      <w:pPr>
        <w:adjustRightInd w:val="0"/>
        <w:snapToGrid w:val="0"/>
        <w:spacing w:line="288" w:lineRule="auto"/>
        <w:ind w:firstLine="960" w:firstLineChars="300"/>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rPr>
        <w:t>项目名称：</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国家电投中卫香山49.8MW分散式风电项目     </w:t>
      </w:r>
    </w:p>
    <w:p>
      <w:pPr>
        <w:adjustRightInd w:val="0"/>
        <w:snapToGrid w:val="0"/>
        <w:spacing w:line="288" w:lineRule="auto"/>
        <w:ind w:firstLine="960" w:firstLineChars="300"/>
        <w:jc w:val="both"/>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rPr>
        <w:t>建设单位（盖章）：</w:t>
      </w:r>
      <w:r>
        <w:rPr>
          <w:rFonts w:hint="eastAsia" w:ascii="仿宋_GB2312" w:hAnsi="仿宋_GB2312" w:eastAsia="仿宋_GB2312" w:cs="仿宋_GB2312"/>
          <w:color w:val="auto"/>
          <w:spacing w:val="1"/>
          <w:w w:val="83"/>
          <w:kern w:val="0"/>
          <w:sz w:val="32"/>
          <w:szCs w:val="32"/>
          <w:highlight w:val="none"/>
          <w:u w:val="single"/>
          <w:fitText w:val="5600" w:id="1969388922"/>
          <w:lang w:val="en-US" w:eastAsia="zh-CN"/>
        </w:rPr>
        <w:t>国家电投集团宁夏能源铝业中卫新能源有限公</w:t>
      </w:r>
      <w:r>
        <w:rPr>
          <w:rFonts w:hint="eastAsia" w:ascii="仿宋_GB2312" w:hAnsi="仿宋_GB2312" w:eastAsia="仿宋_GB2312" w:cs="仿宋_GB2312"/>
          <w:color w:val="auto"/>
          <w:spacing w:val="11"/>
          <w:w w:val="83"/>
          <w:kern w:val="0"/>
          <w:sz w:val="32"/>
          <w:szCs w:val="32"/>
          <w:highlight w:val="none"/>
          <w:u w:val="single"/>
          <w:fitText w:val="5600" w:id="1969388922"/>
          <w:lang w:val="en-US" w:eastAsia="zh-CN"/>
        </w:rPr>
        <w:t>司</w:t>
      </w:r>
    </w:p>
    <w:p>
      <w:pPr>
        <w:adjustRightInd w:val="0"/>
        <w:snapToGrid w:val="0"/>
        <w:spacing w:line="288" w:lineRule="auto"/>
        <w:ind w:firstLine="960" w:firstLineChars="300"/>
        <w:rPr>
          <w:rFonts w:hint="eastAsia" w:ascii="仿宋" w:hAnsi="仿宋" w:eastAsia="仿宋" w:cs="仿宋"/>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rPr>
        <w:t>编制日期：</w:t>
      </w:r>
      <w:r>
        <w:rPr>
          <w:rFonts w:hint="eastAsia" w:ascii="仿宋_GB2312" w:hAnsi="仿宋_GB2312" w:eastAsia="仿宋_GB2312" w:cs="仿宋_GB2312"/>
          <w:color w:val="auto"/>
          <w:sz w:val="32"/>
          <w:szCs w:val="32"/>
          <w:highlight w:val="none"/>
          <w:u w:val="single"/>
          <w:lang w:eastAsia="zh-CN"/>
        </w:rPr>
        <w:t xml:space="preserve"> </w:t>
      </w:r>
      <w:r>
        <w:rPr>
          <w:rFonts w:hint="eastAsia" w:ascii="仿宋_GB2312" w:hAnsi="仿宋_GB2312" w:eastAsia="仿宋_GB2312" w:cs="仿宋_GB2312"/>
          <w:color w:val="auto"/>
          <w:sz w:val="32"/>
          <w:szCs w:val="32"/>
          <w:highlight w:val="none"/>
          <w:u w:val="single"/>
          <w:lang w:val="en-US" w:eastAsia="zh-CN"/>
        </w:rPr>
        <w:t xml:space="preserve">                2024年9月</w:t>
      </w:r>
      <w:r>
        <w:rPr>
          <w:rFonts w:hint="eastAsia" w:ascii="仿宋_GB2312" w:hAnsi="仿宋_GB2312" w:eastAsia="仿宋_GB2312" w:cs="仿宋_GB2312"/>
          <w:color w:val="auto"/>
          <w:sz w:val="32"/>
          <w:szCs w:val="32"/>
          <w:highlight w:val="none"/>
          <w:u w:val="single"/>
          <w:lang w:eastAsia="zh-CN"/>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lang w:eastAsia="zh-CN"/>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lang w:val="en-US" w:eastAsia="zh-CN"/>
        </w:rPr>
        <w:t xml:space="preserve">  </w:t>
      </w:r>
    </w:p>
    <w:p>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bookmarkStart w:id="0" w:name="_Hlk57884087"/>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pStyle w:val="10"/>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color w:val="auto"/>
          <w:highlight w:val="none"/>
        </w:rPr>
      </w:pPr>
    </w:p>
    <w:bookmarkEnd w:id="0"/>
    <w:p>
      <w:pPr>
        <w:adjustRightInd w:val="0"/>
        <w:snapToGrid w:val="0"/>
        <w:spacing w:line="288" w:lineRule="auto"/>
        <w:ind w:firstLine="2160" w:firstLineChars="600"/>
        <w:jc w:val="both"/>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pPr>
        <w:adjustRightInd w:val="0"/>
        <w:snapToGrid w:val="0"/>
        <w:spacing w:line="288" w:lineRule="auto"/>
        <w:ind w:firstLine="2160" w:firstLineChars="600"/>
        <w:jc w:val="both"/>
        <w:rPr>
          <w:rFonts w:hint="default" w:ascii="Times New Roman" w:hAnsi="Times New Roman" w:eastAsia="仿宋_GB2312" w:cs="Times New Roman"/>
          <w:color w:val="auto"/>
          <w:sz w:val="36"/>
          <w:szCs w:val="36"/>
          <w:highlight w:val="none"/>
        </w:rPr>
        <w:sectPr>
          <w:headerReference r:id="rId3" w:type="default"/>
          <w:footerReference r:id="rId4" w:type="default"/>
          <w:footerReference r:id="rId5" w:type="even"/>
          <w:pgSz w:w="11906" w:h="16838"/>
          <w:pgMar w:top="1701" w:right="1417" w:bottom="1701" w:left="1417" w:header="851" w:footer="850" w:gutter="0"/>
          <w:pgBorders>
            <w:top w:val="none" w:sz="0" w:space="0"/>
            <w:left w:val="none" w:sz="0" w:space="0"/>
            <w:bottom w:val="none" w:sz="0" w:space="0"/>
            <w:right w:val="none" w:sz="0" w:space="0"/>
          </w:pgBorders>
          <w:pgNumType w:fmt="decimal" w:start="3"/>
          <w:cols w:space="0" w:num="1"/>
          <w:rtlGutter w:val="0"/>
          <w:docGrid w:linePitch="312" w:charSpace="0"/>
        </w:sectPr>
      </w:pPr>
    </w:p>
    <w:p>
      <w:pPr>
        <w:snapToGrid w:val="0"/>
        <w:ind w:firstLine="482"/>
        <w:jc w:val="right"/>
        <w:rPr>
          <w:rFonts w:ascii="Times New Roman" w:hAnsi="Times New Roman"/>
          <w:b/>
          <w:color w:val="auto"/>
          <w:sz w:val="24"/>
          <w:highlight w:val="none"/>
        </w:rPr>
      </w:pPr>
    </w:p>
    <w:p>
      <w:pPr>
        <w:pStyle w:val="8"/>
        <w:rPr>
          <w:rFonts w:hint="default"/>
          <w:color w:val="auto"/>
          <w:highlight w:val="none"/>
        </w:rPr>
        <w:sectPr>
          <w:pgSz w:w="11906" w:h="16838"/>
          <w:pgMar w:top="1701" w:right="1417" w:bottom="1701" w:left="1417" w:header="851" w:footer="850" w:gutter="0"/>
          <w:pgBorders>
            <w:top w:val="none" w:sz="0" w:space="0"/>
            <w:left w:val="none" w:sz="0" w:space="0"/>
            <w:bottom w:val="none" w:sz="0" w:space="0"/>
            <w:right w:val="none" w:sz="0" w:space="0"/>
          </w:pgBorders>
          <w:pgNumType w:fmt="decimal" w:start="3"/>
          <w:cols w:space="0" w:num="1"/>
          <w:rtlGutter w:val="0"/>
          <w:docGrid w:linePitch="312" w:charSpace="0"/>
        </w:sectPr>
      </w:pP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一、</w:t>
      </w:r>
      <w:r>
        <w:rPr>
          <w:rFonts w:hint="default" w:ascii="Times New Roman" w:hAnsi="Times New Roman" w:cs="Times New Roman"/>
          <w:color w:val="auto"/>
          <w:highlight w:val="none"/>
        </w:rPr>
        <w:t>建设项目基本情况</w:t>
      </w:r>
    </w:p>
    <w:tbl>
      <w:tblPr>
        <w:tblStyle w:val="28"/>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81"/>
        <w:gridCol w:w="2700"/>
        <w:gridCol w:w="2045"/>
        <w:gridCol w:w="31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建设项</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目名称</w:t>
            </w:r>
          </w:p>
        </w:tc>
        <w:tc>
          <w:tcPr>
            <w:tcW w:w="7873" w:type="dxa"/>
            <w:gridSpan w:val="3"/>
            <w:vAlign w:val="center"/>
          </w:tcPr>
          <w:p>
            <w:pPr>
              <w:pStyle w:val="50"/>
              <w:bidi w:val="0"/>
              <w:spacing w:line="240" w:lineRule="auto"/>
              <w:ind w:left="0" w:leftChars="0" w:firstLine="0" w:firstLineChars="0"/>
              <w:jc w:val="center"/>
              <w:rPr>
                <w:rFonts w:hint="default" w:ascii="Times New Roman" w:hAnsi="Times New Roman" w:eastAsia="宋体" w:cs="Times New Roman"/>
                <w:b/>
                <w:bCs/>
                <w:color w:val="000000" w:themeColor="text1"/>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16"/>
                <w:sz w:val="24"/>
                <w:szCs w:val="24"/>
                <w:highlight w:val="none"/>
                <w:lang w:val="en-US" w:eastAsia="zh-CN" w:bidi="ar-SA"/>
                <w14:textFill>
                  <w14:solidFill>
                    <w14:schemeClr w14:val="tx1"/>
                  </w14:solidFill>
                </w14:textFill>
              </w:rPr>
              <w:t>国家电投中卫香山49.8MW分散式风电项目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项目代码</w:t>
            </w:r>
          </w:p>
        </w:tc>
        <w:tc>
          <w:tcPr>
            <w:tcW w:w="787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eastAsia" w:eastAsia="仿宋" w:cs="Times New Roman"/>
                <w:b w:val="0"/>
                <w:bCs w:val="0"/>
                <w:color w:val="000000" w:themeColor="text1"/>
                <w:sz w:val="24"/>
                <w:szCs w:val="24"/>
                <w:highlight w:val="none"/>
                <w:lang w:val="en-US" w:eastAsia="zh-CN"/>
                <w14:textFill>
                  <w14:solidFill>
                    <w14:schemeClr w14:val="tx1"/>
                  </w14:solidFill>
                </w14:textFill>
              </w:rPr>
              <w:t>2402-640502-04-01-485909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建设单位</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联系人</w:t>
            </w:r>
          </w:p>
        </w:tc>
        <w:tc>
          <w:tcPr>
            <w:tcW w:w="27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eastAsia" w:eastAsia="仿宋" w:cs="Times New Roman"/>
                <w:b w:val="0"/>
                <w:bCs w:val="0"/>
                <w:color w:val="000000" w:themeColor="text1"/>
                <w:sz w:val="24"/>
                <w:szCs w:val="24"/>
                <w:highlight w:val="none"/>
                <w:lang w:val="en-US" w:eastAsia="zh-CN"/>
                <w14:textFill>
                  <w14:solidFill>
                    <w14:schemeClr w14:val="tx1"/>
                  </w14:solidFill>
                </w14:textFill>
              </w:rPr>
              <w:t>丁静超</w:t>
            </w:r>
          </w:p>
        </w:tc>
        <w:tc>
          <w:tcPr>
            <w:tcW w:w="20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t>联系方式</w:t>
            </w:r>
          </w:p>
        </w:tc>
        <w:tc>
          <w:tcPr>
            <w:tcW w:w="312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eastAsia" w:eastAsia="仿宋" w:cs="Times New Roman"/>
                <w:b w:val="0"/>
                <w:bCs w:val="0"/>
                <w:color w:val="000000" w:themeColor="text1"/>
                <w:sz w:val="24"/>
                <w:szCs w:val="24"/>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建设地点</w:t>
            </w:r>
          </w:p>
        </w:tc>
        <w:tc>
          <w:tcPr>
            <w:tcW w:w="787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4"/>
                <w:szCs w:val="24"/>
                <w:highlight w:val="none"/>
                <w:u w:val="none"/>
                <w:lang w:val="en-US" w:eastAsia="zh-CN"/>
                <w14:textFill>
                  <w14:solidFill>
                    <w14:schemeClr w14:val="tx1"/>
                  </w14:solidFill>
                </w14:textFill>
              </w:rPr>
              <w:t>宁夏回族自治区中卫市</w:t>
            </w:r>
            <w:r>
              <w:rPr>
                <w:rFonts w:hint="eastAsia" w:eastAsia="仿宋" w:cs="Times New Roman"/>
                <w:b w:val="0"/>
                <w:bCs w:val="0"/>
                <w:color w:val="000000" w:themeColor="text1"/>
                <w:sz w:val="24"/>
                <w:szCs w:val="24"/>
                <w:highlight w:val="none"/>
                <w:u w:val="none"/>
                <w:lang w:val="en-US" w:eastAsia="zh-CN"/>
                <w14:textFill>
                  <w14:solidFill>
                    <w14:schemeClr w14:val="tx1"/>
                  </w14:solidFill>
                </w14:textFill>
              </w:rPr>
              <w:t>沙坡头区永康镇、宣和镇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地理坐标</w:t>
            </w:r>
          </w:p>
        </w:tc>
        <w:tc>
          <w:tcPr>
            <w:tcW w:w="787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仿宋" w:cs="Times New Roman"/>
                <w:b w:val="0"/>
                <w:bCs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4"/>
                <w:szCs w:val="24"/>
                <w:highlight w:val="none"/>
                <w:u w:val="none"/>
                <w:lang w:val="en-US" w:eastAsia="zh-CN"/>
                <w14:textFill>
                  <w14:solidFill>
                    <w14:schemeClr w14:val="tx1"/>
                  </w14:solidFill>
                </w14:textFill>
              </w:rPr>
              <w:t>东经105°13′12.009″-105°26′24.077″，北纬37°21′0.020″- 37°21′0.078″</w:t>
            </w:r>
            <w:r>
              <w:rPr>
                <w:rFonts w:hint="eastAsia" w:ascii="Times New Roman" w:hAnsi="Times New Roman" w:eastAsia="仿宋" w:cs="Times New Roman"/>
                <w:b w:val="0"/>
                <w:bCs w:val="0"/>
                <w:color w:val="000000" w:themeColor="text1"/>
                <w:sz w:val="24"/>
                <w:szCs w:val="24"/>
                <w:highlight w:val="none"/>
                <w:u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4"/>
                <w:szCs w:val="24"/>
                <w:highlight w:val="none"/>
                <w:u w:val="none"/>
                <w:lang w:val="en-US" w:eastAsia="zh-CN"/>
                <w14:textFill>
                  <w14:solidFill>
                    <w14:schemeClr w14:val="tx1"/>
                  </w14:solidFill>
                </w14:textFill>
              </w:rPr>
              <w:t>东经105°13′12.057″-105°26′24.000″，北纬37°16′48.019″- 37°16′48.019″</w:t>
            </w:r>
            <w:r>
              <w:rPr>
                <w:rFonts w:hint="eastAsia" w:ascii="Times New Roman" w:hAnsi="Times New Roman" w:eastAsia="仿宋" w:cs="Times New Roman"/>
                <w:b w:val="0"/>
                <w:bCs w:val="0"/>
                <w:color w:val="000000" w:themeColor="text1"/>
                <w:sz w:val="24"/>
                <w:szCs w:val="24"/>
                <w:highlight w:val="none"/>
                <w:u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8"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建设项目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行业类别</w:t>
            </w:r>
          </w:p>
        </w:tc>
        <w:tc>
          <w:tcPr>
            <w:tcW w:w="27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四十一、电力、热力生产和供应业90陆上风力发电</w:t>
            </w:r>
            <w:r>
              <w:rPr>
                <w:rFonts w:hint="eastAsia" w:eastAsia="仿宋" w:cs="Times New Roman"/>
                <w:b w:val="0"/>
                <w:bCs w:val="0"/>
                <w:color w:val="000000" w:themeColor="text1"/>
                <w:sz w:val="24"/>
                <w:szCs w:val="24"/>
                <w:highlight w:val="none"/>
                <w:lang w:val="en-US" w:eastAsia="zh-CN"/>
                <w14:textFill>
                  <w14:solidFill>
                    <w14:schemeClr w14:val="tx1"/>
                  </w14:solidFill>
                </w14:textFill>
              </w:rPr>
              <w:t>4415；</w:t>
            </w:r>
          </w:p>
        </w:tc>
        <w:tc>
          <w:tcPr>
            <w:tcW w:w="20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t>用地（用海）面积（m</w:t>
            </w:r>
            <w:r>
              <w:rPr>
                <w:rFonts w:hint="default" w:ascii="Times New Roman" w:hAnsi="Times New Roman" w:eastAsia="仿宋" w:cs="Times New Roman"/>
                <w:b/>
                <w:bCs/>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t>）/长度（km）</w:t>
            </w:r>
          </w:p>
        </w:tc>
        <w:tc>
          <w:tcPr>
            <w:tcW w:w="312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用地总面积</w:t>
            </w:r>
            <w:r>
              <w:rPr>
                <w:rFonts w:hint="eastAsia" w:eastAsia="仿宋" w:cs="Times New Roman"/>
                <w:b w:val="0"/>
                <w:bCs w:val="0"/>
                <w:color w:val="000000" w:themeColor="text1"/>
                <w:sz w:val="24"/>
                <w:szCs w:val="24"/>
                <w:highlight w:val="none"/>
                <w:lang w:val="en-US" w:eastAsia="zh-CN"/>
                <w14:textFill>
                  <w14:solidFill>
                    <w14:schemeClr w14:val="tx1"/>
                  </w14:solidFill>
                </w14:textFill>
              </w:rPr>
              <w:t>105449</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m</w:t>
            </w:r>
            <w:r>
              <w:rPr>
                <w:rFonts w:hint="default" w:ascii="Times New Roman" w:hAnsi="Times New Roman" w:eastAsia="仿宋"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永久占地</w:t>
            </w:r>
            <w:r>
              <w:rPr>
                <w:rFonts w:hint="eastAsia" w:eastAsia="仿宋" w:cs="Times New Roman"/>
                <w:b w:val="0"/>
                <w:bCs w:val="0"/>
                <w:color w:val="000000" w:themeColor="text1"/>
                <w:sz w:val="24"/>
                <w:szCs w:val="24"/>
                <w:highlight w:val="none"/>
                <w:lang w:val="en-US" w:eastAsia="zh-CN"/>
                <w14:textFill>
                  <w14:solidFill>
                    <w14:schemeClr w14:val="tx1"/>
                  </w14:solidFill>
                </w14:textFill>
              </w:rPr>
              <w:t>面积50196</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m</w:t>
            </w:r>
            <w:r>
              <w:rPr>
                <w:rFonts w:hint="default" w:ascii="Times New Roman" w:hAnsi="Times New Roman" w:eastAsia="仿宋"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eastAsia" w:eastAsia="仿宋" w:cs="Times New Roman"/>
                <w:b w:val="0"/>
                <w:bCs w:val="0"/>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临时占地</w:t>
            </w:r>
            <w:r>
              <w:rPr>
                <w:rFonts w:hint="eastAsia" w:eastAsia="仿宋" w:cs="Times New Roman"/>
                <w:b w:val="0"/>
                <w:bCs w:val="0"/>
                <w:color w:val="000000" w:themeColor="text1"/>
                <w:sz w:val="24"/>
                <w:szCs w:val="24"/>
                <w:highlight w:val="none"/>
                <w:lang w:val="en-US" w:eastAsia="zh-CN"/>
                <w14:textFill>
                  <w14:solidFill>
                    <w14:schemeClr w14:val="tx1"/>
                  </w14:solidFill>
                </w14:textFill>
              </w:rPr>
              <w:t>面积55253</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m</w:t>
            </w:r>
            <w:r>
              <w:rPr>
                <w:rFonts w:hint="default" w:ascii="Times New Roman" w:hAnsi="Times New Roman" w:eastAsia="仿宋" w:cs="Times New Roman"/>
                <w:b w:val="0"/>
                <w:bCs w:val="0"/>
                <w:color w:val="000000" w:themeColor="text1"/>
                <w:sz w:val="24"/>
                <w:szCs w:val="24"/>
                <w:highlight w:val="none"/>
                <w:vertAlign w:val="superscript"/>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建设性质</w:t>
            </w:r>
          </w:p>
        </w:tc>
        <w:tc>
          <w:tcPr>
            <w:tcW w:w="27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lang w:eastAsia="zh-CN"/>
                <w14:textFill>
                  <w14:solidFill>
                    <w14:schemeClr w14:val="tx1"/>
                  </w14:solidFill>
                </w14:textFill>
              </w:rPr>
              <w:t>☑</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新建（迁建）</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14:textFill>
                  <w14:solidFill>
                    <w14:schemeClr w14:val="tx1"/>
                  </w14:solidFill>
                </w14:textFill>
              </w:rPr>
              <w:t>□</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改建</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14:textFill>
                  <w14:solidFill>
                    <w14:schemeClr w14:val="tx1"/>
                  </w14:solidFill>
                </w14:textFill>
              </w:rPr>
              <w:t>□</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扩建</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14:textFill>
                  <w14:solidFill>
                    <w14:schemeClr w14:val="tx1"/>
                  </w14:solidFill>
                </w14:textFill>
              </w:rPr>
              <w:t>□</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技术改造</w:t>
            </w:r>
          </w:p>
        </w:tc>
        <w:tc>
          <w:tcPr>
            <w:tcW w:w="20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t>建设项目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t>申报情形</w:t>
            </w:r>
          </w:p>
        </w:tc>
        <w:tc>
          <w:tcPr>
            <w:tcW w:w="312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lang w:eastAsia="zh-CN"/>
                <w14:textFill>
                  <w14:solidFill>
                    <w14:schemeClr w14:val="tx1"/>
                  </w14:solidFill>
                </w14:textFill>
              </w:rPr>
              <w:t>☑</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首次申报项目</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14:textFill>
                  <w14:solidFill>
                    <w14:schemeClr w14:val="tx1"/>
                  </w14:solidFill>
                </w14:textFill>
              </w:rPr>
              <w:t>□</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不予批准后再次申报项目</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14:textFill>
                  <w14:solidFill>
                    <w14:schemeClr w14:val="tx1"/>
                  </w14:solidFill>
                </w14:textFill>
              </w:rPr>
              <w:t>□</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超过五年重新审核项目</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14:textFill>
                  <w14:solidFill>
                    <w14:schemeClr w14:val="tx1"/>
                  </w14:solidFill>
                </w14:textFill>
              </w:rPr>
              <w:t>□</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5"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项目审批（核准/备案）部门（选填）</w:t>
            </w:r>
          </w:p>
        </w:tc>
        <w:tc>
          <w:tcPr>
            <w:tcW w:w="27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eastAsia" w:eastAsia="仿宋" w:cs="Times New Roman"/>
                <w:b w:val="0"/>
                <w:bCs w:val="0"/>
                <w:color w:val="000000" w:themeColor="text1"/>
                <w:sz w:val="24"/>
                <w:szCs w:val="24"/>
                <w:highlight w:val="none"/>
                <w:lang w:val="en-US" w:eastAsia="zh-CN"/>
                <w14:textFill>
                  <w14:solidFill>
                    <w14:schemeClr w14:val="tx1"/>
                  </w14:solidFill>
                </w14:textFill>
              </w:rPr>
              <w:t>宁夏回族自治区</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发展</w:t>
            </w:r>
            <w:r>
              <w:rPr>
                <w:rFonts w:hint="eastAsia" w:eastAsia="仿宋" w:cs="Times New Roman"/>
                <w:b w:val="0"/>
                <w:bCs w:val="0"/>
                <w:color w:val="000000" w:themeColor="text1"/>
                <w:sz w:val="24"/>
                <w:szCs w:val="24"/>
                <w:highlight w:val="none"/>
                <w:lang w:val="en-US" w:eastAsia="zh-CN"/>
                <w14:textFill>
                  <w14:solidFill>
                    <w14:schemeClr w14:val="tx1"/>
                  </w14:solidFill>
                </w14:textFill>
              </w:rPr>
              <w:t>和</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改革</w:t>
            </w:r>
            <w:r>
              <w:rPr>
                <w:rFonts w:hint="eastAsia" w:eastAsia="仿宋" w:cs="Times New Roman"/>
                <w:b w:val="0"/>
                <w:bCs w:val="0"/>
                <w:color w:val="000000" w:themeColor="text1"/>
                <w:sz w:val="24"/>
                <w:szCs w:val="24"/>
                <w:highlight w:val="none"/>
                <w:lang w:val="en-US" w:eastAsia="zh-CN"/>
                <w14:textFill>
                  <w14:solidFill>
                    <w14:schemeClr w14:val="tx1"/>
                  </w14:solidFill>
                </w14:textFill>
              </w:rPr>
              <w:t>委员会</w:t>
            </w:r>
          </w:p>
        </w:tc>
        <w:tc>
          <w:tcPr>
            <w:tcW w:w="20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t>项目审批（核准/备案）文号（选填）</w:t>
            </w:r>
          </w:p>
        </w:tc>
        <w:tc>
          <w:tcPr>
            <w:tcW w:w="312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宁发改能源（发展）审发〔2024〕</w:t>
            </w:r>
            <w:r>
              <w:rPr>
                <w:rFonts w:hint="eastAsia" w:eastAsia="仿宋" w:cs="Times New Roman"/>
                <w:b w:val="0"/>
                <w:bCs w:val="0"/>
                <w:color w:val="000000" w:themeColor="text1"/>
                <w:sz w:val="24"/>
                <w:szCs w:val="24"/>
                <w:highlight w:val="none"/>
                <w:lang w:val="en-US" w:eastAsia="zh-CN"/>
                <w14:textFill>
                  <w14:solidFill>
                    <w14:schemeClr w14:val="tx1"/>
                  </w14:solidFill>
                </w14:textFill>
              </w:rPr>
              <w:t>15</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 xml:space="preserve"> 号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总投资（万元）</w:t>
            </w:r>
          </w:p>
        </w:tc>
        <w:tc>
          <w:tcPr>
            <w:tcW w:w="27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56"/>
                <w:rFonts w:hint="default" w:ascii="Times New Roman" w:hAnsi="Times New Roman" w:eastAsia="仿宋" w:cs="Times New Roman"/>
                <w:color w:val="000000" w:themeColor="text1"/>
                <w:highlight w:val="none"/>
                <w:lang w:val="en-US" w:eastAsia="zh-CN"/>
                <w14:textFill>
                  <w14:solidFill>
                    <w14:schemeClr w14:val="tx1"/>
                  </w14:solidFill>
                </w14:textFill>
              </w:rPr>
            </w:pPr>
            <w:r>
              <w:rPr>
                <w:rStyle w:val="56"/>
                <w:rFonts w:hint="eastAsia" w:eastAsia="仿宋" w:cs="Times New Roman"/>
                <w:color w:val="000000" w:themeColor="text1"/>
                <w:highlight w:val="none"/>
                <w:lang w:val="en-US" w:eastAsia="zh-CN"/>
                <w14:textFill>
                  <w14:solidFill>
                    <w14:schemeClr w14:val="tx1"/>
                  </w14:solidFill>
                </w14:textFill>
              </w:rPr>
              <w:t>29550.17</w:t>
            </w:r>
          </w:p>
        </w:tc>
        <w:tc>
          <w:tcPr>
            <w:tcW w:w="20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t>环保投资</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t>（万元）</w:t>
            </w:r>
          </w:p>
        </w:tc>
        <w:tc>
          <w:tcPr>
            <w:tcW w:w="312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000000" w:themeColor="text1"/>
                <w:sz w:val="24"/>
                <w:szCs w:val="24"/>
                <w:highlight w:val="none"/>
                <w:lang w:val="en-US" w:eastAsia="zh-CN"/>
                <w14:textFill>
                  <w14:solidFill>
                    <w14:schemeClr w14:val="tx1"/>
                  </w14:solidFill>
                </w14:textFill>
              </w:rPr>
            </w:pPr>
            <w:r>
              <w:rPr>
                <w:rStyle w:val="56"/>
                <w:rFonts w:hint="eastAsia" w:eastAsia="仿宋" w:cs="Times New Roman"/>
                <w:color w:val="000000" w:themeColor="text1"/>
                <w:highlight w:val="none"/>
                <w:lang w:val="en-US" w:eastAsia="zh-CN"/>
                <w14:textFill>
                  <w14:solidFill>
                    <w14:schemeClr w14:val="tx1"/>
                  </w14:solidFill>
                </w14:textFill>
              </w:rPr>
              <w:t>273.02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环保投资占比（%）</w:t>
            </w:r>
          </w:p>
        </w:tc>
        <w:tc>
          <w:tcPr>
            <w:tcW w:w="27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56"/>
                <w:rFonts w:hint="default" w:ascii="Times New Roman" w:hAnsi="Times New Roman" w:eastAsia="宋体" w:cs="Times New Roman"/>
                <w:color w:val="000000" w:themeColor="text1"/>
                <w:highlight w:val="none"/>
                <w:lang w:val="en-US" w:eastAsia="zh-CN"/>
                <w14:textFill>
                  <w14:solidFill>
                    <w14:schemeClr w14:val="tx1"/>
                  </w14:solidFill>
                </w14:textFill>
              </w:rPr>
            </w:pPr>
            <w:r>
              <w:rPr>
                <w:rStyle w:val="56"/>
                <w:rFonts w:hint="eastAsia" w:cs="Times New Roman"/>
                <w:color w:val="000000" w:themeColor="text1"/>
                <w:highlight w:val="none"/>
                <w:lang w:val="en-US" w:eastAsia="zh-CN"/>
                <w14:textFill>
                  <w14:solidFill>
                    <w14:schemeClr w14:val="tx1"/>
                  </w14:solidFill>
                </w14:textFill>
              </w:rPr>
              <w:t>0.92</w:t>
            </w:r>
          </w:p>
        </w:tc>
        <w:tc>
          <w:tcPr>
            <w:tcW w:w="20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施工工期</w:t>
            </w:r>
          </w:p>
        </w:tc>
        <w:tc>
          <w:tcPr>
            <w:tcW w:w="312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2"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是否开工建设</w:t>
            </w:r>
          </w:p>
        </w:tc>
        <w:tc>
          <w:tcPr>
            <w:tcW w:w="787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否</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是：</w:t>
            </w:r>
            <w:r>
              <w:rPr>
                <w:rFonts w:hint="eastAsia" w:ascii="仿宋" w:hAnsi="仿宋" w:eastAsia="仿宋" w:cs="仿宋"/>
                <w:b w:val="0"/>
                <w:bCs w:val="0"/>
                <w:color w:val="000000" w:themeColor="text1"/>
                <w:sz w:val="24"/>
                <w:szCs w:val="24"/>
                <w:highlight w:val="none"/>
                <w:u w:val="single"/>
                <w:lang w:val="en-US" w:eastAsia="zh-CN"/>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7"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专项评价设置情况</w:t>
            </w:r>
          </w:p>
        </w:tc>
        <w:tc>
          <w:tcPr>
            <w:tcW w:w="7873"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仿宋" w:hAnsi="仿宋" w:eastAsia="仿宋" w:cs="仿宋"/>
                <w:color w:val="000000" w:themeColor="text1"/>
                <w:kern w:val="16"/>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16"/>
                <w:sz w:val="24"/>
                <w:szCs w:val="24"/>
                <w:highlight w:val="none"/>
                <w:lang w:val="en-US" w:eastAsia="zh-CN" w:bidi="ar-SA"/>
                <w14:textFill>
                  <w14:solidFill>
                    <w14:schemeClr w14:val="tx1"/>
                  </w14:solidFill>
                </w14:textFill>
              </w:rPr>
              <w:t>建设项目环境影响报告表编制技术指南（生态影响类）要求：涉及环敏感区（不包括饮用水水源地保护区，以居住、医疗卫生、文化教育、科研、行政办公位主要功能区的区域，以及文物保护单位）的项目编制生态影响专章，本项目风机影响范围不涉及生态红线，不涉及环境敏感区，故不编制生态影响专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7"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规划情况</w:t>
            </w:r>
          </w:p>
        </w:tc>
        <w:tc>
          <w:tcPr>
            <w:tcW w:w="7873"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36" w:lineRule="auto"/>
              <w:jc w:val="center"/>
              <w:textAlignment w:val="auto"/>
              <w:rPr>
                <w:rFonts w:hint="eastAsia" w:ascii="仿宋" w:hAnsi="仿宋" w:eastAsia="仿宋" w:cs="仿宋"/>
                <w:color w:val="000000" w:themeColor="text1"/>
                <w:kern w:val="16"/>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16"/>
                <w:sz w:val="24"/>
                <w:szCs w:val="24"/>
                <w:highlight w:val="none"/>
                <w:lang w:val="en-US" w:eastAsia="zh-CN" w:bidi="ar-SA"/>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7"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规划环境影响评价情况</w:t>
            </w:r>
          </w:p>
        </w:tc>
        <w:tc>
          <w:tcPr>
            <w:tcW w:w="7873"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36" w:lineRule="auto"/>
              <w:jc w:val="center"/>
              <w:textAlignment w:val="auto"/>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kern w:val="16"/>
                <w:sz w:val="24"/>
                <w:szCs w:val="24"/>
                <w:highlight w:val="none"/>
                <w:lang w:val="en-US" w:eastAsia="zh-CN" w:bidi="ar-SA"/>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6" w:hRule="atLeast"/>
          <w:jc w:val="center"/>
        </w:trPr>
        <w:tc>
          <w:tcPr>
            <w:tcW w:w="14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规划及规划环境影响评价符合性分析</w:t>
            </w:r>
          </w:p>
        </w:tc>
        <w:tc>
          <w:tcPr>
            <w:tcW w:w="7873" w:type="dxa"/>
            <w:gridSpan w:val="3"/>
            <w:vAlign w:val="center"/>
          </w:tcPr>
          <w:p>
            <w:pPr>
              <w:pStyle w:val="50"/>
              <w:bidi w:val="0"/>
              <w:ind w:left="0" w:leftChars="0" w:firstLine="0" w:firstLineChars="0"/>
              <w:jc w:val="center"/>
              <w:rPr>
                <w:rFonts w:hint="eastAsia" w:ascii="仿宋" w:hAnsi="仿宋" w:eastAsia="仿宋" w:cs="仿宋"/>
                <w:b w:val="0"/>
                <w:bCs w:val="0"/>
                <w:color w:val="000000" w:themeColor="text1"/>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highlight w:val="none"/>
                <w:lang w:eastAsia="zh-CN"/>
                <w14:textFill>
                  <w14:solidFill>
                    <w14:schemeClr w14:val="tx1"/>
                  </w14:solidFill>
                </w14:textFill>
              </w:rPr>
              <w:t>无</w:t>
            </w:r>
          </w:p>
        </w:tc>
      </w:tr>
    </w:tbl>
    <w:p>
      <w:pPr>
        <w:rPr>
          <w:rFonts w:hint="default" w:ascii="Times New Roman" w:hAnsi="Times New Roman" w:cs="Times New Roman"/>
          <w:color w:val="auto"/>
          <w:highlight w:val="none"/>
        </w:rPr>
        <w:sectPr>
          <w:headerReference r:id="rId6" w:type="default"/>
          <w:footerReference r:id="rId8" w:type="default"/>
          <w:headerReference r:id="rId7" w:type="even"/>
          <w:footerReference r:id="rId9" w:type="even"/>
          <w:pgSz w:w="11905" w:h="16838"/>
          <w:pgMar w:top="1803" w:right="1440" w:bottom="1803" w:left="1440" w:header="1247" w:footer="1247" w:gutter="0"/>
          <w:pgBorders>
            <w:top w:val="none" w:sz="0" w:space="0"/>
            <w:left w:val="none" w:sz="0" w:space="0"/>
            <w:bottom w:val="none" w:sz="0" w:space="0"/>
            <w:right w:val="none" w:sz="0" w:space="0"/>
          </w:pgBorders>
          <w:pgNumType w:fmt="decimal" w:start="1"/>
          <w:cols w:space="0" w:num="1"/>
          <w:docGrid w:linePitch="312" w:charSpace="0"/>
        </w:sectPr>
      </w:pPr>
    </w:p>
    <w:tbl>
      <w:tblPr>
        <w:tblStyle w:val="28"/>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84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81"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其他符合性分析</w:t>
            </w:r>
          </w:p>
        </w:tc>
        <w:tc>
          <w:tcPr>
            <w:tcW w:w="8484" w:type="dxa"/>
            <w:vMerge w:val="restart"/>
            <w:vAlign w:val="center"/>
          </w:tcPr>
          <w:p>
            <w:pPr>
              <w:pStyle w:val="49"/>
              <w:keepNext w:val="0"/>
              <w:keepLines w:val="0"/>
              <w:pageBreakBefore w:val="0"/>
              <w:widowControl w:val="0"/>
              <w:kinsoku/>
              <w:wordWrap/>
              <w:topLinePunct w:val="0"/>
              <w:autoSpaceDE/>
              <w:autoSpaceDN/>
              <w:bidi w:val="0"/>
              <w:adjustRightInd w:val="0"/>
              <w:spacing w:line="336" w:lineRule="auto"/>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lang w:val="en-US" w:eastAsia="zh-CN"/>
              </w:rPr>
              <w:t>产业政策符合性分析</w:t>
            </w:r>
          </w:p>
          <w:p>
            <w:pPr>
              <w:pStyle w:val="50"/>
              <w:keepNext w:val="0"/>
              <w:keepLines w:val="0"/>
              <w:pageBreakBefore w:val="0"/>
              <w:widowControl w:val="0"/>
              <w:kinsoku/>
              <w:wordWrap/>
              <w:topLinePunct w:val="0"/>
              <w:autoSpaceDE/>
              <w:autoSpaceDN/>
              <w:bidi w:val="0"/>
              <w:adjustRightInd w:val="0"/>
              <w:spacing w:line="360" w:lineRule="auto"/>
              <w:rPr>
                <w:rFonts w:hint="eastAsia" w:ascii="Times New Roman" w:hAnsi="Times New Roman" w:eastAsia="仿宋" w:cs="Times New Roman"/>
                <w:b w:val="0"/>
                <w:bCs/>
                <w:color w:val="auto"/>
                <w:kern w:val="2"/>
                <w:sz w:val="24"/>
                <w:szCs w:val="24"/>
                <w:highlight w:val="none"/>
                <w:lang w:val="en-US" w:eastAsia="zh-CN" w:bidi="ar-SA"/>
              </w:rPr>
            </w:pPr>
            <w:r>
              <w:rPr>
                <w:rFonts w:hint="eastAsia" w:ascii="Times New Roman" w:hAnsi="Times New Roman" w:eastAsia="仿宋" w:cs="Times New Roman"/>
                <w:b w:val="0"/>
                <w:bCs/>
                <w:color w:val="auto"/>
                <w:kern w:val="2"/>
                <w:sz w:val="24"/>
                <w:szCs w:val="24"/>
                <w:highlight w:val="none"/>
                <w:lang w:val="en-US" w:eastAsia="zh-CN" w:bidi="ar-SA"/>
              </w:rPr>
              <w:t>本项目属于风力发电项目，位于</w:t>
            </w:r>
            <w:r>
              <w:rPr>
                <w:rFonts w:hint="eastAsia" w:eastAsia="仿宋" w:cs="Times New Roman"/>
                <w:color w:val="auto"/>
                <w:sz w:val="24"/>
                <w:szCs w:val="24"/>
                <w:highlight w:val="none"/>
                <w:lang w:val="en-US" w:eastAsia="zh-CN"/>
              </w:rPr>
              <w:t>中卫市沙坡头区</w:t>
            </w:r>
            <w:r>
              <w:rPr>
                <w:rFonts w:hint="eastAsia" w:ascii="Times New Roman" w:hAnsi="Times New Roman" w:eastAsia="仿宋" w:cs="Times New Roman"/>
                <w:b w:val="0"/>
                <w:bCs/>
                <w:color w:val="auto"/>
                <w:kern w:val="2"/>
                <w:sz w:val="24"/>
                <w:szCs w:val="24"/>
                <w:highlight w:val="none"/>
                <w:lang w:val="en-US" w:eastAsia="zh-CN" w:bidi="ar-SA"/>
              </w:rPr>
              <w:t>，属于《产业结构调整指导目录（2024年本）》中“鼓励类”中“、新能源 ……山区风电场建设与设备生产制造……”中的山区风电场建设，属于鼓励类项目，符合《产业结构调整指导目录（2024年本）》。</w:t>
            </w:r>
          </w:p>
          <w:p>
            <w:pPr>
              <w:pStyle w:val="50"/>
              <w:keepNext w:val="0"/>
              <w:keepLines w:val="0"/>
              <w:pageBreakBefore w:val="0"/>
              <w:widowControl w:val="0"/>
              <w:kinsoku/>
              <w:wordWrap/>
              <w:topLinePunct w:val="0"/>
              <w:autoSpaceDE/>
              <w:autoSpaceDN/>
              <w:bidi w:val="0"/>
              <w:adjustRightInd w:val="0"/>
              <w:snapToGrid w:val="0"/>
              <w:spacing w:line="336" w:lineRule="auto"/>
              <w:ind w:left="0" w:leftChars="0" w:firstLine="0" w:firstLineChars="0"/>
              <w:rPr>
                <w:rFonts w:hint="default" w:ascii="Times New Roman" w:hAnsi="Times New Roman" w:eastAsia="仿宋" w:cs="Times New Roman"/>
                <w:b/>
                <w:bCs/>
                <w:color w:val="auto"/>
                <w:highlight w:val="none"/>
                <w:lang w:val="en-US" w:eastAsia="zh-CN"/>
              </w:rPr>
            </w:pPr>
            <w:r>
              <w:rPr>
                <w:rFonts w:hint="eastAsia" w:eastAsia="仿宋" w:cs="Times New Roman"/>
                <w:b/>
                <w:bCs/>
                <w:color w:val="auto"/>
                <w:highlight w:val="none"/>
                <w:lang w:val="en-US" w:eastAsia="zh-CN"/>
              </w:rPr>
              <w:t>2</w:t>
            </w:r>
            <w:r>
              <w:rPr>
                <w:rFonts w:hint="default" w:ascii="Times New Roman" w:hAnsi="Times New Roman" w:eastAsia="仿宋" w:cs="Times New Roman"/>
                <w:b/>
                <w:bCs/>
                <w:color w:val="auto"/>
                <w:highlight w:val="none"/>
                <w:lang w:val="en-US" w:eastAsia="zh-CN"/>
              </w:rPr>
              <w:t>.与中卫市“三线一单”生态环境分区管控符合性分析</w:t>
            </w:r>
          </w:p>
          <w:p>
            <w:pPr>
              <w:pStyle w:val="50"/>
              <w:keepNext w:val="0"/>
              <w:keepLines w:val="0"/>
              <w:pageBreakBefore w:val="0"/>
              <w:widowControl w:val="0"/>
              <w:kinsoku/>
              <w:wordWrap/>
              <w:topLinePunct w:val="0"/>
              <w:autoSpaceDE/>
              <w:autoSpaceDN/>
              <w:bidi w:val="0"/>
              <w:adjustRightInd w:val="0"/>
              <w:snapToGrid w:val="0"/>
              <w:spacing w:line="336" w:lineRule="auto"/>
              <w:rPr>
                <w:rFonts w:hint="default" w:ascii="Times New Roman" w:hAnsi="Times New Roman" w:eastAsia="仿宋" w:cs="Times New Roman"/>
                <w:color w:val="auto"/>
                <w:highlight w:val="none"/>
              </w:rPr>
            </w:pPr>
            <w:r>
              <w:rPr>
                <w:rFonts w:hint="eastAsia" w:ascii="Times New Roman" w:hAnsi="Times New Roman" w:eastAsia="仿宋" w:cs="Times New Roman"/>
                <w:b w:val="0"/>
                <w:bCs/>
                <w:color w:val="auto"/>
                <w:szCs w:val="24"/>
                <w:highlight w:val="none"/>
                <w:shd w:val="clear" w:color="auto" w:fill="auto"/>
                <w:lang w:val="en-US" w:eastAsia="zh-CN"/>
              </w:rPr>
              <w:t>根据中卫市人民政府办公室关于发布《中卫市生态环境分区管控动态更新成果》的通知（卫政办发〔2024〕33号）</w:t>
            </w:r>
            <w:r>
              <w:rPr>
                <w:rFonts w:hint="default" w:ascii="Times New Roman" w:hAnsi="Times New Roman" w:eastAsia="仿宋" w:cs="Times New Roman"/>
                <w:b w:val="0"/>
                <w:bCs/>
                <w:color w:val="auto"/>
                <w:szCs w:val="24"/>
                <w:highlight w:val="none"/>
                <w:shd w:val="clear" w:color="auto" w:fill="auto"/>
              </w:rPr>
              <w:t>要求：科学确定生态保护红线、环境质量底线、资源利用上线，编制生态环境准入清单(简称“三线一单”)，旨在以“三线”框住空间利用格局和开发强度，用“一单”规范开发行为，将生态优先，绿色发展的规矩立在前面，以高水平的生态环境保护助推高质量的经济发展。</w:t>
            </w:r>
            <w:r>
              <w:rPr>
                <w:rFonts w:hint="default" w:ascii="Times New Roman" w:hAnsi="Times New Roman" w:eastAsia="仿宋" w:cs="Times New Roman"/>
                <w:b w:val="0"/>
                <w:bCs/>
                <w:color w:val="auto"/>
                <w:szCs w:val="24"/>
                <w:highlight w:val="none"/>
                <w:shd w:val="clear" w:color="auto" w:fill="auto"/>
                <w:lang w:val="en-US" w:eastAsia="zh-CN"/>
              </w:rPr>
              <w:t>本</w:t>
            </w:r>
            <w:r>
              <w:rPr>
                <w:rFonts w:hint="default" w:ascii="Times New Roman" w:hAnsi="Times New Roman" w:eastAsia="仿宋" w:cs="Times New Roman"/>
                <w:color w:val="auto"/>
                <w:highlight w:val="none"/>
                <w:lang w:eastAsia="zh-CN"/>
              </w:rPr>
              <w:t>项目与中卫市</w:t>
            </w:r>
            <w:r>
              <w:rPr>
                <w:rFonts w:hint="default" w:ascii="Times New Roman" w:hAnsi="Times New Roman" w:eastAsia="仿宋" w:cs="Times New Roman"/>
                <w:b w:val="0"/>
                <w:bCs/>
                <w:color w:val="auto"/>
                <w:szCs w:val="24"/>
                <w:highlight w:val="none"/>
                <w:shd w:val="clear" w:color="auto" w:fill="auto"/>
                <w:lang w:val="en-US" w:eastAsia="zh-CN"/>
              </w:rPr>
              <w:t>“三线一单”符合性分析如下：</w:t>
            </w:r>
          </w:p>
          <w:p>
            <w:pPr>
              <w:pStyle w:val="50"/>
              <w:keepNext w:val="0"/>
              <w:keepLines w:val="0"/>
              <w:pageBreakBefore w:val="0"/>
              <w:widowControl w:val="0"/>
              <w:kinsoku/>
              <w:wordWrap/>
              <w:topLinePunct w:val="0"/>
              <w:autoSpaceDE/>
              <w:autoSpaceDN/>
              <w:bidi w:val="0"/>
              <w:adjustRightInd w:val="0"/>
              <w:snapToGrid w:val="0"/>
              <w:spacing w:line="336" w:lineRule="auto"/>
              <w:rPr>
                <w:rFonts w:hint="default" w:ascii="Times New Roman" w:hAnsi="Times New Roman" w:eastAsia="仿宋" w:cs="Times New Roman"/>
                <w:b/>
                <w:bCs/>
                <w:color w:val="auto"/>
                <w:highlight w:val="none"/>
                <w:lang w:eastAsia="zh-CN"/>
              </w:rPr>
            </w:pPr>
            <w:r>
              <w:rPr>
                <w:rFonts w:hint="default" w:ascii="Times New Roman" w:hAnsi="Times New Roman" w:eastAsia="仿宋" w:cs="Times New Roman"/>
                <w:b/>
                <w:bCs/>
                <w:color w:val="auto"/>
                <w:highlight w:val="none"/>
                <w:lang w:eastAsia="zh-CN"/>
              </w:rPr>
              <w:fldChar w:fldCharType="begin"/>
            </w:r>
            <w:r>
              <w:rPr>
                <w:rFonts w:hint="default" w:ascii="Times New Roman" w:hAnsi="Times New Roman" w:eastAsia="仿宋" w:cs="Times New Roman"/>
                <w:b/>
                <w:bCs/>
                <w:color w:val="auto"/>
                <w:highlight w:val="none"/>
                <w:lang w:eastAsia="zh-CN"/>
              </w:rPr>
              <w:instrText xml:space="preserve"> = 1 \* GB2 \* MERGEFORMAT </w:instrText>
            </w:r>
            <w:r>
              <w:rPr>
                <w:rFonts w:hint="default" w:ascii="Times New Roman" w:hAnsi="Times New Roman" w:eastAsia="仿宋" w:cs="Times New Roman"/>
                <w:b/>
                <w:bCs/>
                <w:color w:val="auto"/>
                <w:highlight w:val="none"/>
                <w:lang w:eastAsia="zh-CN"/>
              </w:rPr>
              <w:fldChar w:fldCharType="separate"/>
            </w:r>
            <w:r>
              <w:rPr>
                <w:b/>
                <w:bCs/>
                <w:color w:val="auto"/>
                <w:highlight w:val="none"/>
              </w:rPr>
              <w:t>⑴</w:t>
            </w:r>
            <w:r>
              <w:rPr>
                <w:rFonts w:hint="default" w:ascii="Times New Roman" w:hAnsi="Times New Roman" w:eastAsia="仿宋" w:cs="Times New Roman"/>
                <w:b/>
                <w:bCs/>
                <w:color w:val="auto"/>
                <w:highlight w:val="none"/>
                <w:lang w:eastAsia="zh-CN"/>
              </w:rPr>
              <w:fldChar w:fldCharType="end"/>
            </w:r>
            <w:r>
              <w:rPr>
                <w:rFonts w:hint="default" w:ascii="Times New Roman" w:hAnsi="Times New Roman" w:eastAsia="仿宋" w:cs="Times New Roman"/>
                <w:b/>
                <w:bCs/>
                <w:color w:val="auto"/>
                <w:highlight w:val="none"/>
                <w:lang w:eastAsia="zh-CN"/>
              </w:rPr>
              <w:t>生态保护红线</w:t>
            </w:r>
          </w:p>
          <w:p>
            <w:pPr>
              <w:pStyle w:val="50"/>
              <w:keepNext w:val="0"/>
              <w:keepLines w:val="0"/>
              <w:pageBreakBefore w:val="0"/>
              <w:widowControl w:val="0"/>
              <w:kinsoku/>
              <w:wordWrap/>
              <w:topLinePunct w:val="0"/>
              <w:autoSpaceDE/>
              <w:autoSpaceDN/>
              <w:bidi w:val="0"/>
              <w:adjustRightInd w:val="0"/>
              <w:snapToGrid w:val="0"/>
              <w:spacing w:line="336" w:lineRule="auto"/>
              <w:rPr>
                <w:rFonts w:hint="default" w:ascii="Times New Roman" w:hAnsi="Times New Roman" w:eastAsia="仿宋" w:cs="Times New Roman"/>
                <w:b w:val="0"/>
                <w:bCs w:val="0"/>
                <w:color w:val="auto"/>
                <w:highlight w:val="none"/>
                <w:lang w:eastAsia="zh-CN"/>
              </w:rPr>
            </w:pPr>
            <w:r>
              <w:rPr>
                <w:rFonts w:hint="default" w:ascii="Times New Roman" w:hAnsi="Times New Roman" w:eastAsia="仿宋" w:cs="Times New Roman"/>
                <w:b w:val="0"/>
                <w:bCs w:val="0"/>
                <w:color w:val="auto"/>
                <w:highlight w:val="none"/>
                <w:lang w:eastAsia="zh-CN"/>
              </w:rPr>
              <w:t>本项目与中卫市生态保护红线位置关系见</w:t>
            </w:r>
            <w:r>
              <w:rPr>
                <w:rFonts w:hint="default" w:ascii="Times New Roman" w:hAnsi="Times New Roman" w:eastAsia="仿宋" w:cs="Times New Roman"/>
                <w:b/>
                <w:bCs/>
                <w:color w:val="auto"/>
                <w:highlight w:val="none"/>
                <w:lang w:eastAsia="zh-CN"/>
              </w:rPr>
              <w:t>附图</w:t>
            </w:r>
            <w:r>
              <w:rPr>
                <w:rFonts w:hint="default" w:ascii="Times New Roman" w:hAnsi="Times New Roman" w:eastAsia="仿宋" w:cs="Times New Roman"/>
                <w:b/>
                <w:bCs/>
                <w:color w:val="auto"/>
                <w:highlight w:val="none"/>
                <w:lang w:val="en-US" w:eastAsia="zh-CN"/>
              </w:rPr>
              <w:t>1，</w:t>
            </w:r>
            <w:r>
              <w:rPr>
                <w:rFonts w:hint="default" w:ascii="Times New Roman" w:hAnsi="Times New Roman" w:eastAsia="仿宋" w:cs="Times New Roman"/>
                <w:b w:val="0"/>
                <w:bCs w:val="0"/>
                <w:color w:val="auto"/>
                <w:highlight w:val="none"/>
                <w:lang w:val="en-US" w:eastAsia="zh-CN"/>
              </w:rPr>
              <w:t>由图可知，本项目</w:t>
            </w:r>
            <w:r>
              <w:rPr>
                <w:rFonts w:hint="default" w:ascii="Times New Roman" w:hAnsi="Times New Roman" w:eastAsia="仿宋" w:cs="Times New Roman"/>
                <w:b w:val="0"/>
                <w:bCs w:val="0"/>
                <w:color w:val="auto"/>
                <w:highlight w:val="none"/>
                <w:lang w:eastAsia="zh-CN"/>
              </w:rPr>
              <w:t>不在中卫市生态保护红线管控范围，项目运营后无废气、废水产生，不会对区域生态环境造成影响</w:t>
            </w:r>
            <w:r>
              <w:rPr>
                <w:rFonts w:hint="default" w:ascii="Times New Roman" w:hAnsi="Times New Roman" w:eastAsia="仿宋" w:cs="Times New Roman"/>
                <w:b/>
                <w:bCs/>
                <w:color w:val="auto"/>
                <w:highlight w:val="none"/>
                <w:lang w:eastAsia="zh-CN"/>
              </w:rPr>
              <w:t>。</w:t>
            </w:r>
          </w:p>
          <w:p>
            <w:pPr>
              <w:pStyle w:val="50"/>
              <w:keepNext w:val="0"/>
              <w:keepLines w:val="0"/>
              <w:pageBreakBefore w:val="0"/>
              <w:widowControl w:val="0"/>
              <w:kinsoku/>
              <w:wordWrap/>
              <w:topLinePunct w:val="0"/>
              <w:autoSpaceDE/>
              <w:autoSpaceDN/>
              <w:bidi w:val="0"/>
              <w:adjustRightInd w:val="0"/>
              <w:snapToGrid w:val="0"/>
              <w:spacing w:line="336" w:lineRule="auto"/>
              <w:rPr>
                <w:rFonts w:hint="default" w:ascii="Times New Roman" w:hAnsi="Times New Roman" w:eastAsia="仿宋" w:cs="Times New Roman"/>
                <w:b/>
                <w:bCs/>
                <w:color w:val="auto"/>
                <w:highlight w:val="none"/>
                <w:lang w:eastAsia="zh-CN"/>
              </w:rPr>
            </w:pPr>
            <w:r>
              <w:rPr>
                <w:rFonts w:hint="default" w:ascii="Times New Roman" w:hAnsi="Times New Roman" w:eastAsia="仿宋" w:cs="Times New Roman"/>
                <w:b/>
                <w:bCs/>
                <w:color w:val="auto"/>
                <w:highlight w:val="none"/>
                <w:lang w:eastAsia="zh-CN"/>
              </w:rPr>
              <w:t>⑵环境管控单元</w:t>
            </w:r>
          </w:p>
          <w:p>
            <w:pPr>
              <w:pStyle w:val="50"/>
              <w:keepNext w:val="0"/>
              <w:keepLines w:val="0"/>
              <w:pageBreakBefore w:val="0"/>
              <w:widowControl w:val="0"/>
              <w:kinsoku/>
              <w:wordWrap/>
              <w:topLinePunct w:val="0"/>
              <w:autoSpaceDE/>
              <w:autoSpaceDN/>
              <w:bidi w:val="0"/>
              <w:adjustRightInd w:val="0"/>
              <w:snapToGrid w:val="0"/>
              <w:spacing w:line="336" w:lineRule="auto"/>
              <w:rPr>
                <w:rFonts w:hint="default" w:ascii="Times New Roman" w:hAnsi="Times New Roman" w:eastAsia="仿宋" w:cs="Times New Roman"/>
                <w:b w:val="0"/>
                <w:bCs w:val="0"/>
                <w:color w:val="auto"/>
                <w:highlight w:val="none"/>
                <w:lang w:val="en-US" w:eastAsia="zh-CN"/>
              </w:rPr>
            </w:pPr>
            <w:r>
              <w:rPr>
                <w:rFonts w:hint="default" w:ascii="Times New Roman" w:hAnsi="Times New Roman" w:eastAsia="仿宋" w:cs="Times New Roman"/>
                <w:b w:val="0"/>
                <w:bCs w:val="0"/>
                <w:color w:val="auto"/>
                <w:highlight w:val="none"/>
                <w:lang w:eastAsia="zh-CN"/>
              </w:rPr>
              <w:t>中卫市共划定环境管控单元</w:t>
            </w:r>
            <w:r>
              <w:rPr>
                <w:rFonts w:hint="eastAsia" w:eastAsia="仿宋" w:cs="Times New Roman"/>
                <w:b w:val="0"/>
                <w:bCs w:val="0"/>
                <w:color w:val="auto"/>
                <w:highlight w:val="none"/>
                <w:lang w:val="en-US" w:eastAsia="zh-CN"/>
              </w:rPr>
              <w:t>57</w:t>
            </w:r>
            <w:r>
              <w:rPr>
                <w:rFonts w:hint="default" w:ascii="Times New Roman" w:hAnsi="Times New Roman" w:eastAsia="仿宋" w:cs="Times New Roman"/>
                <w:b w:val="0"/>
                <w:bCs w:val="0"/>
                <w:color w:val="auto"/>
                <w:highlight w:val="none"/>
                <w:lang w:eastAsia="zh-CN"/>
              </w:rPr>
              <w:t>个，其中优先保护单元</w:t>
            </w:r>
            <w:r>
              <w:rPr>
                <w:rFonts w:hint="eastAsia" w:eastAsia="仿宋" w:cs="Times New Roman"/>
                <w:b w:val="0"/>
                <w:bCs w:val="0"/>
                <w:color w:val="auto"/>
                <w:highlight w:val="none"/>
                <w:lang w:val="en-US" w:eastAsia="zh-CN"/>
              </w:rPr>
              <w:t>33</w:t>
            </w:r>
            <w:r>
              <w:rPr>
                <w:rFonts w:hint="default" w:ascii="Times New Roman" w:hAnsi="Times New Roman" w:eastAsia="仿宋" w:cs="Times New Roman"/>
                <w:b w:val="0"/>
                <w:bCs w:val="0"/>
                <w:color w:val="auto"/>
                <w:highlight w:val="none"/>
                <w:lang w:eastAsia="zh-CN"/>
              </w:rPr>
              <w:t>个，重点管控单元12个，一般管控单元12个。本项目建设地点位于中卫市</w:t>
            </w:r>
            <w:r>
              <w:rPr>
                <w:rFonts w:hint="eastAsia" w:eastAsia="仿宋" w:cs="Times New Roman"/>
                <w:b w:val="0"/>
                <w:bCs w:val="0"/>
                <w:color w:val="auto"/>
                <w:sz w:val="24"/>
                <w:szCs w:val="24"/>
                <w:highlight w:val="none"/>
                <w:u w:val="none"/>
                <w:lang w:val="en-US" w:eastAsia="zh-CN"/>
              </w:rPr>
              <w:t>沙坡头区永康镇、宣和镇</w:t>
            </w:r>
            <w:r>
              <w:rPr>
                <w:rFonts w:hint="default" w:ascii="Times New Roman" w:hAnsi="Times New Roman" w:eastAsia="仿宋" w:cs="Times New Roman"/>
                <w:b w:val="0"/>
                <w:bCs w:val="0"/>
                <w:color w:val="auto"/>
                <w:highlight w:val="none"/>
                <w:lang w:eastAsia="zh-CN"/>
              </w:rPr>
              <w:t>，</w:t>
            </w:r>
            <w:r>
              <w:rPr>
                <w:rFonts w:hint="eastAsia" w:eastAsia="仿宋" w:cs="Times New Roman"/>
                <w:b w:val="0"/>
                <w:bCs w:val="0"/>
                <w:color w:val="auto"/>
                <w:highlight w:val="none"/>
                <w:lang w:eastAsia="zh-CN"/>
              </w:rPr>
              <w:t>占用了环境管控单元中</w:t>
            </w:r>
            <w:r>
              <w:rPr>
                <w:rFonts w:hint="default" w:ascii="Times New Roman" w:hAnsi="Times New Roman" w:eastAsia="仿宋" w:cs="Times New Roman"/>
                <w:b/>
                <w:bCs/>
                <w:color w:val="auto"/>
                <w:highlight w:val="none"/>
                <w:lang w:eastAsia="zh-CN"/>
              </w:rPr>
              <w:t>优先保护单元</w:t>
            </w:r>
            <w:r>
              <w:rPr>
                <w:rFonts w:hint="eastAsia" w:eastAsia="仿宋" w:cs="Times New Roman"/>
                <w:b/>
                <w:bCs/>
                <w:color w:val="auto"/>
                <w:highlight w:val="none"/>
                <w:lang w:eastAsia="zh-CN"/>
              </w:rPr>
              <w:t>及一般管控单元</w:t>
            </w:r>
            <w:r>
              <w:rPr>
                <w:rFonts w:hint="default" w:ascii="Times New Roman" w:hAnsi="Times New Roman" w:eastAsia="仿宋" w:cs="Times New Roman"/>
                <w:b w:val="0"/>
                <w:bCs w:val="0"/>
                <w:color w:val="auto"/>
                <w:highlight w:val="none"/>
                <w:lang w:eastAsia="zh-CN"/>
              </w:rPr>
              <w:t>。</w:t>
            </w:r>
            <w:r>
              <w:rPr>
                <w:rFonts w:hint="default" w:ascii="Times New Roman" w:hAnsi="Times New Roman" w:eastAsia="仿宋" w:cs="Times New Roman"/>
                <w:b w:val="0"/>
                <w:bCs w:val="0"/>
                <w:color w:val="auto"/>
                <w:highlight w:val="none"/>
                <w:lang w:val="en-US" w:eastAsia="zh-CN"/>
              </w:rPr>
              <w:t>优先保护单元：为生态保护红线、一般生态空间、水环境优先保护区、大气环境优先保护区的并集。优先保护单元以严格保护生态环境、严格限制产业发展为导向，禁止或限制大规模的工业开发和城镇建设。</w:t>
            </w:r>
            <w:r>
              <w:rPr>
                <w:rFonts w:hint="eastAsia" w:eastAsia="仿宋" w:cs="Times New Roman"/>
                <w:b w:val="0"/>
                <w:bCs w:val="0"/>
                <w:color w:val="auto"/>
                <w:highlight w:val="none"/>
                <w:lang w:val="en-US" w:eastAsia="zh-CN"/>
              </w:rPr>
              <w:t>一般管控单元：</w:t>
            </w:r>
            <w:r>
              <w:rPr>
                <w:rFonts w:hint="default" w:ascii="Times New Roman" w:hAnsi="Times New Roman" w:eastAsia="仿宋" w:cs="Times New Roman"/>
                <w:b w:val="0"/>
                <w:bCs w:val="0"/>
                <w:color w:val="auto"/>
                <w:highlight w:val="none"/>
                <w:lang w:val="en-US" w:eastAsia="zh-CN"/>
              </w:rPr>
              <w:t>除优先保护单元和重点管控单元之外的其他区域全部纳入一般管控单元。一般管控单元以适度发展社会经济、避免大规模高强度开发为导向，执行区域生态环境保护的基本要求</w:t>
            </w:r>
            <w:r>
              <w:rPr>
                <w:rFonts w:hint="eastAsia" w:eastAsia="仿宋" w:cs="Times New Roman"/>
                <w:b w:val="0"/>
                <w:bCs w:val="0"/>
                <w:color w:val="auto"/>
                <w:highlight w:val="none"/>
                <w:lang w:val="en-US" w:eastAsia="zh-CN"/>
              </w:rPr>
              <w:t>。</w:t>
            </w:r>
            <w:r>
              <w:rPr>
                <w:rFonts w:hint="default" w:ascii="Times New Roman" w:hAnsi="Times New Roman" w:eastAsia="仿宋" w:cs="Times New Roman"/>
                <w:b w:val="0"/>
                <w:bCs w:val="0"/>
                <w:color w:val="auto"/>
                <w:highlight w:val="none"/>
                <w:lang w:val="en-US" w:eastAsia="zh-CN"/>
              </w:rPr>
              <w:t>本项目与中卫市生态环境准入清单总体要求符合性分析见表</w:t>
            </w:r>
            <w:r>
              <w:rPr>
                <w:rFonts w:hint="eastAsia" w:eastAsia="仿宋" w:cs="Times New Roman"/>
                <w:b w:val="0"/>
                <w:bCs w:val="0"/>
                <w:color w:val="auto"/>
                <w:highlight w:val="none"/>
                <w:lang w:val="en-US" w:eastAsia="zh-CN"/>
              </w:rPr>
              <w:t>1-1</w:t>
            </w:r>
            <w:r>
              <w:rPr>
                <w:rFonts w:hint="default" w:ascii="Times New Roman" w:hAnsi="Times New Roman" w:eastAsia="仿宋" w:cs="Times New Roman"/>
                <w:b w:val="0"/>
                <w:bCs w:val="0"/>
                <w:color w:val="auto"/>
                <w:highlight w:val="none"/>
                <w:lang w:val="en-US" w:eastAsia="zh-CN"/>
              </w:rPr>
              <w:t>，与中卫市环境管控单元生态环境准入清单符合性分析见表</w:t>
            </w:r>
            <w:r>
              <w:rPr>
                <w:rFonts w:hint="eastAsia" w:eastAsia="仿宋" w:cs="Times New Roman"/>
                <w:b w:val="0"/>
                <w:bCs w:val="0"/>
                <w:color w:val="auto"/>
                <w:highlight w:val="none"/>
                <w:lang w:val="en-US" w:eastAsia="zh-CN"/>
              </w:rPr>
              <w:t>1-2</w:t>
            </w:r>
            <w:r>
              <w:rPr>
                <w:rFonts w:hint="default" w:ascii="Times New Roman" w:hAnsi="Times New Roman" w:eastAsia="仿宋" w:cs="Times New Roman"/>
                <w:b w:val="0"/>
                <w:bCs w:val="0"/>
                <w:color w:val="auto"/>
                <w:highlight w:val="none"/>
                <w:lang w:val="en-US" w:eastAsia="zh-CN"/>
              </w:rPr>
              <w:t>。</w:t>
            </w:r>
          </w:p>
          <w:p>
            <w:pPr>
              <w:pStyle w:val="50"/>
              <w:keepNext w:val="0"/>
              <w:keepLines w:val="0"/>
              <w:pageBreakBefore w:val="0"/>
              <w:widowControl w:val="0"/>
              <w:kinsoku/>
              <w:wordWrap/>
              <w:topLinePunct w:val="0"/>
              <w:autoSpaceDE/>
              <w:autoSpaceDN/>
              <w:bidi w:val="0"/>
              <w:adjustRightInd w:val="0"/>
              <w:snapToGrid w:val="0"/>
              <w:spacing w:line="336" w:lineRule="auto"/>
              <w:rPr>
                <w:rFonts w:hint="default" w:ascii="Times New Roman" w:hAnsi="Times New Roman" w:eastAsia="仿宋" w:cs="Times New Roman"/>
                <w:b w:val="0"/>
                <w:bCs w:val="0"/>
                <w:color w:val="auto"/>
                <w:highlight w:val="none"/>
                <w:lang w:val="en-US" w:eastAsia="zh-CN"/>
              </w:rPr>
            </w:pPr>
            <w:r>
              <w:rPr>
                <w:rFonts w:hint="default" w:ascii="Times New Roman" w:hAnsi="Times New Roman" w:eastAsia="仿宋" w:cs="Times New Roman"/>
                <w:b w:val="0"/>
                <w:bCs w:val="0"/>
                <w:color w:val="auto"/>
                <w:highlight w:val="none"/>
                <w:lang w:eastAsia="zh-CN"/>
              </w:rPr>
              <w:t>项目为</w:t>
            </w:r>
            <w:r>
              <w:rPr>
                <w:rFonts w:hint="eastAsia" w:eastAsia="仿宋" w:cs="Times New Roman"/>
                <w:b w:val="0"/>
                <w:bCs w:val="0"/>
                <w:color w:val="auto"/>
                <w:highlight w:val="none"/>
                <w:lang w:eastAsia="zh-CN"/>
              </w:rPr>
              <w:t>风电场</w:t>
            </w:r>
            <w:r>
              <w:rPr>
                <w:rFonts w:hint="default" w:ascii="Times New Roman" w:hAnsi="Times New Roman" w:eastAsia="仿宋" w:cs="Times New Roman"/>
                <w:b w:val="0"/>
                <w:bCs w:val="0"/>
                <w:color w:val="auto"/>
                <w:highlight w:val="none"/>
                <w:lang w:eastAsia="zh-CN"/>
              </w:rPr>
              <w:t>建设项目，施工期污染物的排放对周围环境影响较小</w:t>
            </w:r>
            <w:r>
              <w:rPr>
                <w:rFonts w:hint="eastAsia" w:eastAsia="仿宋" w:cs="Times New Roman"/>
                <w:b w:val="0"/>
                <w:bCs w:val="0"/>
                <w:color w:val="auto"/>
                <w:highlight w:val="none"/>
                <w:lang w:eastAsia="zh-CN"/>
              </w:rPr>
              <w:t>，</w:t>
            </w:r>
            <w:r>
              <w:rPr>
                <w:rFonts w:hint="eastAsia" w:eastAsia="仿宋" w:cs="Times New Roman"/>
                <w:b/>
                <w:bCs/>
                <w:color w:val="auto"/>
                <w:highlight w:val="none"/>
                <w:lang w:eastAsia="zh-CN"/>
              </w:rPr>
              <w:t>本项目占用的优先保护单元不占用生态保护红线，为一般生态空间</w:t>
            </w:r>
            <w:r>
              <w:rPr>
                <w:rFonts w:hint="default" w:ascii="Times New Roman" w:hAnsi="Times New Roman" w:eastAsia="仿宋" w:cs="Times New Roman"/>
                <w:b/>
                <w:bCs/>
                <w:color w:val="auto"/>
                <w:highlight w:val="none"/>
                <w:lang w:eastAsia="zh-CN"/>
              </w:rPr>
              <w:t>。</w:t>
            </w:r>
            <w:r>
              <w:rPr>
                <w:rFonts w:hint="default" w:ascii="Times New Roman" w:hAnsi="Times New Roman" w:eastAsia="仿宋" w:cs="Times New Roman"/>
                <w:b w:val="0"/>
                <w:bCs w:val="0"/>
                <w:color w:val="auto"/>
                <w:highlight w:val="none"/>
                <w:lang w:val="en-US" w:eastAsia="zh-CN"/>
              </w:rPr>
              <w:t>一般生态空间原则上按照限制开发区域的要求进行管理。严格控制新增建设用地占用一般生态空间。符合区域准入条件的建设项目，涉及占用生态空间中的林地、草原等，按有关法律法规规定办理；涉及占用生态空间中其他未作明确规定的用地，应当加强论证和管理。严格限制农业开发占用生态空间，符合条件的农业开发项目，须依法由县级及以上地方人民政府统筹安排。有序引导生态空间用途之间的相互转换，鼓励向有利于生态功能提升的方向转变，严格限制不符合生态保护要求或有损生态功能的转换</w:t>
            </w:r>
            <w:r>
              <w:rPr>
                <w:rFonts w:hint="eastAsia" w:eastAsia="仿宋" w:cs="Times New Roman"/>
                <w:b w:val="0"/>
                <w:bCs w:val="0"/>
                <w:color w:val="auto"/>
                <w:highlight w:val="none"/>
                <w:lang w:val="en-US" w:eastAsia="zh-CN"/>
              </w:rPr>
              <w:t>。</w:t>
            </w:r>
            <w:r>
              <w:rPr>
                <w:rFonts w:hint="default" w:ascii="Times New Roman" w:hAnsi="Times New Roman" w:eastAsia="仿宋" w:cs="Times New Roman"/>
                <w:color w:val="auto"/>
                <w:highlight w:val="none"/>
                <w:lang w:val="en-US" w:eastAsia="zh-CN"/>
              </w:rPr>
              <w:t>本项目为</w:t>
            </w:r>
            <w:r>
              <w:rPr>
                <w:rFonts w:hint="eastAsia" w:eastAsia="仿宋" w:cs="Times New Roman"/>
                <w:color w:val="auto"/>
                <w:highlight w:val="none"/>
                <w:lang w:val="en-US" w:eastAsia="zh-CN"/>
              </w:rPr>
              <w:t>风电场</w:t>
            </w:r>
            <w:r>
              <w:rPr>
                <w:rFonts w:hint="default" w:ascii="Times New Roman" w:hAnsi="Times New Roman" w:eastAsia="仿宋" w:cs="Times New Roman"/>
                <w:color w:val="auto"/>
                <w:highlight w:val="none"/>
                <w:lang w:val="en-US" w:eastAsia="zh-CN"/>
              </w:rPr>
              <w:t>建设项目，不属于</w:t>
            </w:r>
            <w:r>
              <w:rPr>
                <w:rFonts w:hint="eastAsia" w:eastAsia="仿宋" w:cs="Times New Roman"/>
                <w:color w:val="auto"/>
                <w:highlight w:val="none"/>
                <w:lang w:val="en-US" w:eastAsia="zh-CN"/>
              </w:rPr>
              <w:t>污染源类建设项目，为生态类建设项目。根据《关于国家电投中卫香山49.8MW分散式风电项目建设用地预审意见》（宁自然资预审字[2024]6号）（见附件），符合相关法律规定，</w:t>
            </w:r>
            <w:r>
              <w:rPr>
                <w:rFonts w:hint="default" w:ascii="Times New Roman" w:hAnsi="Times New Roman" w:eastAsia="仿宋" w:cs="Times New Roman"/>
                <w:b w:val="0"/>
                <w:bCs w:val="0"/>
                <w:color w:val="auto"/>
                <w:highlight w:val="none"/>
                <w:lang w:eastAsia="zh-CN"/>
              </w:rPr>
              <w:t>符合</w:t>
            </w:r>
            <w:r>
              <w:rPr>
                <w:rFonts w:hint="eastAsia" w:eastAsia="仿宋" w:cs="Times New Roman"/>
                <w:b w:val="0"/>
                <w:bCs w:val="0"/>
                <w:color w:val="auto"/>
                <w:highlight w:val="none"/>
                <w:lang w:eastAsia="zh-CN"/>
              </w:rPr>
              <w:t>一般生态空间的准入要求。本</w:t>
            </w:r>
            <w:r>
              <w:rPr>
                <w:rFonts w:hint="default" w:ascii="Times New Roman" w:hAnsi="Times New Roman" w:eastAsia="仿宋" w:cs="Times New Roman"/>
                <w:color w:val="auto"/>
                <w:highlight w:val="none"/>
                <w:lang w:val="en-US" w:eastAsia="zh-CN"/>
              </w:rPr>
              <w:t>项目施工期结束后对临时占地进行土地整治、复垦，恢复土地原有样貌。</w:t>
            </w:r>
            <w:r>
              <w:rPr>
                <w:rFonts w:hint="eastAsia" w:eastAsia="仿宋" w:cs="Times New Roman"/>
                <w:color w:val="auto"/>
                <w:highlight w:val="none"/>
                <w:lang w:val="en-US" w:eastAsia="zh-CN"/>
              </w:rPr>
              <w:t>符合</w:t>
            </w:r>
            <w:r>
              <w:rPr>
                <w:rFonts w:hint="default" w:ascii="Times New Roman" w:hAnsi="Times New Roman" w:eastAsia="仿宋" w:cs="Times New Roman"/>
                <w:b w:val="0"/>
                <w:bCs w:val="0"/>
                <w:color w:val="auto"/>
                <w:highlight w:val="none"/>
                <w:lang w:eastAsia="zh-CN"/>
              </w:rPr>
              <w:t>中卫市环境管控单元与准入清单要求。项目与中卫市环境管控单元图位置关系见</w:t>
            </w:r>
            <w:r>
              <w:rPr>
                <w:rFonts w:hint="default" w:ascii="Times New Roman" w:hAnsi="Times New Roman" w:eastAsia="仿宋" w:cs="Times New Roman"/>
                <w:b/>
                <w:bCs/>
                <w:color w:val="auto"/>
                <w:highlight w:val="none"/>
                <w:lang w:eastAsia="zh-CN"/>
              </w:rPr>
              <w:t>附图</w:t>
            </w:r>
            <w:r>
              <w:rPr>
                <w:rFonts w:hint="eastAsia" w:eastAsia="仿宋" w:cs="Times New Roman"/>
                <w:b/>
                <w:bCs/>
                <w:color w:val="auto"/>
                <w:highlight w:val="none"/>
                <w:lang w:val="en-US" w:eastAsia="zh-CN"/>
              </w:rPr>
              <w:t>2</w:t>
            </w:r>
            <w:r>
              <w:rPr>
                <w:rFonts w:hint="default" w:ascii="Times New Roman" w:hAnsi="Times New Roman" w:eastAsia="仿宋" w:cs="Times New Roman"/>
                <w:b/>
                <w:bCs/>
                <w:color w:val="auto"/>
                <w:highlight w:val="none"/>
                <w:lang w:val="en-US" w:eastAsia="zh-CN"/>
              </w:rPr>
              <w:t>。</w:t>
            </w:r>
          </w:p>
          <w:p>
            <w:pPr>
              <w:pStyle w:val="50"/>
              <w:keepNext w:val="0"/>
              <w:keepLines w:val="0"/>
              <w:pageBreakBefore w:val="0"/>
              <w:widowControl w:val="0"/>
              <w:kinsoku/>
              <w:wordWrap/>
              <w:topLinePunct w:val="0"/>
              <w:autoSpaceDE/>
              <w:autoSpaceDN/>
              <w:bidi w:val="0"/>
              <w:adjustRightInd w:val="0"/>
              <w:snapToGrid w:val="0"/>
              <w:spacing w:line="336" w:lineRule="auto"/>
              <w:rPr>
                <w:rFonts w:hint="eastAsia" w:ascii="Times New Roman" w:hAnsi="Times New Roman" w:eastAsia="仿宋" w:cs="Times New Roman"/>
                <w:b/>
                <w:bCs/>
                <w:color w:val="auto"/>
                <w:highlight w:val="none"/>
                <w:lang w:eastAsia="zh-CN"/>
              </w:rPr>
            </w:pPr>
            <w:r>
              <w:rPr>
                <w:rFonts w:hint="default" w:ascii="Times New Roman" w:hAnsi="Times New Roman" w:eastAsia="仿宋" w:cs="Times New Roman"/>
                <w:b/>
                <w:bCs/>
                <w:color w:val="auto"/>
                <w:highlight w:val="none"/>
                <w:lang w:eastAsia="zh-CN"/>
              </w:rPr>
              <w:t>⑶环</w:t>
            </w:r>
            <w:r>
              <w:rPr>
                <w:rFonts w:hint="default" w:ascii="Times New Roman" w:hAnsi="Times New Roman" w:eastAsia="仿宋" w:cs="Times New Roman"/>
                <w:b/>
                <w:bCs/>
                <w:color w:val="auto"/>
                <w:highlight w:val="none"/>
              </w:rPr>
              <w:t>境质量底线</w:t>
            </w:r>
            <w:r>
              <w:rPr>
                <w:rFonts w:hint="eastAsia" w:ascii="Times New Roman" w:hAnsi="Times New Roman" w:eastAsia="仿宋" w:cs="Times New Roman"/>
                <w:b/>
                <w:bCs/>
                <w:color w:val="auto"/>
                <w:highlight w:val="none"/>
                <w:lang w:eastAsia="zh-CN"/>
              </w:rPr>
              <w:t>及分区管控符合性分析</w:t>
            </w:r>
          </w:p>
          <w:p>
            <w:pPr>
              <w:pStyle w:val="50"/>
              <w:keepNext w:val="0"/>
              <w:keepLines w:val="0"/>
              <w:pageBreakBefore w:val="0"/>
              <w:widowControl w:val="0"/>
              <w:kinsoku/>
              <w:wordWrap/>
              <w:topLinePunct w:val="0"/>
              <w:autoSpaceDE/>
              <w:autoSpaceDN/>
              <w:bidi w:val="0"/>
              <w:adjustRightInd w:val="0"/>
              <w:snapToGrid w:val="0"/>
              <w:spacing w:line="336" w:lineRule="auto"/>
              <w:rPr>
                <w:rFonts w:hint="eastAsia" w:ascii="Times New Roman" w:hAnsi="Times New Roman" w:eastAsia="仿宋_GB2312" w:cs="Times New Roman"/>
                <w:color w:val="auto"/>
                <w:highlight w:val="none"/>
                <w:lang w:val="en-US" w:eastAsia="zh-CN"/>
              </w:rPr>
            </w:pPr>
            <w:r>
              <w:rPr>
                <w:rFonts w:hint="default" w:ascii="Times New Roman" w:hAnsi="Times New Roman" w:eastAsia="仿宋" w:cs="Times New Roman"/>
                <w:color w:val="auto"/>
                <w:highlight w:val="none"/>
                <w:lang w:val="en-US" w:eastAsia="zh-CN"/>
              </w:rPr>
              <w:t>①水环境质量底线</w:t>
            </w:r>
            <w:r>
              <w:rPr>
                <w:rFonts w:hint="eastAsia"/>
                <w:color w:val="auto"/>
                <w:highlight w:val="none"/>
                <w:lang w:eastAsia="zh-CN"/>
              </w:rPr>
              <w:t>及分区管控</w:t>
            </w:r>
          </w:p>
          <w:p>
            <w:pPr>
              <w:pStyle w:val="50"/>
              <w:keepNext w:val="0"/>
              <w:keepLines w:val="0"/>
              <w:pageBreakBefore w:val="0"/>
              <w:widowControl w:val="0"/>
              <w:kinsoku/>
              <w:wordWrap/>
              <w:topLinePunct w:val="0"/>
              <w:autoSpaceDE/>
              <w:autoSpaceDN/>
              <w:bidi w:val="0"/>
              <w:adjustRightInd w:val="0"/>
              <w:snapToGrid w:val="0"/>
              <w:spacing w:line="336" w:lineRule="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eastAsia="zh-CN"/>
              </w:rPr>
              <w:t>水环境质量底线：</w:t>
            </w:r>
            <w:r>
              <w:rPr>
                <w:rFonts w:hint="default" w:ascii="Times New Roman" w:hAnsi="Times New Roman" w:eastAsia="仿宋" w:cs="Times New Roman"/>
                <w:color w:val="auto"/>
                <w:highlight w:val="none"/>
              </w:rPr>
              <w:t>中卫市水环境管控分区共分为三大类：水环境优先保护区、水环境重点管控区（含水环境工业污染源重点管控区、水环境农业污染源重点管控区、水环境城镇生活污染源重点管控区）和水环境一般管控区。本项目位于中卫市水环境管控分区中的一般管控区</w:t>
            </w:r>
            <w:r>
              <w:rPr>
                <w:rFonts w:hint="default" w:ascii="Times New Roman" w:hAnsi="Times New Roman" w:eastAsia="仿宋" w:cs="Times New Roman"/>
                <w:color w:val="auto"/>
                <w:highlight w:val="none"/>
                <w:lang w:eastAsia="zh-CN"/>
              </w:rPr>
              <w:t>（本项目与中卫市水环境分区管控位置关系见</w:t>
            </w:r>
            <w:r>
              <w:rPr>
                <w:rFonts w:hint="default" w:ascii="Times New Roman" w:hAnsi="Times New Roman" w:eastAsia="仿宋" w:cs="Times New Roman"/>
                <w:b/>
                <w:bCs/>
                <w:color w:val="auto"/>
                <w:highlight w:val="none"/>
                <w:lang w:eastAsia="zh-CN"/>
              </w:rPr>
              <w:t>附图</w:t>
            </w:r>
            <w:r>
              <w:rPr>
                <w:rFonts w:hint="eastAsia" w:eastAsia="仿宋" w:cs="Times New Roman"/>
                <w:b/>
                <w:bCs/>
                <w:color w:val="auto"/>
                <w:highlight w:val="none"/>
                <w:lang w:val="en-US" w:eastAsia="zh-CN"/>
              </w:rPr>
              <w:t>3</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水环境一般管控区是水环境优先保护区、重点管控区以外的所有区域，水环境一般管控区应落实《中华人民共和国水污染防治法》等相关法律法规的总体要求，加强水资源节约和保护，积极推动水生态修复治理，持续深入推进水污染防治，改善水环境质</w:t>
            </w:r>
            <w:r>
              <w:rPr>
                <w:rFonts w:hint="default" w:ascii="Times New Roman" w:hAnsi="Times New Roman" w:eastAsia="仿宋" w:cs="Times New Roman"/>
                <w:color w:val="auto"/>
                <w:highlight w:val="none"/>
                <w:lang w:eastAsia="zh-CN"/>
              </w:rPr>
              <w:t>量。</w:t>
            </w:r>
          </w:p>
          <w:p>
            <w:pPr>
              <w:pStyle w:val="50"/>
              <w:keepNext w:val="0"/>
              <w:keepLines w:val="0"/>
              <w:pageBreakBefore w:val="0"/>
              <w:widowControl w:val="0"/>
              <w:kinsoku/>
              <w:wordWrap/>
              <w:topLinePunct w:val="0"/>
              <w:autoSpaceDE/>
              <w:autoSpaceDN/>
              <w:bidi w:val="0"/>
              <w:adjustRightInd w:val="0"/>
              <w:snapToGrid w:val="0"/>
              <w:spacing w:line="336" w:lineRule="auto"/>
              <w:rPr>
                <w:rFonts w:hint="default" w:ascii="Times New Roman" w:hAnsi="Times New Roman" w:eastAsia="仿宋" w:cs="Times New Roman"/>
                <w:color w:val="auto"/>
                <w:highlight w:val="none"/>
              </w:rPr>
            </w:pPr>
            <w:r>
              <w:rPr>
                <w:rFonts w:hint="eastAsia" w:cs="Times New Roman"/>
                <w:color w:val="auto"/>
                <w:highlight w:val="none"/>
                <w:lang w:eastAsia="zh-CN"/>
              </w:rPr>
              <w:t>本项目周边无地表水体，</w:t>
            </w:r>
            <w:r>
              <w:rPr>
                <w:rFonts w:hint="eastAsia" w:ascii="Times New Roman" w:hAnsi="Times New Roman" w:eastAsia="仿宋" w:cs="Times New Roman"/>
                <w:color w:val="auto"/>
                <w:highlight w:val="none"/>
                <w:lang w:eastAsia="zh-CN"/>
              </w:rPr>
              <w:t>且</w:t>
            </w:r>
            <w:r>
              <w:rPr>
                <w:rFonts w:hint="eastAsia" w:eastAsia="仿宋" w:cs="Times New Roman"/>
                <w:color w:val="auto"/>
                <w:highlight w:val="none"/>
                <w:lang w:eastAsia="zh-CN"/>
              </w:rPr>
              <w:t>项目运营期无人值守，无生活废水和生产废水产生，故无废水外排，对周边水环境无影响</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符合中卫市水环境质量底线一般管控区要求。</w:t>
            </w:r>
          </w:p>
          <w:p>
            <w:pPr>
              <w:pStyle w:val="50"/>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②大气环境质量底线</w:t>
            </w:r>
          </w:p>
          <w:p>
            <w:pPr>
              <w:pStyle w:val="41"/>
              <w:keepNext w:val="0"/>
              <w:keepLines w:val="0"/>
              <w:pageBreakBefore w:val="0"/>
              <w:widowControl w:val="0"/>
              <w:kinsoku/>
              <w:wordWrap/>
              <w:topLinePunct w:val="0"/>
              <w:bidi w:val="0"/>
              <w:adjustRightInd w:val="0"/>
              <w:snapToGrid w:val="0"/>
              <w:spacing w:line="336" w:lineRule="auto"/>
              <w:ind w:firstLine="480" w:firstLineChars="200"/>
              <w:jc w:val="both"/>
              <w:textAlignment w:val="auto"/>
              <w:rPr>
                <w:rFonts w:hint="default" w:ascii="Times New Roman" w:hAnsi="Times New Roman" w:eastAsia="仿宋" w:cs="Times New Roman"/>
                <w:b w:val="0"/>
                <w:bCs w:val="0"/>
                <w:color w:val="auto"/>
                <w:sz w:val="24"/>
                <w:szCs w:val="24"/>
                <w:highlight w:val="none"/>
              </w:rPr>
            </w:pPr>
            <w:r>
              <w:rPr>
                <w:rFonts w:hint="default" w:ascii="Times New Roman" w:hAnsi="Times New Roman" w:eastAsia="仿宋" w:cs="Times New Roman"/>
                <w:b w:val="0"/>
                <w:bCs w:val="0"/>
                <w:color w:val="auto"/>
                <w:sz w:val="24"/>
                <w:szCs w:val="24"/>
                <w:highlight w:val="none"/>
              </w:rPr>
              <w:t>大气环境质量底线：根据《中卫市“三线一单”编制文本》中“表3-</w:t>
            </w:r>
            <w:r>
              <w:rPr>
                <w:rFonts w:hint="eastAsia" w:ascii="Times New Roman" w:eastAsia="仿宋" w:cs="Times New Roman"/>
                <w:b w:val="0"/>
                <w:bCs w:val="0"/>
                <w:color w:val="auto"/>
                <w:sz w:val="24"/>
                <w:szCs w:val="24"/>
                <w:highlight w:val="none"/>
                <w:lang w:val="en-US" w:eastAsia="zh-CN"/>
              </w:rPr>
              <w:t>2</w:t>
            </w:r>
            <w:r>
              <w:rPr>
                <w:rFonts w:hint="default" w:ascii="Times New Roman" w:hAnsi="Times New Roman" w:eastAsia="仿宋" w:cs="Times New Roman"/>
                <w:b w:val="0"/>
                <w:bCs w:val="0"/>
                <w:color w:val="auto"/>
                <w:sz w:val="24"/>
                <w:szCs w:val="24"/>
                <w:highlight w:val="none"/>
              </w:rPr>
              <w:t>中卫市大气环境质量目标”，</w:t>
            </w:r>
            <w:r>
              <w:rPr>
                <w:rFonts w:hint="eastAsia" w:ascii="Times New Roman" w:eastAsia="仿宋" w:cs="Times New Roman"/>
                <w:b w:val="0"/>
                <w:bCs w:val="0"/>
                <w:color w:val="auto"/>
                <w:sz w:val="24"/>
                <w:szCs w:val="24"/>
                <w:highlight w:val="none"/>
                <w:lang w:eastAsia="zh-CN"/>
              </w:rPr>
              <w:t>中卫市沙坡头区</w:t>
            </w:r>
            <w:r>
              <w:rPr>
                <w:rFonts w:hint="default" w:ascii="Times New Roman" w:hAnsi="Times New Roman" w:eastAsia="仿宋" w:cs="Times New Roman"/>
                <w:b w:val="0"/>
                <w:bCs w:val="0"/>
                <w:color w:val="auto"/>
                <w:sz w:val="24"/>
                <w:szCs w:val="24"/>
                <w:highlight w:val="none"/>
              </w:rPr>
              <w:t>2025年、2035年PM</w:t>
            </w:r>
            <w:r>
              <w:rPr>
                <w:rFonts w:hint="default" w:ascii="Times New Roman" w:hAnsi="Times New Roman" w:eastAsia="仿宋" w:cs="Times New Roman"/>
                <w:b w:val="0"/>
                <w:bCs w:val="0"/>
                <w:color w:val="auto"/>
                <w:sz w:val="24"/>
                <w:szCs w:val="24"/>
                <w:highlight w:val="none"/>
                <w:vertAlign w:val="subscript"/>
              </w:rPr>
              <w:t>2.5</w:t>
            </w:r>
            <w:r>
              <w:rPr>
                <w:rFonts w:hint="default" w:ascii="Times New Roman" w:hAnsi="Times New Roman" w:eastAsia="仿宋" w:cs="Times New Roman"/>
                <w:b w:val="0"/>
                <w:bCs w:val="0"/>
                <w:color w:val="auto"/>
                <w:sz w:val="24"/>
                <w:szCs w:val="24"/>
                <w:highlight w:val="none"/>
              </w:rPr>
              <w:t>目标值为3</w:t>
            </w:r>
            <w:r>
              <w:rPr>
                <w:rFonts w:hint="eastAsia" w:ascii="Times New Roman" w:eastAsia="仿宋" w:cs="Times New Roman"/>
                <w:b w:val="0"/>
                <w:bCs w:val="0"/>
                <w:color w:val="auto"/>
                <w:sz w:val="24"/>
                <w:szCs w:val="24"/>
                <w:highlight w:val="none"/>
                <w:lang w:val="en-US" w:eastAsia="zh-CN"/>
              </w:rPr>
              <w:t>0</w:t>
            </w:r>
            <w:r>
              <w:rPr>
                <w:rFonts w:hint="default" w:ascii="Times New Roman" w:hAnsi="Times New Roman" w:eastAsia="仿宋" w:cs="Times New Roman"/>
                <w:b w:val="0"/>
                <w:bCs w:val="0"/>
                <w:color w:val="auto"/>
                <w:sz w:val="24"/>
                <w:szCs w:val="24"/>
                <w:highlight w:val="none"/>
              </w:rPr>
              <w:t>μg/m</w:t>
            </w:r>
            <w:r>
              <w:rPr>
                <w:rFonts w:hint="default" w:ascii="Times New Roman" w:hAnsi="Times New Roman" w:eastAsia="仿宋" w:cs="Times New Roman"/>
                <w:b w:val="0"/>
                <w:bCs w:val="0"/>
                <w:color w:val="auto"/>
                <w:sz w:val="24"/>
                <w:szCs w:val="24"/>
                <w:highlight w:val="none"/>
                <w:vertAlign w:val="superscript"/>
              </w:rPr>
              <w:t>3</w:t>
            </w:r>
            <w:r>
              <w:rPr>
                <w:rFonts w:hint="default" w:ascii="Times New Roman" w:hAnsi="Times New Roman" w:eastAsia="仿宋" w:cs="Times New Roman"/>
                <w:b w:val="0"/>
                <w:bCs w:val="0"/>
                <w:color w:val="auto"/>
                <w:sz w:val="24"/>
                <w:szCs w:val="24"/>
                <w:highlight w:val="none"/>
              </w:rPr>
              <w:t>，本次大气环境质量现状引用</w:t>
            </w:r>
            <w:r>
              <w:rPr>
                <w:rFonts w:hint="default" w:ascii="Times New Roman" w:hAnsi="Times New Roman" w:eastAsia="仿宋" w:cs="Times New Roman"/>
                <w:b w:val="0"/>
                <w:bCs w:val="0"/>
                <w:color w:val="auto"/>
                <w:sz w:val="24"/>
                <w:szCs w:val="24"/>
                <w:highlight w:val="none"/>
                <w:lang w:eastAsia="zh-CN"/>
              </w:rPr>
              <w:t>《202</w:t>
            </w:r>
            <w:r>
              <w:rPr>
                <w:rFonts w:hint="eastAsia" w:ascii="Times New Roman" w:eastAsia="仿宋" w:cs="Times New Roman"/>
                <w:b w:val="0"/>
                <w:bCs w:val="0"/>
                <w:color w:val="auto"/>
                <w:sz w:val="24"/>
                <w:szCs w:val="24"/>
                <w:highlight w:val="none"/>
                <w:lang w:val="en-US" w:eastAsia="zh-CN"/>
              </w:rPr>
              <w:t>3</w:t>
            </w:r>
            <w:r>
              <w:rPr>
                <w:rFonts w:hint="default" w:ascii="Times New Roman" w:hAnsi="Times New Roman" w:eastAsia="仿宋" w:cs="Times New Roman"/>
                <w:b w:val="0"/>
                <w:bCs w:val="0"/>
                <w:color w:val="auto"/>
                <w:sz w:val="24"/>
                <w:szCs w:val="24"/>
                <w:highlight w:val="none"/>
                <w:lang w:eastAsia="zh-CN"/>
              </w:rPr>
              <w:t>年宁夏生态环境质量报告》</w:t>
            </w:r>
            <w:r>
              <w:rPr>
                <w:rFonts w:hint="default" w:ascii="Times New Roman" w:hAnsi="Times New Roman" w:eastAsia="仿宋" w:cs="Times New Roman"/>
                <w:b w:val="0"/>
                <w:bCs w:val="0"/>
                <w:color w:val="auto"/>
                <w:sz w:val="24"/>
                <w:szCs w:val="24"/>
                <w:highlight w:val="none"/>
              </w:rPr>
              <w:t>中202</w:t>
            </w:r>
            <w:r>
              <w:rPr>
                <w:rFonts w:hint="eastAsia" w:ascii="Times New Roman" w:hAnsi="Times New Roman" w:eastAsia="仿宋" w:cs="Times New Roman"/>
                <w:b w:val="0"/>
                <w:bCs w:val="0"/>
                <w:color w:val="auto"/>
                <w:sz w:val="24"/>
                <w:szCs w:val="24"/>
                <w:highlight w:val="none"/>
                <w:lang w:val="en-US" w:eastAsia="zh-CN"/>
              </w:rPr>
              <w:t>3</w:t>
            </w:r>
            <w:r>
              <w:rPr>
                <w:rFonts w:hint="default" w:ascii="Times New Roman" w:hAnsi="Times New Roman" w:eastAsia="仿宋" w:cs="Times New Roman"/>
                <w:b w:val="0"/>
                <w:bCs w:val="0"/>
                <w:color w:val="auto"/>
                <w:sz w:val="24"/>
                <w:szCs w:val="24"/>
                <w:highlight w:val="none"/>
              </w:rPr>
              <w:t>年</w:t>
            </w:r>
            <w:r>
              <w:rPr>
                <w:rFonts w:hint="default" w:ascii="Times New Roman" w:hAnsi="Times New Roman" w:eastAsia="仿宋" w:cs="Times New Roman"/>
                <w:b w:val="0"/>
                <w:bCs w:val="0"/>
                <w:color w:val="auto"/>
                <w:sz w:val="24"/>
                <w:szCs w:val="24"/>
                <w:highlight w:val="none"/>
                <w:lang w:eastAsia="zh-CN"/>
              </w:rPr>
              <w:t>中卫市</w:t>
            </w:r>
            <w:r>
              <w:rPr>
                <w:rFonts w:hint="eastAsia" w:ascii="Times New Roman" w:eastAsia="仿宋" w:cs="Times New Roman"/>
                <w:b w:val="0"/>
                <w:bCs w:val="0"/>
                <w:color w:val="auto"/>
                <w:sz w:val="24"/>
                <w:szCs w:val="24"/>
                <w:highlight w:val="none"/>
                <w:lang w:eastAsia="zh-CN"/>
              </w:rPr>
              <w:t>沙坡头区</w:t>
            </w:r>
            <w:r>
              <w:rPr>
                <w:rFonts w:hint="default" w:ascii="Times New Roman" w:hAnsi="Times New Roman" w:eastAsia="仿宋" w:cs="Times New Roman"/>
                <w:b w:val="0"/>
                <w:bCs w:val="0"/>
                <w:color w:val="auto"/>
                <w:sz w:val="24"/>
                <w:szCs w:val="24"/>
                <w:highlight w:val="none"/>
              </w:rPr>
              <w:t>的监测数据，PM</w:t>
            </w:r>
            <w:r>
              <w:rPr>
                <w:rFonts w:hint="default" w:ascii="Times New Roman" w:hAnsi="Times New Roman" w:eastAsia="仿宋" w:cs="Times New Roman"/>
                <w:b w:val="0"/>
                <w:bCs w:val="0"/>
                <w:color w:val="auto"/>
                <w:sz w:val="24"/>
                <w:szCs w:val="24"/>
                <w:highlight w:val="none"/>
                <w:vertAlign w:val="subscript"/>
              </w:rPr>
              <w:t>2.5</w:t>
            </w:r>
            <w:r>
              <w:rPr>
                <w:rFonts w:hint="default" w:ascii="Times New Roman" w:hAnsi="Times New Roman" w:eastAsia="仿宋" w:cs="Times New Roman"/>
                <w:b w:val="0"/>
                <w:bCs w:val="0"/>
                <w:color w:val="auto"/>
                <w:sz w:val="24"/>
                <w:szCs w:val="24"/>
                <w:highlight w:val="none"/>
              </w:rPr>
              <w:t>为2</w:t>
            </w:r>
            <w:r>
              <w:rPr>
                <w:rFonts w:hint="eastAsia" w:ascii="Times New Roman" w:hAnsi="Times New Roman" w:eastAsia="仿宋" w:cs="Times New Roman"/>
                <w:b w:val="0"/>
                <w:bCs w:val="0"/>
                <w:color w:val="auto"/>
                <w:sz w:val="24"/>
                <w:szCs w:val="24"/>
                <w:highlight w:val="none"/>
                <w:lang w:val="en-US" w:eastAsia="zh-CN"/>
              </w:rPr>
              <w:t>8</w:t>
            </w:r>
            <w:r>
              <w:rPr>
                <w:rFonts w:hint="default" w:ascii="Times New Roman" w:hAnsi="Times New Roman" w:eastAsia="仿宋" w:cs="Times New Roman"/>
                <w:b w:val="0"/>
                <w:bCs w:val="0"/>
                <w:color w:val="auto"/>
                <w:sz w:val="24"/>
                <w:szCs w:val="24"/>
                <w:highlight w:val="none"/>
              </w:rPr>
              <w:t>μg/m</w:t>
            </w:r>
            <w:r>
              <w:rPr>
                <w:rFonts w:hint="default" w:ascii="Times New Roman" w:hAnsi="Times New Roman" w:eastAsia="仿宋" w:cs="Times New Roman"/>
                <w:b w:val="0"/>
                <w:bCs w:val="0"/>
                <w:color w:val="auto"/>
                <w:sz w:val="24"/>
                <w:szCs w:val="24"/>
                <w:highlight w:val="none"/>
                <w:vertAlign w:val="superscript"/>
              </w:rPr>
              <w:t>3</w:t>
            </w:r>
            <w:r>
              <w:rPr>
                <w:rFonts w:hint="default" w:ascii="Times New Roman" w:hAnsi="Times New Roman" w:eastAsia="仿宋" w:cs="Times New Roman"/>
                <w:b w:val="0"/>
                <w:bCs w:val="0"/>
                <w:color w:val="auto"/>
                <w:sz w:val="24"/>
                <w:szCs w:val="24"/>
                <w:highlight w:val="none"/>
              </w:rPr>
              <w:t>，符合</w:t>
            </w:r>
            <w:r>
              <w:rPr>
                <w:rFonts w:hint="eastAsia" w:ascii="Times New Roman" w:hAnsi="Times New Roman" w:eastAsia="仿宋" w:cs="Times New Roman"/>
                <w:b w:val="0"/>
                <w:bCs w:val="0"/>
                <w:color w:val="auto"/>
                <w:sz w:val="24"/>
                <w:szCs w:val="24"/>
                <w:highlight w:val="none"/>
                <w:lang w:eastAsia="zh-CN"/>
              </w:rPr>
              <w:t>中卫市</w:t>
            </w:r>
            <w:r>
              <w:rPr>
                <w:rFonts w:hint="eastAsia" w:ascii="Times New Roman" w:eastAsia="仿宋" w:cs="Times New Roman"/>
                <w:b w:val="0"/>
                <w:bCs w:val="0"/>
                <w:color w:val="auto"/>
                <w:sz w:val="24"/>
                <w:szCs w:val="24"/>
                <w:highlight w:val="none"/>
                <w:lang w:eastAsia="zh-CN"/>
              </w:rPr>
              <w:t>沙坡头区</w:t>
            </w:r>
            <w:r>
              <w:rPr>
                <w:rFonts w:hint="default" w:ascii="Times New Roman" w:hAnsi="Times New Roman" w:eastAsia="仿宋" w:cs="Times New Roman"/>
                <w:b w:val="0"/>
                <w:bCs w:val="0"/>
                <w:color w:val="auto"/>
                <w:sz w:val="24"/>
                <w:szCs w:val="24"/>
                <w:highlight w:val="none"/>
              </w:rPr>
              <w:t>2025年、2035年PM</w:t>
            </w:r>
            <w:r>
              <w:rPr>
                <w:rFonts w:hint="default" w:ascii="Times New Roman" w:hAnsi="Times New Roman" w:eastAsia="仿宋" w:cs="Times New Roman"/>
                <w:b w:val="0"/>
                <w:bCs w:val="0"/>
                <w:color w:val="auto"/>
                <w:sz w:val="24"/>
                <w:szCs w:val="24"/>
                <w:highlight w:val="none"/>
                <w:vertAlign w:val="subscript"/>
              </w:rPr>
              <w:t>2.5</w:t>
            </w:r>
            <w:r>
              <w:rPr>
                <w:rFonts w:hint="default" w:ascii="Times New Roman" w:hAnsi="Times New Roman" w:eastAsia="仿宋" w:cs="Times New Roman"/>
                <w:b w:val="0"/>
                <w:bCs w:val="0"/>
                <w:color w:val="auto"/>
                <w:sz w:val="24"/>
                <w:szCs w:val="24"/>
                <w:highlight w:val="none"/>
              </w:rPr>
              <w:t>目标值3</w:t>
            </w:r>
            <w:r>
              <w:rPr>
                <w:rFonts w:hint="eastAsia" w:ascii="Times New Roman" w:eastAsia="仿宋" w:cs="Times New Roman"/>
                <w:b w:val="0"/>
                <w:bCs w:val="0"/>
                <w:color w:val="auto"/>
                <w:sz w:val="24"/>
                <w:szCs w:val="24"/>
                <w:highlight w:val="none"/>
                <w:lang w:val="en-US" w:eastAsia="zh-CN"/>
              </w:rPr>
              <w:t>0</w:t>
            </w:r>
            <w:r>
              <w:rPr>
                <w:rFonts w:hint="default" w:ascii="Times New Roman" w:hAnsi="Times New Roman" w:eastAsia="仿宋" w:cs="Times New Roman"/>
                <w:b w:val="0"/>
                <w:bCs w:val="0"/>
                <w:color w:val="auto"/>
                <w:sz w:val="24"/>
                <w:szCs w:val="24"/>
                <w:highlight w:val="none"/>
              </w:rPr>
              <w:t>μg/m</w:t>
            </w:r>
            <w:r>
              <w:rPr>
                <w:rFonts w:hint="default" w:ascii="Times New Roman" w:hAnsi="Times New Roman" w:eastAsia="仿宋" w:cs="Times New Roman"/>
                <w:b w:val="0"/>
                <w:bCs w:val="0"/>
                <w:color w:val="auto"/>
                <w:sz w:val="24"/>
                <w:szCs w:val="24"/>
                <w:highlight w:val="none"/>
                <w:vertAlign w:val="superscript"/>
              </w:rPr>
              <w:t>3</w:t>
            </w:r>
            <w:r>
              <w:rPr>
                <w:rFonts w:hint="default" w:ascii="Times New Roman" w:hAnsi="Times New Roman" w:eastAsia="仿宋" w:cs="Times New Roman"/>
                <w:b w:val="0"/>
                <w:bCs w:val="0"/>
                <w:color w:val="auto"/>
                <w:sz w:val="24"/>
                <w:szCs w:val="24"/>
                <w:highlight w:val="none"/>
              </w:rPr>
              <w:t>的目标要求。</w:t>
            </w:r>
          </w:p>
          <w:p>
            <w:pPr>
              <w:pStyle w:val="50"/>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b w:val="0"/>
                <w:bCs w:val="0"/>
                <w:color w:val="auto"/>
                <w:szCs w:val="24"/>
                <w:highlight w:val="none"/>
              </w:rPr>
              <w:t>基于大气环境脆弱性、敏感性、重要性评价结果，考虑大气污染传输规律和城市用地特征，识别网格单元主导属性，将中卫市划分为大气环境优先保护区、大气环境重点管控区和大气环境一般管控区。本项目建设地点位于中卫市</w:t>
            </w:r>
            <w:r>
              <w:rPr>
                <w:rFonts w:hint="default" w:ascii="Times New Roman" w:hAnsi="Times New Roman" w:eastAsia="仿宋" w:cs="Times New Roman"/>
                <w:b w:val="0"/>
                <w:bCs w:val="0"/>
                <w:color w:val="auto"/>
                <w:szCs w:val="24"/>
                <w:highlight w:val="none"/>
                <w:lang w:eastAsia="zh-CN"/>
              </w:rPr>
              <w:t>大气环境一般管控区（本项目与中卫市大气环境分区管控位置关</w:t>
            </w:r>
            <w:r>
              <w:rPr>
                <w:rFonts w:hint="default" w:ascii="Times New Roman" w:hAnsi="Times New Roman" w:eastAsia="仿宋" w:cs="Times New Roman"/>
                <w:color w:val="auto"/>
                <w:highlight w:val="none"/>
                <w:lang w:eastAsia="zh-CN"/>
              </w:rPr>
              <w:t>系见</w:t>
            </w:r>
            <w:r>
              <w:rPr>
                <w:rFonts w:hint="default" w:ascii="Times New Roman" w:hAnsi="Times New Roman" w:eastAsia="仿宋" w:cs="Times New Roman"/>
                <w:b/>
                <w:bCs/>
                <w:color w:val="auto"/>
                <w:highlight w:val="none"/>
                <w:lang w:eastAsia="zh-CN"/>
              </w:rPr>
              <w:t>附图</w:t>
            </w:r>
            <w:r>
              <w:rPr>
                <w:rFonts w:hint="eastAsia" w:eastAsia="仿宋" w:cs="Times New Roman"/>
                <w:b/>
                <w:bCs/>
                <w:color w:val="auto"/>
                <w:highlight w:val="none"/>
                <w:lang w:val="en-US" w:eastAsia="zh-CN"/>
              </w:rPr>
              <w:t>4</w:t>
            </w:r>
            <w:r>
              <w:rPr>
                <w:rFonts w:hint="default" w:ascii="Times New Roman" w:hAnsi="Times New Roman" w:eastAsia="仿宋" w:cs="Times New Roman"/>
                <w:color w:val="auto"/>
                <w:highlight w:val="none"/>
                <w:lang w:eastAsia="zh-CN"/>
              </w:rPr>
              <w:t>）。</w:t>
            </w:r>
          </w:p>
          <w:p>
            <w:pPr>
              <w:pStyle w:val="50"/>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大气环境一般管控区：落实《中华人民共和国大气污染防治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p>
            <w:pPr>
              <w:pStyle w:val="50"/>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eastAsia="zh-CN"/>
              </w:rPr>
              <w:t>本项目施工期及时清运建筑垃圾，施工结束后对临时占地进行必要的地表整平、绿化、美化，与原地貌保持一致；粉料运输车辆控制车速，并采取少量洒水与遮蔽抑尘措施；施工生活生产区料场远离敏感点、设置挡风围墙、洒水保湿等；建成后</w:t>
            </w:r>
            <w:r>
              <w:rPr>
                <w:rFonts w:hint="eastAsia" w:eastAsia="仿宋" w:cs="Times New Roman"/>
                <w:color w:val="auto"/>
                <w:highlight w:val="none"/>
                <w:lang w:eastAsia="zh-CN"/>
              </w:rPr>
              <w:t>运营期无废气产生</w:t>
            </w:r>
            <w:r>
              <w:rPr>
                <w:rFonts w:hint="default" w:ascii="Times New Roman" w:hAnsi="Times New Roman" w:eastAsia="仿宋" w:cs="Times New Roman"/>
                <w:color w:val="auto"/>
                <w:highlight w:val="none"/>
                <w:lang w:eastAsia="zh-CN"/>
              </w:rPr>
              <w:t>，不会对项目周边环境空气质量造成不利影响，</w:t>
            </w:r>
            <w:r>
              <w:rPr>
                <w:rFonts w:hint="default" w:ascii="Times New Roman" w:hAnsi="Times New Roman" w:eastAsia="仿宋" w:cs="Times New Roman"/>
                <w:color w:val="auto"/>
                <w:highlight w:val="none"/>
              </w:rPr>
              <w:t>符合中卫市大气环境质量底线大气环境</w:t>
            </w:r>
            <w:r>
              <w:rPr>
                <w:rFonts w:hint="default" w:ascii="Times New Roman" w:hAnsi="Times New Roman" w:eastAsia="仿宋" w:cs="Times New Roman"/>
                <w:color w:val="auto"/>
                <w:highlight w:val="none"/>
                <w:lang w:eastAsia="zh-CN"/>
              </w:rPr>
              <w:t>一般管控区要求。</w:t>
            </w:r>
          </w:p>
          <w:p>
            <w:pPr>
              <w:pStyle w:val="50"/>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③土壤污染风险防控底线及分区管控</w:t>
            </w:r>
          </w:p>
          <w:p>
            <w:pPr>
              <w:pStyle w:val="50"/>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土壤</w:t>
            </w:r>
            <w:r>
              <w:rPr>
                <w:rFonts w:hint="eastAsia" w:eastAsia="仿宋" w:cs="Times New Roman"/>
                <w:color w:val="auto"/>
                <w:highlight w:val="none"/>
                <w:lang w:eastAsia="zh-CN"/>
              </w:rPr>
              <w:t>污染风险防控</w:t>
            </w:r>
            <w:r>
              <w:rPr>
                <w:rFonts w:hint="default" w:ascii="Times New Roman" w:hAnsi="Times New Roman" w:eastAsia="仿宋" w:cs="Times New Roman"/>
                <w:color w:val="auto"/>
                <w:highlight w:val="none"/>
              </w:rPr>
              <w:t>底线：以改善土壤环境质量为核心，以保障农产品质量和人居环境安全为出发点，依据《宁夏回族自治区“十四五”土壤、地下水和农村生态环境保护规划》及国家、自治区相关要求，设定土壤环境风险管控底线目标。到2025年,全市土壤环境质量总体持续稳中向好，重点建设用地安全利用得到有效保障，受污染耕地和污染地块安全利用率完成自治区“十四五”考核目标。</w:t>
            </w:r>
          </w:p>
          <w:p>
            <w:pPr>
              <w:pStyle w:val="50"/>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根据土壤环境质量现状、土地利用现状，综合考虑全市农用地土壤污染状况详查和重点行业企业用地详查结果，衔接现有污染地块名录、土壤环境重点监管企业清单等，将中卫市划分为农用地优先保护区、建设用地污染风险重点管控区和土壤环境一般管控区。本项目位于中卫市土壤环境一般管控区域</w:t>
            </w:r>
            <w:r>
              <w:rPr>
                <w:rFonts w:hint="default" w:ascii="Times New Roman" w:hAnsi="Times New Roman" w:eastAsia="仿宋" w:cs="Times New Roman"/>
                <w:color w:val="auto"/>
                <w:highlight w:val="none"/>
                <w:lang w:eastAsia="zh-CN"/>
              </w:rPr>
              <w:t>（本项目与中卫市土壤污染风险分区管控位置关系见</w:t>
            </w:r>
            <w:r>
              <w:rPr>
                <w:rFonts w:hint="default" w:ascii="Times New Roman" w:hAnsi="Times New Roman" w:eastAsia="仿宋" w:cs="Times New Roman"/>
                <w:b/>
                <w:bCs/>
                <w:color w:val="auto"/>
                <w:highlight w:val="none"/>
                <w:lang w:eastAsia="zh-CN"/>
              </w:rPr>
              <w:t>附图</w:t>
            </w:r>
            <w:r>
              <w:rPr>
                <w:rFonts w:hint="eastAsia" w:eastAsia="仿宋" w:cs="Times New Roman"/>
                <w:b/>
                <w:bCs/>
                <w:color w:val="auto"/>
                <w:highlight w:val="none"/>
                <w:lang w:val="en-US" w:eastAsia="zh-CN"/>
              </w:rPr>
              <w:t>5</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rPr>
              <w:t>。</w:t>
            </w:r>
          </w:p>
          <w:p>
            <w:pPr>
              <w:pStyle w:val="50"/>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b w:val="0"/>
                <w:bCs w:val="0"/>
                <w:color w:val="auto"/>
                <w:highlight w:val="none"/>
              </w:rPr>
              <w:t>土壤环境一般管控区域</w:t>
            </w:r>
            <w:r>
              <w:rPr>
                <w:rFonts w:hint="default" w:ascii="Times New Roman" w:hAnsi="Times New Roman" w:eastAsia="仿宋" w:cs="Times New Roman"/>
                <w:b w:val="0"/>
                <w:bCs w:val="0"/>
                <w:color w:val="auto"/>
                <w:highlight w:val="none"/>
                <w:lang w:eastAsia="zh-CN"/>
              </w:rPr>
              <w:t>：</w:t>
            </w:r>
            <w:r>
              <w:rPr>
                <w:rFonts w:hint="default" w:ascii="Times New Roman" w:hAnsi="Times New Roman" w:eastAsia="仿宋" w:cs="Times New Roman"/>
                <w:color w:val="auto"/>
                <w:highlight w:val="none"/>
              </w:rPr>
              <w:t>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w:t>
            </w:r>
            <w:r>
              <w:rPr>
                <w:rFonts w:hint="eastAsia" w:eastAsia="仿宋" w:cs="Times New Roman"/>
                <w:color w:val="auto"/>
                <w:highlight w:val="none"/>
                <w:lang w:eastAsia="zh-CN"/>
              </w:rPr>
              <w:t>需要</w:t>
            </w:r>
            <w:r>
              <w:rPr>
                <w:rFonts w:hint="default" w:ascii="Times New Roman" w:hAnsi="Times New Roman" w:eastAsia="仿宋" w:cs="Times New Roman"/>
                <w:color w:val="auto"/>
                <w:highlight w:val="none"/>
              </w:rPr>
              <w:t>建设的土壤污染防治设施，要与主体工程同时设计、同时施工、同时投产使用。</w:t>
            </w:r>
          </w:p>
          <w:p>
            <w:pPr>
              <w:pStyle w:val="50"/>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eastAsia="仿宋" w:cs="Times New Roman"/>
                <w:color w:val="auto"/>
                <w:highlight w:val="none"/>
                <w:lang w:val="en-US" w:eastAsia="zh-CN"/>
              </w:rPr>
            </w:pPr>
            <w:r>
              <w:rPr>
                <w:rFonts w:hint="eastAsia" w:eastAsia="仿宋" w:cs="Times New Roman"/>
                <w:color w:val="auto"/>
                <w:highlight w:val="none"/>
                <w:lang w:val="en-US" w:eastAsia="zh-CN"/>
              </w:rPr>
              <w:t>本项目永久占地为天然牧草地，</w:t>
            </w:r>
            <w:r>
              <w:rPr>
                <w:rFonts w:hint="default" w:ascii="Times New Roman" w:hAnsi="Times New Roman" w:eastAsia="仿宋" w:cs="Times New Roman"/>
                <w:color w:val="auto"/>
                <w:highlight w:val="none"/>
                <w:lang w:val="en-US" w:eastAsia="zh-CN"/>
              </w:rPr>
              <w:t>项目选址不占用基本农田，</w:t>
            </w:r>
            <w:r>
              <w:rPr>
                <w:rFonts w:hint="default" w:ascii="Times New Roman" w:hAnsi="Times New Roman" w:eastAsia="仿宋" w:cs="Times New Roman"/>
                <w:color w:val="auto"/>
                <w:highlight w:val="none"/>
                <w:lang w:eastAsia="zh-CN"/>
              </w:rPr>
              <w:t>且</w:t>
            </w:r>
            <w:r>
              <w:rPr>
                <w:rFonts w:hint="default" w:ascii="Times New Roman" w:hAnsi="Times New Roman" w:eastAsia="仿宋" w:cs="Times New Roman"/>
                <w:color w:val="auto"/>
                <w:highlight w:val="none"/>
                <w:lang w:val="en-US" w:eastAsia="zh-CN"/>
              </w:rPr>
              <w:t>本项目为</w:t>
            </w:r>
            <w:r>
              <w:rPr>
                <w:rFonts w:hint="eastAsia" w:eastAsia="仿宋" w:cs="Times New Roman"/>
                <w:color w:val="auto"/>
                <w:highlight w:val="none"/>
                <w:lang w:val="en-US" w:eastAsia="zh-CN"/>
              </w:rPr>
              <w:t>风电场</w:t>
            </w:r>
            <w:r>
              <w:rPr>
                <w:rFonts w:hint="default" w:ascii="Times New Roman" w:hAnsi="Times New Roman" w:eastAsia="仿宋" w:cs="Times New Roman"/>
                <w:color w:val="auto"/>
                <w:highlight w:val="none"/>
                <w:lang w:val="en-US" w:eastAsia="zh-CN"/>
              </w:rPr>
              <w:t>建设项目，不属于有色金属冶炼、焦化等行业企业；本项目施工期结束后对临时占地进行土地整治、复垦，恢复土地原有样貌。故项目建设符合中卫市土壤分区管控要求。</w:t>
            </w:r>
          </w:p>
          <w:p>
            <w:pPr>
              <w:pStyle w:val="50"/>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eastAsia="仿宋" w:cs="Times New Roman"/>
                <w:b/>
                <w:bCs/>
                <w:color w:val="auto"/>
                <w:highlight w:val="none"/>
                <w:lang w:eastAsia="zh-CN"/>
              </w:rPr>
            </w:pPr>
            <w:r>
              <w:rPr>
                <w:rFonts w:hint="default" w:ascii="Times New Roman" w:hAnsi="Times New Roman" w:eastAsia="仿宋" w:cs="Times New Roman"/>
                <w:b/>
                <w:bCs/>
                <w:color w:val="auto"/>
                <w:highlight w:val="none"/>
                <w:lang w:eastAsia="zh-CN"/>
              </w:rPr>
              <w:t>⑶</w:t>
            </w:r>
            <w:r>
              <w:rPr>
                <w:rFonts w:hint="default" w:ascii="Times New Roman" w:hAnsi="Times New Roman" w:eastAsia="仿宋" w:cs="Times New Roman"/>
                <w:b/>
                <w:bCs/>
                <w:color w:val="auto"/>
                <w:highlight w:val="none"/>
              </w:rPr>
              <w:t>资源利用上线</w:t>
            </w:r>
            <w:r>
              <w:rPr>
                <w:rFonts w:hint="default" w:ascii="Times New Roman" w:hAnsi="Times New Roman" w:eastAsia="仿宋" w:cs="Times New Roman"/>
                <w:b/>
                <w:bCs/>
                <w:color w:val="auto"/>
                <w:highlight w:val="none"/>
                <w:lang w:eastAsia="zh-CN"/>
              </w:rPr>
              <w:t>及分区管控</w:t>
            </w:r>
          </w:p>
          <w:p>
            <w:pPr>
              <w:pStyle w:val="50"/>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①能源（煤炭）资源利用上线及分区管控</w:t>
            </w:r>
          </w:p>
          <w:p>
            <w:pPr>
              <w:pStyle w:val="50"/>
              <w:keepNext w:val="0"/>
              <w:keepLines w:val="0"/>
              <w:pageBreakBefore w:val="0"/>
              <w:widowControl w:val="0"/>
              <w:kinsoku/>
              <w:wordWrap/>
              <w:topLinePunct w:val="0"/>
              <w:bidi w:val="0"/>
              <w:adjustRightInd w:val="0"/>
              <w:snapToGrid w:val="0"/>
              <w:spacing w:line="336" w:lineRule="auto"/>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本项目</w:t>
            </w:r>
            <w:r>
              <w:rPr>
                <w:rFonts w:hint="eastAsia" w:eastAsia="仿宋" w:cs="Times New Roman"/>
                <w:color w:val="auto"/>
                <w:highlight w:val="none"/>
                <w:lang w:eastAsia="zh-CN"/>
              </w:rPr>
              <w:t>为风电场建设</w:t>
            </w:r>
            <w:r>
              <w:rPr>
                <w:rFonts w:hint="default" w:ascii="Times New Roman" w:hAnsi="Times New Roman" w:eastAsia="仿宋" w:cs="Times New Roman"/>
                <w:color w:val="auto"/>
                <w:highlight w:val="none"/>
              </w:rPr>
              <w:t>，项目建设不</w:t>
            </w:r>
            <w:r>
              <w:rPr>
                <w:rFonts w:hint="default" w:ascii="Times New Roman" w:hAnsi="Times New Roman" w:eastAsia="仿宋" w:cs="Times New Roman"/>
                <w:color w:val="auto"/>
                <w:highlight w:val="none"/>
                <w:lang w:eastAsia="zh-CN"/>
              </w:rPr>
              <w:t>涉及</w:t>
            </w:r>
            <w:r>
              <w:rPr>
                <w:rFonts w:hint="default" w:ascii="Times New Roman" w:hAnsi="Times New Roman" w:eastAsia="仿宋" w:cs="Times New Roman"/>
                <w:color w:val="auto"/>
                <w:highlight w:val="none"/>
              </w:rPr>
              <w:t>中卫市能源（煤炭）资源利用上线。</w:t>
            </w:r>
          </w:p>
          <w:p>
            <w:pPr>
              <w:pStyle w:val="50"/>
              <w:keepNext w:val="0"/>
              <w:keepLines w:val="0"/>
              <w:pageBreakBefore w:val="0"/>
              <w:widowControl w:val="0"/>
              <w:kinsoku/>
              <w:wordWrap/>
              <w:topLinePunct w:val="0"/>
              <w:autoSpaceDE/>
              <w:autoSpaceDN/>
              <w:bidi w:val="0"/>
              <w:adjustRightInd w:val="0"/>
              <w:spacing w:line="336" w:lineRule="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②水资源利用上线及分区管控</w:t>
            </w:r>
          </w:p>
          <w:p>
            <w:pPr>
              <w:pStyle w:val="50"/>
              <w:keepNext w:val="0"/>
              <w:keepLines w:val="0"/>
              <w:pageBreakBefore w:val="0"/>
              <w:widowControl w:val="0"/>
              <w:kinsoku/>
              <w:wordWrap/>
              <w:topLinePunct w:val="0"/>
              <w:autoSpaceDE/>
              <w:autoSpaceDN/>
              <w:bidi w:val="0"/>
              <w:adjustRightInd w:val="0"/>
              <w:spacing w:line="336" w:lineRule="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eastAsia="zh-CN"/>
              </w:rPr>
              <w:t>本项目用水主要为施工期生活用水</w:t>
            </w:r>
            <w:r>
              <w:rPr>
                <w:rFonts w:hint="eastAsia" w:eastAsia="仿宋" w:cs="Times New Roman"/>
                <w:color w:val="auto"/>
                <w:highlight w:val="none"/>
                <w:lang w:eastAsia="zh-CN"/>
              </w:rPr>
              <w:t>和生产用水</w:t>
            </w:r>
            <w:r>
              <w:rPr>
                <w:rFonts w:hint="default" w:ascii="Times New Roman" w:hAnsi="Times New Roman" w:eastAsia="仿宋" w:cs="Times New Roman"/>
                <w:color w:val="auto"/>
                <w:highlight w:val="none"/>
                <w:lang w:eastAsia="zh-CN"/>
              </w:rPr>
              <w:t>，</w:t>
            </w:r>
            <w:r>
              <w:rPr>
                <w:rFonts w:hint="default" w:ascii="Times New Roman" w:hAnsi="Times New Roman" w:eastAsia="仿宋" w:cs="Times New Roman"/>
                <w:color w:val="auto"/>
                <w:highlight w:val="none"/>
                <w:lang w:val="en-US" w:eastAsia="zh-CN"/>
              </w:rPr>
              <w:t>本工程施工用水采用汽车拉运至各机位现场。在工程施工临建区</w:t>
            </w:r>
            <w:r>
              <w:rPr>
                <w:rFonts w:hint="eastAsia" w:ascii="Times New Roman" w:hAnsi="Times New Roman" w:eastAsia="仿宋" w:cs="Times New Roman"/>
                <w:color w:val="auto"/>
                <w:highlight w:val="none"/>
                <w:lang w:val="en-US" w:eastAsia="zh-CN"/>
              </w:rPr>
              <w:t>（依托“国家电投集团中卫香山风电场1-3期“以大代小”150MW增容项目”临时施工营地现有）</w:t>
            </w:r>
            <w:r>
              <w:rPr>
                <w:rFonts w:hint="default" w:ascii="Times New Roman" w:hAnsi="Times New Roman" w:eastAsia="仿宋" w:cs="Times New Roman"/>
                <w:color w:val="auto"/>
                <w:highlight w:val="none"/>
                <w:lang w:val="en-US" w:eastAsia="zh-CN"/>
              </w:rPr>
              <w:t>设置生活水箱，经沉淀、净化设备净化处理后作为生活用水。另外在风机施工现场需设置移动式蓄水箱作为补充。</w:t>
            </w:r>
            <w:r>
              <w:rPr>
                <w:rFonts w:hint="default" w:ascii="Times New Roman" w:hAnsi="Times New Roman" w:eastAsia="仿宋" w:cs="Times New Roman"/>
                <w:color w:val="auto"/>
                <w:highlight w:val="none"/>
                <w:lang w:eastAsia="zh-CN"/>
              </w:rPr>
              <w:t>项目水资源消耗量相对区域资源利用总量较小，</w:t>
            </w:r>
            <w:r>
              <w:rPr>
                <w:rFonts w:hint="default" w:ascii="Times New Roman" w:hAnsi="Times New Roman" w:eastAsia="仿宋" w:cs="Times New Roman"/>
                <w:color w:val="auto"/>
                <w:highlight w:val="none"/>
              </w:rPr>
              <w:t>符合水资源利用上线要求。</w:t>
            </w:r>
          </w:p>
          <w:p>
            <w:pPr>
              <w:pStyle w:val="50"/>
              <w:keepNext w:val="0"/>
              <w:keepLines w:val="0"/>
              <w:pageBreakBefore w:val="0"/>
              <w:widowControl w:val="0"/>
              <w:kinsoku/>
              <w:wordWrap/>
              <w:topLinePunct w:val="0"/>
              <w:autoSpaceDE/>
              <w:autoSpaceDN/>
              <w:bidi w:val="0"/>
              <w:adjustRightInd w:val="0"/>
              <w:spacing w:line="336" w:lineRule="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③土地资源利用上线及分区管控</w:t>
            </w:r>
          </w:p>
          <w:p>
            <w:pPr>
              <w:pStyle w:val="50"/>
              <w:keepNext w:val="0"/>
              <w:keepLines w:val="0"/>
              <w:pageBreakBefore w:val="0"/>
              <w:widowControl w:val="0"/>
              <w:kinsoku/>
              <w:wordWrap/>
              <w:topLinePunct w:val="0"/>
              <w:autoSpaceDE/>
              <w:autoSpaceDN/>
              <w:bidi w:val="0"/>
              <w:adjustRightInd w:val="0"/>
              <w:spacing w:line="336" w:lineRule="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本项目永久占地涉及占用</w:t>
            </w:r>
            <w:r>
              <w:rPr>
                <w:rFonts w:hint="eastAsia" w:eastAsia="仿宋" w:cs="Times New Roman"/>
                <w:color w:val="auto"/>
                <w:highlight w:val="none"/>
                <w:lang w:eastAsia="zh-CN"/>
              </w:rPr>
              <w:t>天然牧草地</w:t>
            </w:r>
            <w:r>
              <w:rPr>
                <w:rFonts w:hint="default" w:ascii="Times New Roman" w:hAnsi="Times New Roman" w:eastAsia="仿宋" w:cs="Times New Roman"/>
                <w:color w:val="auto"/>
                <w:highlight w:val="none"/>
              </w:rPr>
              <w:t>，不占用基本农田</w:t>
            </w:r>
            <w:r>
              <w:rPr>
                <w:rFonts w:hint="eastAsia" w:eastAsia="仿宋" w:cs="Times New Roman"/>
                <w:color w:val="auto"/>
                <w:highlight w:val="none"/>
                <w:lang w:eastAsia="zh-CN"/>
              </w:rPr>
              <w:t>。</w:t>
            </w:r>
            <w:r>
              <w:rPr>
                <w:rFonts w:hint="default" w:ascii="Times New Roman" w:hAnsi="Times New Roman" w:eastAsia="仿宋" w:cs="Times New Roman"/>
                <w:color w:val="auto"/>
                <w:highlight w:val="none"/>
              </w:rPr>
              <w:t>项目永久占地涉及占用</w:t>
            </w:r>
            <w:r>
              <w:rPr>
                <w:rFonts w:hint="eastAsia" w:eastAsia="仿宋" w:cs="Times New Roman"/>
                <w:color w:val="auto"/>
                <w:highlight w:val="none"/>
                <w:lang w:eastAsia="zh-CN"/>
              </w:rPr>
              <w:t>天然牧草地</w:t>
            </w:r>
            <w:r>
              <w:rPr>
                <w:rFonts w:hint="default" w:ascii="Times New Roman" w:hAnsi="Times New Roman" w:eastAsia="仿宋" w:cs="Times New Roman"/>
                <w:color w:val="auto"/>
                <w:highlight w:val="none"/>
              </w:rPr>
              <w:t>，不占用基本农田</w:t>
            </w:r>
            <w:r>
              <w:rPr>
                <w:rFonts w:hint="eastAsia" w:eastAsia="仿宋" w:cs="Times New Roman"/>
                <w:color w:val="auto"/>
                <w:highlight w:val="none"/>
                <w:lang w:eastAsia="zh-CN"/>
              </w:rPr>
              <w:t>。</w:t>
            </w:r>
            <w:r>
              <w:rPr>
                <w:rFonts w:hint="default" w:ascii="Times New Roman" w:hAnsi="Times New Roman" w:eastAsia="仿宋" w:cs="Times New Roman"/>
                <w:color w:val="auto"/>
                <w:highlight w:val="none"/>
              </w:rPr>
              <w:t>项目临时工程施工结束后采取种植当地适宜植物等有效方式及时进行生态恢复，施工结束后，所有施工场地应拆除临时建筑物，清除建筑垃圾，尽可能的恢复原有土地的功能，提高土地集约化利用程度和开发利用效益要求；符合土地资源利用上线要求。</w:t>
            </w:r>
          </w:p>
          <w:p>
            <w:pPr>
              <w:pStyle w:val="50"/>
              <w:keepNext w:val="0"/>
              <w:keepLines w:val="0"/>
              <w:pageBreakBefore w:val="0"/>
              <w:widowControl w:val="0"/>
              <w:kinsoku/>
              <w:wordWrap/>
              <w:topLinePunct w:val="0"/>
              <w:autoSpaceDE/>
              <w:autoSpaceDN/>
              <w:bidi w:val="0"/>
              <w:adjustRightInd w:val="0"/>
              <w:spacing w:line="336" w:lineRule="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eastAsia="zh-CN"/>
              </w:rPr>
              <w:t>综上分析，本项目符合资源利用上线要求。</w:t>
            </w:r>
          </w:p>
          <w:p>
            <w:pPr>
              <w:pStyle w:val="50"/>
              <w:keepNext w:val="0"/>
              <w:keepLines w:val="0"/>
              <w:pageBreakBefore w:val="0"/>
              <w:widowControl w:val="0"/>
              <w:kinsoku/>
              <w:wordWrap/>
              <w:topLinePunct w:val="0"/>
              <w:autoSpaceDE/>
              <w:autoSpaceDN/>
              <w:bidi w:val="0"/>
              <w:adjustRightInd w:val="0"/>
              <w:spacing w:line="336" w:lineRule="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eastAsia="zh-CN"/>
              </w:rPr>
              <w:t>综上，本项目位于优先保护区中一般管控区，</w:t>
            </w:r>
            <w:r>
              <w:rPr>
                <w:rFonts w:hint="eastAsia" w:eastAsia="仿宋" w:cs="Times New Roman"/>
                <w:color w:val="auto"/>
                <w:highlight w:val="none"/>
                <w:lang w:val="en-US" w:eastAsia="zh-CN"/>
              </w:rPr>
              <w:t>本项目运营期无人值守，无废水外排；施工期车辆限速，粉料运输车辆采取遮蔽抑尘措施，施工区洒水抑尘等；且项目占地不占用永久基本农田。所以符合水环境一般管控区、大气环境一般管控区以及土壤环境一般管控区的要求</w:t>
            </w:r>
            <w:r>
              <w:rPr>
                <w:rFonts w:hint="default" w:ascii="Times New Roman" w:hAnsi="Times New Roman" w:eastAsia="仿宋" w:cs="Times New Roman"/>
                <w:color w:val="auto"/>
                <w:highlight w:val="none"/>
                <w:lang w:val="en-US" w:eastAsia="zh-CN"/>
              </w:rPr>
              <w:t>。综上所述，本项目的建设符合“三线一单”相关要求。</w:t>
            </w:r>
          </w:p>
          <w:p>
            <w:pPr>
              <w:pStyle w:val="50"/>
              <w:keepNext w:val="0"/>
              <w:keepLines w:val="0"/>
              <w:pageBreakBefore w:val="0"/>
              <w:widowControl w:val="0"/>
              <w:kinsoku/>
              <w:wordWrap/>
              <w:topLinePunct w:val="0"/>
              <w:autoSpaceDE/>
              <w:autoSpaceDN/>
              <w:bidi w:val="0"/>
              <w:adjustRightInd w:val="0"/>
              <w:spacing w:line="240" w:lineRule="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w:t>
            </w:r>
            <w:r>
              <w:rPr>
                <w:rFonts w:hint="eastAsia" w:eastAsia="宋体" w:cs="Times New Roman"/>
                <w:b/>
                <w:color w:val="auto"/>
                <w:kern w:val="2"/>
                <w:sz w:val="24"/>
                <w:szCs w:val="24"/>
                <w:highlight w:val="none"/>
                <w:lang w:val="en-US" w:eastAsia="zh-CN" w:bidi="ar-SA"/>
              </w:rPr>
              <w:t>1-1</w:t>
            </w:r>
            <w:r>
              <w:rPr>
                <w:rFonts w:hint="default" w:ascii="Times New Roman" w:hAnsi="Times New Roman" w:eastAsia="宋体" w:cs="Times New Roman"/>
                <w:b/>
                <w:color w:val="auto"/>
                <w:kern w:val="2"/>
                <w:sz w:val="24"/>
                <w:szCs w:val="24"/>
                <w:highlight w:val="none"/>
                <w:lang w:val="en-US" w:eastAsia="zh-CN" w:bidi="ar-SA"/>
              </w:rPr>
              <w:t xml:space="preserve">   本项目与中卫市生态环境准入清单总体要求符合性分析</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0"/>
              <w:gridCol w:w="802"/>
              <w:gridCol w:w="3815"/>
              <w:gridCol w:w="1504"/>
              <w:gridCol w:w="15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73"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sz w:val="21"/>
                      <w:szCs w:val="21"/>
                      <w:highlight w:val="none"/>
                      <w:vertAlign w:val="baseline"/>
                      <w:lang w:val="en-US" w:eastAsia="zh-CN"/>
                    </w:rPr>
                    <w:t>中卫市生态环境总体准入要求</w:t>
                  </w:r>
                </w:p>
              </w:tc>
              <w:tc>
                <w:tcPr>
                  <w:tcW w:w="913"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情况</w:t>
                  </w:r>
                </w:p>
              </w:tc>
              <w:tc>
                <w:tcPr>
                  <w:tcW w:w="913"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管控维度</w:t>
                  </w: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准入要求</w:t>
                  </w:r>
                </w:p>
              </w:tc>
              <w:tc>
                <w:tcPr>
                  <w:tcW w:w="91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91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A1空间布局约束</w:t>
                  </w:r>
                </w:p>
              </w:tc>
              <w:tc>
                <w:tcPr>
                  <w:tcW w:w="48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禁止开发建设活动的要求</w:t>
                  </w: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严禁在黄河干流及主要支流临岸1公里范围内新建“两高一资"项目及相关产业园区。</w:t>
                  </w:r>
                </w:p>
              </w:tc>
              <w:tc>
                <w:tcPr>
                  <w:tcW w:w="913"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本项目不在黄河沿岸建设</w:t>
                  </w: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eastAsia" w:cs="Times New Roman"/>
                      <w:b w:val="0"/>
                      <w:bCs w:val="0"/>
                      <w:color w:val="auto"/>
                      <w:sz w:val="21"/>
                      <w:szCs w:val="21"/>
                      <w:highlight w:val="none"/>
                      <w:vertAlign w:val="baseline"/>
                      <w:lang w:val="en-US" w:eastAsia="zh-CN"/>
                    </w:rPr>
                    <w:t>为风力发电项目，不属于工业项目</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913"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rPr>
                  </w:pPr>
                </w:p>
              </w:tc>
              <w:tc>
                <w:tcPr>
                  <w:tcW w:w="48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rPr>
                  </w:pP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黄河沿线两岸3公里范围内不再新建养殖场。</w:t>
                  </w:r>
                </w:p>
              </w:tc>
              <w:tc>
                <w:tcPr>
                  <w:tcW w:w="91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firstLine="420" w:firstLineChars="20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91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firstLine="420" w:firstLineChars="20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48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所有工业企业原则上一律入园，工业园区</w:t>
                  </w:r>
                  <w:r>
                    <w:rPr>
                      <w:rFonts w:hint="eastAsia" w:cs="Times New Roman"/>
                      <w:b w:val="0"/>
                      <w:bCs w:val="0"/>
                      <w:color w:val="auto"/>
                      <w:sz w:val="21"/>
                      <w:szCs w:val="21"/>
                      <w:highlight w:val="none"/>
                      <w:vertAlign w:val="baseline"/>
                      <w:lang w:val="en-US" w:eastAsia="zh-CN"/>
                    </w:rPr>
                    <w:t>（集聚区）以外</w:t>
                  </w:r>
                  <w:r>
                    <w:rPr>
                      <w:rFonts w:hint="default" w:ascii="Times New Roman" w:hAnsi="Times New Roman" w:eastAsia="宋体" w:cs="Times New Roman"/>
                      <w:b w:val="0"/>
                      <w:bCs w:val="0"/>
                      <w:color w:val="auto"/>
                      <w:sz w:val="21"/>
                      <w:szCs w:val="21"/>
                      <w:highlight w:val="none"/>
                      <w:vertAlign w:val="baseline"/>
                      <w:lang w:val="en-US" w:eastAsia="zh-CN"/>
                    </w:rPr>
                    <w:t>不再</w:t>
                  </w:r>
                  <w:r>
                    <w:rPr>
                      <w:rFonts w:hint="eastAsia" w:cs="Times New Roman"/>
                      <w:b w:val="0"/>
                      <w:bCs w:val="0"/>
                      <w:color w:val="auto"/>
                      <w:sz w:val="21"/>
                      <w:szCs w:val="21"/>
                      <w:highlight w:val="none"/>
                      <w:vertAlign w:val="baseline"/>
                      <w:lang w:val="en-US" w:eastAsia="zh-CN"/>
                    </w:rPr>
                    <w:t>新建、扩建</w:t>
                  </w:r>
                  <w:r>
                    <w:rPr>
                      <w:rFonts w:hint="default" w:ascii="Times New Roman" w:hAnsi="Times New Roman" w:eastAsia="宋体" w:cs="Times New Roman"/>
                      <w:b w:val="0"/>
                      <w:bCs w:val="0"/>
                      <w:color w:val="auto"/>
                      <w:sz w:val="21"/>
                      <w:szCs w:val="21"/>
                      <w:highlight w:val="none"/>
                      <w:vertAlign w:val="baseline"/>
                      <w:lang w:val="en-US" w:eastAsia="zh-CN"/>
                    </w:rPr>
                    <w:t>工业项目。</w:t>
                  </w:r>
                </w:p>
              </w:tc>
              <w:tc>
                <w:tcPr>
                  <w:tcW w:w="91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firstLine="420" w:firstLineChars="20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91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firstLine="420" w:firstLineChars="20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48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禁止露天焚烧产生有毒有害烟尘和恶臭气体物质或将其用作燃料。</w:t>
                  </w:r>
                </w:p>
              </w:tc>
              <w:tc>
                <w:tcPr>
                  <w:tcW w:w="9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eastAsia" w:cs="Times New Roman"/>
                      <w:b w:val="0"/>
                      <w:bCs w:val="0"/>
                      <w:color w:val="auto"/>
                      <w:sz w:val="21"/>
                      <w:szCs w:val="21"/>
                      <w:highlight w:val="none"/>
                      <w:vertAlign w:val="baseline"/>
                      <w:lang w:val="en-US" w:eastAsia="zh-CN"/>
                    </w:rPr>
                    <w:t>为风力发电项目，不涉及露天焚烧。</w:t>
                  </w:r>
                </w:p>
              </w:tc>
              <w:tc>
                <w:tcPr>
                  <w:tcW w:w="9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firstLine="420" w:firstLineChars="20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48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除已列入计划内项目，</w:t>
                  </w:r>
                  <w:r>
                    <w:rPr>
                      <w:rFonts w:hint="default" w:ascii="Times New Roman" w:hAnsi="Times New Roman" w:eastAsia="宋体" w:cs="Times New Roman"/>
                      <w:b w:val="0"/>
                      <w:bCs w:val="0"/>
                      <w:color w:val="auto"/>
                      <w:sz w:val="21"/>
                      <w:szCs w:val="21"/>
                      <w:highlight w:val="none"/>
                      <w:vertAlign w:val="baseline"/>
                      <w:lang w:val="en-US" w:eastAsia="zh-CN"/>
                    </w:rPr>
                    <w:t>“十四五”期间不再新增燃煤自备电厂</w:t>
                  </w:r>
                  <w:r>
                    <w:rPr>
                      <w:rFonts w:hint="eastAsia" w:cs="Times New Roman"/>
                      <w:b w:val="0"/>
                      <w:bCs w:val="0"/>
                      <w:color w:val="auto"/>
                      <w:sz w:val="21"/>
                      <w:szCs w:val="21"/>
                      <w:highlight w:val="none"/>
                      <w:vertAlign w:val="baseline"/>
                      <w:lang w:val="en-US" w:eastAsia="zh-CN"/>
                    </w:rPr>
                    <w:t>（区域背压式供热机组除外）</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9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eastAsia" w:cs="Times New Roman"/>
                      <w:b w:val="0"/>
                      <w:bCs w:val="0"/>
                      <w:color w:val="auto"/>
                      <w:sz w:val="21"/>
                      <w:szCs w:val="21"/>
                      <w:highlight w:val="none"/>
                      <w:vertAlign w:val="baseline"/>
                      <w:lang w:val="en-US" w:eastAsia="zh-CN"/>
                    </w:rPr>
                    <w:t>为风力发电项目，不涉及。</w:t>
                  </w:r>
                </w:p>
              </w:tc>
              <w:tc>
                <w:tcPr>
                  <w:tcW w:w="913" w:type="pct"/>
                  <w:vMerge w:val="restart"/>
                  <w:tcBorders>
                    <w:tl2br w:val="nil"/>
                    <w:tr2bl w:val="nil"/>
                  </w:tcBorders>
                  <w:noWrap w:val="0"/>
                  <w:vAlign w:val="center"/>
                </w:tcPr>
                <w:p>
                  <w:pPr>
                    <w:jc w:val="center"/>
                    <w:rPr>
                      <w:rFonts w:hint="default"/>
                      <w:color w:val="auto"/>
                      <w:highlight w:val="none"/>
                      <w:lang w:val="en-US" w:eastAsia="zh-CN"/>
                    </w:rPr>
                  </w:pPr>
                  <w:r>
                    <w:rPr>
                      <w:rFonts w:hint="eastAsia" w:cs="Times New Roman"/>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48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严禁</w:t>
                  </w:r>
                  <w:r>
                    <w:rPr>
                      <w:rFonts w:hint="default" w:ascii="Times New Roman" w:hAnsi="Times New Roman" w:eastAsia="宋体" w:cs="Times New Roman"/>
                      <w:b w:val="0"/>
                      <w:bCs w:val="0"/>
                      <w:color w:val="auto"/>
                      <w:sz w:val="21"/>
                      <w:szCs w:val="21"/>
                      <w:highlight w:val="none"/>
                      <w:vertAlign w:val="baseline"/>
                      <w:lang w:val="en-US" w:eastAsia="zh-CN"/>
                    </w:rPr>
                    <w:t>在优先保护类耕地集中区城新建</w:t>
                  </w:r>
                  <w:r>
                    <w:rPr>
                      <w:rFonts w:hint="eastAsia" w:cs="Times New Roman"/>
                      <w:b w:val="0"/>
                      <w:bCs w:val="0"/>
                      <w:color w:val="auto"/>
                      <w:sz w:val="21"/>
                      <w:szCs w:val="21"/>
                      <w:highlight w:val="none"/>
                      <w:vertAlign w:val="baseline"/>
                      <w:lang w:val="en-US" w:eastAsia="zh-CN"/>
                    </w:rPr>
                    <w:t>污染土壤的行业企业</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9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eastAsia" w:cs="Times New Roman"/>
                      <w:b w:val="0"/>
                      <w:bCs w:val="0"/>
                      <w:color w:val="auto"/>
                      <w:sz w:val="21"/>
                      <w:szCs w:val="21"/>
                      <w:highlight w:val="none"/>
                      <w:vertAlign w:val="baseline"/>
                      <w:lang w:val="en-US" w:eastAsia="zh-CN"/>
                    </w:rPr>
                    <w:t>为风力发电项目，占地为均天然牧草地，不占用优先保护类耕地</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91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A1空间布局约束</w:t>
                  </w:r>
                </w:p>
              </w:tc>
              <w:tc>
                <w:tcPr>
                  <w:tcW w:w="4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A1.2</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限制开发建设活动的要求</w:t>
                  </w: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严格产业准入标准，建立联合审查机制，对新建项目进行综合评价，对不符合产业规划、产业政策、“三线一单”、规划环评、产能置换、污染物排放区域削减等要求的项目不予办理相关审批手续。严格“两高”项目节能审查，对纳入目录的落后产能过剩行业原则上不再新增产能，对经过评估论证确有必要建设的“两高”项目，必须符合国家、自治区产业政策和产能及能耗等量减量置换要求。</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eastAsia" w:cs="Times New Roman"/>
                      <w:b w:val="0"/>
                      <w:bCs w:val="0"/>
                      <w:color w:val="auto"/>
                      <w:sz w:val="21"/>
                      <w:szCs w:val="21"/>
                      <w:highlight w:val="none"/>
                      <w:vertAlign w:val="baseline"/>
                      <w:lang w:val="en-US" w:eastAsia="zh-CN"/>
                    </w:rPr>
                    <w:t>为风力发电项目，</w:t>
                  </w:r>
                  <w:r>
                    <w:rPr>
                      <w:rFonts w:hint="default" w:ascii="Times New Roman" w:hAnsi="Times New Roman" w:eastAsia="宋体" w:cs="Times New Roman"/>
                      <w:b w:val="0"/>
                      <w:bCs w:val="0"/>
                      <w:color w:val="auto"/>
                      <w:sz w:val="21"/>
                      <w:szCs w:val="21"/>
                      <w:highlight w:val="none"/>
                      <w:vertAlign w:val="baseline"/>
                      <w:lang w:val="en-US" w:eastAsia="zh-CN"/>
                    </w:rPr>
                    <w:t>项目不属于两高项目，且符合产业政策。</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left"/>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48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A1.3</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不符合空间布局要求活动的退出要求</w:t>
                  </w: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对列入建设用地土壤污染风险管控和修复名录需要实施修复的地块，土壤污染责任人应当按照规定编制修复方案，报所在地生态环境主管部门备案并实施</w:t>
                  </w:r>
                  <w:r>
                    <w:rPr>
                      <w:rFonts w:hint="eastAsia" w:cs="Times New Roman"/>
                      <w:b w:val="0"/>
                      <w:bCs w:val="0"/>
                      <w:color w:val="auto"/>
                      <w:sz w:val="21"/>
                      <w:szCs w:val="21"/>
                      <w:highlight w:val="none"/>
                      <w:vertAlign w:val="baseline"/>
                      <w:lang w:val="en-US" w:eastAsia="zh-CN"/>
                    </w:rPr>
                    <w:t>。</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left"/>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本项目为</w:t>
                  </w:r>
                  <w:r>
                    <w:rPr>
                      <w:rFonts w:hint="eastAsia" w:cs="Times New Roman"/>
                      <w:b w:val="0"/>
                      <w:bCs w:val="0"/>
                      <w:color w:val="auto"/>
                      <w:sz w:val="21"/>
                      <w:szCs w:val="21"/>
                      <w:highlight w:val="none"/>
                      <w:vertAlign w:val="baseline"/>
                      <w:lang w:val="en-US" w:eastAsia="zh-CN"/>
                    </w:rPr>
                    <w:t>风力发电</w:t>
                  </w:r>
                  <w:r>
                    <w:rPr>
                      <w:rFonts w:hint="default" w:ascii="Times New Roman" w:hAnsi="Times New Roman" w:eastAsia="宋体" w:cs="Times New Roman"/>
                      <w:b w:val="0"/>
                      <w:bCs w:val="0"/>
                      <w:color w:val="auto"/>
                      <w:sz w:val="21"/>
                      <w:szCs w:val="21"/>
                      <w:highlight w:val="none"/>
                      <w:vertAlign w:val="baseline"/>
                      <w:lang w:val="en-US" w:eastAsia="zh-CN"/>
                    </w:rPr>
                    <w:t>项目，不属于工矿企业。</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left"/>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outlineLvl w:val="9"/>
                    <w:rPr>
                      <w:rFonts w:hint="default" w:ascii="Times New Roman" w:hAnsi="Times New Roman" w:eastAsia="宋体" w:cs="Times New Roman"/>
                      <w:color w:val="auto"/>
                      <w:highlight w:val="none"/>
                    </w:rPr>
                  </w:pPr>
                </w:p>
              </w:tc>
              <w:tc>
                <w:tcPr>
                  <w:tcW w:w="4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outlineLvl w:val="9"/>
                    <w:rPr>
                      <w:rFonts w:hint="default" w:ascii="Times New Roman" w:hAnsi="Times New Roman" w:eastAsia="宋体" w:cs="Times New Roman"/>
                      <w:color w:val="auto"/>
                      <w:highlight w:val="none"/>
                    </w:rPr>
                  </w:pP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严格管控自然保护地范围内非生态活动，稳妥推进核心区内居民、耕地、矿权有序退出。</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left"/>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eastAsia" w:cs="Times New Roman"/>
                      <w:b w:val="0"/>
                      <w:bCs w:val="0"/>
                      <w:color w:val="auto"/>
                      <w:sz w:val="21"/>
                      <w:szCs w:val="21"/>
                      <w:highlight w:val="none"/>
                      <w:vertAlign w:val="baseline"/>
                      <w:lang w:val="en-US" w:eastAsia="zh-CN"/>
                    </w:rPr>
                    <w:t>为风力发电项目</w:t>
                  </w:r>
                  <w:r>
                    <w:rPr>
                      <w:rFonts w:hint="default" w:ascii="Times New Roman" w:hAnsi="Times New Roman" w:eastAsia="宋体" w:cs="Times New Roman"/>
                      <w:b w:val="0"/>
                      <w:bCs w:val="0"/>
                      <w:color w:val="auto"/>
                      <w:sz w:val="21"/>
                      <w:szCs w:val="21"/>
                      <w:highlight w:val="none"/>
                      <w:vertAlign w:val="baseline"/>
                      <w:lang w:val="en-US" w:eastAsia="zh-CN"/>
                    </w:rPr>
                    <w:t>，不属于生产类。</w:t>
                  </w:r>
                </w:p>
              </w:tc>
              <w:tc>
                <w:tcPr>
                  <w:tcW w:w="913" w:type="pct"/>
                  <w:vMerge w:val="restart"/>
                  <w:tcBorders>
                    <w:tl2br w:val="nil"/>
                    <w:tr2bl w:val="nil"/>
                  </w:tcBorders>
                  <w:noWrap w:val="0"/>
                  <w:vAlign w:val="center"/>
                </w:tcPr>
                <w:p>
                  <w:pPr>
                    <w:jc w:val="center"/>
                    <w:rPr>
                      <w:rFonts w:hint="default"/>
                      <w:color w:val="auto"/>
                      <w:highlight w:val="none"/>
                      <w:lang w:val="en-US" w:eastAsia="zh-CN"/>
                    </w:rPr>
                  </w:pPr>
                  <w:r>
                    <w:rPr>
                      <w:rFonts w:hint="eastAsia" w:cs="Times New Roman"/>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对所有现状不达标的养殖场，明确治理时限和治理措施，在规定时间内不能完成污染治理的养殖场，要按照有关规定实施严肃处罚</w:t>
                  </w:r>
                  <w:r>
                    <w:rPr>
                      <w:rFonts w:hint="eastAsia" w:cs="Times New Roman"/>
                      <w:b w:val="0"/>
                      <w:bCs w:val="0"/>
                      <w:color w:val="auto"/>
                      <w:sz w:val="21"/>
                      <w:szCs w:val="21"/>
                      <w:highlight w:val="none"/>
                      <w:vertAlign w:val="baseline"/>
                      <w:lang w:val="en-US" w:eastAsia="zh-CN"/>
                    </w:rPr>
                    <w:t>。</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本项目不涉及。</w:t>
                  </w:r>
                </w:p>
              </w:tc>
              <w:tc>
                <w:tcPr>
                  <w:tcW w:w="91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left"/>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按照“一园区一热源”原则，全面淘汰工业园区(产业集聚区)内35蒸吨/小时及以下燃煤锅炉。城市建成区、集中供热覆盖区及天然气管网覆盖区一律禁止新建燃煤锅炉，逐步淘汰35蒸吨/小时及以下燃煤锅炉，保留及新建锅炉需达到特别排放限值要求。</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left"/>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本项目不涉及。</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left"/>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A2污染物排放管控</w:t>
                  </w:r>
                </w:p>
              </w:tc>
              <w:tc>
                <w:tcPr>
                  <w:tcW w:w="48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A2.1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允许排放量要求</w:t>
                  </w: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化学需氧量、氨氮、</w:t>
                  </w:r>
                  <w:r>
                    <w:rPr>
                      <w:rFonts w:hint="eastAsia" w:cs="Times New Roman"/>
                      <w:b w:val="0"/>
                      <w:bCs w:val="0"/>
                      <w:color w:val="auto"/>
                      <w:sz w:val="21"/>
                      <w:szCs w:val="21"/>
                      <w:highlight w:val="none"/>
                      <w:vertAlign w:val="baseline"/>
                      <w:lang w:val="en-US" w:eastAsia="zh-CN"/>
                    </w:rPr>
                    <w:t>氮</w:t>
                  </w:r>
                  <w:r>
                    <w:rPr>
                      <w:rFonts w:hint="default" w:ascii="Times New Roman" w:hAnsi="Times New Roman" w:eastAsia="宋体" w:cs="Times New Roman"/>
                      <w:b w:val="0"/>
                      <w:bCs w:val="0"/>
                      <w:color w:val="auto"/>
                      <w:sz w:val="21"/>
                      <w:szCs w:val="21"/>
                      <w:highlight w:val="none"/>
                      <w:vertAlign w:val="baseline"/>
                      <w:lang w:val="en-US" w:eastAsia="zh-CN"/>
                    </w:rPr>
                    <w:t>氧化物和挥发性有机物排放总量完成自治区下达任务。</w:t>
                  </w:r>
                </w:p>
              </w:tc>
              <w:tc>
                <w:tcPr>
                  <w:tcW w:w="913"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left"/>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本项目不涉及化学需氧量、氨氮、</w:t>
                  </w:r>
                  <w:r>
                    <w:rPr>
                      <w:rFonts w:hint="eastAsia" w:cs="Times New Roman"/>
                      <w:b w:val="0"/>
                      <w:bCs w:val="0"/>
                      <w:color w:val="auto"/>
                      <w:sz w:val="21"/>
                      <w:szCs w:val="21"/>
                      <w:highlight w:val="none"/>
                      <w:vertAlign w:val="baseline"/>
                      <w:lang w:val="en-US" w:eastAsia="zh-CN"/>
                    </w:rPr>
                    <w:t>二氧化硫</w:t>
                  </w:r>
                  <w:r>
                    <w:rPr>
                      <w:rFonts w:hint="default" w:ascii="Times New Roman" w:hAnsi="Times New Roman" w:eastAsia="宋体" w:cs="Times New Roman"/>
                      <w:b w:val="0"/>
                      <w:bCs w:val="0"/>
                      <w:color w:val="auto"/>
                      <w:sz w:val="21"/>
                      <w:szCs w:val="21"/>
                      <w:highlight w:val="none"/>
                      <w:vertAlign w:val="baseline"/>
                      <w:lang w:val="en-US" w:eastAsia="zh-CN"/>
                    </w:rPr>
                    <w:t>、NOx、VO</w:t>
                  </w:r>
                  <w:r>
                    <w:rPr>
                      <w:rFonts w:hint="eastAsia" w:cs="Times New Roman"/>
                      <w:b w:val="0"/>
                      <w:bCs w:val="0"/>
                      <w:color w:val="auto"/>
                      <w:sz w:val="21"/>
                      <w:szCs w:val="21"/>
                      <w:highlight w:val="none"/>
                      <w:vertAlign w:val="baseline"/>
                      <w:lang w:val="en-US" w:eastAsia="zh-CN"/>
                    </w:rPr>
                    <w:t>C</w:t>
                  </w:r>
                  <w:r>
                    <w:rPr>
                      <w:rFonts w:hint="default" w:ascii="Times New Roman" w:hAnsi="Times New Roman" w:eastAsia="宋体" w:cs="Times New Roman"/>
                      <w:b w:val="0"/>
                      <w:bCs w:val="0"/>
                      <w:color w:val="auto"/>
                      <w:sz w:val="21"/>
                      <w:szCs w:val="21"/>
                      <w:highlight w:val="none"/>
                      <w:vertAlign w:val="baseline"/>
                      <w:lang w:val="en-US" w:eastAsia="zh-CN"/>
                    </w:rPr>
                    <w:t>s</w:t>
                  </w: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重金属污染物、VOCs排放、</w:t>
                  </w:r>
                  <w:r>
                    <w:rPr>
                      <w:rFonts w:hint="eastAsia" w:cs="Times New Roman"/>
                      <w:b w:val="0"/>
                      <w:bCs w:val="0"/>
                      <w:color w:val="auto"/>
                      <w:sz w:val="21"/>
                      <w:szCs w:val="21"/>
                      <w:highlight w:val="none"/>
                      <w:vertAlign w:val="baseline"/>
                      <w:lang w:val="en-US" w:eastAsia="zh-CN"/>
                    </w:rPr>
                    <w:t>粪污处理</w:t>
                  </w:r>
                  <w:r>
                    <w:rPr>
                      <w:rFonts w:hint="default" w:ascii="Times New Roman" w:hAnsi="Times New Roman" w:eastAsia="宋体" w:cs="Times New Roman"/>
                      <w:b w:val="0"/>
                      <w:bCs w:val="0"/>
                      <w:color w:val="auto"/>
                      <w:sz w:val="21"/>
                      <w:szCs w:val="21"/>
                      <w:highlight w:val="none"/>
                      <w:vertAlign w:val="baseline"/>
                      <w:lang w:val="en-US" w:eastAsia="zh-CN"/>
                    </w:rPr>
                    <w:t>等内容。</w:t>
                  </w:r>
                </w:p>
              </w:tc>
              <w:tc>
                <w:tcPr>
                  <w:tcW w:w="913" w:type="pct"/>
                  <w:vMerge w:val="restart"/>
                  <w:tcBorders>
                    <w:tl2br w:val="nil"/>
                    <w:tr2bl w:val="nil"/>
                  </w:tcBorders>
                  <w:noWrap w:val="0"/>
                  <w:vAlign w:val="center"/>
                </w:tcPr>
                <w:p>
                  <w:pPr>
                    <w:jc w:val="center"/>
                    <w:rPr>
                      <w:rFonts w:hint="default"/>
                      <w:color w:val="auto"/>
                      <w:highlight w:val="none"/>
                      <w:lang w:val="en-US" w:eastAsia="zh-CN"/>
                    </w:rPr>
                  </w:pPr>
                  <w:r>
                    <w:rPr>
                      <w:rFonts w:hint="eastAsia" w:cs="Times New Roman"/>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color w:val="auto"/>
                      <w:highlight w:val="none"/>
                    </w:rPr>
                  </w:pPr>
                </w:p>
              </w:tc>
              <w:tc>
                <w:tcPr>
                  <w:tcW w:w="48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color w:val="auto"/>
                      <w:highlight w:val="none"/>
                    </w:rPr>
                  </w:pP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PM</w:t>
                  </w:r>
                  <w:r>
                    <w:rPr>
                      <w:rFonts w:hint="eastAsia" w:cs="Times New Roman"/>
                      <w:b w:val="0"/>
                      <w:bCs w:val="0"/>
                      <w:color w:val="auto"/>
                      <w:sz w:val="21"/>
                      <w:szCs w:val="21"/>
                      <w:highlight w:val="none"/>
                      <w:vertAlign w:val="subscript"/>
                      <w:lang w:val="en-US" w:eastAsia="zh-CN"/>
                    </w:rPr>
                    <w:t>2.5</w:t>
                  </w:r>
                  <w:r>
                    <w:rPr>
                      <w:rFonts w:hint="default" w:ascii="Times New Roman" w:hAnsi="Times New Roman" w:eastAsia="宋体" w:cs="Times New Roman"/>
                      <w:b w:val="0"/>
                      <w:bCs w:val="0"/>
                      <w:color w:val="auto"/>
                      <w:sz w:val="21"/>
                      <w:szCs w:val="21"/>
                      <w:highlight w:val="none"/>
                      <w:vertAlign w:val="baseline"/>
                      <w:lang w:val="en-US" w:eastAsia="zh-CN"/>
                    </w:rPr>
                    <w:t>和</w:t>
                  </w:r>
                  <w:r>
                    <w:rPr>
                      <w:rFonts w:hint="eastAsia" w:cs="Times New Roman"/>
                      <w:b w:val="0"/>
                      <w:bCs w:val="0"/>
                      <w:color w:val="auto"/>
                      <w:sz w:val="21"/>
                      <w:szCs w:val="21"/>
                      <w:highlight w:val="none"/>
                      <w:vertAlign w:val="baseline"/>
                      <w:lang w:val="en-US" w:eastAsia="zh-CN"/>
                    </w:rPr>
                    <w:t>O</w:t>
                  </w:r>
                  <w:r>
                    <w:rPr>
                      <w:rFonts w:hint="eastAsia" w:cs="Times New Roman"/>
                      <w:b w:val="0"/>
                      <w:bCs w:val="0"/>
                      <w:color w:val="auto"/>
                      <w:sz w:val="21"/>
                      <w:szCs w:val="21"/>
                      <w:highlight w:val="none"/>
                      <w:vertAlign w:val="sub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未达标城市，新、改、扩建项目实施更严格的污染物排放总量控制要求，所需二氧化硫、NOx、VO</w:t>
                  </w:r>
                  <w:r>
                    <w:rPr>
                      <w:rFonts w:hint="eastAsia" w:cs="Times New Roman"/>
                      <w:b w:val="0"/>
                      <w:bCs w:val="0"/>
                      <w:color w:val="auto"/>
                      <w:sz w:val="21"/>
                      <w:szCs w:val="21"/>
                      <w:highlight w:val="none"/>
                      <w:vertAlign w:val="baseline"/>
                      <w:lang w:val="en-US" w:eastAsia="zh-CN"/>
                    </w:rPr>
                    <w:t>C</w:t>
                  </w:r>
                  <w:r>
                    <w:rPr>
                      <w:rFonts w:hint="default" w:ascii="Times New Roman" w:hAnsi="Times New Roman" w:eastAsia="宋体" w:cs="Times New Roman"/>
                      <w:b w:val="0"/>
                      <w:bCs w:val="0"/>
                      <w:color w:val="auto"/>
                      <w:sz w:val="21"/>
                      <w:szCs w:val="21"/>
                      <w:highlight w:val="none"/>
                      <w:vertAlign w:val="baseline"/>
                      <w:lang w:val="en-US" w:eastAsia="zh-CN"/>
                    </w:rPr>
                    <w:t>s排放量指标要进行减量替代。</w:t>
                  </w:r>
                </w:p>
              </w:tc>
              <w:tc>
                <w:tcPr>
                  <w:tcW w:w="91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91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新、改、扩建重点行业建设项目按照《宁夏回族自治区建设项目重金属污染物排放指标核定办法》要求，遵循重点重金属污染物排放“等量替代”原则，各地级市可自行确定重点区域，重点区域遵循“减量替代”原则，减量替代比例不低于1.2:1。</w:t>
                  </w:r>
                </w:p>
              </w:tc>
              <w:tc>
                <w:tcPr>
                  <w:tcW w:w="91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91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23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到2025年，中卫市畜禽养殖废物综合利用率达到95%，规模养殖场粪污处理设施装备配套率达到100%。</w:t>
                  </w:r>
                </w:p>
              </w:tc>
              <w:tc>
                <w:tcPr>
                  <w:tcW w:w="91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91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A2污染物排放管控</w:t>
                  </w:r>
                </w:p>
              </w:tc>
              <w:tc>
                <w:tcPr>
                  <w:tcW w:w="48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A2.2</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现有源提标升级改造</w:t>
                  </w:r>
                </w:p>
              </w:tc>
              <w:tc>
                <w:tcPr>
                  <w:tcW w:w="23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力争到2024年底，所有钢铁企业主要大气污染物基本达到超低排放指标限值:有序推进水泥行业超低排放改造计划，水泥熟料窑改造后氮氧化物排放浓度不高于100毫克/立方米:焦化企业参照《关于推进实施钢铁行业超低排放的意见》要求实施升级改造，改造后氮氧化物排放浓度不高于150毫克/立方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2.2024年底前，烧结、炼铁、炼钢轧钢、自备电厂等有组织排放污染物实行超低排放限值。</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本项目不</w:t>
                  </w:r>
                  <w:r>
                    <w:rPr>
                      <w:rFonts w:hint="eastAsia" w:cs="Times New Roman"/>
                      <w:b w:val="0"/>
                      <w:bCs w:val="0"/>
                      <w:color w:val="auto"/>
                      <w:sz w:val="21"/>
                      <w:szCs w:val="21"/>
                      <w:highlight w:val="none"/>
                      <w:vertAlign w:val="baseline"/>
                      <w:lang w:val="en-US" w:eastAsia="zh-CN"/>
                    </w:rPr>
                    <w:t>涉及</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2" w:hRule="atLeast"/>
                <w:jc w:val="center"/>
              </w:trPr>
              <w:tc>
                <w:tcPr>
                  <w:tcW w:w="37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A3环境风险防控</w:t>
                  </w:r>
                </w:p>
              </w:tc>
              <w:tc>
                <w:tcPr>
                  <w:tcW w:w="48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A3.1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联防联控要求</w:t>
                  </w:r>
                </w:p>
              </w:tc>
              <w:tc>
                <w:tcPr>
                  <w:tcW w:w="23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健全市生态环境局与公安、交通、应急、气象、水务等部门联动机制，细化落实各相关部门之间联防联控责任与任务分工，联合开展突发环境污染事件处置应急演练，提高联防联控实战能力。</w:t>
                  </w:r>
                </w:p>
              </w:tc>
              <w:tc>
                <w:tcPr>
                  <w:tcW w:w="913"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本项目不涉及。</w:t>
                  </w:r>
                </w:p>
              </w:tc>
              <w:tc>
                <w:tcPr>
                  <w:tcW w:w="913" w:type="pct"/>
                  <w:vMerge w:val="restart"/>
                  <w:tcBorders>
                    <w:tl2br w:val="nil"/>
                    <w:tr2bl w:val="nil"/>
                  </w:tcBorders>
                  <w:noWrap w:val="0"/>
                  <w:vAlign w:val="center"/>
                </w:tcPr>
                <w:p>
                  <w:pPr>
                    <w:jc w:val="center"/>
                    <w:rPr>
                      <w:rFonts w:hint="default"/>
                      <w:color w:val="auto"/>
                      <w:highlight w:val="none"/>
                      <w:lang w:val="en-US" w:eastAsia="zh-CN"/>
                    </w:rPr>
                  </w:pPr>
                  <w:r>
                    <w:rPr>
                      <w:rFonts w:hint="eastAsia" w:cs="Times New Roman"/>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2" w:hRule="atLeast"/>
                <w:jc w:val="center"/>
              </w:trPr>
              <w:tc>
                <w:tcPr>
                  <w:tcW w:w="37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color w:val="auto"/>
                      <w:highlight w:val="none"/>
                    </w:rPr>
                  </w:pPr>
                </w:p>
              </w:tc>
              <w:tc>
                <w:tcPr>
                  <w:tcW w:w="4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color w:val="auto"/>
                      <w:highlight w:val="none"/>
                    </w:rPr>
                  </w:pPr>
                </w:p>
              </w:tc>
              <w:tc>
                <w:tcPr>
                  <w:tcW w:w="23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以黄河干流和主要支流为重点，严控石化、化工、有色金属、印染、原料药制造等行业企业环境风险，加强油气管道环境风险防范，开展新污染物环境调查监测和环境风险评估，推进流域突发环境风险调查与监控预警体系建设，构建市-县(区)-区域-企业四级应急物资储备网络。</w:t>
                  </w:r>
                </w:p>
              </w:tc>
              <w:tc>
                <w:tcPr>
                  <w:tcW w:w="91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91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48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A3.2</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企业环境风险防控要求</w:t>
                  </w:r>
                </w:p>
              </w:tc>
              <w:tc>
                <w:tcPr>
                  <w:tcW w:w="23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紧盯涉危险废物涉重金属企业、化工园区、水源地，强化环境应急三级防控体系建设，落实企业环境安全主体责任，推行企业突发环境事件应急预案电子备案。</w:t>
                  </w:r>
                </w:p>
              </w:tc>
              <w:tc>
                <w:tcPr>
                  <w:tcW w:w="91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91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A4资源利用效率要求</w:t>
                  </w:r>
                </w:p>
              </w:tc>
              <w:tc>
                <w:tcPr>
                  <w:tcW w:w="48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A4.1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能源利用总量及效率要求</w:t>
                  </w:r>
                </w:p>
              </w:tc>
              <w:tc>
                <w:tcPr>
                  <w:tcW w:w="23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1.全面贯彻落实国家和自治区下达煤炭消费总量目标，严格控制耗煤行业煤炭新增量，优先保障民生供暖新增用煤需求。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2.新增产能必须符合国内先进能效标准。</w:t>
                  </w:r>
                </w:p>
              </w:tc>
              <w:tc>
                <w:tcPr>
                  <w:tcW w:w="913"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firstLine="420" w:firstLineChars="200"/>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本项目为</w:t>
                  </w:r>
                  <w:r>
                    <w:rPr>
                      <w:rFonts w:hint="eastAsia" w:cs="Times New Roman"/>
                      <w:b w:val="0"/>
                      <w:bCs w:val="0"/>
                      <w:color w:val="auto"/>
                      <w:sz w:val="21"/>
                      <w:szCs w:val="21"/>
                      <w:highlight w:val="none"/>
                      <w:vertAlign w:val="baseline"/>
                      <w:lang w:val="en-US" w:eastAsia="zh-CN"/>
                    </w:rPr>
                    <w:t>风力发电项目</w:t>
                  </w:r>
                  <w:r>
                    <w:rPr>
                      <w:rFonts w:hint="default" w:ascii="Times New Roman" w:hAnsi="Times New Roman" w:eastAsia="宋体" w:cs="Times New Roman"/>
                      <w:b w:val="0"/>
                      <w:bCs w:val="0"/>
                      <w:color w:val="auto"/>
                      <w:sz w:val="21"/>
                      <w:szCs w:val="21"/>
                      <w:highlight w:val="none"/>
                      <w:vertAlign w:val="baseline"/>
                      <w:lang w:val="en-US" w:eastAsia="zh-CN"/>
                    </w:rPr>
                    <w:t>，不涉及煤炭行业，</w:t>
                  </w:r>
                  <w:r>
                    <w:rPr>
                      <w:rFonts w:hint="eastAsia" w:cs="Times New Roman"/>
                      <w:b w:val="0"/>
                      <w:bCs w:val="0"/>
                      <w:color w:val="auto"/>
                      <w:sz w:val="21"/>
                      <w:szCs w:val="21"/>
                      <w:highlight w:val="none"/>
                      <w:vertAlign w:val="baseline"/>
                      <w:lang w:val="en-US" w:eastAsia="zh-CN"/>
                    </w:rPr>
                    <w:t>运营期不用水</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913" w:type="pct"/>
                  <w:vMerge w:val="restart"/>
                  <w:tcBorders>
                    <w:tl2br w:val="nil"/>
                    <w:tr2bl w:val="nil"/>
                  </w:tcBorders>
                  <w:noWrap w:val="0"/>
                  <w:vAlign w:val="center"/>
                </w:tcPr>
                <w:p>
                  <w:pPr>
                    <w:jc w:val="center"/>
                    <w:rPr>
                      <w:rFonts w:hint="default"/>
                      <w:color w:val="auto"/>
                      <w:highlight w:val="none"/>
                      <w:lang w:val="en-US" w:eastAsia="zh-CN"/>
                    </w:rPr>
                  </w:pPr>
                  <w:r>
                    <w:rPr>
                      <w:rFonts w:hint="eastAsia" w:cs="Times New Roman"/>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rPr>
                  </w:pPr>
                </w:p>
              </w:tc>
              <w:tc>
                <w:tcPr>
                  <w:tcW w:w="4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rPr>
                  </w:pPr>
                </w:p>
              </w:tc>
              <w:tc>
                <w:tcPr>
                  <w:tcW w:w="23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国家大气污染防治重点区域内新建耗煤项目应严格按规定采取煤炭消费减量替代措施，不得使用高污染燃料作为煤炭减量替代措施。</w:t>
                  </w:r>
                </w:p>
              </w:tc>
              <w:tc>
                <w:tcPr>
                  <w:tcW w:w="91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91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48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A4.2</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水资源利用总量及效率要求</w:t>
                  </w:r>
                </w:p>
              </w:tc>
              <w:tc>
                <w:tcPr>
                  <w:tcW w:w="23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建立水资源刚性约束制度，严格准入条件，按照地区取水总量限值审核新、改、扩建项目，取水总量不得超过地区水资源取用上限或承载能力。</w:t>
                  </w:r>
                </w:p>
              </w:tc>
              <w:tc>
                <w:tcPr>
                  <w:tcW w:w="91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符合</w:t>
                  </w:r>
                </w:p>
              </w:tc>
            </w:tr>
          </w:tbl>
          <w:p>
            <w:pPr>
              <w:pStyle w:val="50"/>
              <w:keepNext w:val="0"/>
              <w:keepLines w:val="0"/>
              <w:pageBreakBefore w:val="0"/>
              <w:widowControl w:val="0"/>
              <w:kinsoku/>
              <w:wordWrap/>
              <w:topLinePunct w:val="0"/>
              <w:autoSpaceDE/>
              <w:autoSpaceDN/>
              <w:bidi w:val="0"/>
              <w:adjustRightInd w:val="0"/>
              <w:spacing w:line="336" w:lineRule="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所以，本项目与中卫市生态环境准入清单总体要求相符合。</w:t>
            </w:r>
          </w:p>
          <w:p>
            <w:pPr>
              <w:pStyle w:val="50"/>
              <w:keepNext w:val="0"/>
              <w:keepLines w:val="0"/>
              <w:pageBreakBefore w:val="0"/>
              <w:widowControl w:val="0"/>
              <w:kinsoku/>
              <w:wordWrap/>
              <w:topLinePunct w:val="0"/>
              <w:autoSpaceDE/>
              <w:autoSpaceDN/>
              <w:bidi w:val="0"/>
              <w:adjustRightInd w:val="0"/>
              <w:spacing w:line="240" w:lineRule="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w:t>
            </w:r>
            <w:r>
              <w:rPr>
                <w:rFonts w:hint="eastAsia" w:eastAsia="宋体" w:cs="Times New Roman"/>
                <w:b/>
                <w:color w:val="auto"/>
                <w:kern w:val="2"/>
                <w:sz w:val="24"/>
                <w:szCs w:val="24"/>
                <w:highlight w:val="none"/>
                <w:lang w:val="en-US" w:eastAsia="zh-CN" w:bidi="ar-SA"/>
              </w:rPr>
              <w:t>1-2</w:t>
            </w:r>
            <w:r>
              <w:rPr>
                <w:rFonts w:hint="default" w:ascii="Times New Roman" w:hAnsi="Times New Roman" w:eastAsia="宋体" w:cs="Times New Roman"/>
                <w:b/>
                <w:color w:val="auto"/>
                <w:kern w:val="2"/>
                <w:sz w:val="24"/>
                <w:szCs w:val="24"/>
                <w:highlight w:val="none"/>
                <w:lang w:val="en-US" w:eastAsia="zh-CN" w:bidi="ar-SA"/>
              </w:rPr>
              <w:t xml:space="preserve">       中卫市环境管控单元生态环境准入清单一览表</w:t>
            </w:r>
          </w:p>
          <w:tbl>
            <w:tblPr>
              <w:tblStyle w:val="29"/>
              <w:tblW w:w="82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9"/>
              <w:gridCol w:w="794"/>
              <w:gridCol w:w="2623"/>
              <w:gridCol w:w="2080"/>
              <w:gridCol w:w="20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6"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中卫市环境管控单元生态环境准入清单</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本项目情况</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ZH6405</w:t>
                  </w:r>
                  <w:r>
                    <w:rPr>
                      <w:rFonts w:hint="eastAsia" w:cs="Times New Roman"/>
                      <w:b/>
                      <w:bCs/>
                      <w:color w:val="auto"/>
                      <w:sz w:val="21"/>
                      <w:szCs w:val="21"/>
                      <w:highlight w:val="none"/>
                      <w:vertAlign w:val="baseline"/>
                      <w:lang w:val="en-US" w:eastAsia="zh-CN"/>
                    </w:rPr>
                    <w:t>0210004</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环境管控单元名称</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沙坡头区优先保护单元2</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行政区划</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宁夏回族自治区中卫市</w:t>
                  </w:r>
                  <w:r>
                    <w:rPr>
                      <w:rFonts w:hint="eastAsia" w:cs="Times New Roman"/>
                      <w:b/>
                      <w:bCs/>
                      <w:color w:val="auto"/>
                      <w:sz w:val="21"/>
                      <w:szCs w:val="21"/>
                      <w:highlight w:val="none"/>
                      <w:vertAlign w:val="baseline"/>
                      <w:lang w:val="en-US" w:eastAsia="zh-CN"/>
                    </w:rPr>
                    <w:t>沙坡头区</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宁夏回族自治区中卫市</w:t>
                  </w:r>
                  <w:r>
                    <w:rPr>
                      <w:rFonts w:hint="eastAsia" w:cs="Times New Roman"/>
                      <w:b w:val="0"/>
                      <w:bCs w:val="0"/>
                      <w:color w:val="auto"/>
                      <w:sz w:val="21"/>
                      <w:szCs w:val="21"/>
                      <w:highlight w:val="none"/>
                      <w:vertAlign w:val="baseline"/>
                      <w:lang w:val="en-US" w:eastAsia="zh-CN"/>
                    </w:rPr>
                    <w:t>沙坡头区</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要素属性</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生态保护红线-一般生态空间</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管控单元分类</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优先保护</w:t>
                  </w:r>
                  <w:r>
                    <w:rPr>
                      <w:rFonts w:hint="default" w:ascii="Times New Roman" w:hAnsi="Times New Roman" w:eastAsia="宋体" w:cs="Times New Roman"/>
                      <w:b/>
                      <w:bCs/>
                      <w:color w:val="auto"/>
                      <w:sz w:val="21"/>
                      <w:szCs w:val="21"/>
                      <w:highlight w:val="none"/>
                      <w:vertAlign w:val="baseline"/>
                      <w:lang w:val="en-US" w:eastAsia="zh-CN"/>
                    </w:rPr>
                    <w:t>单元</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65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管控要求</w:t>
                  </w:r>
                </w:p>
              </w:tc>
              <w:tc>
                <w:tcPr>
                  <w:tcW w:w="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空间布局约束</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1.禁止新建项目乱征滥占草地、破坏沙生植被，严格限制在区域内采砂取土。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eastAsia"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生态保护红线内自然保护地核心保护区外，禁止开发性、生产性建设活动,在符合法律法规的前提下，仅允许十类对生态功能不造成破坏的有限人为活动。一般生态空间内,在生态保护红线正面清单的基础上。仅允许开展生态修复等对生态环境扰动较小、不损害或有利于提升生态功能的开发项目</w:t>
                  </w:r>
                  <w:r>
                    <w:rPr>
                      <w:rFonts w:hint="eastAsia" w:cs="Times New Roman"/>
                      <w:b w:val="0"/>
                      <w:bCs w:val="0"/>
                      <w:color w:val="auto"/>
                      <w:sz w:val="21"/>
                      <w:szCs w:val="21"/>
                      <w:highlight w:val="none"/>
                      <w:vertAlign w:val="baseli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w:t>
                  </w:r>
                  <w:r>
                    <w:rPr>
                      <w:rFonts w:hint="eastAsia" w:ascii="Times New Roman" w:hAnsi="Times New Roman" w:eastAsia="宋体" w:cs="Times New Roman"/>
                      <w:b w:val="0"/>
                      <w:bCs w:val="0"/>
                      <w:color w:val="auto"/>
                      <w:sz w:val="21"/>
                      <w:szCs w:val="21"/>
                      <w:highlight w:val="none"/>
                      <w:vertAlign w:val="baseline"/>
                      <w:lang w:val="en-US" w:eastAsia="zh-CN"/>
                    </w:rPr>
                    <w:t>对区域内</w:t>
                  </w:r>
                  <w:r>
                    <w:rPr>
                      <w:rFonts w:hint="default" w:ascii="Times New Roman" w:hAnsi="Times New Roman" w:eastAsia="宋体" w:cs="Times New Roman"/>
                      <w:b w:val="0"/>
                      <w:bCs w:val="0"/>
                      <w:color w:val="auto"/>
                      <w:sz w:val="21"/>
                      <w:szCs w:val="21"/>
                      <w:highlight w:val="none"/>
                      <w:vertAlign w:val="baseline"/>
                      <w:lang w:val="en-US" w:eastAsia="zh-CN"/>
                    </w:rPr>
                    <w:t>“</w:t>
                  </w:r>
                  <w:r>
                    <w:rPr>
                      <w:rFonts w:hint="eastAsia" w:ascii="Times New Roman" w:hAnsi="Times New Roman" w:eastAsia="宋体" w:cs="Times New Roman"/>
                      <w:b w:val="0"/>
                      <w:bCs w:val="0"/>
                      <w:color w:val="auto"/>
                      <w:sz w:val="21"/>
                      <w:szCs w:val="21"/>
                      <w:highlight w:val="none"/>
                      <w:vertAlign w:val="baseline"/>
                      <w:lang w:val="en-US" w:eastAsia="zh-CN"/>
                    </w:rPr>
                    <w:t>散乱污</w:t>
                  </w:r>
                  <w:r>
                    <w:rPr>
                      <w:rFonts w:hint="default" w:ascii="Times New Roman" w:hAnsi="Times New Roman" w:eastAsia="宋体" w:cs="Times New Roman"/>
                      <w:b w:val="0"/>
                      <w:bCs w:val="0"/>
                      <w:color w:val="auto"/>
                      <w:sz w:val="21"/>
                      <w:szCs w:val="21"/>
                      <w:highlight w:val="none"/>
                      <w:vertAlign w:val="baseline"/>
                      <w:lang w:val="en-US" w:eastAsia="zh-CN"/>
                    </w:rPr>
                    <w:t>”</w:t>
                  </w:r>
                  <w:r>
                    <w:rPr>
                      <w:rFonts w:hint="eastAsia" w:ascii="Times New Roman" w:hAnsi="Times New Roman" w:eastAsia="宋体" w:cs="Times New Roman"/>
                      <w:b w:val="0"/>
                      <w:bCs w:val="0"/>
                      <w:color w:val="auto"/>
                      <w:sz w:val="21"/>
                      <w:szCs w:val="21"/>
                      <w:highlight w:val="none"/>
                      <w:vertAlign w:val="baseline"/>
                      <w:lang w:val="en-US" w:eastAsia="zh-CN"/>
                    </w:rPr>
                    <w:t>企业根据实际情况采取关停或搬迁入园措施。禁养区内现有的畜禽养殖场（小区）污染物的排放要符合《畜禽养殖污染物排放标准》的要求，并限期实现关停、转产或搬迁。</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eastAsia" w:cs="Times New Roman"/>
                      <w:b w:val="0"/>
                      <w:bCs w:val="0"/>
                      <w:color w:val="auto"/>
                      <w:sz w:val="21"/>
                      <w:szCs w:val="21"/>
                      <w:highlight w:val="none"/>
                      <w:vertAlign w:val="baseline"/>
                      <w:lang w:val="en-US" w:eastAsia="zh-CN"/>
                    </w:rPr>
                    <w:t>永久占地为天然牧草地，已取得相关用地手续，本项目为风力发电项目，不涉及采砂取土</w:t>
                  </w:r>
                  <w:r>
                    <w:rPr>
                      <w:rFonts w:hint="default" w:ascii="Times New Roman" w:hAnsi="Times New Roman" w:eastAsia="宋体" w:cs="Times New Roman"/>
                      <w:b w:val="0"/>
                      <w:bCs w:val="0"/>
                      <w:color w:val="auto"/>
                      <w:sz w:val="21"/>
                      <w:szCs w:val="21"/>
                      <w:highlight w:val="none"/>
                      <w:vertAlign w:val="baseli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2.本项目为风力发电项目，不在生态保护红线内，在一般生态空间内，不会损害周边生态功能。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3.本项目为风力发电项目，不涉及。</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outlineLvl w:val="9"/>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污染物排放管控</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环境风险防范</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资源开发效率</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6"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中卫市环境管控单元生态环境准入清单</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本项目情况</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环境管控单元名称</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沙坡头区</w:t>
                  </w:r>
                  <w:r>
                    <w:rPr>
                      <w:rFonts w:hint="default" w:cs="Times New Roman"/>
                      <w:b/>
                      <w:bCs/>
                      <w:color w:val="auto"/>
                      <w:sz w:val="21"/>
                      <w:szCs w:val="21"/>
                      <w:highlight w:val="none"/>
                      <w:vertAlign w:val="baseline"/>
                      <w:lang w:val="en-US" w:eastAsia="zh-CN"/>
                    </w:rPr>
                    <w:t>一般管控单元1</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ZH6405</w:t>
                  </w:r>
                  <w:r>
                    <w:rPr>
                      <w:rFonts w:hint="eastAsia" w:cs="Times New Roman"/>
                      <w:b/>
                      <w:bCs/>
                      <w:color w:val="auto"/>
                      <w:sz w:val="21"/>
                      <w:szCs w:val="21"/>
                      <w:highlight w:val="none"/>
                      <w:vertAlign w:val="baseline"/>
                      <w:lang w:val="en-US" w:eastAsia="zh-CN"/>
                    </w:rPr>
                    <w:t>0230001</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行政区划</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宁夏回族自治区中卫市</w:t>
                  </w:r>
                  <w:r>
                    <w:rPr>
                      <w:rFonts w:hint="eastAsia" w:cs="Times New Roman"/>
                      <w:b/>
                      <w:bCs/>
                      <w:color w:val="auto"/>
                      <w:sz w:val="21"/>
                      <w:szCs w:val="21"/>
                      <w:highlight w:val="none"/>
                      <w:vertAlign w:val="baseline"/>
                      <w:lang w:val="en-US" w:eastAsia="zh-CN"/>
                    </w:rPr>
                    <w:t>沙坡头区</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宁夏回族自治区中卫市</w:t>
                  </w:r>
                  <w:r>
                    <w:rPr>
                      <w:rFonts w:hint="eastAsia" w:cs="Times New Roman"/>
                      <w:b w:val="0"/>
                      <w:bCs w:val="0"/>
                      <w:color w:val="auto"/>
                      <w:sz w:val="21"/>
                      <w:szCs w:val="21"/>
                      <w:highlight w:val="none"/>
                      <w:vertAlign w:val="baseline"/>
                      <w:lang w:val="en-US" w:eastAsia="zh-CN"/>
                    </w:rPr>
                    <w:t>沙坡头区</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要素属性</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水环境一般管控区-大气环境一般管控区等</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5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管控单元分类</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一般管控</w:t>
                  </w:r>
                  <w:r>
                    <w:rPr>
                      <w:rFonts w:hint="default" w:ascii="Times New Roman" w:hAnsi="Times New Roman" w:eastAsia="宋体" w:cs="Times New Roman"/>
                      <w:b/>
                      <w:bCs/>
                      <w:color w:val="auto"/>
                      <w:sz w:val="21"/>
                      <w:szCs w:val="21"/>
                      <w:highlight w:val="none"/>
                      <w:vertAlign w:val="baseline"/>
                      <w:lang w:val="en-US" w:eastAsia="zh-CN"/>
                    </w:rPr>
                    <w:t>单元</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管控要求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空间布局约束</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left"/>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1.禁止新建项目乱征滥占草地、破坏沙生植被，严格限制在区域内采砂取土。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left"/>
                    <w:textAlignment w:val="auto"/>
                    <w:outlineLvl w:val="9"/>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2.限利无序发展光伏产业。严格限制在农用地优先保护区集中区域新建医药、垃圾焚烧、铅酸蓄电池制造回收、电子废弃物拆解、危险废物处置和危险化学品生产、储存、使用等行业项目。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left"/>
                    <w:textAlignment w:val="auto"/>
                    <w:outlineLvl w:val="9"/>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3.在满足产业准入、总量控制、排放标准等国家和地方相关管理制度要求的前提下，集约发展。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left"/>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4.深入推进“散乱污”工业企业整治工作，对不符合国家或自治区产业政策、依法应办理而未办理相关审批或登记手续、违法排污严重的工业企业，限期关停拆除。</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eastAsia" w:cs="Times New Roman"/>
                      <w:b w:val="0"/>
                      <w:bCs w:val="0"/>
                      <w:color w:val="auto"/>
                      <w:sz w:val="21"/>
                      <w:szCs w:val="21"/>
                      <w:highlight w:val="none"/>
                      <w:vertAlign w:val="baseline"/>
                      <w:lang w:val="en-US" w:eastAsia="zh-CN"/>
                    </w:rPr>
                    <w:t>永久占地为天然牧草地，已取得相关用地手续，本项目为风力发电项目，不涉及采砂取土</w:t>
                  </w:r>
                  <w:r>
                    <w:rPr>
                      <w:rFonts w:hint="default" w:ascii="Times New Roman" w:hAnsi="Times New Roman" w:eastAsia="宋体" w:cs="Times New Roman"/>
                      <w:b w:val="0"/>
                      <w:bCs w:val="0"/>
                      <w:color w:val="auto"/>
                      <w:sz w:val="21"/>
                      <w:szCs w:val="21"/>
                      <w:highlight w:val="none"/>
                      <w:vertAlign w:val="baseli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both"/>
                    <w:textAlignment w:val="auto"/>
                    <w:outlineLvl w:val="9"/>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2.本项目为风力发电项目，</w:t>
                  </w:r>
                  <w:r>
                    <w:rPr>
                      <w:rFonts w:hint="default" w:ascii="Times New Roman" w:hAnsi="Times New Roman" w:eastAsia="宋体" w:cs="Times New Roman"/>
                      <w:b w:val="0"/>
                      <w:bCs w:val="0"/>
                      <w:color w:val="auto"/>
                      <w:sz w:val="21"/>
                      <w:szCs w:val="21"/>
                      <w:highlight w:val="none"/>
                      <w:vertAlign w:val="baseline"/>
                      <w:lang w:val="en-US" w:eastAsia="zh-CN"/>
                    </w:rPr>
                    <w:t>项目</w:t>
                  </w:r>
                  <w:r>
                    <w:rPr>
                      <w:rFonts w:hint="eastAsia" w:cs="Times New Roman"/>
                      <w:b w:val="0"/>
                      <w:bCs w:val="0"/>
                      <w:color w:val="auto"/>
                      <w:sz w:val="21"/>
                      <w:szCs w:val="21"/>
                      <w:highlight w:val="none"/>
                      <w:vertAlign w:val="baseline"/>
                      <w:lang w:val="en-US" w:eastAsia="zh-CN"/>
                    </w:rPr>
                    <w:t>永久占地为天然牧草地，已取得相关用地手续，不涉及所述行业。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3.本项目为风力发电项目，可满足要求。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4.本项目为风力发电项目，不涉及。</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right="0" w:right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污染物排放管控</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环境风险防范</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c>
                <w:tcPr>
                  <w:tcW w:w="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资源开发效率</w:t>
                  </w:r>
                </w:p>
              </w:tc>
              <w:tc>
                <w:tcPr>
                  <w:tcW w:w="2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outlineLvl w:val="9"/>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所以，本项目与中卫市环境管控单元生态环境准入清单相符合。</w:t>
            </w:r>
          </w:p>
          <w:p>
            <w:pPr>
              <w:pStyle w:val="49"/>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rPr>
                <w:rFonts w:hint="default" w:ascii="Times New Roman" w:hAnsi="Times New Roman" w:eastAsia="仿宋" w:cs="Times New Roman"/>
                <w:color w:val="auto"/>
                <w:highlight w:val="none"/>
                <w:lang w:val="en-US" w:eastAsia="zh-CN"/>
              </w:rPr>
            </w:pPr>
            <w:r>
              <w:rPr>
                <w:rFonts w:hint="eastAsia" w:eastAsia="仿宋" w:cs="Times New Roman"/>
                <w:color w:val="auto"/>
                <w:highlight w:val="none"/>
                <w:lang w:val="en-US" w:eastAsia="zh-CN"/>
              </w:rPr>
              <w:t>3</w:t>
            </w:r>
            <w:r>
              <w:rPr>
                <w:rFonts w:hint="default" w:ascii="Times New Roman" w:hAnsi="Times New Roman" w:eastAsia="仿宋" w:cs="Times New Roman"/>
                <w:color w:val="auto"/>
                <w:highlight w:val="none"/>
                <w:lang w:val="en-US" w:eastAsia="zh-CN"/>
              </w:rPr>
              <w:t>.</w:t>
            </w:r>
            <w:r>
              <w:rPr>
                <w:rFonts w:hint="default" w:ascii="Times New Roman" w:hAnsi="Times New Roman" w:eastAsia="仿宋" w:cs="Times New Roman"/>
                <w:b/>
                <w:bCs/>
                <w:color w:val="auto"/>
                <w:kern w:val="16"/>
                <w:sz w:val="24"/>
                <w:szCs w:val="24"/>
                <w:highlight w:val="none"/>
                <w:lang w:val="en-US" w:eastAsia="zh-CN" w:bidi="ar-SA"/>
              </w:rPr>
              <w:t>与《宁夏回族自治区生态环境“十四五”规划》符合性分析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根据《宁夏回族自治区生态环境“十四五”规划》中第三条、优化生态空间，推动绿色低碳发展的（三）建设清洁低碳能源体系：优化能源供给结构。推动风能、光能、水能和氢能等清洁能源产业一体化配套发展。建设国家新能源综合示范区和多能互补能源基地，拓宽新能源使用覆盖面。加快推进光伏发电，稳定推进风电开发。合理开发抽水蓄能电站项目，加快风电光伏发电储能设施、天然气储气设施建设</w:t>
            </w:r>
            <w:r>
              <w:rPr>
                <w:rFonts w:hint="default" w:ascii="Arial" w:hAnsi="Arial" w:eastAsia="仿宋" w:cs="Arial"/>
                <w:color w:val="auto"/>
                <w:sz w:val="24"/>
                <w:szCs w:val="24"/>
                <w:highlight w:val="none"/>
                <w:lang w:val="en-US" w:eastAsia="zh-CN"/>
              </w:rPr>
              <w:t>…</w:t>
            </w:r>
            <w:r>
              <w:rPr>
                <w:rFonts w:hint="default" w:ascii="Times New Roman" w:hAnsi="Times New Roman" w:eastAsia="仿宋" w:cs="Times New Roman"/>
                <w:color w:val="auto"/>
                <w:sz w:val="24"/>
                <w:szCs w:val="24"/>
                <w:highlight w:val="none"/>
                <w:lang w:val="en-US" w:eastAsia="zh-CN"/>
              </w:rPr>
              <w:t>。</w:t>
            </w:r>
          </w:p>
          <w:p>
            <w:pPr>
              <w:autoSpaceDE w:val="0"/>
              <w:autoSpaceDN w:val="0"/>
              <w:adjustRightInd w:val="0"/>
              <w:snapToGrid w:val="0"/>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本项目位于</w:t>
            </w:r>
            <w:r>
              <w:rPr>
                <w:rFonts w:hint="eastAsia" w:eastAsia="仿宋" w:cs="Times New Roman"/>
                <w:color w:val="auto"/>
                <w:sz w:val="24"/>
                <w:szCs w:val="24"/>
                <w:highlight w:val="none"/>
                <w:lang w:val="en-US" w:eastAsia="zh-CN"/>
              </w:rPr>
              <w:t>中卫市沙坡头区，为49.8MW</w:t>
            </w:r>
            <w:r>
              <w:rPr>
                <w:rFonts w:hint="default" w:ascii="Times New Roman" w:hAnsi="Times New Roman" w:eastAsia="仿宋" w:cs="Times New Roman"/>
                <w:color w:val="auto"/>
                <w:sz w:val="24"/>
                <w:szCs w:val="24"/>
                <w:highlight w:val="none"/>
                <w:lang w:val="en-US" w:eastAsia="zh-CN"/>
              </w:rPr>
              <w:t>风电项目</w:t>
            </w:r>
            <w:r>
              <w:rPr>
                <w:rFonts w:hint="eastAsia" w:eastAsia="仿宋" w:cs="Times New Roman"/>
                <w:color w:val="auto"/>
                <w:sz w:val="24"/>
                <w:szCs w:val="24"/>
                <w:highlight w:val="none"/>
                <w:lang w:val="en-US" w:eastAsia="zh-CN"/>
              </w:rPr>
              <w:t>，</w:t>
            </w:r>
            <w:r>
              <w:rPr>
                <w:rFonts w:hint="default" w:ascii="Times New Roman" w:hAnsi="Times New Roman" w:eastAsia="仿宋" w:cs="Times New Roman"/>
                <w:color w:val="auto"/>
                <w:sz w:val="24"/>
                <w:szCs w:val="24"/>
                <w:highlight w:val="none"/>
                <w:lang w:val="en-US" w:eastAsia="zh-CN"/>
              </w:rPr>
              <w:t>项目建设符合《宁夏回族自治区生态环境“十四五”规划》要求。</w:t>
            </w:r>
          </w:p>
          <w:p>
            <w:pPr>
              <w:pStyle w:val="49"/>
              <w:keepNext w:val="0"/>
              <w:keepLines w:val="0"/>
              <w:pageBreakBefore w:val="0"/>
              <w:widowControl w:val="0"/>
              <w:kinsoku/>
              <w:wordWrap/>
              <w:topLinePunct w:val="0"/>
              <w:autoSpaceDE/>
              <w:autoSpaceDN/>
              <w:bidi w:val="0"/>
              <w:adjustRightInd w:val="0"/>
              <w:spacing w:line="336" w:lineRule="auto"/>
              <w:rPr>
                <w:rFonts w:hint="default" w:ascii="Times New Roman" w:hAnsi="Times New Roman" w:eastAsia="仿宋" w:cs="Times New Roman"/>
                <w:color w:val="auto"/>
                <w:highlight w:val="none"/>
                <w:lang w:val="en-US" w:eastAsia="zh-CN"/>
              </w:rPr>
            </w:pPr>
            <w:r>
              <w:rPr>
                <w:rFonts w:hint="eastAsia" w:eastAsia="仿宋" w:cs="Times New Roman"/>
                <w:color w:val="auto"/>
                <w:highlight w:val="none"/>
                <w:lang w:val="en-US" w:eastAsia="zh-CN"/>
              </w:rPr>
              <w:t>4.</w:t>
            </w:r>
            <w:r>
              <w:rPr>
                <w:rFonts w:hint="default" w:ascii="Times New Roman" w:hAnsi="Times New Roman" w:eastAsia="仿宋" w:cs="Times New Roman"/>
                <w:color w:val="auto"/>
                <w:highlight w:val="none"/>
                <w:lang w:val="en-US" w:eastAsia="zh-CN"/>
              </w:rPr>
              <w:t xml:space="preserve">与《风电场工程建设用地和环境保护管理暂行办法》（发改能源[2015]1511 号）的符合性分析 </w:t>
            </w:r>
          </w:p>
          <w:p>
            <w:pPr>
              <w:autoSpaceDE w:val="0"/>
              <w:autoSpaceDN w:val="0"/>
              <w:adjustRightInd w:val="0"/>
              <w:snapToGrid w:val="0"/>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 xml:space="preserve">《风电场工程建设用地和环境保护管理暂行办法》中指出“风电场工程 建设用地应尽量使用未利用土地、少占或不占耕地，并尽量避开省级及以上政府部门依法批准的需要特殊保护的区域。” </w:t>
            </w:r>
          </w:p>
          <w:p>
            <w:pPr>
              <w:autoSpaceDE w:val="0"/>
              <w:autoSpaceDN w:val="0"/>
              <w:adjustRightInd w:val="0"/>
              <w:snapToGrid w:val="0"/>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本项目位于</w:t>
            </w:r>
            <w:r>
              <w:rPr>
                <w:rFonts w:hint="eastAsia" w:eastAsia="仿宋" w:cs="Times New Roman"/>
                <w:color w:val="auto"/>
                <w:sz w:val="24"/>
                <w:szCs w:val="24"/>
                <w:highlight w:val="none"/>
                <w:lang w:val="en-US" w:eastAsia="zh-CN"/>
              </w:rPr>
              <w:t>中卫市沙坡头区</w:t>
            </w:r>
            <w:r>
              <w:rPr>
                <w:rFonts w:hint="default" w:ascii="Times New Roman" w:hAnsi="Times New Roman" w:eastAsia="仿宋" w:cs="Times New Roman"/>
                <w:color w:val="auto"/>
                <w:sz w:val="24"/>
                <w:szCs w:val="24"/>
                <w:highlight w:val="none"/>
                <w:lang w:val="en-US" w:eastAsia="zh-CN"/>
              </w:rPr>
              <w:t>，</w:t>
            </w:r>
            <w:r>
              <w:rPr>
                <w:rFonts w:hint="eastAsia" w:ascii="Times New Roman" w:hAnsi="Times New Roman" w:eastAsia="仿宋" w:cs="Times New Roman"/>
                <w:color w:val="auto"/>
                <w:sz w:val="24"/>
                <w:szCs w:val="24"/>
                <w:highlight w:val="none"/>
                <w:lang w:val="en-US" w:eastAsia="zh-CN"/>
              </w:rPr>
              <w:t>永久</w:t>
            </w:r>
            <w:r>
              <w:rPr>
                <w:rFonts w:hint="default" w:ascii="Times New Roman" w:hAnsi="Times New Roman" w:eastAsia="仿宋" w:cs="Times New Roman"/>
                <w:color w:val="auto"/>
                <w:sz w:val="24"/>
                <w:szCs w:val="24"/>
                <w:highlight w:val="none"/>
                <w:lang w:val="en-US" w:eastAsia="zh-CN"/>
              </w:rPr>
              <w:t>占地</w:t>
            </w:r>
            <w:r>
              <w:rPr>
                <w:rFonts w:hint="eastAsia" w:ascii="Times New Roman" w:hAnsi="Times New Roman" w:eastAsia="仿宋" w:cs="Times New Roman"/>
                <w:color w:val="auto"/>
                <w:sz w:val="24"/>
                <w:szCs w:val="24"/>
                <w:highlight w:val="none"/>
                <w:lang w:val="en-US" w:eastAsia="zh-CN"/>
              </w:rPr>
              <w:t>为</w:t>
            </w:r>
            <w:r>
              <w:rPr>
                <w:rFonts w:hint="eastAsia" w:eastAsia="仿宋" w:cs="Times New Roman"/>
                <w:color w:val="auto"/>
                <w:sz w:val="24"/>
                <w:szCs w:val="24"/>
                <w:highlight w:val="none"/>
                <w:lang w:val="en-US" w:eastAsia="zh-CN"/>
              </w:rPr>
              <w:t>天然牧草地</w:t>
            </w:r>
            <w:r>
              <w:rPr>
                <w:rFonts w:hint="default" w:ascii="Times New Roman" w:hAnsi="Times New Roman" w:eastAsia="仿宋" w:cs="Times New Roman"/>
                <w:color w:val="auto"/>
                <w:sz w:val="24"/>
                <w:szCs w:val="24"/>
                <w:highlight w:val="none"/>
                <w:lang w:val="en-US" w:eastAsia="zh-CN"/>
              </w:rPr>
              <w:t>，不占用耕地</w:t>
            </w:r>
            <w:r>
              <w:rPr>
                <w:rFonts w:hint="eastAsia" w:ascii="Times New Roman" w:hAnsi="Times New Roman" w:eastAsia="仿宋" w:cs="Times New Roman"/>
                <w:color w:val="auto"/>
                <w:sz w:val="24"/>
                <w:szCs w:val="24"/>
                <w:highlight w:val="none"/>
                <w:lang w:val="en-US" w:eastAsia="zh-CN"/>
              </w:rPr>
              <w:t>；</w:t>
            </w:r>
            <w:r>
              <w:rPr>
                <w:rFonts w:hint="default" w:ascii="Times New Roman" w:hAnsi="Times New Roman" w:eastAsia="仿宋" w:cs="Times New Roman"/>
                <w:color w:val="auto"/>
                <w:sz w:val="24"/>
                <w:szCs w:val="24"/>
                <w:highlight w:val="none"/>
                <w:lang w:val="en-US" w:eastAsia="zh-CN"/>
              </w:rPr>
              <w:t>永久占地不涉及省级及以上政府部门依法批准的需要特殊保护的区域。符合《风电场工程建设用地和环境保护管理暂行办法》要求。</w:t>
            </w:r>
          </w:p>
          <w:p>
            <w:pPr>
              <w:pStyle w:val="50"/>
              <w:keepNext w:val="0"/>
              <w:keepLines w:val="0"/>
              <w:pageBreakBefore w:val="0"/>
              <w:widowControl w:val="0"/>
              <w:kinsoku/>
              <w:wordWrap/>
              <w:topLinePunct w:val="0"/>
              <w:autoSpaceDE/>
              <w:autoSpaceDN/>
              <w:bidi w:val="0"/>
              <w:adjustRightInd w:val="0"/>
              <w:spacing w:line="360" w:lineRule="auto"/>
              <w:ind w:left="0" w:leftChars="0" w:firstLine="0" w:firstLineChars="0"/>
              <w:rPr>
                <w:rFonts w:hint="eastAsia" w:eastAsia="仿宋" w:cs="Times New Roman"/>
                <w:b/>
                <w:color w:val="auto"/>
                <w:kern w:val="2"/>
                <w:sz w:val="24"/>
                <w:szCs w:val="24"/>
                <w:highlight w:val="none"/>
                <w:lang w:val="en-US" w:eastAsia="zh-CN" w:bidi="ar-SA"/>
              </w:rPr>
            </w:pPr>
            <w:r>
              <w:rPr>
                <w:rFonts w:hint="eastAsia" w:eastAsia="仿宋" w:cs="Times New Roman"/>
                <w:b/>
                <w:color w:val="auto"/>
                <w:kern w:val="2"/>
                <w:sz w:val="24"/>
                <w:szCs w:val="24"/>
                <w:highlight w:val="none"/>
                <w:lang w:val="en-US" w:eastAsia="zh-CN" w:bidi="ar-SA"/>
              </w:rPr>
              <w:t>5.与国家林业和草原局《关于规范风电场项目建设使用林地的通知》的符合性分析</w:t>
            </w:r>
          </w:p>
          <w:p>
            <w:pPr>
              <w:pStyle w:val="106"/>
              <w:spacing w:line="240" w:lineRule="auto"/>
              <w:ind w:firstLine="481" w:firstLineChars="200"/>
              <w:jc w:val="both"/>
              <w:rPr>
                <w:rFonts w:hint="eastAsia" w:asciiTheme="majorEastAsia" w:hAnsiTheme="majorEastAsia" w:eastAsiaTheme="majorEastAsia" w:cstheme="majorEastAsia"/>
                <w:b/>
                <w:bCs/>
                <w:color w:val="auto"/>
                <w:kern w:val="2"/>
                <w:sz w:val="24"/>
                <w:szCs w:val="24"/>
                <w:highlight w:val="none"/>
                <w:lang w:val="en-US" w:eastAsia="zh-CN" w:bidi="ar-SA"/>
              </w:rPr>
            </w:pPr>
            <w:r>
              <w:rPr>
                <w:rFonts w:hint="eastAsia" w:asciiTheme="majorEastAsia" w:hAnsiTheme="majorEastAsia" w:eastAsiaTheme="majorEastAsia" w:cstheme="majorEastAsia"/>
                <w:b/>
                <w:bCs/>
                <w:color w:val="auto"/>
                <w:kern w:val="2"/>
                <w:sz w:val="24"/>
                <w:szCs w:val="24"/>
                <w:highlight w:val="none"/>
                <w:lang w:val="en-US" w:eastAsia="zh-CN" w:bidi="ar-SA"/>
              </w:rPr>
              <w:t>表1-</w:t>
            </w:r>
            <w:r>
              <w:rPr>
                <w:rFonts w:hint="default" w:ascii="Times New Roman" w:hAnsi="Times New Roman" w:cs="Times New Roman" w:eastAsiaTheme="majorEastAsia"/>
                <w:b/>
                <w:bCs/>
                <w:color w:val="auto"/>
                <w:kern w:val="2"/>
                <w:sz w:val="24"/>
                <w:szCs w:val="24"/>
                <w:highlight w:val="none"/>
                <w:lang w:val="en-US" w:eastAsia="zh-CN" w:bidi="ar-SA"/>
              </w:rPr>
              <w:t xml:space="preserve">3 </w:t>
            </w:r>
            <w:r>
              <w:rPr>
                <w:rFonts w:hint="eastAsia" w:asciiTheme="majorEastAsia" w:hAnsiTheme="majorEastAsia" w:eastAsiaTheme="majorEastAsia" w:cstheme="majorEastAsia"/>
                <w:b/>
                <w:bCs/>
                <w:color w:val="auto"/>
                <w:kern w:val="2"/>
                <w:sz w:val="24"/>
                <w:szCs w:val="24"/>
                <w:highlight w:val="none"/>
                <w:lang w:val="en-US" w:eastAsia="zh-CN" w:bidi="ar-SA"/>
              </w:rPr>
              <w:t xml:space="preserve"> 项目与《关于规范风电场项目建设使用林地的通知》的符合性分析</w:t>
            </w:r>
          </w:p>
          <w:tbl>
            <w:tblPr>
              <w:tblStyle w:val="29"/>
              <w:tblW w:w="8238"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4310"/>
              <w:gridCol w:w="2161"/>
              <w:gridCol w:w="7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2"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rPr>
                    <w:t>文件</w:t>
                  </w:r>
                </w:p>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rPr>
                    <w:t>名称</w:t>
                  </w:r>
                </w:p>
              </w:tc>
              <w:tc>
                <w:tcPr>
                  <w:tcW w:w="4487"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rPr>
                    <w:t>内容</w:t>
                  </w:r>
                </w:p>
              </w:tc>
              <w:tc>
                <w:tcPr>
                  <w:tcW w:w="2234"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rPr>
                    <w:t>本项目名称</w:t>
                  </w:r>
                </w:p>
              </w:tc>
              <w:tc>
                <w:tcPr>
                  <w:tcW w:w="725"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2" w:type="dxa"/>
                  <w:vMerge w:val="restart"/>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国家林业和草原局关于</w:t>
                  </w:r>
                  <w:r>
                    <w:rPr>
                      <w:rFonts w:hint="eastAsia" w:ascii="宋体" w:hAnsi="宋体" w:eastAsia="宋体" w:cs="宋体"/>
                      <w:color w:val="auto"/>
                      <w:sz w:val="21"/>
                      <w:szCs w:val="21"/>
                      <w:highlight w:val="none"/>
                      <w:lang w:val="en-US" w:eastAsia="zh-CN"/>
                    </w:rPr>
                    <w:t>规范风电场项目建</w:t>
                  </w:r>
                  <w:r>
                    <w:rPr>
                      <w:rFonts w:hint="default" w:ascii="Times New Roman" w:hAnsi="Times New Roman" w:eastAsia="宋体" w:cs="Times New Roman"/>
                      <w:color w:val="auto"/>
                      <w:sz w:val="21"/>
                      <w:szCs w:val="21"/>
                      <w:highlight w:val="none"/>
                      <w:lang w:val="en-US" w:eastAsia="zh-CN"/>
                    </w:rPr>
                    <w:t>设使用林地的通知林资发〔2019〕17号</w:t>
                  </w:r>
                </w:p>
              </w:tc>
              <w:tc>
                <w:tcPr>
                  <w:tcW w:w="4487"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严格保护生态功能重要、生态脆弱敏感区域的林地。自然遗产地、国家公园、自然保护区、森林公园、湿地公园、地质公园、风景名胜区、鸟类主要迁徙通道和迁徙地等区域以及沿海基干林带和消浪林带，为风电场项目禁止建设区域。</w:t>
                  </w:r>
                </w:p>
              </w:tc>
              <w:tc>
                <w:tcPr>
                  <w:tcW w:w="2234"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本项目位于中卫市沙坡头区</w:t>
                  </w:r>
                  <w:r>
                    <w:rPr>
                      <w:rFonts w:hint="default" w:ascii="Times New Roman" w:hAnsi="Times New Roman" w:eastAsia="宋体" w:cs="Times New Roman"/>
                      <w:b w:val="0"/>
                      <w:bCs w:val="0"/>
                      <w:color w:val="auto"/>
                      <w:kern w:val="2"/>
                      <w:sz w:val="21"/>
                      <w:szCs w:val="21"/>
                      <w:highlight w:val="none"/>
                      <w:lang w:val="en-US" w:eastAsia="zh-CN"/>
                    </w:rPr>
                    <w:t>，不在</w:t>
                  </w:r>
                  <w:r>
                    <w:rPr>
                      <w:rFonts w:hint="eastAsia" w:ascii="Times New Roman" w:hAnsi="Times New Roman" w:eastAsia="宋体" w:cs="Times New Roman"/>
                      <w:b w:val="0"/>
                      <w:bCs w:val="0"/>
                      <w:color w:val="auto"/>
                      <w:kern w:val="2"/>
                      <w:sz w:val="21"/>
                      <w:szCs w:val="21"/>
                      <w:highlight w:val="none"/>
                      <w:lang w:val="en-US" w:eastAsia="zh-CN"/>
                    </w:rPr>
                    <w:t>风电场</w:t>
                  </w:r>
                  <w:r>
                    <w:rPr>
                      <w:rFonts w:hint="default" w:ascii="Times New Roman" w:hAnsi="Times New Roman" w:eastAsia="宋体" w:cs="Times New Roman"/>
                      <w:b w:val="0"/>
                      <w:bCs w:val="0"/>
                      <w:color w:val="auto"/>
                      <w:kern w:val="2"/>
                      <w:sz w:val="21"/>
                      <w:szCs w:val="21"/>
                      <w:highlight w:val="none"/>
                      <w:lang w:val="en-US" w:eastAsia="zh-CN"/>
                    </w:rPr>
                    <w:t>禁止建设区域内。</w:t>
                  </w:r>
                </w:p>
              </w:tc>
              <w:tc>
                <w:tcPr>
                  <w:tcW w:w="725"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rPr>
                  </w:pPr>
                </w:p>
              </w:tc>
              <w:tc>
                <w:tcPr>
                  <w:tcW w:w="44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kern w:val="2"/>
                      <w:sz w:val="21"/>
                      <w:szCs w:val="21"/>
                      <w:highlight w:val="none"/>
                      <w:lang w:val="en-US" w:eastAsia="zh-CN"/>
                    </w:rPr>
                  </w:pPr>
                  <w:r>
                    <w:rPr>
                      <w:rFonts w:hint="eastAsia" w:ascii="宋体" w:hAnsi="宋体" w:eastAsia="宋体" w:cs="宋体"/>
                      <w:color w:val="auto"/>
                      <w:sz w:val="21"/>
                      <w:szCs w:val="21"/>
                      <w:highlight w:val="none"/>
                      <w:lang w:val="en-US" w:eastAsia="zh-CN"/>
                    </w:rPr>
                    <w:t>风机基础、施工和检修道路、升压站、集电线路等，禁止占用天然乔木林（竹林）地、年降雨量400毫米以下区域的有林地、一级</w:t>
                  </w:r>
                  <w:r>
                    <w:rPr>
                      <w:rFonts w:hint="default" w:ascii="Times New Roman" w:hAnsi="Times New Roman" w:eastAsia="宋体" w:cs="Times New Roman"/>
                      <w:color w:val="auto"/>
                      <w:sz w:val="21"/>
                      <w:szCs w:val="21"/>
                      <w:highlight w:val="none"/>
                      <w:lang w:val="en-US" w:eastAsia="zh-CN"/>
                    </w:rPr>
                    <w:t>国家级公益林地和二级国家级公益林中的有林地。本通知下发之前已经核准但未取得使用林地手续的风电场项目，要重新合理优化选址和建设方案，加强生态影响分析和评估，不得占用年降雨量400毫米以下区域的有林地和一级国家级公益林地，避让二级国家级公益林中有林地集中区域。</w:t>
                  </w:r>
                </w:p>
              </w:tc>
              <w:tc>
                <w:tcPr>
                  <w:tcW w:w="22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kern w:val="2"/>
                      <w:sz w:val="21"/>
                      <w:szCs w:val="21"/>
                      <w:highlight w:val="none"/>
                      <w:lang w:val="en-US" w:eastAsia="zh-CN"/>
                    </w:rPr>
                  </w:pPr>
                  <w:r>
                    <w:rPr>
                      <w:rFonts w:hint="eastAsia" w:ascii="宋体" w:hAnsi="宋体" w:eastAsia="宋体" w:cs="宋体"/>
                      <w:color w:val="auto"/>
                      <w:sz w:val="21"/>
                      <w:szCs w:val="21"/>
                      <w:highlight w:val="none"/>
                      <w:lang w:val="en-US" w:eastAsia="zh-CN"/>
                    </w:rPr>
                    <w:t>本项目风机基础、施工和检修道路</w:t>
                  </w:r>
                  <w:r>
                    <w:rPr>
                      <w:rFonts w:hint="eastAsia" w:ascii="宋体" w:hAnsi="宋体" w:cs="宋体"/>
                      <w:color w:val="auto"/>
                      <w:sz w:val="21"/>
                      <w:szCs w:val="21"/>
                      <w:highlight w:val="none"/>
                      <w:lang w:val="en-US" w:eastAsia="zh-CN"/>
                    </w:rPr>
                    <w:t>等均</w:t>
                  </w:r>
                  <w:r>
                    <w:rPr>
                      <w:rFonts w:hint="eastAsia" w:ascii="宋体" w:hAnsi="宋体" w:eastAsia="宋体" w:cs="宋体"/>
                      <w:color w:val="auto"/>
                      <w:sz w:val="21"/>
                      <w:szCs w:val="21"/>
                      <w:highlight w:val="none"/>
                      <w:lang w:val="en-US" w:eastAsia="zh-CN"/>
                    </w:rPr>
                    <w:t>不占用天然乔木林（竹林）地、年降雨量</w:t>
                  </w:r>
                  <w:r>
                    <w:rPr>
                      <w:rFonts w:hint="default" w:ascii="Times New Roman" w:hAnsi="Times New Roman" w:eastAsia="宋体" w:cs="Times New Roman"/>
                      <w:color w:val="auto"/>
                      <w:sz w:val="21"/>
                      <w:szCs w:val="21"/>
                      <w:highlight w:val="none"/>
                      <w:lang w:val="en-US" w:eastAsia="zh-CN"/>
                    </w:rPr>
                    <w:t>400毫米以下区域的有林地、一级国家级公益林地和二级国家级</w:t>
                  </w:r>
                  <w:r>
                    <w:rPr>
                      <w:rFonts w:hint="eastAsia" w:ascii="宋体" w:hAnsi="宋体" w:eastAsia="宋体" w:cs="宋体"/>
                      <w:color w:val="auto"/>
                      <w:sz w:val="21"/>
                      <w:szCs w:val="21"/>
                      <w:highlight w:val="none"/>
                      <w:lang w:val="en-US" w:eastAsia="zh-CN"/>
                    </w:rPr>
                    <w:t>公益林中的有林地</w:t>
                  </w:r>
                  <w:r>
                    <w:rPr>
                      <w:rFonts w:hint="default" w:ascii="Times New Roman" w:hAnsi="Times New Roman" w:eastAsia="宋体" w:cs="Times New Roman"/>
                      <w:color w:val="auto"/>
                      <w:sz w:val="21"/>
                      <w:szCs w:val="21"/>
                      <w:highlight w:val="none"/>
                      <w:lang w:val="en-US" w:eastAsia="zh-CN"/>
                    </w:rPr>
                    <w:t>。</w:t>
                  </w:r>
                </w:p>
              </w:tc>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kern w:val="2"/>
                      <w:sz w:val="21"/>
                      <w:szCs w:val="21"/>
                      <w:highlight w:val="none"/>
                      <w:lang w:val="en-US" w:eastAsia="zh-CN"/>
                    </w:rPr>
                  </w:pPr>
                  <w:r>
                    <w:rPr>
                      <w:rFonts w:hint="eastAsia" w:ascii="宋体" w:hAnsi="宋体" w:eastAsia="宋体" w:cs="宋体"/>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kern w:val="2"/>
                      <w:sz w:val="21"/>
                      <w:szCs w:val="21"/>
                      <w:highlight w:val="none"/>
                      <w:lang w:val="en-US" w:eastAsia="zh-CN"/>
                    </w:rPr>
                  </w:pPr>
                </w:p>
              </w:tc>
              <w:tc>
                <w:tcPr>
                  <w:tcW w:w="44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风电场施工和检修道路，应尽可能利用现有森林防火道路、林区道路、乡村道路等道路，在其基础上扩建的风电场道路原则上不得改变现有道路性质。风电场新建配套道路应与风电场一同办理使用林地手续，风电场配套道路要严格控制道路宽度，提高标准，合理建设排水沟、过水涵洞、挡土墙等设施；严格按照设计规范施工，禁止强推强挖式放坡施工，防止废弃砂石任意放置和随意滚落，同步实施水土保持和恢复林业生产条件的措施。吊装平台、施工道路、集电线路等临时占用林地的，应在临时占用林地期满后一年内恢复林业生产条件，并及时恢复植</w:t>
                  </w:r>
                  <w:r>
                    <w:rPr>
                      <w:rFonts w:hint="default" w:ascii="Times New Roman" w:hAnsi="Times New Roman" w:eastAsia="宋体" w:cs="Times New Roman"/>
                      <w:color w:val="auto"/>
                      <w:sz w:val="21"/>
                      <w:szCs w:val="21"/>
                      <w:highlight w:val="none"/>
                      <w:lang w:val="en-US" w:eastAsia="zh-CN"/>
                    </w:rPr>
                    <w:t>被。</w:t>
                  </w:r>
                </w:p>
              </w:tc>
              <w:tc>
                <w:tcPr>
                  <w:tcW w:w="22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本项目为新建项目，</w:t>
                  </w:r>
                  <w:r>
                    <w:rPr>
                      <w:rFonts w:hint="default" w:ascii="Times New Roman" w:hAnsi="Times New Roman" w:eastAsia="宋体" w:cs="Times New Roman"/>
                      <w:color w:val="auto"/>
                      <w:sz w:val="21"/>
                      <w:szCs w:val="21"/>
                      <w:highlight w:val="none"/>
                      <w:lang w:val="en-US" w:eastAsia="zh-CN"/>
                    </w:rPr>
                    <w:t>风电场的施工及检修道路同永久道路一同考虑，充分利用了原有道路。风电场配套道路严格控制道路宽度，提高标准，合理建设排水沟挡土墙等措施，严格按照设计规范施工，并及时恢复植被。</w:t>
                  </w:r>
                </w:p>
              </w:tc>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pStyle w:val="50"/>
              <w:keepNext w:val="0"/>
              <w:keepLines w:val="0"/>
              <w:pageBreakBefore w:val="0"/>
              <w:widowControl w:val="0"/>
              <w:kinsoku/>
              <w:wordWrap/>
              <w:topLinePunct w:val="0"/>
              <w:autoSpaceDE/>
              <w:autoSpaceDN/>
              <w:bidi w:val="0"/>
              <w:adjustRightInd w:val="0"/>
              <w:spacing w:line="360" w:lineRule="auto"/>
              <w:rPr>
                <w:rFonts w:hint="default" w:ascii="Times New Roman" w:hAnsi="Times New Roman" w:eastAsia="仿宋" w:cs="Times New Roman"/>
                <w:b w:val="0"/>
                <w:bCs/>
                <w:color w:val="auto"/>
                <w:kern w:val="2"/>
                <w:sz w:val="24"/>
                <w:szCs w:val="24"/>
                <w:highlight w:val="none"/>
                <w:lang w:val="en-US" w:eastAsia="zh-CN" w:bidi="ar-SA"/>
              </w:rPr>
            </w:pPr>
            <w:r>
              <w:rPr>
                <w:rFonts w:hint="eastAsia" w:eastAsia="仿宋" w:cs="Times New Roman"/>
                <w:b w:val="0"/>
                <w:bCs/>
                <w:color w:val="auto"/>
                <w:kern w:val="2"/>
                <w:sz w:val="24"/>
                <w:szCs w:val="24"/>
                <w:highlight w:val="none"/>
                <w:lang w:val="en-US" w:eastAsia="zh-CN" w:bidi="ar-SA"/>
              </w:rPr>
              <w:t>本项目</w:t>
            </w:r>
            <w:r>
              <w:rPr>
                <w:rFonts w:hint="default" w:ascii="Times New Roman" w:hAnsi="Times New Roman" w:eastAsia="仿宋" w:cs="Times New Roman"/>
                <w:b w:val="0"/>
                <w:bCs/>
                <w:color w:val="auto"/>
                <w:kern w:val="2"/>
                <w:sz w:val="24"/>
                <w:szCs w:val="24"/>
                <w:highlight w:val="none"/>
                <w:lang w:val="en-US" w:eastAsia="zh-CN" w:bidi="ar-SA"/>
              </w:rPr>
              <w:t>与国家林业和草原局《关于规范风电场项目建设使用林地的通知》</w:t>
            </w:r>
            <w:r>
              <w:rPr>
                <w:rFonts w:hint="eastAsia" w:eastAsia="仿宋" w:cs="Times New Roman"/>
                <w:b w:val="0"/>
                <w:bCs/>
                <w:color w:val="auto"/>
                <w:kern w:val="2"/>
                <w:sz w:val="24"/>
                <w:szCs w:val="24"/>
                <w:highlight w:val="none"/>
                <w:lang w:val="en-US" w:eastAsia="zh-CN" w:bidi="ar-SA"/>
              </w:rPr>
              <w:t>相符。</w:t>
            </w:r>
          </w:p>
          <w:p>
            <w:pPr>
              <w:pStyle w:val="49"/>
              <w:keepNext w:val="0"/>
              <w:keepLines w:val="0"/>
              <w:pageBreakBefore w:val="0"/>
              <w:widowControl w:val="0"/>
              <w:kinsoku/>
              <w:wordWrap/>
              <w:topLinePunct w:val="0"/>
              <w:autoSpaceDE/>
              <w:autoSpaceDN/>
              <w:bidi w:val="0"/>
              <w:adjustRightInd w:val="0"/>
              <w:spacing w:line="336" w:lineRule="auto"/>
              <w:rPr>
                <w:rFonts w:hint="eastAsia" w:eastAsia="仿宋" w:cs="Times New Roman"/>
                <w:color w:val="auto"/>
                <w:highlight w:val="none"/>
                <w:lang w:val="en-US" w:eastAsia="zh-CN"/>
              </w:rPr>
            </w:pPr>
            <w:r>
              <w:rPr>
                <w:rFonts w:hint="eastAsia" w:eastAsia="仿宋" w:cs="Times New Roman"/>
                <w:color w:val="auto"/>
                <w:highlight w:val="none"/>
                <w:lang w:val="en-US" w:eastAsia="zh-CN"/>
              </w:rPr>
              <w:t>6.与宁夏回族自治区能源发展“十四五”规划符合性</w:t>
            </w:r>
          </w:p>
          <w:p>
            <w:pPr>
              <w:pStyle w:val="50"/>
              <w:keepNext w:val="0"/>
              <w:keepLines w:val="0"/>
              <w:pageBreakBefore w:val="0"/>
              <w:widowControl w:val="0"/>
              <w:kinsoku/>
              <w:wordWrap/>
              <w:topLinePunct w:val="0"/>
              <w:autoSpaceDE/>
              <w:autoSpaceDN/>
              <w:bidi w:val="0"/>
              <w:adjustRightInd w:val="0"/>
              <w:spacing w:line="360" w:lineRule="auto"/>
              <w:rPr>
                <w:rFonts w:hint="default" w:eastAsia="仿宋" w:cs="Times New Roman"/>
                <w:color w:val="auto"/>
                <w:highlight w:val="none"/>
                <w:lang w:val="en-US" w:eastAsia="zh-CN"/>
              </w:rPr>
            </w:pPr>
            <w:r>
              <w:rPr>
                <w:rFonts w:hint="eastAsia" w:eastAsia="仿宋" w:cs="Times New Roman"/>
                <w:color w:val="auto"/>
                <w:highlight w:val="none"/>
                <w:lang w:val="en-US" w:eastAsia="zh-CN"/>
              </w:rPr>
              <w:t>“十四五”</w:t>
            </w:r>
            <w:r>
              <w:rPr>
                <w:rFonts w:hint="default" w:eastAsia="仿宋" w:cs="Times New Roman"/>
                <w:color w:val="auto"/>
                <w:highlight w:val="none"/>
                <w:lang w:val="en-US" w:eastAsia="zh-CN"/>
              </w:rPr>
              <w:t>规划具体目标</w:t>
            </w:r>
            <w:r>
              <w:rPr>
                <w:rFonts w:hint="eastAsia" w:eastAsia="仿宋" w:cs="Times New Roman"/>
                <w:color w:val="auto"/>
                <w:highlight w:val="none"/>
                <w:lang w:val="en-US" w:eastAsia="zh-CN"/>
              </w:rPr>
              <w:t>：</w:t>
            </w:r>
            <w:r>
              <w:rPr>
                <w:rFonts w:hint="default" w:eastAsia="仿宋" w:cs="Times New Roman"/>
                <w:color w:val="auto"/>
                <w:highlight w:val="none"/>
                <w:lang w:val="en-US" w:eastAsia="zh-CN"/>
              </w:rPr>
              <w:t>可再生能源发电目标。加快建设宁夏黄河</w:t>
            </w:r>
            <w:bookmarkStart w:id="1" w:name="_Hlk73628016"/>
            <w:bookmarkEnd w:id="1"/>
            <w:r>
              <w:rPr>
                <w:rFonts w:hint="default" w:eastAsia="仿宋" w:cs="Times New Roman"/>
                <w:color w:val="auto"/>
                <w:highlight w:val="none"/>
                <w:lang w:val="en-US" w:eastAsia="zh-CN"/>
              </w:rPr>
              <w:t>几字弯绿能基地和千万千瓦级“宁电入湘”绿能基地，实现可再生能源发电装机“倍增”，可再生能源占新增电力装机、发电量比重达到80%。到2025年，可再生能源装机规模超过5000万千瓦，力争达到5500万千瓦。可再生能源发电装机和发电量占比分别提高到55%和30%以上。</w:t>
            </w:r>
          </w:p>
          <w:p>
            <w:pPr>
              <w:pStyle w:val="50"/>
              <w:keepNext w:val="0"/>
              <w:keepLines w:val="0"/>
              <w:pageBreakBefore w:val="0"/>
              <w:widowControl w:val="0"/>
              <w:kinsoku/>
              <w:wordWrap/>
              <w:topLinePunct w:val="0"/>
              <w:autoSpaceDE/>
              <w:autoSpaceDN/>
              <w:bidi w:val="0"/>
              <w:adjustRightInd w:val="0"/>
              <w:spacing w:line="360" w:lineRule="auto"/>
              <w:rPr>
                <w:rFonts w:hint="default" w:eastAsia="仿宋" w:cs="Times New Roman"/>
                <w:color w:val="auto"/>
                <w:highlight w:val="none"/>
                <w:lang w:val="en-US" w:eastAsia="zh-CN"/>
              </w:rPr>
            </w:pPr>
            <w:r>
              <w:rPr>
                <w:rFonts w:hint="default" w:eastAsia="仿宋" w:cs="Times New Roman"/>
                <w:color w:val="auto"/>
                <w:highlight w:val="none"/>
                <w:lang w:val="en-US" w:eastAsia="zh-CN"/>
              </w:rPr>
              <w:t>——可再生能源消费目标。可再生能源电力消纳比重提高到30%以上、非水可再生能源电力消纳比重提高到28%以上。新能源综合利用率力争保持在95%以上。非化石能源占一次能源消费比重提高到15%左右。</w:t>
            </w:r>
          </w:p>
          <w:p>
            <w:pPr>
              <w:pStyle w:val="50"/>
              <w:keepNext w:val="0"/>
              <w:keepLines w:val="0"/>
              <w:pageBreakBefore w:val="0"/>
              <w:widowControl w:val="0"/>
              <w:kinsoku/>
              <w:wordWrap/>
              <w:topLinePunct w:val="0"/>
              <w:autoSpaceDE/>
              <w:autoSpaceDN/>
              <w:bidi w:val="0"/>
              <w:adjustRightInd w:val="0"/>
              <w:spacing w:line="360" w:lineRule="auto"/>
              <w:rPr>
                <w:rFonts w:hint="default" w:eastAsia="仿宋" w:cs="Times New Roman"/>
                <w:color w:val="auto"/>
                <w:highlight w:val="none"/>
                <w:lang w:val="en-US" w:eastAsia="zh-CN"/>
              </w:rPr>
            </w:pPr>
            <w:r>
              <w:rPr>
                <w:rFonts w:hint="default" w:eastAsia="仿宋" w:cs="Times New Roman"/>
                <w:color w:val="auto"/>
                <w:highlight w:val="none"/>
                <w:lang w:val="en-US" w:eastAsia="zh-CN"/>
              </w:rPr>
              <w:t>——可再生能源经济性提升目标。风电和光伏发电技术持续进步、竞争力不断提升。</w:t>
            </w:r>
          </w:p>
          <w:p>
            <w:pPr>
              <w:pStyle w:val="50"/>
              <w:keepNext w:val="0"/>
              <w:keepLines w:val="0"/>
              <w:pageBreakBefore w:val="0"/>
              <w:widowControl w:val="0"/>
              <w:kinsoku/>
              <w:wordWrap/>
              <w:topLinePunct w:val="0"/>
              <w:autoSpaceDE/>
              <w:autoSpaceDN/>
              <w:bidi w:val="0"/>
              <w:adjustRightInd w:val="0"/>
              <w:spacing w:line="360" w:lineRule="auto"/>
              <w:rPr>
                <w:rFonts w:hint="default" w:eastAsia="仿宋" w:cs="Times New Roman"/>
                <w:color w:val="auto"/>
                <w:highlight w:val="none"/>
                <w:lang w:val="en-US" w:eastAsia="zh-CN"/>
              </w:rPr>
            </w:pPr>
            <w:r>
              <w:rPr>
                <w:rFonts w:hint="default" w:eastAsia="仿宋" w:cs="Times New Roman"/>
                <w:color w:val="auto"/>
                <w:highlight w:val="none"/>
                <w:lang w:val="en-US" w:eastAsia="zh-CN"/>
              </w:rPr>
              <w:t>本项目为风电项目，位于</w:t>
            </w:r>
            <w:r>
              <w:rPr>
                <w:rFonts w:hint="eastAsia" w:eastAsia="仿宋" w:cs="Times New Roman"/>
                <w:color w:val="auto"/>
                <w:highlight w:val="none"/>
                <w:lang w:val="en-US" w:eastAsia="zh-CN"/>
              </w:rPr>
              <w:t>中卫市沙坡头区</w:t>
            </w:r>
            <w:r>
              <w:rPr>
                <w:rFonts w:hint="default" w:eastAsia="仿宋" w:cs="Times New Roman"/>
                <w:color w:val="auto"/>
                <w:highlight w:val="none"/>
                <w:lang w:val="en-US" w:eastAsia="zh-CN"/>
              </w:rPr>
              <w:t>境内，项目的实施促进了可再生能源电力消费比例，有利于促进宁夏可再生能源发电目标的落实，项目是宁夏回族自治区能源发展“十四五”规划中的重点项目</w:t>
            </w:r>
            <w:r>
              <w:rPr>
                <w:rFonts w:hint="eastAsia" w:eastAsia="仿宋" w:cs="Times New Roman"/>
                <w:color w:val="auto"/>
                <w:highlight w:val="none"/>
                <w:lang w:val="en-US" w:eastAsia="zh-CN"/>
              </w:rPr>
              <w:t>，所以，本项目建设</w:t>
            </w:r>
            <w:r>
              <w:rPr>
                <w:rFonts w:hint="default" w:eastAsia="仿宋" w:cs="Times New Roman"/>
                <w:color w:val="auto"/>
                <w:highlight w:val="none"/>
                <w:lang w:val="en-US" w:eastAsia="zh-CN"/>
              </w:rPr>
              <w:t>符合宁夏回族自治区能源发展“十四五”规划。</w:t>
            </w:r>
          </w:p>
          <w:p>
            <w:pPr>
              <w:pStyle w:val="49"/>
              <w:keepNext w:val="0"/>
              <w:keepLines w:val="0"/>
              <w:pageBreakBefore w:val="0"/>
              <w:widowControl w:val="0"/>
              <w:kinsoku/>
              <w:wordWrap/>
              <w:topLinePunct w:val="0"/>
              <w:autoSpaceDE/>
              <w:autoSpaceDN/>
              <w:bidi w:val="0"/>
              <w:adjustRightInd w:val="0"/>
              <w:spacing w:line="336" w:lineRule="auto"/>
              <w:rPr>
                <w:rFonts w:hint="eastAsia" w:eastAsia="仿宋" w:cs="Times New Roman"/>
                <w:color w:val="auto"/>
                <w:highlight w:val="none"/>
                <w:lang w:val="en-US" w:eastAsia="zh-CN"/>
              </w:rPr>
            </w:pPr>
            <w:r>
              <w:rPr>
                <w:rFonts w:hint="eastAsia" w:eastAsia="仿宋" w:cs="Times New Roman"/>
                <w:color w:val="auto"/>
                <w:highlight w:val="none"/>
                <w:lang w:val="en-US" w:eastAsia="zh-CN"/>
              </w:rPr>
              <w:t>7.与《宁夏回族自治区可再生发展能源“十四五”规划》符合性</w:t>
            </w:r>
          </w:p>
          <w:p>
            <w:pPr>
              <w:pStyle w:val="50"/>
              <w:keepNext w:val="0"/>
              <w:keepLines w:val="0"/>
              <w:pageBreakBefore w:val="0"/>
              <w:widowControl w:val="0"/>
              <w:kinsoku/>
              <w:wordWrap/>
              <w:topLinePunct w:val="0"/>
              <w:autoSpaceDE/>
              <w:autoSpaceDN/>
              <w:bidi w:val="0"/>
              <w:adjustRightInd w:val="0"/>
              <w:spacing w:line="360" w:lineRule="auto"/>
              <w:rPr>
                <w:rFonts w:hint="eastAsia" w:eastAsia="仿宋" w:cs="Times New Roman"/>
                <w:color w:val="auto"/>
                <w:highlight w:val="none"/>
                <w:lang w:val="en-US" w:eastAsia="zh-CN"/>
              </w:rPr>
            </w:pPr>
            <w:r>
              <w:rPr>
                <w:rFonts w:hint="default" w:eastAsia="仿宋" w:cs="Times New Roman"/>
                <w:color w:val="auto"/>
                <w:highlight w:val="none"/>
                <w:lang w:val="en-US" w:eastAsia="zh-CN"/>
              </w:rPr>
              <w:t>《宁夏回族自治区可再生发展能源“十四五”规划》</w:t>
            </w:r>
            <w:r>
              <w:rPr>
                <w:rFonts w:hint="eastAsia" w:eastAsia="仿宋" w:cs="Times New Roman"/>
                <w:color w:val="auto"/>
                <w:highlight w:val="none"/>
                <w:lang w:val="en-US" w:eastAsia="zh-CN"/>
              </w:rPr>
              <w:t>中提出协调有序推进风电建设：“整合优质资源，稳步推进集中式风电开发。结合风电技术进步和开发成本下降进程，在吴忠、固原、中卫等风能资源丰富区域，加强风能资源精细化评估，统筹电网接入和消纳条件，稳步推进集中式风电项目建设。推广高塔筒、大功率、长叶片风机及先进技术，积极发展低风速风电，进一步挖掘风能资源开发潜力。充分考虑自然资源、环保、林业、草原、农业、文物、军事等对风电项目建设的规定和要求，实现集中式风电开发与国土空间规划相适应、与生态环境保护相协调，走环境友好型风电发展之路。到2025年，集中式风电装机达到1750万千瓦以上。”</w:t>
            </w:r>
          </w:p>
          <w:p>
            <w:pPr>
              <w:pStyle w:val="50"/>
              <w:keepNext w:val="0"/>
              <w:keepLines w:val="0"/>
              <w:pageBreakBefore w:val="0"/>
              <w:widowControl w:val="0"/>
              <w:kinsoku/>
              <w:wordWrap/>
              <w:topLinePunct w:val="0"/>
              <w:autoSpaceDE/>
              <w:autoSpaceDN/>
              <w:bidi w:val="0"/>
              <w:adjustRightInd w:val="0"/>
              <w:spacing w:line="360" w:lineRule="auto"/>
              <w:rPr>
                <w:rFonts w:hint="default" w:eastAsia="仿宋" w:cs="Times New Roman"/>
                <w:color w:val="auto"/>
                <w:highlight w:val="none"/>
                <w:lang w:val="en-US" w:eastAsia="zh-CN"/>
              </w:rPr>
            </w:pPr>
            <w:r>
              <w:rPr>
                <w:rFonts w:hint="eastAsia" w:eastAsia="仿宋" w:cs="Times New Roman"/>
                <w:color w:val="auto"/>
                <w:highlight w:val="none"/>
                <w:lang w:val="en-US" w:eastAsia="zh-CN"/>
              </w:rPr>
              <w:t>本项目为风电项目，位于</w:t>
            </w:r>
            <w:r>
              <w:rPr>
                <w:rFonts w:hint="eastAsia" w:eastAsia="仿宋" w:cs="Times New Roman"/>
                <w:color w:val="auto"/>
                <w:sz w:val="24"/>
                <w:szCs w:val="24"/>
                <w:highlight w:val="none"/>
                <w:lang w:val="en-US" w:eastAsia="zh-CN"/>
              </w:rPr>
              <w:t>中卫市沙坡头区</w:t>
            </w:r>
            <w:r>
              <w:rPr>
                <w:rFonts w:hint="eastAsia" w:eastAsia="仿宋" w:cs="Times New Roman"/>
                <w:color w:val="auto"/>
                <w:highlight w:val="none"/>
                <w:lang w:val="en-US" w:eastAsia="zh-CN"/>
              </w:rPr>
              <w:t>境内，选用高塔筒、大功率、长叶片风机及先进技术，符合《宁夏回族自治区可再生发展能源“十四五”规划》。</w:t>
            </w:r>
          </w:p>
          <w:p>
            <w:pPr>
              <w:pStyle w:val="49"/>
              <w:keepNext w:val="0"/>
              <w:keepLines w:val="0"/>
              <w:pageBreakBefore w:val="0"/>
              <w:widowControl w:val="0"/>
              <w:kinsoku/>
              <w:wordWrap/>
              <w:topLinePunct w:val="0"/>
              <w:autoSpaceDE/>
              <w:autoSpaceDN/>
              <w:bidi w:val="0"/>
              <w:adjustRightInd w:val="0"/>
              <w:spacing w:line="336" w:lineRule="auto"/>
              <w:rPr>
                <w:rFonts w:hint="default" w:eastAsia="仿宋" w:cs="Times New Roman"/>
                <w:color w:val="auto"/>
                <w:highlight w:val="none"/>
                <w:lang w:val="en-US" w:eastAsia="zh-CN"/>
              </w:rPr>
            </w:pPr>
            <w:r>
              <w:rPr>
                <w:rFonts w:hint="eastAsia" w:eastAsia="仿宋" w:cs="Times New Roman"/>
                <w:color w:val="auto"/>
                <w:highlight w:val="none"/>
                <w:lang w:val="en-US" w:eastAsia="zh-CN"/>
              </w:rPr>
              <w:t>8.用地合理性分析</w:t>
            </w:r>
          </w:p>
          <w:p>
            <w:pPr>
              <w:pStyle w:val="50"/>
              <w:keepNext w:val="0"/>
              <w:keepLines w:val="0"/>
              <w:pageBreakBefore w:val="0"/>
              <w:widowControl w:val="0"/>
              <w:kinsoku/>
              <w:wordWrap/>
              <w:topLinePunct w:val="0"/>
              <w:autoSpaceDE/>
              <w:autoSpaceDN/>
              <w:bidi w:val="0"/>
              <w:adjustRightInd w:val="0"/>
              <w:spacing w:line="360" w:lineRule="auto"/>
              <w:rPr>
                <w:rFonts w:hint="default" w:ascii="Times New Roman" w:hAnsi="Times New Roman" w:eastAsia="仿宋" w:cs="Times New Roman"/>
                <w:b w:val="0"/>
                <w:bCs/>
                <w:color w:val="auto"/>
                <w:kern w:val="2"/>
                <w:sz w:val="24"/>
                <w:szCs w:val="24"/>
                <w:highlight w:val="none"/>
                <w:lang w:val="en-US" w:eastAsia="zh-CN" w:bidi="ar-SA"/>
              </w:rPr>
            </w:pPr>
            <w:r>
              <w:rPr>
                <w:rFonts w:hint="default" w:ascii="Times New Roman" w:hAnsi="Times New Roman" w:eastAsia="仿宋" w:cs="Times New Roman"/>
                <w:b w:val="0"/>
                <w:bCs/>
                <w:color w:val="auto"/>
                <w:kern w:val="2"/>
                <w:sz w:val="24"/>
                <w:szCs w:val="24"/>
                <w:highlight w:val="none"/>
                <w:lang w:val="en-US" w:eastAsia="zh-CN" w:bidi="ar-SA"/>
              </w:rPr>
              <w:t>本项目用地总面积</w:t>
            </w:r>
            <w:r>
              <w:rPr>
                <w:rFonts w:hint="eastAsia" w:eastAsia="仿宋" w:cs="Times New Roman"/>
                <w:b w:val="0"/>
                <w:bCs/>
                <w:color w:val="auto"/>
                <w:kern w:val="2"/>
                <w:sz w:val="24"/>
                <w:szCs w:val="24"/>
                <w:highlight w:val="none"/>
                <w:lang w:val="en-US" w:eastAsia="zh-CN" w:bidi="ar-SA"/>
              </w:rPr>
              <w:t>105449</w:t>
            </w:r>
            <w:r>
              <w:rPr>
                <w:rFonts w:hint="default" w:ascii="Times New Roman" w:hAnsi="Times New Roman" w:eastAsia="仿宋" w:cs="Times New Roman"/>
                <w:b w:val="0"/>
                <w:bCs/>
                <w:color w:val="auto"/>
                <w:kern w:val="2"/>
                <w:sz w:val="24"/>
                <w:szCs w:val="24"/>
                <w:highlight w:val="none"/>
                <w:lang w:val="en-US" w:eastAsia="zh-CN" w:bidi="ar-SA"/>
              </w:rPr>
              <w:t>m</w:t>
            </w:r>
            <w:r>
              <w:rPr>
                <w:rFonts w:hint="default" w:ascii="Times New Roman" w:hAnsi="Times New Roman" w:eastAsia="仿宋" w:cs="Times New Roman"/>
                <w:b w:val="0"/>
                <w:bCs/>
                <w:color w:val="auto"/>
                <w:kern w:val="2"/>
                <w:sz w:val="24"/>
                <w:szCs w:val="24"/>
                <w:highlight w:val="none"/>
                <w:vertAlign w:val="superscript"/>
                <w:lang w:val="en-US" w:eastAsia="zh-CN" w:bidi="ar-SA"/>
              </w:rPr>
              <w:t>2</w:t>
            </w:r>
            <w:r>
              <w:rPr>
                <w:rFonts w:hint="eastAsia" w:eastAsia="仿宋" w:cs="Times New Roman"/>
                <w:b w:val="0"/>
                <w:bCs/>
                <w:color w:val="auto"/>
                <w:kern w:val="2"/>
                <w:sz w:val="24"/>
                <w:szCs w:val="24"/>
                <w:highlight w:val="none"/>
                <w:lang w:val="en-US" w:eastAsia="zh-CN" w:bidi="ar-SA"/>
              </w:rPr>
              <w:t>，永久占地面积50196m</w:t>
            </w:r>
            <w:r>
              <w:rPr>
                <w:rFonts w:hint="eastAsia" w:eastAsia="仿宋" w:cs="Times New Roman"/>
                <w:b w:val="0"/>
                <w:bCs/>
                <w:color w:val="auto"/>
                <w:kern w:val="2"/>
                <w:sz w:val="24"/>
                <w:szCs w:val="24"/>
                <w:highlight w:val="none"/>
                <w:vertAlign w:val="superscript"/>
                <w:lang w:val="en-US" w:eastAsia="zh-CN" w:bidi="ar-SA"/>
              </w:rPr>
              <w:t>2</w:t>
            </w:r>
            <w:r>
              <w:rPr>
                <w:rFonts w:hint="eastAsia" w:eastAsia="仿宋" w:cs="Times New Roman"/>
                <w:b w:val="0"/>
                <w:bCs/>
                <w:color w:val="auto"/>
                <w:kern w:val="2"/>
                <w:sz w:val="24"/>
                <w:szCs w:val="24"/>
                <w:highlight w:val="none"/>
                <w:lang w:val="en-US" w:eastAsia="zh-CN" w:bidi="ar-SA"/>
              </w:rPr>
              <w:t>，临时占地面积55253m</w:t>
            </w:r>
            <w:r>
              <w:rPr>
                <w:rFonts w:hint="eastAsia" w:eastAsia="仿宋" w:cs="Times New Roman"/>
                <w:b w:val="0"/>
                <w:bCs/>
                <w:color w:val="auto"/>
                <w:kern w:val="2"/>
                <w:sz w:val="24"/>
                <w:szCs w:val="24"/>
                <w:highlight w:val="none"/>
                <w:vertAlign w:val="superscript"/>
                <w:lang w:val="en-US" w:eastAsia="zh-CN" w:bidi="ar-SA"/>
              </w:rPr>
              <w:t>2</w:t>
            </w:r>
            <w:r>
              <w:rPr>
                <w:rFonts w:hint="default" w:ascii="Times New Roman" w:hAnsi="Times New Roman" w:eastAsia="仿宋" w:cs="Times New Roman"/>
                <w:b w:val="0"/>
                <w:bCs/>
                <w:color w:val="auto"/>
                <w:kern w:val="2"/>
                <w:sz w:val="24"/>
                <w:szCs w:val="24"/>
                <w:highlight w:val="none"/>
                <w:lang w:val="en-US" w:eastAsia="zh-CN" w:bidi="ar-SA"/>
              </w:rPr>
              <w:t>，主要以天然牧草地为主，不涉及省级以上政府部门依法批准的需要特殊保护的区域；临时用地均在项目建成后进行生态恢复，恢复原有功能，不改变土地利用性质，项目</w:t>
            </w:r>
            <w:r>
              <w:rPr>
                <w:rFonts w:hint="eastAsia" w:eastAsia="仿宋" w:cs="Times New Roman"/>
                <w:b w:val="0"/>
                <w:bCs/>
                <w:color w:val="auto"/>
                <w:kern w:val="2"/>
                <w:sz w:val="24"/>
                <w:szCs w:val="24"/>
                <w:highlight w:val="none"/>
                <w:lang w:val="en-US" w:eastAsia="zh-CN" w:bidi="ar-SA"/>
              </w:rPr>
              <w:t>建设</w:t>
            </w:r>
            <w:r>
              <w:rPr>
                <w:rFonts w:hint="default" w:ascii="Times New Roman" w:hAnsi="Times New Roman" w:eastAsia="仿宋" w:cs="Times New Roman"/>
                <w:b w:val="0"/>
                <w:bCs/>
                <w:color w:val="auto"/>
                <w:kern w:val="2"/>
                <w:sz w:val="24"/>
                <w:szCs w:val="24"/>
                <w:highlight w:val="none"/>
                <w:lang w:val="en-US" w:eastAsia="zh-CN" w:bidi="ar-SA"/>
              </w:rPr>
              <w:t>符合《风电场开发建设管理暂行办法》（国能新能[2011]285号）、《风电场工程建设用地和环境保护管理暂行办法》（发改能源[2015]1511 号）</w:t>
            </w:r>
            <w:r>
              <w:rPr>
                <w:rFonts w:hint="eastAsia" w:eastAsia="仿宋" w:cs="Times New Roman"/>
                <w:b w:val="0"/>
                <w:bCs/>
                <w:color w:val="auto"/>
                <w:kern w:val="2"/>
                <w:sz w:val="24"/>
                <w:szCs w:val="24"/>
                <w:highlight w:val="none"/>
                <w:lang w:val="en-US" w:eastAsia="zh-CN" w:bidi="ar-SA"/>
              </w:rPr>
              <w:t>，因此本项目建设用地合理。</w:t>
            </w:r>
          </w:p>
          <w:p>
            <w:pPr>
              <w:pStyle w:val="50"/>
              <w:keepNext w:val="0"/>
              <w:keepLines w:val="0"/>
              <w:pageBreakBefore w:val="0"/>
              <w:widowControl w:val="0"/>
              <w:kinsoku/>
              <w:wordWrap/>
              <w:topLinePunct w:val="0"/>
              <w:autoSpaceDE/>
              <w:autoSpaceDN/>
              <w:bidi w:val="0"/>
              <w:adjustRightInd w:val="0"/>
              <w:spacing w:line="240" w:lineRule="auto"/>
              <w:rPr>
                <w:rFonts w:hint="default" w:ascii="Times New Roman" w:hAnsi="Times New Roman" w:eastAsia="仿宋" w:cs="Times New Roman"/>
                <w:b/>
                <w:color w:val="auto"/>
                <w:kern w:val="2"/>
                <w:sz w:val="24"/>
                <w:szCs w:val="24"/>
                <w:highlight w:val="none"/>
                <w:lang w:val="en-US" w:eastAsia="zh-CN" w:bidi="ar-SA"/>
              </w:rPr>
            </w:pPr>
          </w:p>
          <w:p>
            <w:pPr>
              <w:pStyle w:val="50"/>
              <w:keepNext w:val="0"/>
              <w:keepLines w:val="0"/>
              <w:pageBreakBefore w:val="0"/>
              <w:widowControl w:val="0"/>
              <w:kinsoku/>
              <w:wordWrap/>
              <w:topLinePunct w:val="0"/>
              <w:autoSpaceDE/>
              <w:autoSpaceDN/>
              <w:bidi w:val="0"/>
              <w:adjustRightInd w:val="0"/>
              <w:spacing w:line="240" w:lineRule="auto"/>
              <w:rPr>
                <w:rFonts w:hint="default" w:ascii="Times New Roman" w:hAnsi="Times New Roman" w:eastAsia="仿宋" w:cs="Times New Roman"/>
                <w:b/>
                <w:color w:val="auto"/>
                <w:kern w:val="2"/>
                <w:sz w:val="24"/>
                <w:szCs w:val="24"/>
                <w:highlight w:val="none"/>
                <w:lang w:val="en-US" w:eastAsia="zh-CN" w:bidi="ar-SA"/>
              </w:rPr>
            </w:pPr>
          </w:p>
          <w:p>
            <w:pPr>
              <w:pStyle w:val="50"/>
              <w:keepNext w:val="0"/>
              <w:keepLines w:val="0"/>
              <w:pageBreakBefore w:val="0"/>
              <w:widowControl w:val="0"/>
              <w:kinsoku/>
              <w:wordWrap/>
              <w:topLinePunct w:val="0"/>
              <w:autoSpaceDE/>
              <w:autoSpaceDN/>
              <w:bidi w:val="0"/>
              <w:adjustRightInd w:val="0"/>
              <w:spacing w:line="240" w:lineRule="auto"/>
              <w:rPr>
                <w:rFonts w:hint="default" w:ascii="Times New Roman" w:hAnsi="Times New Roman" w:eastAsia="仿宋" w:cs="Times New Roman"/>
                <w:b/>
                <w:color w:val="auto"/>
                <w:kern w:val="2"/>
                <w:sz w:val="24"/>
                <w:szCs w:val="24"/>
                <w:highlight w:val="none"/>
                <w:lang w:val="en-US" w:eastAsia="zh-CN" w:bidi="ar-SA"/>
              </w:rPr>
            </w:pPr>
          </w:p>
          <w:p>
            <w:pPr>
              <w:pStyle w:val="50"/>
              <w:keepNext w:val="0"/>
              <w:keepLines w:val="0"/>
              <w:pageBreakBefore w:val="0"/>
              <w:widowControl w:val="0"/>
              <w:kinsoku/>
              <w:wordWrap/>
              <w:topLinePunct w:val="0"/>
              <w:autoSpaceDE/>
              <w:autoSpaceDN/>
              <w:bidi w:val="0"/>
              <w:adjustRightInd w:val="0"/>
              <w:spacing w:line="240" w:lineRule="auto"/>
              <w:rPr>
                <w:rFonts w:hint="default" w:ascii="Times New Roman" w:hAnsi="Times New Roman" w:eastAsia="仿宋" w:cs="Times New Roman"/>
                <w:b/>
                <w:color w:val="auto"/>
                <w:kern w:val="2"/>
                <w:sz w:val="24"/>
                <w:szCs w:val="24"/>
                <w:highlight w:val="none"/>
                <w:lang w:val="en-US" w:eastAsia="zh-CN" w:bidi="ar-SA"/>
              </w:rPr>
            </w:pPr>
          </w:p>
          <w:p>
            <w:pPr>
              <w:pStyle w:val="50"/>
              <w:keepNext w:val="0"/>
              <w:keepLines w:val="0"/>
              <w:pageBreakBefore w:val="0"/>
              <w:widowControl w:val="0"/>
              <w:kinsoku/>
              <w:wordWrap/>
              <w:topLinePunct w:val="0"/>
              <w:autoSpaceDE/>
              <w:autoSpaceDN/>
              <w:bidi w:val="0"/>
              <w:adjustRightInd w:val="0"/>
              <w:spacing w:line="240" w:lineRule="auto"/>
              <w:rPr>
                <w:rFonts w:hint="default" w:ascii="Times New Roman" w:hAnsi="Times New Roman" w:eastAsia="仿宋" w:cs="Times New Roman"/>
                <w:b/>
                <w:color w:val="auto"/>
                <w:kern w:val="2"/>
                <w:sz w:val="24"/>
                <w:szCs w:val="24"/>
                <w:highlight w:val="none"/>
                <w:lang w:val="en-US" w:eastAsia="zh-CN" w:bidi="ar-SA"/>
              </w:rPr>
            </w:pPr>
          </w:p>
          <w:p>
            <w:pPr>
              <w:pStyle w:val="49"/>
              <w:keepNext w:val="0"/>
              <w:keepLines w:val="0"/>
              <w:pageBreakBefore w:val="0"/>
              <w:widowControl w:val="0"/>
              <w:kinsoku/>
              <w:wordWrap/>
              <w:topLinePunct w:val="0"/>
              <w:autoSpaceDE/>
              <w:autoSpaceDN/>
              <w:bidi w:val="0"/>
              <w:adjustRightInd w:val="0"/>
              <w:spacing w:line="336" w:lineRule="auto"/>
              <w:ind w:firstLine="481" w:firstLineChars="200"/>
              <w:rPr>
                <w:rFonts w:hint="default" w:ascii="Times New Roman" w:hAnsi="Times New Roman" w:eastAsia="仿宋" w:cs="Times New Roman"/>
                <w:color w:val="auto"/>
                <w:sz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61"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其他符合性分析</w:t>
            </w:r>
          </w:p>
        </w:tc>
        <w:tc>
          <w:tcPr>
            <w:tcW w:w="84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01"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其他符合性分析</w:t>
            </w:r>
          </w:p>
        </w:tc>
        <w:tc>
          <w:tcPr>
            <w:tcW w:w="84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61"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其他符合性分析</w:t>
            </w:r>
          </w:p>
        </w:tc>
        <w:tc>
          <w:tcPr>
            <w:tcW w:w="84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81"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其他符合性分析</w:t>
            </w:r>
          </w:p>
        </w:tc>
        <w:tc>
          <w:tcPr>
            <w:tcW w:w="84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szCs w:val="24"/>
                <w:highlight w:val="none"/>
                <w:lang w:val="en-US" w:eastAsia="zh-CN"/>
              </w:rPr>
            </w:pPr>
          </w:p>
        </w:tc>
      </w:tr>
    </w:tbl>
    <w:p>
      <w:pPr>
        <w:rPr>
          <w:rFonts w:hint="default" w:ascii="Times New Roman" w:hAnsi="Times New Roman" w:eastAsia="黑体" w:cs="Times New Roman"/>
          <w:b/>
          <w:bCs/>
          <w:color w:val="auto"/>
          <w:sz w:val="30"/>
          <w:szCs w:val="30"/>
          <w:highlight w:val="none"/>
        </w:rPr>
        <w:sectPr>
          <w:pgSz w:w="11905" w:h="16838"/>
          <w:pgMar w:top="1803" w:right="1440" w:bottom="1803" w:left="1440" w:header="1247" w:footer="1247" w:gutter="0"/>
          <w:pgBorders>
            <w:top w:val="none" w:sz="0" w:space="0"/>
            <w:left w:val="none" w:sz="0" w:space="0"/>
            <w:bottom w:val="none" w:sz="0" w:space="0"/>
            <w:right w:val="none" w:sz="0" w:space="0"/>
          </w:pgBorders>
          <w:pgNumType w:fmt="decimal"/>
          <w:cols w:space="0" w:num="1"/>
          <w:docGrid w:linePitch="312" w:charSpace="0"/>
        </w:sectPr>
      </w:pPr>
    </w:p>
    <w:p>
      <w:pPr>
        <w:pStyle w:val="2"/>
        <w:rPr>
          <w:rFonts w:hint="default" w:ascii="Times New Roman" w:hAnsi="Times New Roman" w:eastAsia="黑体" w:cs="Times New Roman"/>
          <w:color w:val="auto"/>
          <w:highlight w:val="none"/>
          <w:lang w:eastAsia="zh-CN"/>
        </w:rPr>
      </w:pPr>
      <w:r>
        <w:rPr>
          <w:rFonts w:hint="default" w:ascii="Times New Roman" w:hAnsi="Times New Roman" w:cs="Times New Roman"/>
          <w:color w:val="auto"/>
          <w:highlight w:val="none"/>
          <w:lang w:eastAsia="zh-CN"/>
        </w:rPr>
        <w:t>二、</w:t>
      </w:r>
      <w:r>
        <w:rPr>
          <w:rFonts w:hint="default" w:ascii="Times New Roman" w:hAnsi="Times New Roman" w:cs="Times New Roman"/>
          <w:color w:val="auto"/>
          <w:highlight w:val="none"/>
        </w:rPr>
        <w:t>建设</w:t>
      </w:r>
      <w:r>
        <w:rPr>
          <w:rFonts w:hint="default" w:ascii="Times New Roman" w:hAnsi="Times New Roman" w:cs="Times New Roman"/>
          <w:color w:val="auto"/>
          <w:highlight w:val="none"/>
          <w:lang w:eastAsia="zh-CN"/>
        </w:rPr>
        <w:t>内容</w:t>
      </w:r>
    </w:p>
    <w:tbl>
      <w:tblPr>
        <w:tblStyle w:val="28"/>
        <w:tblW w:w="92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8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tcBorders>
              <w:tl2br w:val="nil"/>
              <w:tr2bl w:val="nil"/>
            </w:tcBorders>
            <w:vAlign w:val="center"/>
          </w:tcPr>
          <w:p>
            <w:pPr>
              <w:pStyle w:val="50"/>
              <w:keepNext w:val="0"/>
              <w:keepLines w:val="0"/>
              <w:pageBreakBefore w:val="0"/>
              <w:widowControl w:val="0"/>
              <w:kinsoku/>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地理位置</w:t>
            </w:r>
          </w:p>
        </w:tc>
        <w:tc>
          <w:tcPr>
            <w:tcW w:w="8588" w:type="dxa"/>
            <w:tcBorders>
              <w:tl2br w:val="nil"/>
              <w:tr2bl w:val="nil"/>
            </w:tcBorders>
            <w:vAlign w:val="center"/>
          </w:tcPr>
          <w:p>
            <w:pPr>
              <w:pStyle w:val="50"/>
              <w:keepNext w:val="0"/>
              <w:keepLines w:val="0"/>
              <w:pageBreakBefore w:val="0"/>
              <w:widowControl w:val="0"/>
              <w:kinsoku/>
              <w:wordWrap/>
              <w:overflowPunct w:val="0"/>
              <w:topLinePunct w:val="0"/>
              <w:autoSpaceDE/>
              <w:autoSpaceDN/>
              <w:bidi w:val="0"/>
              <w:adjustRightInd w:val="0"/>
              <w:snapToGrid w:val="0"/>
              <w:spacing w:line="360" w:lineRule="auto"/>
              <w:ind w:left="0" w:leftChars="0" w:firstLine="480" w:firstLineChars="200"/>
              <w:textAlignment w:val="auto"/>
              <w:rPr>
                <w:color w:val="auto"/>
                <w:highlight w:val="none"/>
              </w:rPr>
            </w:pPr>
            <w:r>
              <w:rPr>
                <w:rFonts w:hint="default" w:ascii="Times New Roman" w:hAnsi="Times New Roman" w:eastAsia="仿宋" w:cs="Times New Roman"/>
                <w:color w:val="auto"/>
                <w:highlight w:val="none"/>
                <w:lang w:val="en-US" w:eastAsia="zh-CN"/>
              </w:rPr>
              <w:t>本项目位于宁夏回族自治区中卫市</w:t>
            </w:r>
            <w:r>
              <w:rPr>
                <w:rFonts w:hint="eastAsia" w:ascii="Times New Roman" w:hAnsi="Times New Roman" w:eastAsia="仿宋" w:cs="Times New Roman"/>
                <w:color w:val="auto"/>
                <w:highlight w:val="none"/>
                <w:lang w:val="en-US" w:eastAsia="zh-CN"/>
              </w:rPr>
              <w:t>沙坡头区境内，风场中心距离中卫市城区</w:t>
            </w:r>
            <w:r>
              <w:rPr>
                <w:rFonts w:hint="default" w:ascii="Times New Roman" w:hAnsi="Times New Roman" w:eastAsia="仿宋" w:cs="Times New Roman"/>
                <w:color w:val="auto"/>
                <w:highlight w:val="none"/>
                <w:lang w:val="en-US" w:eastAsia="zh-CN"/>
              </w:rPr>
              <w:t>直线距离约25km，海拔高程在15</w:t>
            </w:r>
            <w:r>
              <w:rPr>
                <w:rFonts w:hint="eastAsia" w:ascii="Times New Roman" w:hAnsi="Times New Roman" w:eastAsia="仿宋" w:cs="Times New Roman"/>
                <w:color w:val="auto"/>
                <w:highlight w:val="none"/>
                <w:lang w:val="en-US" w:eastAsia="zh-CN"/>
              </w:rPr>
              <w:t>50</w:t>
            </w:r>
            <w:r>
              <w:rPr>
                <w:rFonts w:hint="default" w:ascii="Times New Roman" w:hAnsi="Times New Roman" w:eastAsia="仿宋" w:cs="Times New Roman"/>
                <w:color w:val="auto"/>
                <w:highlight w:val="none"/>
                <w:lang w:val="en-US" w:eastAsia="zh-CN"/>
              </w:rPr>
              <w:t>m～</w:t>
            </w:r>
            <w:r>
              <w:rPr>
                <w:rFonts w:hint="eastAsia" w:ascii="Times New Roman" w:hAnsi="Times New Roman" w:eastAsia="仿宋" w:cs="Times New Roman"/>
                <w:color w:val="auto"/>
                <w:highlight w:val="none"/>
                <w:lang w:val="en-US" w:eastAsia="zh-CN"/>
              </w:rPr>
              <w:t>19</w:t>
            </w:r>
            <w:r>
              <w:rPr>
                <w:rFonts w:hint="default" w:ascii="Times New Roman" w:hAnsi="Times New Roman" w:eastAsia="仿宋" w:cs="Times New Roman"/>
                <w:color w:val="auto"/>
                <w:highlight w:val="none"/>
                <w:lang w:val="en-US" w:eastAsia="zh-CN"/>
              </w:rPr>
              <w:t>50m之间，</w:t>
            </w:r>
            <w:r>
              <w:rPr>
                <w:rFonts w:hint="eastAsia" w:ascii="Times New Roman" w:hAnsi="Times New Roman" w:eastAsia="仿宋" w:cs="Times New Roman"/>
                <w:color w:val="auto"/>
                <w:highlight w:val="none"/>
                <w:lang w:val="en-US" w:eastAsia="zh-CN"/>
              </w:rPr>
              <w:t>风机坐标范围：</w:t>
            </w:r>
            <w:r>
              <w:rPr>
                <w:rFonts w:hint="default" w:ascii="Times New Roman" w:hAnsi="Times New Roman" w:eastAsia="仿宋" w:cs="Times New Roman"/>
                <w:color w:val="auto"/>
                <w:highlight w:val="none"/>
                <w:lang w:val="en-US" w:eastAsia="zh-CN"/>
              </w:rPr>
              <w:t>东经105°13′12.009″-105°26′24.077″，北纬37°21′0.020″- 37°21′0.078″</w:t>
            </w:r>
            <w:r>
              <w:rPr>
                <w:rFonts w:hint="eastAsia" w:ascii="Times New Roman" w:hAnsi="Times New Roman" w:eastAsia="仿宋" w:cs="Times New Roman"/>
                <w:color w:val="auto"/>
                <w:highlight w:val="none"/>
                <w:lang w:val="en-US" w:eastAsia="zh-CN"/>
              </w:rPr>
              <w:t>；</w:t>
            </w:r>
            <w:r>
              <w:rPr>
                <w:rFonts w:hint="default" w:ascii="Times New Roman" w:hAnsi="Times New Roman" w:eastAsia="仿宋" w:cs="Times New Roman"/>
                <w:color w:val="auto"/>
                <w:highlight w:val="none"/>
                <w:lang w:val="en-US" w:eastAsia="zh-CN"/>
              </w:rPr>
              <w:t>东经105°13′12.057″-105°26′24.000″，北纬37°16′48.019″- 37°16′48.019″</w:t>
            </w:r>
            <w:r>
              <w:rPr>
                <w:rFonts w:hint="eastAsia" w:ascii="Times New Roman" w:hAnsi="Times New Roman" w:eastAsia="仿宋" w:cs="Times New Roman"/>
                <w:color w:val="auto"/>
                <w:highlight w:val="none"/>
                <w:lang w:val="en-US" w:eastAsia="zh-CN"/>
              </w:rPr>
              <w:t>；</w:t>
            </w:r>
            <w:r>
              <w:rPr>
                <w:rFonts w:hint="default" w:ascii="Times New Roman" w:hAnsi="Times New Roman" w:eastAsia="仿宋" w:cs="Times New Roman"/>
                <w:color w:val="auto"/>
                <w:highlight w:val="none"/>
                <w:lang w:val="en-US" w:eastAsia="zh-CN"/>
              </w:rPr>
              <w:t>场区</w:t>
            </w:r>
            <w:r>
              <w:rPr>
                <w:rFonts w:hint="eastAsia" w:eastAsia="仿宋" w:cs="Times New Roman"/>
                <w:color w:val="auto"/>
                <w:highlight w:val="none"/>
                <w:lang w:val="en-US" w:eastAsia="zh-CN"/>
              </w:rPr>
              <w:t>西南侧为S205省道，北侧有定武高速</w:t>
            </w:r>
            <w:r>
              <w:rPr>
                <w:rFonts w:hint="default" w:ascii="Times New Roman" w:hAnsi="Times New Roman" w:eastAsia="仿宋" w:cs="Times New Roman"/>
                <w:color w:val="auto"/>
                <w:highlight w:val="none"/>
                <w:lang w:val="en-US" w:eastAsia="zh-CN"/>
              </w:rPr>
              <w:t>，进场路可以从附近省道引接，对外交通便利。</w:t>
            </w:r>
            <w:r>
              <w:rPr>
                <w:rFonts w:hint="eastAsia" w:eastAsia="仿宋" w:cs="Times New Roman"/>
                <w:color w:val="auto"/>
                <w:highlight w:val="none"/>
                <w:lang w:val="en-US" w:eastAsia="zh-CN"/>
              </w:rPr>
              <w:t>本项目</w:t>
            </w:r>
            <w:r>
              <w:rPr>
                <w:rFonts w:hint="eastAsia" w:eastAsia="仿宋" w:cs="Times New Roman"/>
                <w:color w:val="auto"/>
                <w:highlight w:val="none"/>
                <w:lang w:eastAsia="zh-CN"/>
              </w:rPr>
              <w:t>与中卫市沙坡头区位置关系图</w:t>
            </w:r>
            <w:r>
              <w:rPr>
                <w:rFonts w:hint="default" w:ascii="Times New Roman" w:hAnsi="Times New Roman" w:eastAsia="仿宋" w:cs="Times New Roman"/>
                <w:color w:val="auto"/>
                <w:highlight w:val="none"/>
                <w:lang w:eastAsia="zh-CN"/>
              </w:rPr>
              <w:t>见</w:t>
            </w:r>
            <w:r>
              <w:rPr>
                <w:rFonts w:hint="default" w:ascii="Times New Roman" w:hAnsi="Times New Roman" w:eastAsia="仿宋" w:cs="Times New Roman"/>
                <w:b/>
                <w:bCs/>
                <w:color w:val="auto"/>
                <w:highlight w:val="none"/>
                <w:lang w:eastAsia="zh-CN"/>
              </w:rPr>
              <w:t>附图</w:t>
            </w:r>
            <w:r>
              <w:rPr>
                <w:rFonts w:hint="eastAsia" w:eastAsia="仿宋" w:cs="Times New Roman"/>
                <w:b/>
                <w:bCs/>
                <w:color w:val="auto"/>
                <w:highlight w:val="none"/>
                <w:lang w:val="en-US" w:eastAsia="zh-CN"/>
              </w:rPr>
              <w:t>6</w:t>
            </w:r>
            <w:r>
              <w:rPr>
                <w:rFonts w:hint="default" w:ascii="Times New Roman" w:hAnsi="Times New Roman" w:eastAsia="仿宋" w:cs="Times New Roman"/>
                <w:color w:val="auto"/>
                <w:highlight w:val="none"/>
                <w:lang w:val="en-US" w:eastAsia="zh-CN"/>
              </w:rPr>
              <w:t>。</w:t>
            </w:r>
            <w:r>
              <w:rPr>
                <w:rFonts w:hint="eastAsia" w:eastAsia="仿宋" w:cs="Times New Roman"/>
                <w:color w:val="auto"/>
                <w:highlight w:val="none"/>
                <w:lang w:val="en-US" w:eastAsia="zh-CN"/>
              </w:rPr>
              <w:t>本</w:t>
            </w:r>
            <w:r>
              <w:rPr>
                <w:rFonts w:hint="default" w:ascii="Times New Roman" w:hAnsi="Times New Roman" w:eastAsia="仿宋" w:cs="Times New Roman"/>
                <w:color w:val="auto"/>
                <w:highlight w:val="none"/>
                <w:lang w:val="en-US" w:eastAsia="zh-CN"/>
              </w:rPr>
              <w:t>项目风机点位坐标见</w:t>
            </w:r>
            <w:r>
              <w:rPr>
                <w:rFonts w:hint="eastAsia" w:eastAsia="仿宋" w:cs="Times New Roman"/>
                <w:color w:val="auto"/>
                <w:highlight w:val="none"/>
                <w:lang w:val="en-US" w:eastAsia="zh-CN"/>
              </w:rPr>
              <w:t>表2-1</w:t>
            </w:r>
            <w:r>
              <w:rPr>
                <w:rFonts w:hint="default" w:ascii="Times New Roman" w:hAnsi="Times New Roman" w:eastAsia="仿宋" w:cs="Times New Roman"/>
                <w:color w:val="auto"/>
                <w:highlight w:val="none"/>
                <w:lang w:val="en-US" w:eastAsia="zh-CN"/>
              </w:rPr>
              <w:t>。</w:t>
            </w:r>
          </w:p>
          <w:p>
            <w:pPr>
              <w:pStyle w:val="50"/>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481" w:firstLineChars="200"/>
              <w:textAlignment w:val="auto"/>
              <w:rPr>
                <w:rFonts w:hint="eastAsia" w:ascii="宋体" w:hAnsi="宋体" w:eastAsia="宋体" w:cs="宋体"/>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eastAsia="宋体" w:cs="Times New Roman"/>
                <w:b/>
                <w:bCs/>
                <w:color w:val="auto"/>
                <w:sz w:val="24"/>
                <w:szCs w:val="24"/>
                <w:highlight w:val="none"/>
                <w:lang w:val="en-US" w:eastAsia="zh-CN"/>
              </w:rPr>
              <w:t>2-1</w:t>
            </w:r>
            <w:r>
              <w:rPr>
                <w:rFonts w:hint="eastAsia" w:ascii="宋体" w:hAnsi="宋体" w:eastAsia="宋体" w:cs="宋体"/>
                <w:b/>
                <w:bCs/>
                <w:color w:val="auto"/>
                <w:sz w:val="24"/>
                <w:szCs w:val="24"/>
                <w:highlight w:val="none"/>
                <w:lang w:val="en-US" w:eastAsia="zh-CN"/>
              </w:rPr>
              <w:t xml:space="preserve">             本项目风机点位坐标</w:t>
            </w:r>
          </w:p>
          <w:tbl>
            <w:tblPr>
              <w:tblStyle w:val="28"/>
              <w:tblW w:w="834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561"/>
              <w:gridCol w:w="2925"/>
              <w:gridCol w:w="28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2" w:type="dxa"/>
                  <w:gridSpan w:val="3"/>
                  <w:tcBorders>
                    <w:tl2br w:val="nil"/>
                    <w:tr2bl w:val="nil"/>
                  </w:tcBorders>
                  <w:noWrap w:val="0"/>
                  <w:vAlign w:val="center"/>
                </w:tcPr>
                <w:p>
                  <w:pPr>
                    <w:spacing w:beforeLines="0" w:afterLines="0"/>
                    <w:jc w:val="center"/>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国家电投中卫香山49.8MW分散式风电项目</w:t>
                  </w:r>
                  <w:r>
                    <w:rPr>
                      <w:rFonts w:hint="default" w:ascii="Times New Roman" w:hAnsi="Times New Roman" w:eastAsia="宋体" w:cs="Times New Roman"/>
                      <w:b/>
                      <w:bCs/>
                      <w:color w:val="auto"/>
                      <w:sz w:val="21"/>
                      <w:szCs w:val="21"/>
                      <w:highlight w:val="none"/>
                    </w:rPr>
                    <w:t>风机坐标CGCS2000坐标系，中央经线105°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2" w:type="dxa"/>
                  <w:gridSpan w:val="3"/>
                  <w:tcBorders>
                    <w:tl2br w:val="nil"/>
                    <w:tr2bl w:val="nil"/>
                  </w:tcBorders>
                  <w:noWrap w:val="0"/>
                  <w:vAlign w:val="center"/>
                </w:tcPr>
                <w:p>
                  <w:pPr>
                    <w:spacing w:beforeLines="0" w:afterLines="0"/>
                    <w:jc w:val="center"/>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eastAsia="zh-CN"/>
                    </w:rPr>
                    <w:t>（</w:t>
                  </w:r>
                  <w:r>
                    <w:rPr>
                      <w:rFonts w:hint="eastAsia" w:cs="Times New Roman"/>
                      <w:b/>
                      <w:bCs/>
                      <w:color w:val="auto"/>
                      <w:sz w:val="21"/>
                      <w:szCs w:val="21"/>
                      <w:highlight w:val="none"/>
                      <w:lang w:val="en-US" w:eastAsia="zh-CN"/>
                    </w:rPr>
                    <w:t>8台风机</w:t>
                  </w:r>
                  <w:r>
                    <w:rPr>
                      <w:rFonts w:hint="eastAsia" w:cs="Times New Roman"/>
                      <w:b/>
                      <w:bCs/>
                      <w:color w:val="auto"/>
                      <w:sz w:val="21"/>
                      <w:szCs w:val="21"/>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61" w:type="dxa"/>
                  <w:tcBorders>
                    <w:tl2br w:val="nil"/>
                    <w:tr2bl w:val="nil"/>
                  </w:tcBorders>
                  <w:noWrap w:val="0"/>
                  <w:vAlign w:val="center"/>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风机编号</w:t>
                  </w:r>
                </w:p>
              </w:tc>
              <w:tc>
                <w:tcPr>
                  <w:tcW w:w="2925" w:type="dxa"/>
                  <w:tcBorders>
                    <w:tl2br w:val="nil"/>
                    <w:tr2bl w:val="nil"/>
                  </w:tcBorders>
                  <w:noWrap w:val="0"/>
                  <w:vAlign w:val="center"/>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东坐标</w:t>
                  </w:r>
                </w:p>
              </w:tc>
              <w:tc>
                <w:tcPr>
                  <w:tcW w:w="2856" w:type="dxa"/>
                  <w:tcBorders>
                    <w:tl2br w:val="nil"/>
                    <w:tr2bl w:val="nil"/>
                  </w:tcBorders>
                  <w:noWrap w:val="0"/>
                  <w:vAlign w:val="center"/>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北坐标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61"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F24a</w:t>
                  </w:r>
                </w:p>
              </w:tc>
              <w:tc>
                <w:tcPr>
                  <w:tcW w:w="2925"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35533932</w:t>
                  </w:r>
                </w:p>
              </w:tc>
              <w:tc>
                <w:tcPr>
                  <w:tcW w:w="2856"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4134057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61"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F31</w:t>
                  </w:r>
                </w:p>
              </w:tc>
              <w:tc>
                <w:tcPr>
                  <w:tcW w:w="2925"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35534432</w:t>
                  </w:r>
                </w:p>
              </w:tc>
              <w:tc>
                <w:tcPr>
                  <w:tcW w:w="2856"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4132438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61"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F34a</w:t>
                  </w:r>
                </w:p>
              </w:tc>
              <w:tc>
                <w:tcPr>
                  <w:tcW w:w="2925"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35534428</w:t>
                  </w:r>
                </w:p>
              </w:tc>
              <w:tc>
                <w:tcPr>
                  <w:tcW w:w="2856"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4134285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61"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F41</w:t>
                  </w:r>
                </w:p>
              </w:tc>
              <w:tc>
                <w:tcPr>
                  <w:tcW w:w="2925"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35534416</w:t>
                  </w:r>
                </w:p>
              </w:tc>
              <w:tc>
                <w:tcPr>
                  <w:tcW w:w="2856"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4130967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61"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F42</w:t>
                  </w:r>
                </w:p>
              </w:tc>
              <w:tc>
                <w:tcPr>
                  <w:tcW w:w="2925"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35534348</w:t>
                  </w:r>
                </w:p>
              </w:tc>
              <w:tc>
                <w:tcPr>
                  <w:tcW w:w="2856"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4131393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61"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F43</w:t>
                  </w:r>
                </w:p>
              </w:tc>
              <w:tc>
                <w:tcPr>
                  <w:tcW w:w="2925"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35534568</w:t>
                  </w:r>
                </w:p>
              </w:tc>
              <w:tc>
                <w:tcPr>
                  <w:tcW w:w="2856"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4131911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61"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F46</w:t>
                  </w:r>
                </w:p>
              </w:tc>
              <w:tc>
                <w:tcPr>
                  <w:tcW w:w="2925"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35534312</w:t>
                  </w:r>
                </w:p>
              </w:tc>
              <w:tc>
                <w:tcPr>
                  <w:tcW w:w="2856"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4132903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61"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F50</w:t>
                  </w:r>
                </w:p>
              </w:tc>
              <w:tc>
                <w:tcPr>
                  <w:tcW w:w="2925"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35532152</w:t>
                  </w:r>
                </w:p>
              </w:tc>
              <w:tc>
                <w:tcPr>
                  <w:tcW w:w="2856" w:type="dxa"/>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4132675</w:t>
                  </w:r>
                </w:p>
              </w:tc>
            </w:tr>
          </w:tbl>
          <w:p>
            <w:pPr>
              <w:pStyle w:val="50"/>
              <w:keepNext w:val="0"/>
              <w:keepLines w:val="0"/>
              <w:pageBreakBefore w:val="0"/>
              <w:widowControl w:val="0"/>
              <w:kinsoku/>
              <w:wordWrap/>
              <w:overflowPunct w:val="0"/>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b/>
                <w:bCs/>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6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项目组成及规模</w:t>
            </w:r>
          </w:p>
        </w:tc>
        <w:tc>
          <w:tcPr>
            <w:tcW w:w="8588" w:type="dxa"/>
            <w:tcBorders>
              <w:tl2br w:val="nil"/>
              <w:tr2bl w:val="nil"/>
            </w:tcBorders>
            <w:vAlign w:val="center"/>
          </w:tcPr>
          <w:p>
            <w:pPr>
              <w:pStyle w:val="49"/>
              <w:keepNext w:val="0"/>
              <w:keepLines w:val="0"/>
              <w:pageBreakBefore w:val="0"/>
              <w:widowControl w:val="0"/>
              <w:kinsoku/>
              <w:wordWrap/>
              <w:topLinePunct w:val="0"/>
              <w:autoSpaceDE/>
              <w:autoSpaceDN/>
              <w:bidi w:val="0"/>
              <w:adjustRightInd w:val="0"/>
              <w:snapToGrid w:val="0"/>
              <w:spacing w:before="0" w:beforeLines="0" w:after="0" w:afterLines="0" w:line="360" w:lineRule="auto"/>
              <w:ind w:firstLine="481" w:firstLineChars="200"/>
              <w:rPr>
                <w:rFonts w:hint="eastAsia"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w:t>
            </w:r>
            <w:r>
              <w:rPr>
                <w:rFonts w:hint="eastAsia" w:eastAsia="仿宋" w:cs="Times New Roman"/>
                <w:color w:val="auto"/>
                <w:highlight w:val="none"/>
                <w:lang w:val="en-US" w:eastAsia="zh-CN"/>
              </w:rPr>
              <w:t>项目建设背景</w:t>
            </w:r>
          </w:p>
          <w:p>
            <w:pPr>
              <w:pStyle w:val="50"/>
              <w:keepNext w:val="0"/>
              <w:keepLines w:val="0"/>
              <w:pageBreakBefore w:val="0"/>
              <w:widowControl w:val="0"/>
              <w:kinsoku/>
              <w:wordWrap/>
              <w:topLinePunct w:val="0"/>
              <w:autoSpaceDE/>
              <w:autoSpaceDN/>
              <w:bidi w:val="0"/>
              <w:adjustRightInd w:val="0"/>
              <w:snapToGrid w:val="0"/>
              <w:spacing w:line="360" w:lineRule="auto"/>
              <w:rPr>
                <w:rFonts w:hint="eastAsia" w:eastAsia="仿宋" w:cs="Times New Roman"/>
                <w:color w:val="auto"/>
                <w:highlight w:val="none"/>
                <w:lang w:val="en-US" w:eastAsia="zh-CN"/>
              </w:rPr>
            </w:pPr>
            <w:r>
              <w:rPr>
                <w:rFonts w:hint="eastAsia" w:eastAsia="仿宋" w:cs="Times New Roman"/>
                <w:color w:val="auto"/>
                <w:highlight w:val="none"/>
                <w:lang w:val="en-US" w:eastAsia="zh-CN"/>
              </w:rPr>
              <w:t>国家电投中卫香山</w:t>
            </w:r>
            <w:r>
              <w:rPr>
                <w:rFonts w:hint="default" w:eastAsia="仿宋" w:cs="Times New Roman"/>
                <w:color w:val="auto"/>
                <w:highlight w:val="none"/>
                <w:lang w:val="en-US" w:eastAsia="zh-CN"/>
              </w:rPr>
              <w:t>49.8MW</w:t>
            </w:r>
            <w:r>
              <w:rPr>
                <w:rFonts w:hint="eastAsia" w:eastAsia="仿宋" w:cs="Times New Roman"/>
                <w:color w:val="auto"/>
                <w:highlight w:val="none"/>
                <w:lang w:val="en-US" w:eastAsia="zh-CN"/>
              </w:rPr>
              <w:t>分散式风电项目充分利用中卫市沙坡区丰富的风能资源，所发电力就地消化，减少长距离输送网损及当地系统电力缺额，对当地经济发展起到了积极的推动作用，有力地拉动周边地区各产业的蓬勃发展，符合我国可持续发展战略和产业政策。同时，该项目的建设对支持国产化风电设备制造企业具有重大意义，因此，本项目的建设是十分必要的。</w:t>
            </w:r>
          </w:p>
          <w:p>
            <w:pPr>
              <w:pStyle w:val="50"/>
              <w:keepNext w:val="0"/>
              <w:keepLines w:val="0"/>
              <w:pageBreakBefore w:val="0"/>
              <w:widowControl w:val="0"/>
              <w:kinsoku/>
              <w:wordWrap/>
              <w:topLinePunct w:val="0"/>
              <w:autoSpaceDE/>
              <w:autoSpaceDN/>
              <w:bidi w:val="0"/>
              <w:adjustRightInd w:val="0"/>
              <w:snapToGrid w:val="0"/>
              <w:spacing w:line="360" w:lineRule="auto"/>
              <w:rPr>
                <w:rFonts w:hint="eastAsia" w:eastAsia="仿宋" w:cs="Times New Roman"/>
                <w:color w:val="auto"/>
                <w:highlight w:val="none"/>
                <w:lang w:val="en-US" w:eastAsia="zh-CN"/>
              </w:rPr>
            </w:pPr>
            <w:r>
              <w:rPr>
                <w:rFonts w:hint="eastAsia" w:eastAsia="仿宋" w:cs="Times New Roman"/>
                <w:color w:val="auto"/>
                <w:highlight w:val="none"/>
                <w:lang w:val="en-US" w:eastAsia="zh-CN"/>
              </w:rPr>
              <w:t>国家电投中卫香山</w:t>
            </w:r>
            <w:r>
              <w:rPr>
                <w:rFonts w:hint="default" w:eastAsia="仿宋" w:cs="Times New Roman"/>
                <w:color w:val="auto"/>
                <w:highlight w:val="none"/>
                <w:lang w:val="en-US" w:eastAsia="zh-CN"/>
              </w:rPr>
              <w:t>49.8MW</w:t>
            </w:r>
            <w:r>
              <w:rPr>
                <w:rFonts w:hint="eastAsia" w:eastAsia="仿宋" w:cs="Times New Roman"/>
                <w:color w:val="auto"/>
                <w:highlight w:val="none"/>
                <w:lang w:val="en-US" w:eastAsia="zh-CN"/>
              </w:rPr>
              <w:t>分散式风电项目已于</w:t>
            </w:r>
            <w:r>
              <w:rPr>
                <w:rFonts w:hint="default" w:eastAsia="仿宋" w:cs="Times New Roman"/>
                <w:color w:val="auto"/>
                <w:highlight w:val="none"/>
                <w:lang w:val="en-US" w:eastAsia="zh-CN"/>
              </w:rPr>
              <w:t>2024</w:t>
            </w:r>
            <w:r>
              <w:rPr>
                <w:rFonts w:hint="eastAsia" w:eastAsia="仿宋" w:cs="Times New Roman"/>
                <w:color w:val="auto"/>
                <w:highlight w:val="none"/>
                <w:lang w:val="en-US" w:eastAsia="zh-CN"/>
              </w:rPr>
              <w:t>年</w:t>
            </w:r>
            <w:r>
              <w:rPr>
                <w:rFonts w:hint="default" w:eastAsia="仿宋" w:cs="Times New Roman"/>
                <w:color w:val="auto"/>
                <w:highlight w:val="none"/>
                <w:lang w:val="en-US" w:eastAsia="zh-CN"/>
              </w:rPr>
              <w:t>1</w:t>
            </w:r>
            <w:r>
              <w:rPr>
                <w:rFonts w:hint="eastAsia" w:eastAsia="仿宋" w:cs="Times New Roman"/>
                <w:color w:val="auto"/>
                <w:highlight w:val="none"/>
                <w:lang w:val="en-US" w:eastAsia="zh-CN"/>
              </w:rPr>
              <w:t>月</w:t>
            </w:r>
            <w:r>
              <w:rPr>
                <w:rFonts w:hint="default" w:eastAsia="仿宋" w:cs="Times New Roman"/>
                <w:color w:val="auto"/>
                <w:highlight w:val="none"/>
                <w:lang w:val="en-US" w:eastAsia="zh-CN"/>
              </w:rPr>
              <w:t>19</w:t>
            </w:r>
            <w:r>
              <w:rPr>
                <w:rFonts w:hint="eastAsia" w:eastAsia="仿宋" w:cs="Times New Roman"/>
                <w:color w:val="auto"/>
                <w:highlight w:val="none"/>
                <w:lang w:val="en-US" w:eastAsia="zh-CN"/>
              </w:rPr>
              <w:t>日取得自治区自然资源厅《关于国家电投中卫香山</w:t>
            </w:r>
            <w:r>
              <w:rPr>
                <w:rFonts w:hint="default" w:eastAsia="仿宋" w:cs="Times New Roman"/>
                <w:color w:val="auto"/>
                <w:highlight w:val="none"/>
                <w:lang w:val="en-US" w:eastAsia="zh-CN"/>
              </w:rPr>
              <w:t>49.8MW</w:t>
            </w:r>
            <w:r>
              <w:rPr>
                <w:rFonts w:hint="eastAsia" w:eastAsia="仿宋" w:cs="Times New Roman"/>
                <w:color w:val="auto"/>
                <w:highlight w:val="none"/>
                <w:lang w:val="en-US" w:eastAsia="zh-CN"/>
              </w:rPr>
              <w:t>分散式风电项目建设用地预审意见》（宁自然资预审字〔</w:t>
            </w:r>
            <w:r>
              <w:rPr>
                <w:rFonts w:hint="default" w:eastAsia="仿宋" w:cs="Times New Roman"/>
                <w:color w:val="auto"/>
                <w:highlight w:val="none"/>
                <w:lang w:val="en-US" w:eastAsia="zh-CN"/>
              </w:rPr>
              <w:t>2024</w:t>
            </w:r>
            <w:r>
              <w:rPr>
                <w:rFonts w:hint="eastAsia" w:eastAsia="仿宋" w:cs="Times New Roman"/>
                <w:color w:val="auto"/>
                <w:highlight w:val="none"/>
                <w:lang w:val="en-US" w:eastAsia="zh-CN"/>
              </w:rPr>
              <w:t>〕</w:t>
            </w:r>
            <w:r>
              <w:rPr>
                <w:rFonts w:hint="default" w:eastAsia="仿宋" w:cs="Times New Roman"/>
                <w:color w:val="auto"/>
                <w:highlight w:val="none"/>
                <w:lang w:val="en-US" w:eastAsia="zh-CN"/>
              </w:rPr>
              <w:t>6</w:t>
            </w:r>
            <w:r>
              <w:rPr>
                <w:rFonts w:hint="eastAsia" w:eastAsia="仿宋" w:cs="Times New Roman"/>
                <w:color w:val="auto"/>
                <w:highlight w:val="none"/>
                <w:lang w:val="en-US" w:eastAsia="zh-CN"/>
              </w:rPr>
              <w:t>号），</w:t>
            </w:r>
            <w:r>
              <w:rPr>
                <w:rFonts w:hint="default" w:eastAsia="仿宋" w:cs="Times New Roman"/>
                <w:color w:val="auto"/>
                <w:highlight w:val="none"/>
                <w:lang w:val="en-US" w:eastAsia="zh-CN"/>
              </w:rPr>
              <w:t>2024</w:t>
            </w:r>
            <w:r>
              <w:rPr>
                <w:rFonts w:hint="eastAsia" w:eastAsia="仿宋" w:cs="Times New Roman"/>
                <w:color w:val="auto"/>
                <w:highlight w:val="none"/>
                <w:lang w:val="en-US" w:eastAsia="zh-CN"/>
              </w:rPr>
              <w:t>年</w:t>
            </w:r>
            <w:r>
              <w:rPr>
                <w:rFonts w:hint="default" w:eastAsia="仿宋" w:cs="Times New Roman"/>
                <w:color w:val="auto"/>
                <w:highlight w:val="none"/>
                <w:lang w:val="en-US" w:eastAsia="zh-CN"/>
              </w:rPr>
              <w:t>2</w:t>
            </w:r>
            <w:r>
              <w:rPr>
                <w:rFonts w:hint="eastAsia" w:eastAsia="仿宋" w:cs="Times New Roman"/>
                <w:color w:val="auto"/>
                <w:highlight w:val="none"/>
                <w:lang w:val="en-US" w:eastAsia="zh-CN"/>
              </w:rPr>
              <w:t>月</w:t>
            </w:r>
            <w:r>
              <w:rPr>
                <w:rFonts w:hint="default" w:eastAsia="仿宋" w:cs="Times New Roman"/>
                <w:color w:val="auto"/>
                <w:highlight w:val="none"/>
                <w:lang w:val="en-US" w:eastAsia="zh-CN"/>
              </w:rPr>
              <w:t>21</w:t>
            </w:r>
            <w:r>
              <w:rPr>
                <w:rFonts w:hint="eastAsia" w:eastAsia="仿宋" w:cs="Times New Roman"/>
                <w:color w:val="auto"/>
                <w:highlight w:val="none"/>
                <w:lang w:val="en-US" w:eastAsia="zh-CN"/>
              </w:rPr>
              <w:t>日取得宁夏回族自治区发</w:t>
            </w:r>
            <w:r>
              <w:rPr>
                <w:rFonts w:hint="default" w:ascii="Times New Roman" w:hAnsi="Times New Roman" w:eastAsia="仿宋" w:cs="Times New Roman"/>
                <w:b w:val="0"/>
                <w:bCs w:val="0"/>
                <w:color w:val="000000" w:themeColor="text1"/>
                <w:sz w:val="24"/>
                <w:szCs w:val="24"/>
                <w:highlight w:val="none"/>
                <w:lang w:val="en-US" w:eastAsia="zh-CN"/>
                <w14:textFill>
                  <w14:solidFill>
                    <w14:schemeClr w14:val="tx1"/>
                  </w14:solidFill>
                </w14:textFill>
              </w:rPr>
              <w:t>展</w:t>
            </w:r>
            <w:r>
              <w:rPr>
                <w:rFonts w:hint="eastAsia" w:eastAsia="仿宋" w:cs="Times New Roman"/>
                <w:b w:val="0"/>
                <w:bCs w:val="0"/>
                <w:color w:val="000000" w:themeColor="text1"/>
                <w:sz w:val="24"/>
                <w:szCs w:val="24"/>
                <w:highlight w:val="none"/>
                <w:lang w:val="en-US" w:eastAsia="zh-CN"/>
                <w14:textFill>
                  <w14:solidFill>
                    <w14:schemeClr w14:val="tx1"/>
                  </w14:solidFill>
                </w14:textFill>
              </w:rPr>
              <w:t>和改革委员会</w:t>
            </w:r>
            <w:r>
              <w:rPr>
                <w:rFonts w:hint="eastAsia" w:eastAsia="仿宋" w:cs="Times New Roman"/>
                <w:color w:val="auto"/>
                <w:highlight w:val="none"/>
                <w:lang w:val="en-US" w:eastAsia="zh-CN"/>
              </w:rPr>
              <w:t>《关于国家电投中卫香山</w:t>
            </w:r>
            <w:r>
              <w:rPr>
                <w:rFonts w:hint="default" w:eastAsia="仿宋" w:cs="Times New Roman"/>
                <w:color w:val="auto"/>
                <w:highlight w:val="none"/>
                <w:lang w:val="en-US" w:eastAsia="zh-CN"/>
              </w:rPr>
              <w:t>49.8MW</w:t>
            </w:r>
            <w:r>
              <w:rPr>
                <w:rFonts w:hint="eastAsia" w:eastAsia="仿宋" w:cs="Times New Roman"/>
                <w:color w:val="auto"/>
                <w:highlight w:val="none"/>
                <w:lang w:val="en-US" w:eastAsia="zh-CN"/>
              </w:rPr>
              <w:t>分散式风电项目核准的批复》（宁发改能源（发展）审发〔</w:t>
            </w:r>
            <w:r>
              <w:rPr>
                <w:rFonts w:hint="default" w:eastAsia="仿宋" w:cs="Times New Roman"/>
                <w:color w:val="auto"/>
                <w:highlight w:val="none"/>
                <w:lang w:val="en-US" w:eastAsia="zh-CN"/>
              </w:rPr>
              <w:t>2024</w:t>
            </w:r>
            <w:r>
              <w:rPr>
                <w:rFonts w:hint="eastAsia" w:eastAsia="仿宋" w:cs="Times New Roman"/>
                <w:color w:val="auto"/>
                <w:highlight w:val="none"/>
                <w:lang w:val="en-US" w:eastAsia="zh-CN"/>
              </w:rPr>
              <w:t>〕</w:t>
            </w:r>
            <w:r>
              <w:rPr>
                <w:rFonts w:hint="default" w:eastAsia="仿宋" w:cs="Times New Roman"/>
                <w:color w:val="auto"/>
                <w:highlight w:val="none"/>
                <w:lang w:val="en-US" w:eastAsia="zh-CN"/>
              </w:rPr>
              <w:t>15</w:t>
            </w:r>
            <w:r>
              <w:rPr>
                <w:rFonts w:hint="eastAsia" w:eastAsia="仿宋" w:cs="Times New Roman"/>
                <w:color w:val="auto"/>
                <w:highlight w:val="none"/>
                <w:lang w:val="en-US" w:eastAsia="zh-CN"/>
              </w:rPr>
              <w:t>号）。国家电投中卫香山</w:t>
            </w:r>
            <w:r>
              <w:rPr>
                <w:rFonts w:hint="default" w:eastAsia="仿宋" w:cs="Times New Roman"/>
                <w:color w:val="auto"/>
                <w:highlight w:val="none"/>
                <w:lang w:val="en-US" w:eastAsia="zh-CN"/>
              </w:rPr>
              <w:t>49.8MW</w:t>
            </w:r>
            <w:r>
              <w:rPr>
                <w:rFonts w:hint="eastAsia" w:eastAsia="仿宋" w:cs="Times New Roman"/>
                <w:color w:val="auto"/>
                <w:highlight w:val="none"/>
                <w:lang w:val="en-US" w:eastAsia="zh-CN"/>
              </w:rPr>
              <w:t>分散式风电项目（下称“本项目”）位于中卫市沙坡头区永康镇、宣和镇境内，项目建设总装机容量</w:t>
            </w:r>
            <w:r>
              <w:rPr>
                <w:rFonts w:hint="default" w:eastAsia="仿宋" w:cs="Times New Roman"/>
                <w:color w:val="auto"/>
                <w:highlight w:val="none"/>
                <w:lang w:val="en-US" w:eastAsia="zh-CN"/>
              </w:rPr>
              <w:t>49.8MW</w:t>
            </w:r>
            <w:r>
              <w:rPr>
                <w:rFonts w:hint="eastAsia" w:eastAsia="仿宋" w:cs="Times New Roman"/>
                <w:color w:val="auto"/>
                <w:highlight w:val="none"/>
                <w:lang w:val="en-US" w:eastAsia="zh-CN"/>
              </w:rPr>
              <w:t>的风力发电机组。</w:t>
            </w:r>
          </w:p>
          <w:p>
            <w:pPr>
              <w:pStyle w:val="49"/>
              <w:keepNext w:val="0"/>
              <w:keepLines w:val="0"/>
              <w:pageBreakBefore w:val="0"/>
              <w:widowControl w:val="0"/>
              <w:kinsoku/>
              <w:wordWrap/>
              <w:topLinePunct w:val="0"/>
              <w:autoSpaceDE/>
              <w:autoSpaceDN/>
              <w:bidi w:val="0"/>
              <w:adjustRightInd w:val="0"/>
              <w:snapToGrid w:val="0"/>
              <w:spacing w:before="0" w:beforeLines="0" w:after="0" w:afterLines="0" w:line="360" w:lineRule="auto"/>
              <w:ind w:firstLine="481" w:firstLineChars="200"/>
              <w:rPr>
                <w:rFonts w:hint="default" w:ascii="Times New Roman" w:hAnsi="Times New Roman" w:eastAsia="仿宋" w:cs="Times New Roman"/>
                <w:color w:val="auto"/>
                <w:highlight w:val="none"/>
                <w:lang w:val="en-US" w:eastAsia="zh-CN"/>
              </w:rPr>
            </w:pPr>
            <w:r>
              <w:rPr>
                <w:rFonts w:hint="eastAsia" w:eastAsia="仿宋" w:cs="Times New Roman"/>
                <w:color w:val="auto"/>
                <w:highlight w:val="none"/>
                <w:lang w:val="en-US" w:eastAsia="zh-CN"/>
              </w:rPr>
              <w:t>2.</w:t>
            </w:r>
            <w:r>
              <w:rPr>
                <w:rFonts w:hint="default" w:ascii="Times New Roman" w:hAnsi="Times New Roman" w:eastAsia="仿宋" w:cs="Times New Roman"/>
                <w:color w:val="auto"/>
                <w:highlight w:val="none"/>
                <w:lang w:val="en-US" w:eastAsia="zh-CN"/>
              </w:rPr>
              <w:t>项目工程内容</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eastAsia="黑体" w:cs="Times New Roman"/>
                <w:b w:val="0"/>
                <w:color w:val="auto"/>
                <w:kern w:val="2"/>
                <w:sz w:val="24"/>
                <w:szCs w:val="24"/>
                <w:highlight w:val="none"/>
                <w:lang w:val="en-US" w:eastAsia="zh-CN" w:bidi="ar-SA"/>
              </w:rPr>
            </w:pPr>
            <w:r>
              <w:rPr>
                <w:rFonts w:hint="eastAsia" w:eastAsia="仿宋" w:cs="Times New Roman"/>
                <w:color w:val="auto"/>
                <w:highlight w:val="none"/>
                <w:lang w:val="en-US" w:eastAsia="zh-CN"/>
              </w:rPr>
              <w:t>国家电投中卫香山49.8MW分散式风电项目</w:t>
            </w:r>
            <w:r>
              <w:rPr>
                <w:rFonts w:hint="default" w:ascii="Times New Roman" w:hAnsi="Times New Roman" w:eastAsia="仿宋" w:cs="Times New Roman"/>
                <w:color w:val="auto"/>
                <w:highlight w:val="none"/>
                <w:lang w:val="en-US" w:eastAsia="zh-CN"/>
              </w:rPr>
              <w:t>规划总装机容量为</w:t>
            </w:r>
            <w:r>
              <w:rPr>
                <w:rFonts w:hint="eastAsia" w:eastAsia="仿宋" w:cs="Times New Roman"/>
                <w:color w:val="auto"/>
                <w:highlight w:val="none"/>
                <w:lang w:val="en-US" w:eastAsia="zh-CN"/>
              </w:rPr>
              <w:t>49.8</w:t>
            </w:r>
            <w:r>
              <w:rPr>
                <w:rFonts w:hint="default" w:ascii="Times New Roman" w:hAnsi="Times New Roman" w:eastAsia="仿宋" w:cs="Times New Roman"/>
                <w:color w:val="auto"/>
                <w:highlight w:val="none"/>
                <w:lang w:val="en-US" w:eastAsia="zh-CN"/>
              </w:rPr>
              <w:t>MW</w:t>
            </w:r>
            <w:r>
              <w:rPr>
                <w:rFonts w:hint="eastAsia" w:eastAsia="仿宋" w:cs="Times New Roman"/>
                <w:color w:val="auto"/>
                <w:highlight w:val="none"/>
                <w:lang w:val="en-US" w:eastAsia="zh-CN"/>
              </w:rPr>
              <w:t>，</w:t>
            </w:r>
            <w:r>
              <w:rPr>
                <w:rFonts w:hint="default" w:ascii="Times New Roman" w:hAnsi="Times New Roman" w:eastAsia="仿宋" w:cs="Times New Roman"/>
                <w:color w:val="auto"/>
                <w:highlight w:val="none"/>
                <w:lang w:val="en-US" w:eastAsia="zh-CN"/>
              </w:rPr>
              <w:t>共布置</w:t>
            </w:r>
            <w:r>
              <w:rPr>
                <w:rFonts w:hint="eastAsia" w:eastAsia="仿宋" w:cs="Times New Roman"/>
                <w:color w:val="auto"/>
                <w:highlight w:val="none"/>
                <w:lang w:val="en-US" w:eastAsia="zh-CN"/>
              </w:rPr>
              <w:t>8</w:t>
            </w:r>
            <w:r>
              <w:rPr>
                <w:rFonts w:hint="default" w:ascii="Times New Roman" w:hAnsi="Times New Roman" w:eastAsia="仿宋" w:cs="Times New Roman"/>
                <w:color w:val="auto"/>
                <w:highlight w:val="none"/>
                <w:lang w:val="en-US" w:eastAsia="zh-CN"/>
              </w:rPr>
              <w:t>台</w:t>
            </w:r>
            <w:r>
              <w:rPr>
                <w:rFonts w:hint="eastAsia" w:eastAsia="仿宋" w:cs="Times New Roman"/>
                <w:color w:val="auto"/>
                <w:highlight w:val="none"/>
                <w:lang w:val="en-US" w:eastAsia="zh-CN"/>
              </w:rPr>
              <w:t>6.25</w:t>
            </w:r>
            <w:r>
              <w:rPr>
                <w:rFonts w:hint="default" w:ascii="Times New Roman" w:hAnsi="Times New Roman" w:eastAsia="仿宋" w:cs="Times New Roman"/>
                <w:color w:val="auto"/>
                <w:highlight w:val="none"/>
                <w:lang w:val="en-US" w:eastAsia="zh-CN"/>
              </w:rPr>
              <w:t>MW 风电机组</w:t>
            </w:r>
            <w:r>
              <w:rPr>
                <w:rFonts w:hint="eastAsia" w:eastAsia="仿宋" w:cs="Times New Roman"/>
                <w:color w:val="auto"/>
                <w:highlight w:val="none"/>
                <w:lang w:val="en-US" w:eastAsia="zh-CN"/>
              </w:rPr>
              <w:t>（其中1台限发至6.05MW），配置10%容量的储能（储能时长2h），风机与箱变采用一机一变的接线方式，配套8台7000kVA箱变，经35kV架空线路送入国家电投集团中卫香山风电场1-3期“以大代小”150MW增容项目110kV升压站</w:t>
            </w:r>
            <w:r>
              <w:rPr>
                <w:rFonts w:hint="default" w:ascii="Times New Roman" w:hAnsi="Times New Roman" w:eastAsia="仿宋" w:cs="Times New Roman"/>
                <w:color w:val="auto"/>
                <w:highlight w:val="none"/>
                <w:lang w:val="en-US" w:eastAsia="zh-CN"/>
              </w:rPr>
              <w:t xml:space="preserve">。年发电量为 </w:t>
            </w:r>
            <w:r>
              <w:rPr>
                <w:rFonts w:hint="eastAsia" w:eastAsia="仿宋" w:cs="Times New Roman"/>
                <w:color w:val="auto"/>
                <w:highlight w:val="none"/>
                <w:lang w:val="en-US" w:eastAsia="zh-CN"/>
              </w:rPr>
              <w:t>12469.92M</w:t>
            </w:r>
            <w:r>
              <w:rPr>
                <w:rFonts w:hint="default" w:ascii="Times New Roman" w:hAnsi="Times New Roman" w:eastAsia="仿宋" w:cs="Times New Roman"/>
                <w:color w:val="auto"/>
                <w:highlight w:val="none"/>
                <w:lang w:val="en-US" w:eastAsia="zh-CN"/>
              </w:rPr>
              <w:t xml:space="preserve">W·h，年等效利用小时数为 </w:t>
            </w:r>
            <w:r>
              <w:rPr>
                <w:rFonts w:hint="eastAsia" w:eastAsia="仿宋" w:cs="Times New Roman"/>
                <w:color w:val="auto"/>
                <w:highlight w:val="none"/>
                <w:lang w:val="en-US" w:eastAsia="zh-CN"/>
              </w:rPr>
              <w:t>2504</w:t>
            </w:r>
            <w:r>
              <w:rPr>
                <w:rFonts w:hint="default" w:ascii="Times New Roman" w:hAnsi="Times New Roman" w:eastAsia="仿宋" w:cs="Times New Roman"/>
                <w:color w:val="auto"/>
                <w:highlight w:val="none"/>
                <w:lang w:val="en-US" w:eastAsia="zh-CN"/>
              </w:rPr>
              <w:t>h。</w:t>
            </w:r>
            <w:r>
              <w:rPr>
                <w:rFonts w:hint="eastAsia" w:eastAsia="仿宋" w:cs="Times New Roman"/>
                <w:b/>
                <w:bCs/>
                <w:color w:val="auto"/>
                <w:highlight w:val="none"/>
                <w:lang w:val="en-US" w:eastAsia="zh-CN"/>
              </w:rPr>
              <w:t>本次评价不包括</w:t>
            </w:r>
            <w:r>
              <w:rPr>
                <w:rFonts w:hint="default" w:ascii="Times New Roman" w:hAnsi="Times New Roman" w:eastAsia="仿宋" w:cs="Times New Roman"/>
                <w:b/>
                <w:bCs/>
                <w:color w:val="auto"/>
                <w:highlight w:val="none"/>
                <w:lang w:val="en-US" w:eastAsia="zh-CN"/>
              </w:rPr>
              <w:t>110</w:t>
            </w:r>
            <w:r>
              <w:rPr>
                <w:rFonts w:hint="eastAsia" w:ascii="Times New Roman" w:hAnsi="Times New Roman" w:eastAsia="仿宋" w:cs="Times New Roman"/>
                <w:b/>
                <w:bCs/>
                <w:color w:val="auto"/>
                <w:highlight w:val="none"/>
                <w:lang w:val="en-US" w:eastAsia="zh-CN"/>
              </w:rPr>
              <w:t>kV</w:t>
            </w:r>
            <w:r>
              <w:rPr>
                <w:rFonts w:hint="default" w:ascii="Times New Roman" w:hAnsi="Times New Roman" w:eastAsia="仿宋" w:cs="Times New Roman"/>
                <w:b/>
                <w:bCs/>
                <w:color w:val="auto"/>
                <w:highlight w:val="none"/>
                <w:lang w:val="en-US" w:eastAsia="zh-CN"/>
              </w:rPr>
              <w:t>升压站、储能电池以及110kV送</w:t>
            </w:r>
            <w:r>
              <w:rPr>
                <w:rFonts w:hint="eastAsia" w:eastAsia="仿宋" w:cs="Times New Roman"/>
                <w:b/>
                <w:bCs/>
                <w:color w:val="auto"/>
                <w:highlight w:val="none"/>
                <w:lang w:val="en-US" w:eastAsia="zh-CN"/>
              </w:rPr>
              <w:t>出线路部分，应另行委托环评。</w:t>
            </w:r>
            <w:r>
              <w:rPr>
                <w:rFonts w:hint="default" w:ascii="Times New Roman" w:hAnsi="Times New Roman" w:eastAsia="仿宋" w:cs="Times New Roman"/>
                <w:color w:val="auto"/>
                <w:highlight w:val="none"/>
                <w:lang w:val="en-US" w:eastAsia="zh-CN"/>
              </w:rPr>
              <w:t>项目工程组成主要包括主体工程</w:t>
            </w:r>
            <w:r>
              <w:rPr>
                <w:rFonts w:hint="eastAsia" w:eastAsia="仿宋" w:cs="Times New Roman"/>
                <w:color w:val="auto"/>
                <w:highlight w:val="none"/>
                <w:lang w:val="en-US" w:eastAsia="zh-CN"/>
              </w:rPr>
              <w:t>（风力发电机组、箱式变压器及35kV集电线路）</w:t>
            </w:r>
            <w:r>
              <w:rPr>
                <w:rFonts w:hint="default" w:ascii="Times New Roman" w:hAnsi="Times New Roman" w:eastAsia="仿宋" w:cs="Times New Roman"/>
                <w:color w:val="auto"/>
                <w:highlight w:val="none"/>
                <w:lang w:val="en-US" w:eastAsia="zh-CN"/>
              </w:rPr>
              <w:t>、</w:t>
            </w:r>
            <w:r>
              <w:rPr>
                <w:rFonts w:hint="eastAsia" w:eastAsia="仿宋" w:cs="Times New Roman"/>
                <w:color w:val="auto"/>
                <w:highlight w:val="none"/>
                <w:lang w:val="en-US" w:eastAsia="zh-CN"/>
              </w:rPr>
              <w:t>辅助工程（施工道路及检修道路）、</w:t>
            </w:r>
            <w:r>
              <w:rPr>
                <w:rFonts w:hint="default" w:ascii="Times New Roman" w:hAnsi="Times New Roman" w:eastAsia="仿宋" w:cs="Times New Roman"/>
                <w:color w:val="auto"/>
                <w:highlight w:val="none"/>
                <w:lang w:eastAsia="zh-CN"/>
              </w:rPr>
              <w:t>公用工程</w:t>
            </w:r>
            <w:r>
              <w:rPr>
                <w:rFonts w:hint="eastAsia" w:eastAsia="仿宋" w:cs="Times New Roman"/>
                <w:color w:val="auto"/>
                <w:highlight w:val="none"/>
                <w:lang w:eastAsia="zh-CN"/>
              </w:rPr>
              <w:t>（供电、供水、排水、供暖等）</w:t>
            </w:r>
            <w:r>
              <w:rPr>
                <w:rFonts w:hint="default" w:ascii="Times New Roman" w:hAnsi="Times New Roman" w:eastAsia="仿宋" w:cs="Times New Roman"/>
                <w:color w:val="auto"/>
                <w:highlight w:val="none"/>
                <w:lang w:eastAsia="zh-CN"/>
              </w:rPr>
              <w:t>、临时工程</w:t>
            </w:r>
            <w:r>
              <w:rPr>
                <w:rFonts w:hint="eastAsia" w:eastAsia="仿宋" w:cs="Times New Roman"/>
                <w:color w:val="auto"/>
                <w:highlight w:val="none"/>
                <w:lang w:eastAsia="zh-CN"/>
              </w:rPr>
              <w:t>（</w:t>
            </w:r>
            <w:r>
              <w:rPr>
                <w:rFonts w:hint="eastAsia" w:eastAsia="仿宋" w:cs="Times New Roman"/>
                <w:color w:val="auto"/>
                <w:highlight w:val="none"/>
                <w:lang w:val="en-US" w:eastAsia="zh-CN"/>
              </w:rPr>
              <w:t>施工临时设施、风机吊装平台、电缆沟及道路等</w:t>
            </w:r>
            <w:r>
              <w:rPr>
                <w:rFonts w:hint="eastAsia" w:eastAsia="仿宋" w:cs="Times New Roman"/>
                <w:color w:val="auto"/>
                <w:highlight w:val="none"/>
                <w:lang w:eastAsia="zh-CN"/>
              </w:rPr>
              <w:t>）</w:t>
            </w:r>
            <w:r>
              <w:rPr>
                <w:rFonts w:hint="default" w:ascii="Times New Roman" w:hAnsi="Times New Roman" w:eastAsia="仿宋" w:cs="Times New Roman"/>
                <w:color w:val="auto"/>
                <w:highlight w:val="none"/>
                <w:lang w:eastAsia="zh-CN"/>
              </w:rPr>
              <w:t>以及环保工程</w:t>
            </w:r>
            <w:r>
              <w:rPr>
                <w:rFonts w:hint="eastAsia" w:eastAsia="仿宋" w:cs="Times New Roman"/>
                <w:color w:val="auto"/>
                <w:highlight w:val="none"/>
                <w:lang w:eastAsia="zh-CN"/>
              </w:rPr>
              <w:t>（噪声、废水、固废及生态措施）</w:t>
            </w:r>
            <w:r>
              <w:rPr>
                <w:rFonts w:hint="default" w:ascii="Times New Roman" w:hAnsi="Times New Roman" w:eastAsia="仿宋" w:cs="Times New Roman"/>
                <w:color w:val="auto"/>
                <w:highlight w:val="none"/>
                <w:lang w:eastAsia="zh-CN"/>
              </w:rPr>
              <w:t>等。具体工程组成详见表</w:t>
            </w:r>
            <w:r>
              <w:rPr>
                <w:rFonts w:hint="eastAsia" w:eastAsia="仿宋" w:cs="Times New Roman"/>
                <w:color w:val="auto"/>
                <w:highlight w:val="none"/>
                <w:lang w:val="en-US" w:eastAsia="zh-CN"/>
              </w:rPr>
              <w:t>2-2</w:t>
            </w:r>
            <w:r>
              <w:rPr>
                <w:rFonts w:hint="default" w:ascii="Times New Roman" w:hAnsi="Times New Roman" w:eastAsia="仿宋" w:cs="Times New Roman"/>
                <w:color w:val="auto"/>
                <w:highlight w:val="none"/>
                <w:lang w:val="en-US" w:eastAsia="zh-CN"/>
              </w:rPr>
              <w:t>。</w:t>
            </w:r>
          </w:p>
          <w:p>
            <w:pPr>
              <w:pStyle w:val="106"/>
              <w:spacing w:line="240" w:lineRule="auto"/>
              <w:ind w:firstLine="481" w:firstLineChars="200"/>
              <w:jc w:val="both"/>
              <w:rPr>
                <w:rFonts w:hint="eastAsia" w:asciiTheme="majorEastAsia" w:hAnsiTheme="majorEastAsia" w:eastAsiaTheme="majorEastAsia" w:cstheme="majorEastAsia"/>
                <w:b/>
                <w:bCs/>
                <w:color w:val="auto"/>
                <w:kern w:val="2"/>
                <w:sz w:val="24"/>
                <w:szCs w:val="24"/>
                <w:highlight w:val="none"/>
                <w:lang w:val="en-US" w:eastAsia="zh-CN" w:bidi="ar-SA"/>
              </w:rPr>
            </w:pPr>
            <w:r>
              <w:rPr>
                <w:rFonts w:hint="eastAsia" w:asciiTheme="majorEastAsia" w:hAnsiTheme="majorEastAsia" w:eastAsiaTheme="majorEastAsia" w:cstheme="majorEastAsia"/>
                <w:b/>
                <w:bCs/>
                <w:color w:val="auto"/>
                <w:kern w:val="2"/>
                <w:sz w:val="24"/>
                <w:szCs w:val="24"/>
                <w:highlight w:val="none"/>
                <w:lang w:val="en-US" w:eastAsia="zh-CN" w:bidi="ar-SA"/>
              </w:rPr>
              <w:t>表</w:t>
            </w:r>
            <w:r>
              <w:rPr>
                <w:rFonts w:hint="eastAsia" w:ascii="Times New Roman" w:hAnsi="Times New Roman" w:cs="Times New Roman" w:eastAsiaTheme="majorEastAsia"/>
                <w:b/>
                <w:bCs/>
                <w:color w:val="auto"/>
                <w:kern w:val="2"/>
                <w:sz w:val="24"/>
                <w:szCs w:val="24"/>
                <w:highlight w:val="none"/>
                <w:lang w:val="en-US" w:eastAsia="zh-CN" w:bidi="ar-SA"/>
              </w:rPr>
              <w:t>2-2</w:t>
            </w:r>
            <w:r>
              <w:rPr>
                <w:rFonts w:hint="default" w:ascii="Times New Roman" w:hAnsi="Times New Roman" w:cs="Times New Roman" w:eastAsiaTheme="majorEastAsia"/>
                <w:b/>
                <w:bCs/>
                <w:color w:val="auto"/>
                <w:kern w:val="2"/>
                <w:sz w:val="24"/>
                <w:szCs w:val="24"/>
                <w:highlight w:val="none"/>
                <w:lang w:val="en-US" w:eastAsia="zh-CN" w:bidi="ar-SA"/>
              </w:rPr>
              <w:t xml:space="preserve">  </w:t>
            </w:r>
            <w:r>
              <w:rPr>
                <w:rFonts w:hint="eastAsia" w:asciiTheme="majorEastAsia" w:hAnsiTheme="majorEastAsia" w:eastAsiaTheme="majorEastAsia" w:cstheme="majorEastAsia"/>
                <w:b/>
                <w:bCs/>
                <w:color w:val="auto"/>
                <w:kern w:val="2"/>
                <w:sz w:val="24"/>
                <w:szCs w:val="24"/>
                <w:highlight w:val="none"/>
                <w:lang w:val="en-US" w:eastAsia="zh-CN" w:bidi="ar-SA"/>
              </w:rPr>
              <w:t xml:space="preserve">                 工程组成一览表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0"/>
              <w:gridCol w:w="616"/>
              <w:gridCol w:w="500"/>
              <w:gridCol w:w="700"/>
              <w:gridCol w:w="5117"/>
              <w:gridCol w:w="7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59" w:hRule="atLeast"/>
                <w:jc w:val="center"/>
              </w:trPr>
              <w:tc>
                <w:tcPr>
                  <w:tcW w:w="389" w:type="pct"/>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项目组成</w:t>
                  </w:r>
                </w:p>
              </w:tc>
              <w:tc>
                <w:tcPr>
                  <w:tcW w:w="1088" w:type="pct"/>
                  <w:gridSpan w:val="3"/>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3068" w:type="pct"/>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w:t>
                  </w:r>
                </w:p>
              </w:tc>
              <w:tc>
                <w:tcPr>
                  <w:tcW w:w="453" w:type="pct"/>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9" w:type="pct"/>
                  <w:vMerge w:val="restart"/>
                  <w:tcBorders>
                    <w:tl2br w:val="nil"/>
                    <w:tr2bl w:val="nil"/>
                  </w:tcBorders>
                  <w:noWrap w:val="0"/>
                  <w:vAlign w:val="center"/>
                </w:tcPr>
                <w:p>
                  <w:pPr>
                    <w:keepNext w:val="0"/>
                    <w:keepLines w:val="0"/>
                    <w:pageBreakBefore w:val="0"/>
                    <w:tabs>
                      <w:tab w:val="center" w:pos="290"/>
                    </w:tabs>
                    <w:kinsoku/>
                    <w:wordWrap/>
                    <w:overflowPunct/>
                    <w:topLinePunct w:val="0"/>
                    <w:bidi w:val="0"/>
                    <w:snapToGrid w:val="0"/>
                    <w:spacing w:line="240" w:lineRule="auto"/>
                    <w:ind w:left="0" w:leftChars="0" w:right="0" w:rightChars="0"/>
                    <w:contextualSpacing/>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主体工程</w:t>
                  </w:r>
                </w:p>
              </w:tc>
              <w:tc>
                <w:tcPr>
                  <w:tcW w:w="369"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风力发电机组</w:t>
                  </w:r>
                </w:p>
              </w:tc>
              <w:tc>
                <w:tcPr>
                  <w:tcW w:w="299"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风机</w:t>
                  </w:r>
                </w:p>
              </w:tc>
              <w:tc>
                <w:tcPr>
                  <w:tcW w:w="419"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规模</w:t>
                  </w:r>
                </w:p>
              </w:tc>
              <w:tc>
                <w:tcPr>
                  <w:tcW w:w="3068"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安装</w:t>
                  </w:r>
                  <w:r>
                    <w:rPr>
                      <w:rFonts w:hint="eastAsia" w:cs="Times New Roman"/>
                      <w:color w:val="auto"/>
                      <w:kern w:val="0"/>
                      <w:sz w:val="21"/>
                      <w:szCs w:val="21"/>
                      <w:highlight w:val="none"/>
                      <w:lang w:val="en-US" w:eastAsia="zh-CN"/>
                    </w:rPr>
                    <w:t>8</w:t>
                  </w:r>
                  <w:r>
                    <w:rPr>
                      <w:rFonts w:hint="default" w:ascii="Times New Roman" w:hAnsi="Times New Roman" w:eastAsia="宋体" w:cs="Times New Roman"/>
                      <w:color w:val="auto"/>
                      <w:kern w:val="0"/>
                      <w:sz w:val="21"/>
                      <w:szCs w:val="21"/>
                      <w:highlight w:val="none"/>
                      <w:lang w:val="en-US" w:eastAsia="zh-CN"/>
                    </w:rPr>
                    <w:t>台单机容量</w:t>
                  </w:r>
                  <w:r>
                    <w:rPr>
                      <w:rFonts w:hint="eastAsia" w:ascii="Times New Roman" w:hAnsi="Times New Roman" w:eastAsia="宋体" w:cs="Times New Roman"/>
                      <w:color w:val="auto"/>
                      <w:kern w:val="0"/>
                      <w:sz w:val="21"/>
                      <w:szCs w:val="21"/>
                      <w:highlight w:val="none"/>
                      <w:lang w:val="en-US" w:eastAsia="zh-CN"/>
                    </w:rPr>
                    <w:t>为</w:t>
                  </w:r>
                  <w:r>
                    <w:rPr>
                      <w:rFonts w:hint="eastAsia" w:cs="Times New Roman"/>
                      <w:color w:val="auto"/>
                      <w:kern w:val="0"/>
                      <w:sz w:val="21"/>
                      <w:szCs w:val="21"/>
                      <w:highlight w:val="none"/>
                      <w:lang w:val="en-US" w:eastAsia="zh-CN"/>
                    </w:rPr>
                    <w:t>6.25M</w:t>
                  </w:r>
                  <w:r>
                    <w:rPr>
                      <w:rFonts w:hint="default" w:ascii="Times New Roman" w:hAnsi="Times New Roman" w:eastAsia="宋体" w:cs="Times New Roman"/>
                      <w:b w:val="0"/>
                      <w:bCs w:val="0"/>
                      <w:color w:val="auto"/>
                      <w:sz w:val="21"/>
                      <w:szCs w:val="21"/>
                      <w:highlight w:val="none"/>
                      <w:lang w:val="en-US" w:eastAsia="zh-CN"/>
                    </w:rPr>
                    <w:t>W</w:t>
                  </w:r>
                  <w:r>
                    <w:rPr>
                      <w:rFonts w:hint="default" w:ascii="Times New Roman" w:hAnsi="Times New Roman" w:eastAsia="宋体" w:cs="Times New Roman"/>
                      <w:color w:val="auto"/>
                      <w:kern w:val="0"/>
                      <w:sz w:val="21"/>
                      <w:szCs w:val="21"/>
                      <w:highlight w:val="none"/>
                      <w:lang w:val="en-US" w:eastAsia="zh-CN"/>
                    </w:rPr>
                    <w:t>风力发电机</w:t>
                  </w:r>
                  <w:r>
                    <w:rPr>
                      <w:rFonts w:hint="eastAsia" w:ascii="Times New Roman" w:hAnsi="Times New Roman" w:eastAsia="宋体" w:cs="Times New Roman"/>
                      <w:color w:val="auto"/>
                      <w:kern w:val="0"/>
                      <w:sz w:val="21"/>
                      <w:szCs w:val="21"/>
                      <w:highlight w:val="none"/>
                      <w:lang w:val="en-US" w:eastAsia="zh-CN"/>
                    </w:rPr>
                    <w:t>组（其中1台限发至6.05MW），转轴类型为三叶片水平轴</w:t>
                  </w:r>
                  <w:r>
                    <w:rPr>
                      <w:rFonts w:hint="default" w:ascii="Times New Roman" w:hAnsi="Times New Roman" w:eastAsia="宋体" w:cs="Times New Roman"/>
                      <w:color w:val="auto"/>
                      <w:kern w:val="0"/>
                      <w:sz w:val="21"/>
                      <w:szCs w:val="21"/>
                      <w:highlight w:val="none"/>
                      <w:lang w:val="en-US" w:eastAsia="zh-CN"/>
                    </w:rPr>
                    <w:t>，风轮</w:t>
                  </w:r>
                  <w:r>
                    <w:rPr>
                      <w:rFonts w:hint="default" w:ascii="Times New Roman" w:hAnsi="Times New Roman" w:eastAsia="宋体" w:cs="Times New Roman"/>
                      <w:color w:val="auto"/>
                      <w:sz w:val="21"/>
                      <w:szCs w:val="21"/>
                      <w:highlight w:val="none"/>
                    </w:rPr>
                    <w:t>直径为</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20/200</w:t>
                  </w:r>
                  <w:r>
                    <w:rPr>
                      <w:rFonts w:hint="default" w:ascii="Times New Roman" w:hAnsi="Times New Roman" w:eastAsia="宋体" w:cs="Times New Roman"/>
                      <w:color w:val="auto"/>
                      <w:sz w:val="21"/>
                      <w:szCs w:val="21"/>
                      <w:highlight w:val="none"/>
                    </w:rPr>
                    <w:t>m，</w:t>
                  </w:r>
                  <w:r>
                    <w:rPr>
                      <w:rFonts w:hint="eastAsia" w:ascii="Times New Roman" w:hAnsi="Times New Roman" w:eastAsia="宋体" w:cs="Times New Roman"/>
                      <w:color w:val="auto"/>
                      <w:sz w:val="21"/>
                      <w:szCs w:val="21"/>
                      <w:highlight w:val="none"/>
                      <w:lang w:eastAsia="zh-CN"/>
                    </w:rPr>
                    <w:t>扫风面积</w:t>
                  </w:r>
                  <w:r>
                    <w:rPr>
                      <w:rFonts w:hint="default"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8012/31416</w:t>
                  </w:r>
                  <w:r>
                    <w:rPr>
                      <w:rFonts w:hint="default"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轮毂高度为</w:t>
                  </w: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5</w:t>
                  </w:r>
                  <w:r>
                    <w:rPr>
                      <w:rFonts w:hint="eastAsia" w:cs="Times New Roman"/>
                      <w:color w:val="auto"/>
                      <w:sz w:val="21"/>
                      <w:szCs w:val="21"/>
                      <w:highlight w:val="none"/>
                      <w:lang w:val="en-US" w:eastAsia="zh-CN"/>
                    </w:rPr>
                    <w:t>/115</w:t>
                  </w:r>
                  <w:r>
                    <w:rPr>
                      <w:rFonts w:hint="default" w:ascii="Times New Roman" w:hAnsi="Times New Roman" w:eastAsia="宋体" w:cs="Times New Roman"/>
                      <w:color w:val="auto"/>
                      <w:sz w:val="21"/>
                      <w:szCs w:val="21"/>
                      <w:highlight w:val="none"/>
                    </w:rPr>
                    <w:t>m，额定功率为</w:t>
                  </w:r>
                  <w:r>
                    <w:rPr>
                      <w:rFonts w:hint="eastAsia" w:cs="Times New Roman"/>
                      <w:color w:val="auto"/>
                      <w:sz w:val="21"/>
                      <w:szCs w:val="21"/>
                      <w:highlight w:val="none"/>
                      <w:lang w:val="en-US" w:eastAsia="zh-CN"/>
                    </w:rPr>
                    <w:t>6250</w:t>
                  </w:r>
                  <w:r>
                    <w:rPr>
                      <w:rFonts w:hint="default" w:ascii="Times New Roman" w:hAnsi="Times New Roman" w:eastAsia="宋体" w:cs="Times New Roman"/>
                      <w:color w:val="auto"/>
                      <w:sz w:val="21"/>
                      <w:szCs w:val="21"/>
                      <w:highlight w:val="none"/>
                      <w:lang w:val="en-US" w:eastAsia="zh-CN"/>
                    </w:rPr>
                    <w:t>KW</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额定</w:t>
                  </w:r>
                  <w:r>
                    <w:rPr>
                      <w:rFonts w:hint="default" w:ascii="Times New Roman" w:hAnsi="Times New Roman" w:eastAsia="宋体" w:cs="Times New Roman"/>
                      <w:color w:val="auto"/>
                      <w:sz w:val="21"/>
                      <w:szCs w:val="21"/>
                      <w:highlight w:val="none"/>
                      <w:lang w:val="en-US" w:eastAsia="zh-CN"/>
                    </w:rPr>
                    <w:t>风速为</w:t>
                  </w:r>
                  <w:r>
                    <w:rPr>
                      <w:rFonts w:hint="eastAsia" w:cs="Times New Roman"/>
                      <w:color w:val="auto"/>
                      <w:sz w:val="21"/>
                      <w:szCs w:val="21"/>
                      <w:highlight w:val="none"/>
                      <w:lang w:val="en-US" w:eastAsia="zh-CN"/>
                    </w:rPr>
                    <w:t>10.2</w:t>
                  </w:r>
                  <w:r>
                    <w:rPr>
                      <w:rFonts w:hint="default" w:ascii="Times New Roman" w:hAnsi="Times New Roman" w:eastAsia="宋体" w:cs="Times New Roman"/>
                      <w:color w:val="auto"/>
                      <w:sz w:val="21"/>
                      <w:szCs w:val="21"/>
                      <w:highlight w:val="none"/>
                      <w:lang w:val="en-US" w:eastAsia="zh-CN"/>
                    </w:rPr>
                    <w:t>/10.5m/s，</w:t>
                  </w:r>
                  <w:r>
                    <w:rPr>
                      <w:rFonts w:hint="default" w:ascii="Times New Roman" w:hAnsi="Times New Roman" w:eastAsia="宋体" w:cs="Times New Roman"/>
                      <w:color w:val="auto"/>
                      <w:sz w:val="21"/>
                      <w:szCs w:val="21"/>
                      <w:highlight w:val="none"/>
                    </w:rPr>
                    <w:t>塔架形式采用锥形筒状（内设爬梯、爬升助力及防跌落保护设施）</w:t>
                  </w:r>
                  <w:r>
                    <w:rPr>
                      <w:rFonts w:hint="default" w:ascii="Times New Roman" w:hAnsi="Times New Roman" w:eastAsia="宋体" w:cs="Times New Roman"/>
                      <w:color w:val="auto"/>
                      <w:sz w:val="21"/>
                      <w:szCs w:val="21"/>
                      <w:highlight w:val="none"/>
                      <w:lang w:eastAsia="zh-CN"/>
                    </w:rPr>
                    <w:t>。</w:t>
                  </w:r>
                </w:p>
              </w:tc>
              <w:tc>
                <w:tcPr>
                  <w:tcW w:w="453"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9" w:type="pct"/>
                  <w:vMerge w:val="continue"/>
                  <w:tcBorders>
                    <w:tl2br w:val="nil"/>
                    <w:tr2bl w:val="nil"/>
                  </w:tcBorders>
                  <w:noWrap w:val="0"/>
                  <w:vAlign w:val="center"/>
                </w:tcPr>
                <w:p>
                  <w:pPr>
                    <w:keepNext w:val="0"/>
                    <w:keepLines w:val="0"/>
                    <w:pageBreakBefore w:val="0"/>
                    <w:tabs>
                      <w:tab w:val="center" w:pos="290"/>
                    </w:tabs>
                    <w:kinsoku/>
                    <w:wordWrap/>
                    <w:overflowPunct/>
                    <w:topLinePunct w:val="0"/>
                    <w:bidi w:val="0"/>
                    <w:snapToGrid w:val="0"/>
                    <w:spacing w:line="240" w:lineRule="auto"/>
                    <w:ind w:left="0" w:leftChars="0" w:right="0" w:rightChars="0"/>
                    <w:contextualSpacing/>
                    <w:textAlignment w:val="auto"/>
                    <w:rPr>
                      <w:rFonts w:hint="default" w:ascii="Times New Roman" w:hAnsi="Times New Roman" w:eastAsia="宋体" w:cs="Times New Roman"/>
                      <w:b/>
                      <w:color w:val="auto"/>
                      <w:sz w:val="21"/>
                      <w:szCs w:val="21"/>
                      <w:highlight w:val="none"/>
                    </w:rPr>
                  </w:pPr>
                </w:p>
              </w:tc>
              <w:tc>
                <w:tcPr>
                  <w:tcW w:w="369" w:type="pct"/>
                  <w:vMerge w:val="continue"/>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color w:val="auto"/>
                      <w:sz w:val="21"/>
                      <w:szCs w:val="21"/>
                      <w:highlight w:val="none"/>
                    </w:rPr>
                  </w:pPr>
                </w:p>
              </w:tc>
              <w:tc>
                <w:tcPr>
                  <w:tcW w:w="299"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19"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w:t>
                  </w:r>
                </w:p>
              </w:tc>
              <w:tc>
                <w:tcPr>
                  <w:tcW w:w="3068" w:type="pct"/>
                  <w:tcBorders>
                    <w:tl2br w:val="nil"/>
                    <w:tr2bl w:val="nil"/>
                  </w:tcBorders>
                  <w:noWrap w:val="0"/>
                  <w:vAlign w:val="center"/>
                </w:tcPr>
                <w:p>
                  <w:pPr>
                    <w:keepNext w:val="0"/>
                    <w:keepLines w:val="0"/>
                    <w:widowControl/>
                    <w:suppressLineNumbers w:val="0"/>
                    <w:jc w:val="left"/>
                    <w:rPr>
                      <w:rFonts w:hint="default"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风电机组基础采用</w:t>
                  </w:r>
                  <w:r>
                    <w:rPr>
                      <w:rFonts w:hint="eastAsia" w:cs="Times New Roman"/>
                      <w:color w:val="auto"/>
                      <w:kern w:val="0"/>
                      <w:sz w:val="21"/>
                      <w:szCs w:val="21"/>
                      <w:highlight w:val="none"/>
                      <w:lang w:val="en-US" w:eastAsia="zh-CN"/>
                    </w:rPr>
                    <w:t>现浇钢筋混凝土桩基础，塔筒和基础采用预应力锚栓组合件连接方式</w:t>
                  </w:r>
                  <w:r>
                    <w:rPr>
                      <w:rFonts w:hint="default"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4台6.25MW</w:t>
                  </w:r>
                  <w:r>
                    <w:rPr>
                      <w:rFonts w:hint="default" w:cs="Times New Roman"/>
                      <w:color w:val="auto"/>
                      <w:kern w:val="0"/>
                      <w:sz w:val="21"/>
                      <w:szCs w:val="21"/>
                      <w:highlight w:val="none"/>
                      <w:lang w:val="en-US" w:eastAsia="zh-CN"/>
                    </w:rPr>
                    <w:t>风机基础承台采用</w:t>
                  </w:r>
                  <w:r>
                    <w:rPr>
                      <w:rFonts w:hint="eastAsia" w:cs="Times New Roman"/>
                      <w:color w:val="auto"/>
                      <w:kern w:val="0"/>
                      <w:sz w:val="21"/>
                      <w:szCs w:val="21"/>
                      <w:highlight w:val="none"/>
                      <w:lang w:val="en-US" w:eastAsia="zh-CN"/>
                    </w:rPr>
                    <w:t>圆形扩展天然地基基础形式：</w:t>
                  </w:r>
                  <w:r>
                    <w:rPr>
                      <w:rFonts w:hint="default" w:cs="Times New Roman"/>
                      <w:color w:val="auto"/>
                      <w:kern w:val="0"/>
                      <w:sz w:val="21"/>
                      <w:szCs w:val="21"/>
                      <w:highlight w:val="none"/>
                      <w:lang w:val="en-US" w:eastAsia="zh-CN"/>
                    </w:rPr>
                    <w:t xml:space="preserve"> C</w:t>
                  </w:r>
                  <w:r>
                    <w:rPr>
                      <w:rFonts w:hint="eastAsia" w:cs="Times New Roman"/>
                      <w:color w:val="auto"/>
                      <w:kern w:val="0"/>
                      <w:sz w:val="21"/>
                      <w:szCs w:val="21"/>
                      <w:highlight w:val="none"/>
                      <w:lang w:val="en-US" w:eastAsia="zh-CN"/>
                    </w:rPr>
                    <w:t>20</w:t>
                  </w:r>
                  <w:r>
                    <w:rPr>
                      <w:rFonts w:hint="default" w:cs="Times New Roman"/>
                      <w:color w:val="auto"/>
                      <w:kern w:val="0"/>
                      <w:sz w:val="21"/>
                      <w:szCs w:val="21"/>
                      <w:highlight w:val="none"/>
                      <w:lang w:val="en-US" w:eastAsia="zh-CN"/>
                    </w:rPr>
                    <w:t xml:space="preserve"> 混凝土，底面直径为 2</w:t>
                  </w:r>
                  <w:r>
                    <w:rPr>
                      <w:rFonts w:hint="eastAsia" w:cs="Times New Roman"/>
                      <w:color w:val="auto"/>
                      <w:kern w:val="0"/>
                      <w:sz w:val="21"/>
                      <w:szCs w:val="21"/>
                      <w:highlight w:val="none"/>
                      <w:lang w:val="en-US" w:eastAsia="zh-CN"/>
                    </w:rPr>
                    <w:t>3.6</w:t>
                  </w:r>
                  <w:r>
                    <w:rPr>
                      <w:rFonts w:hint="default" w:cs="Times New Roman"/>
                      <w:color w:val="auto"/>
                      <w:kern w:val="0"/>
                      <w:sz w:val="21"/>
                      <w:szCs w:val="21"/>
                      <w:highlight w:val="none"/>
                      <w:lang w:val="en-US" w:eastAsia="zh-CN"/>
                    </w:rPr>
                    <w:t>m，埋深为</w:t>
                  </w:r>
                  <w:r>
                    <w:rPr>
                      <w:rFonts w:hint="eastAsia" w:cs="Times New Roman"/>
                      <w:color w:val="auto"/>
                      <w:kern w:val="0"/>
                      <w:sz w:val="21"/>
                      <w:szCs w:val="21"/>
                      <w:highlight w:val="none"/>
                      <w:lang w:val="en-US" w:eastAsia="zh-CN"/>
                    </w:rPr>
                    <w:t>4.0</w:t>
                  </w:r>
                  <w:r>
                    <w:rPr>
                      <w:rFonts w:hint="default" w:cs="Times New Roman"/>
                      <w:color w:val="auto"/>
                      <w:kern w:val="0"/>
                      <w:sz w:val="21"/>
                      <w:szCs w:val="21"/>
                      <w:highlight w:val="none"/>
                      <w:lang w:val="en-US" w:eastAsia="zh-CN"/>
                    </w:rPr>
                    <w:t xml:space="preserve">0m，台柱直径 </w:t>
                  </w:r>
                  <w:r>
                    <w:rPr>
                      <w:rFonts w:hint="eastAsia" w:cs="Times New Roman"/>
                      <w:color w:val="auto"/>
                      <w:kern w:val="0"/>
                      <w:sz w:val="21"/>
                      <w:szCs w:val="21"/>
                      <w:highlight w:val="none"/>
                      <w:lang w:val="en-US" w:eastAsia="zh-CN"/>
                    </w:rPr>
                    <w:t>7.0</w:t>
                  </w:r>
                  <w:r>
                    <w:rPr>
                      <w:rFonts w:hint="default" w:cs="Times New Roman"/>
                      <w:color w:val="auto"/>
                      <w:kern w:val="0"/>
                      <w:sz w:val="21"/>
                      <w:szCs w:val="21"/>
                      <w:highlight w:val="none"/>
                      <w:lang w:val="en-US" w:eastAsia="zh-CN"/>
                    </w:rPr>
                    <w:t>m，顶面高于周围地面 0.</w:t>
                  </w:r>
                  <w:r>
                    <w:rPr>
                      <w:rFonts w:hint="eastAsia" w:cs="Times New Roman"/>
                      <w:color w:val="auto"/>
                      <w:kern w:val="0"/>
                      <w:sz w:val="21"/>
                      <w:szCs w:val="21"/>
                      <w:highlight w:val="none"/>
                      <w:lang w:val="en-US" w:eastAsia="zh-CN"/>
                    </w:rPr>
                    <w:t>9</w:t>
                  </w:r>
                  <w:r>
                    <w:rPr>
                      <w:rFonts w:hint="default" w:cs="Times New Roman"/>
                      <w:color w:val="auto"/>
                      <w:kern w:val="0"/>
                      <w:sz w:val="21"/>
                      <w:szCs w:val="21"/>
                      <w:highlight w:val="none"/>
                      <w:lang w:val="en-US" w:eastAsia="zh-CN"/>
                    </w:rPr>
                    <w:t>m。</w:t>
                  </w:r>
                  <w:r>
                    <w:rPr>
                      <w:rFonts w:hint="eastAsia" w:cs="Times New Roman"/>
                      <w:color w:val="auto"/>
                      <w:kern w:val="0"/>
                      <w:sz w:val="21"/>
                      <w:szCs w:val="21"/>
                      <w:highlight w:val="none"/>
                      <w:lang w:val="en-US" w:eastAsia="zh-CN"/>
                    </w:rPr>
                    <w:t>4台6.25MW</w:t>
                  </w:r>
                  <w:r>
                    <w:rPr>
                      <w:rFonts w:hint="default" w:cs="Times New Roman"/>
                      <w:color w:val="auto"/>
                      <w:kern w:val="0"/>
                      <w:sz w:val="21"/>
                      <w:szCs w:val="21"/>
                      <w:highlight w:val="none"/>
                      <w:lang w:val="en-US" w:eastAsia="zh-CN"/>
                    </w:rPr>
                    <w:t>风机基础承台采用</w:t>
                  </w:r>
                  <w:r>
                    <w:rPr>
                      <w:rFonts w:hint="eastAsia" w:cs="Times New Roman"/>
                      <w:color w:val="auto"/>
                      <w:kern w:val="0"/>
                      <w:sz w:val="21"/>
                      <w:szCs w:val="21"/>
                      <w:highlight w:val="none"/>
                      <w:lang w:val="en-US" w:eastAsia="zh-CN"/>
                    </w:rPr>
                    <w:t>扩底灌注桩基础形式：</w:t>
                  </w:r>
                  <w:r>
                    <w:rPr>
                      <w:rFonts w:hint="default" w:cs="Times New Roman"/>
                      <w:color w:val="auto"/>
                      <w:kern w:val="0"/>
                      <w:sz w:val="21"/>
                      <w:szCs w:val="21"/>
                      <w:highlight w:val="none"/>
                      <w:lang w:val="en-US" w:eastAsia="zh-CN"/>
                    </w:rPr>
                    <w:t xml:space="preserve"> C</w:t>
                  </w:r>
                  <w:r>
                    <w:rPr>
                      <w:rFonts w:hint="eastAsia" w:cs="Times New Roman"/>
                      <w:color w:val="auto"/>
                      <w:kern w:val="0"/>
                      <w:sz w:val="21"/>
                      <w:szCs w:val="21"/>
                      <w:highlight w:val="none"/>
                      <w:lang w:val="en-US" w:eastAsia="zh-CN"/>
                    </w:rPr>
                    <w:t>20</w:t>
                  </w:r>
                  <w:r>
                    <w:rPr>
                      <w:rFonts w:hint="default" w:cs="Times New Roman"/>
                      <w:color w:val="auto"/>
                      <w:kern w:val="0"/>
                      <w:sz w:val="21"/>
                      <w:szCs w:val="21"/>
                      <w:highlight w:val="none"/>
                      <w:lang w:val="en-US" w:eastAsia="zh-CN"/>
                    </w:rPr>
                    <w:t xml:space="preserve"> 混凝土，底面直径为 2</w:t>
                  </w:r>
                  <w:r>
                    <w:rPr>
                      <w:rFonts w:hint="eastAsia" w:cs="Times New Roman"/>
                      <w:color w:val="auto"/>
                      <w:kern w:val="0"/>
                      <w:sz w:val="21"/>
                      <w:szCs w:val="21"/>
                      <w:highlight w:val="none"/>
                      <w:lang w:val="en-US" w:eastAsia="zh-CN"/>
                    </w:rPr>
                    <w:t>0</w:t>
                  </w:r>
                  <w:r>
                    <w:rPr>
                      <w:rFonts w:hint="default" w:cs="Times New Roman"/>
                      <w:color w:val="auto"/>
                      <w:kern w:val="0"/>
                      <w:sz w:val="21"/>
                      <w:szCs w:val="21"/>
                      <w:highlight w:val="none"/>
                      <w:lang w:val="en-US" w:eastAsia="zh-CN"/>
                    </w:rPr>
                    <w:t>m，埋深为</w:t>
                  </w:r>
                  <w:r>
                    <w:rPr>
                      <w:rFonts w:hint="eastAsia" w:cs="Times New Roman"/>
                      <w:color w:val="auto"/>
                      <w:kern w:val="0"/>
                      <w:sz w:val="21"/>
                      <w:szCs w:val="21"/>
                      <w:highlight w:val="none"/>
                      <w:lang w:val="en-US" w:eastAsia="zh-CN"/>
                    </w:rPr>
                    <w:t>3.50</w:t>
                  </w:r>
                  <w:r>
                    <w:rPr>
                      <w:rFonts w:hint="default" w:cs="Times New Roman"/>
                      <w:color w:val="auto"/>
                      <w:kern w:val="0"/>
                      <w:sz w:val="21"/>
                      <w:szCs w:val="21"/>
                      <w:highlight w:val="none"/>
                      <w:lang w:val="en-US" w:eastAsia="zh-CN"/>
                    </w:rPr>
                    <w:t xml:space="preserve">m，台柱直径 </w:t>
                  </w:r>
                  <w:r>
                    <w:rPr>
                      <w:rFonts w:hint="eastAsia" w:cs="Times New Roman"/>
                      <w:color w:val="auto"/>
                      <w:kern w:val="0"/>
                      <w:sz w:val="21"/>
                      <w:szCs w:val="21"/>
                      <w:highlight w:val="none"/>
                      <w:lang w:val="en-US" w:eastAsia="zh-CN"/>
                    </w:rPr>
                    <w:t>7.0</w:t>
                  </w:r>
                  <w:r>
                    <w:rPr>
                      <w:rFonts w:hint="default" w:cs="Times New Roman"/>
                      <w:color w:val="auto"/>
                      <w:kern w:val="0"/>
                      <w:sz w:val="21"/>
                      <w:szCs w:val="21"/>
                      <w:highlight w:val="none"/>
                      <w:lang w:val="en-US" w:eastAsia="zh-CN"/>
                    </w:rPr>
                    <w:t xml:space="preserve">m，顶面高于周围地面 </w:t>
                  </w:r>
                  <w:r>
                    <w:rPr>
                      <w:rFonts w:hint="eastAsia" w:cs="Times New Roman"/>
                      <w:color w:val="auto"/>
                      <w:kern w:val="0"/>
                      <w:sz w:val="21"/>
                      <w:szCs w:val="21"/>
                      <w:highlight w:val="none"/>
                      <w:lang w:val="en-US" w:eastAsia="zh-CN"/>
                    </w:rPr>
                    <w:t>1.5</w:t>
                  </w:r>
                  <w:r>
                    <w:rPr>
                      <w:rFonts w:hint="default" w:cs="Times New Roman"/>
                      <w:color w:val="auto"/>
                      <w:kern w:val="0"/>
                      <w:sz w:val="21"/>
                      <w:szCs w:val="21"/>
                      <w:highlight w:val="none"/>
                      <w:lang w:val="en-US" w:eastAsia="zh-CN"/>
                    </w:rPr>
                    <w:t>m。</w:t>
                  </w:r>
                  <w:r>
                    <w:rPr>
                      <w:rFonts w:hint="eastAsia" w:cs="Times New Roman"/>
                      <w:color w:val="auto"/>
                      <w:kern w:val="0"/>
                      <w:sz w:val="21"/>
                      <w:szCs w:val="21"/>
                      <w:highlight w:val="none"/>
                      <w:lang w:val="en-US" w:eastAsia="zh-CN"/>
                    </w:rPr>
                    <w:t>每台风机占地450m</w:t>
                  </w:r>
                  <w:r>
                    <w:rPr>
                      <w:rFonts w:hint="eastAsia" w:cs="Times New Roman"/>
                      <w:color w:val="auto"/>
                      <w:kern w:val="0"/>
                      <w:sz w:val="21"/>
                      <w:szCs w:val="21"/>
                      <w:highlight w:val="none"/>
                      <w:vertAlign w:val="superscript"/>
                      <w:lang w:val="en-US" w:eastAsia="zh-CN"/>
                    </w:rPr>
                    <w:t>2</w:t>
                  </w:r>
                  <w:r>
                    <w:rPr>
                      <w:rFonts w:hint="eastAsia" w:cs="Times New Roman"/>
                      <w:color w:val="auto"/>
                      <w:kern w:val="0"/>
                      <w:sz w:val="21"/>
                      <w:szCs w:val="21"/>
                      <w:highlight w:val="none"/>
                      <w:lang w:val="en-US" w:eastAsia="zh-CN"/>
                    </w:rPr>
                    <w:t>。</w:t>
                  </w:r>
                </w:p>
              </w:tc>
              <w:tc>
                <w:tcPr>
                  <w:tcW w:w="453" w:type="pct"/>
                  <w:tcBorders>
                    <w:tl2br w:val="nil"/>
                    <w:tr2bl w:val="nil"/>
                  </w:tcBorders>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9" w:type="pct"/>
                  <w:vMerge w:val="continue"/>
                  <w:tcBorders>
                    <w:tl2br w:val="nil"/>
                    <w:tr2bl w:val="nil"/>
                  </w:tcBorders>
                  <w:noWrap w:val="0"/>
                  <w:vAlign w:val="center"/>
                </w:tcPr>
                <w:p>
                  <w:pPr>
                    <w:keepNext w:val="0"/>
                    <w:keepLines w:val="0"/>
                    <w:pageBreakBefore w:val="0"/>
                    <w:tabs>
                      <w:tab w:val="center" w:pos="290"/>
                    </w:tabs>
                    <w:kinsoku/>
                    <w:wordWrap/>
                    <w:overflowPunct/>
                    <w:topLinePunct w:val="0"/>
                    <w:bidi w:val="0"/>
                    <w:snapToGrid w:val="0"/>
                    <w:spacing w:line="240" w:lineRule="auto"/>
                    <w:ind w:left="0" w:leftChars="0" w:right="0" w:rightChars="0"/>
                    <w:contextualSpacing/>
                    <w:textAlignment w:val="auto"/>
                    <w:rPr>
                      <w:rFonts w:hint="default" w:ascii="Times New Roman" w:hAnsi="Times New Roman" w:eastAsia="宋体" w:cs="Times New Roman"/>
                      <w:b/>
                      <w:color w:val="auto"/>
                      <w:sz w:val="21"/>
                      <w:szCs w:val="21"/>
                      <w:highlight w:val="none"/>
                    </w:rPr>
                  </w:pPr>
                </w:p>
              </w:tc>
              <w:tc>
                <w:tcPr>
                  <w:tcW w:w="369" w:type="pct"/>
                  <w:vMerge w:val="continue"/>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color w:val="auto"/>
                      <w:sz w:val="21"/>
                      <w:szCs w:val="21"/>
                      <w:highlight w:val="none"/>
                    </w:rPr>
                  </w:pPr>
                </w:p>
              </w:tc>
              <w:tc>
                <w:tcPr>
                  <w:tcW w:w="299"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箱式变压器</w:t>
                  </w:r>
                </w:p>
              </w:tc>
              <w:tc>
                <w:tcPr>
                  <w:tcW w:w="419"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规模</w:t>
                  </w:r>
                </w:p>
              </w:tc>
              <w:tc>
                <w:tcPr>
                  <w:tcW w:w="3068" w:type="pct"/>
                  <w:tcBorders>
                    <w:tl2br w:val="nil"/>
                    <w:tr2bl w:val="nil"/>
                  </w:tcBorders>
                  <w:noWrap w:val="0"/>
                  <w:vAlign w:val="center"/>
                </w:tcPr>
                <w:p>
                  <w:pPr>
                    <w:keepNext w:val="0"/>
                    <w:keepLines w:val="0"/>
                    <w:widowControl/>
                    <w:suppressLineNumbers w:val="0"/>
                    <w:jc w:val="left"/>
                    <w:rPr>
                      <w:rFonts w:hint="default"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本风电场按照一机一变设计</w:t>
                  </w:r>
                  <w:r>
                    <w:rPr>
                      <w:rFonts w:hint="eastAsia" w:cs="Times New Roman"/>
                      <w:color w:val="auto"/>
                      <w:kern w:val="0"/>
                      <w:sz w:val="21"/>
                      <w:szCs w:val="21"/>
                      <w:highlight w:val="none"/>
                      <w:lang w:val="en-US" w:eastAsia="zh-CN"/>
                    </w:rPr>
                    <w:t>，变压器数量为8台，</w:t>
                  </w:r>
                  <w:r>
                    <w:rPr>
                      <w:rFonts w:hint="default" w:cs="Times New Roman"/>
                      <w:color w:val="auto"/>
                      <w:kern w:val="0"/>
                      <w:sz w:val="21"/>
                      <w:szCs w:val="21"/>
                      <w:highlight w:val="none"/>
                      <w:lang w:val="en-US" w:eastAsia="zh-CN"/>
                    </w:rPr>
                    <w:t>本期风电场箱变选用</w:t>
                  </w:r>
                  <w:r>
                    <w:rPr>
                      <w:rFonts w:hint="eastAsia" w:cs="Times New Roman"/>
                      <w:color w:val="auto"/>
                      <w:kern w:val="0"/>
                      <w:sz w:val="21"/>
                      <w:szCs w:val="21"/>
                      <w:highlight w:val="none"/>
                      <w:lang w:val="en-US" w:eastAsia="zh-CN"/>
                    </w:rPr>
                    <w:t>7000kVA欧式三相双绕组箱式干式变压器</w:t>
                  </w:r>
                  <w:r>
                    <w:rPr>
                      <w:rFonts w:hint="default"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额定电压：38.5kV(高压侧)，1.14kV (低压侧)，箱式变电站的变压器高压开关采用断路器，额定电压：40.5kV。箱变安装位置应处于风机与最近杆位的连接线上，距风机15m左右，现场应依照实际地理环境择优选择箱变的安装位置，合理避开不适宜箱变安装的地点，箱变高压侧指向终端杆，低压侧指向风机。</w:t>
                  </w:r>
                </w:p>
              </w:tc>
              <w:tc>
                <w:tcPr>
                  <w:tcW w:w="453" w:type="pct"/>
                  <w:tcBorders>
                    <w:tl2br w:val="nil"/>
                    <w:tr2bl w:val="nil"/>
                  </w:tcBorders>
                  <w:noWrap w:val="0"/>
                  <w:vAlign w:val="center"/>
                </w:tcPr>
                <w:p>
                  <w:pPr>
                    <w:keepNext w:val="0"/>
                    <w:keepLines w:val="0"/>
                    <w:widowControl/>
                    <w:suppressLineNumbers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9" w:type="pct"/>
                  <w:vMerge w:val="continue"/>
                  <w:tcBorders>
                    <w:tl2br w:val="nil"/>
                    <w:tr2bl w:val="nil"/>
                  </w:tcBorders>
                  <w:noWrap w:val="0"/>
                  <w:vAlign w:val="center"/>
                </w:tcPr>
                <w:p>
                  <w:pPr>
                    <w:keepNext w:val="0"/>
                    <w:keepLines w:val="0"/>
                    <w:pageBreakBefore w:val="0"/>
                    <w:tabs>
                      <w:tab w:val="center" w:pos="290"/>
                    </w:tabs>
                    <w:kinsoku/>
                    <w:wordWrap/>
                    <w:overflowPunct/>
                    <w:topLinePunct w:val="0"/>
                    <w:bidi w:val="0"/>
                    <w:snapToGrid w:val="0"/>
                    <w:spacing w:line="240" w:lineRule="auto"/>
                    <w:ind w:left="0" w:leftChars="0" w:right="0" w:rightChars="0"/>
                    <w:contextualSpacing/>
                    <w:textAlignment w:val="auto"/>
                    <w:rPr>
                      <w:rFonts w:hint="default" w:ascii="Times New Roman" w:hAnsi="Times New Roman" w:eastAsia="宋体" w:cs="Times New Roman"/>
                      <w:b/>
                      <w:color w:val="auto"/>
                      <w:sz w:val="21"/>
                      <w:szCs w:val="21"/>
                      <w:highlight w:val="none"/>
                    </w:rPr>
                  </w:pPr>
                </w:p>
              </w:tc>
              <w:tc>
                <w:tcPr>
                  <w:tcW w:w="369" w:type="pct"/>
                  <w:vMerge w:val="continue"/>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color w:val="auto"/>
                      <w:sz w:val="21"/>
                      <w:szCs w:val="21"/>
                      <w:highlight w:val="none"/>
                    </w:rPr>
                  </w:pPr>
                </w:p>
              </w:tc>
              <w:tc>
                <w:tcPr>
                  <w:tcW w:w="299" w:type="pct"/>
                  <w:vMerge w:val="continue"/>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419"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w:t>
                  </w:r>
                </w:p>
              </w:tc>
              <w:tc>
                <w:tcPr>
                  <w:tcW w:w="30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箱式变压器基础</w:t>
                  </w:r>
                  <w:r>
                    <w:rPr>
                      <w:rFonts w:hint="default" w:ascii="Times New Roman" w:hAnsi="Times New Roman" w:eastAsia="宋体" w:cs="Times New Roman"/>
                      <w:color w:val="auto"/>
                      <w:sz w:val="21"/>
                      <w:szCs w:val="21"/>
                      <w:highlight w:val="none"/>
                      <w:lang w:eastAsia="zh-CN"/>
                    </w:rPr>
                    <w:t>采用</w:t>
                  </w:r>
                  <w:r>
                    <w:rPr>
                      <w:rFonts w:hint="default" w:ascii="Times New Roman" w:hAnsi="Times New Roman" w:eastAsia="宋体" w:cs="Times New Roman"/>
                      <w:color w:val="auto"/>
                      <w:kern w:val="0"/>
                      <w:sz w:val="21"/>
                      <w:szCs w:val="21"/>
                      <w:highlight w:val="none"/>
                      <w:lang w:val="en-US" w:eastAsia="zh-CN" w:bidi="ar"/>
                    </w:rPr>
                    <w:t>钢筋混凝土箱式基础</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箱变基础尺寸6.5m×4.5m×1.8m，壁厚均为250mm，基础高出场地0.30m，基础混凝土采用C30或C35，垫层采用C20</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kern w:val="0"/>
                      <w:sz w:val="21"/>
                      <w:szCs w:val="21"/>
                      <w:highlight w:val="none"/>
                      <w:lang w:val="en-US" w:eastAsia="zh-CN"/>
                    </w:rPr>
                    <w:t>每台箱变占地26m</w:t>
                  </w:r>
                  <w:r>
                    <w:rPr>
                      <w:rFonts w:hint="eastAsia" w:cs="Times New Roman"/>
                      <w:color w:val="auto"/>
                      <w:kern w:val="0"/>
                      <w:sz w:val="21"/>
                      <w:szCs w:val="21"/>
                      <w:highlight w:val="none"/>
                      <w:vertAlign w:val="superscript"/>
                      <w:lang w:val="en-US" w:eastAsia="zh-CN"/>
                    </w:rPr>
                    <w:t>2</w:t>
                  </w:r>
                  <w:r>
                    <w:rPr>
                      <w:rFonts w:hint="eastAsia" w:cs="Times New Roman"/>
                      <w:color w:val="auto"/>
                      <w:kern w:val="0"/>
                      <w:sz w:val="21"/>
                      <w:szCs w:val="21"/>
                      <w:highlight w:val="none"/>
                      <w:lang w:val="en-US" w:eastAsia="zh-CN"/>
                    </w:rPr>
                    <w:t>。</w:t>
                  </w: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9" w:type="pct"/>
                  <w:vMerge w:val="continue"/>
                  <w:tcBorders>
                    <w:tl2br w:val="nil"/>
                    <w:tr2bl w:val="nil"/>
                  </w:tcBorders>
                  <w:noWrap w:val="0"/>
                  <w:vAlign w:val="center"/>
                </w:tcPr>
                <w:p>
                  <w:pPr>
                    <w:keepNext w:val="0"/>
                    <w:keepLines w:val="0"/>
                    <w:pageBreakBefore w:val="0"/>
                    <w:tabs>
                      <w:tab w:val="center" w:pos="290"/>
                    </w:tabs>
                    <w:kinsoku/>
                    <w:wordWrap/>
                    <w:overflowPunct/>
                    <w:topLinePunct w:val="0"/>
                    <w:bidi w:val="0"/>
                    <w:snapToGrid w:val="0"/>
                    <w:spacing w:line="240" w:lineRule="auto"/>
                    <w:ind w:left="0" w:leftChars="0" w:right="0" w:rightChars="0"/>
                    <w:contextualSpacing/>
                    <w:textAlignment w:val="auto"/>
                    <w:rPr>
                      <w:rFonts w:hint="default" w:ascii="Times New Roman" w:hAnsi="Times New Roman" w:eastAsia="宋体" w:cs="Times New Roman"/>
                      <w:b/>
                      <w:color w:val="auto"/>
                      <w:sz w:val="21"/>
                      <w:szCs w:val="21"/>
                      <w:highlight w:val="none"/>
                    </w:rPr>
                  </w:pPr>
                </w:p>
              </w:tc>
              <w:tc>
                <w:tcPr>
                  <w:tcW w:w="369" w:type="pct"/>
                  <w:vMerge w:val="restart"/>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集电线路</w:t>
                  </w:r>
                </w:p>
              </w:tc>
              <w:tc>
                <w:tcPr>
                  <w:tcW w:w="299" w:type="pct"/>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35kV场内集电线路</w:t>
                  </w:r>
                </w:p>
              </w:tc>
              <w:tc>
                <w:tcPr>
                  <w:tcW w:w="419"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规模</w:t>
                  </w:r>
                </w:p>
              </w:tc>
              <w:tc>
                <w:tcPr>
                  <w:tcW w:w="30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both"/>
                    <w:textAlignment w:val="auto"/>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28.1km（单回）/23.9km（双回）/3.86km（电缆）；</w:t>
                  </w:r>
                  <w:r>
                    <w:rPr>
                      <w:rFonts w:hint="eastAsia" w:ascii="Times New Roman" w:hAnsi="Times New Roman" w:eastAsia="宋体" w:cs="Times New Roman"/>
                      <w:color w:val="auto"/>
                      <w:sz w:val="21"/>
                      <w:szCs w:val="21"/>
                      <w:highlight w:val="none"/>
                      <w:lang w:val="en-US" w:eastAsia="zh-CN"/>
                    </w:rPr>
                    <w:t>线路起点为</w:t>
                  </w:r>
                  <w:r>
                    <w:rPr>
                      <w:rFonts w:hint="default" w:ascii="Times New Roman" w:hAnsi="Times New Roman" w:eastAsia="宋体"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lang w:val="en-US" w:eastAsia="zh-CN"/>
                    </w:rPr>
                    <w:t>台风机，终点为已建</w:t>
                  </w:r>
                  <w:r>
                    <w:rPr>
                      <w:rFonts w:hint="default" w:ascii="Times New Roman" w:hAnsi="Times New Roman" w:eastAsia="宋体" w:cs="Times New Roman"/>
                      <w:color w:val="auto"/>
                      <w:sz w:val="21"/>
                      <w:szCs w:val="21"/>
                      <w:highlight w:val="none"/>
                      <w:lang w:val="en-US" w:eastAsia="zh-CN"/>
                    </w:rPr>
                    <w:t>110kV</w:t>
                  </w:r>
                  <w:r>
                    <w:rPr>
                      <w:rFonts w:hint="eastAsia" w:ascii="Times New Roman" w:hAnsi="Times New Roman" w:eastAsia="宋体" w:cs="Times New Roman"/>
                      <w:color w:val="auto"/>
                      <w:sz w:val="21"/>
                      <w:szCs w:val="21"/>
                      <w:highlight w:val="none"/>
                      <w:lang w:val="en-US" w:eastAsia="zh-CN"/>
                    </w:rPr>
                    <w:t>变电站，全线分两路，一路采用单回路架设，长度</w:t>
                  </w:r>
                  <w:r>
                    <w:rPr>
                      <w:rFonts w:hint="default" w:ascii="Times New Roman" w:hAnsi="Times New Roman" w:eastAsia="宋体" w:cs="Times New Roman"/>
                      <w:color w:val="auto"/>
                      <w:sz w:val="21"/>
                      <w:szCs w:val="21"/>
                      <w:highlight w:val="none"/>
                      <w:lang w:val="en-US" w:eastAsia="zh-CN"/>
                    </w:rPr>
                    <w:t>28.1km</w:t>
                  </w:r>
                  <w:r>
                    <w:rPr>
                      <w:rFonts w:hint="eastAsia" w:ascii="Times New Roman" w:hAnsi="Times New Roman" w:eastAsia="宋体" w:cs="Times New Roman"/>
                      <w:color w:val="auto"/>
                      <w:sz w:val="21"/>
                      <w:szCs w:val="21"/>
                      <w:highlight w:val="none"/>
                      <w:lang w:val="en-US" w:eastAsia="zh-CN"/>
                    </w:rPr>
                    <w:t>，杆塔</w:t>
                  </w:r>
                  <w:r>
                    <w:rPr>
                      <w:rFonts w:hint="default" w:ascii="Times New Roman" w:hAnsi="Times New Roman" w:eastAsia="宋体" w:cs="Times New Roman"/>
                      <w:color w:val="auto"/>
                      <w:sz w:val="21"/>
                      <w:szCs w:val="21"/>
                      <w:highlight w:val="none"/>
                      <w:lang w:val="en-US" w:eastAsia="zh-CN"/>
                    </w:rPr>
                    <w:t>28</w:t>
                  </w:r>
                  <w:r>
                    <w:rPr>
                      <w:rFonts w:hint="eastAsia" w:ascii="Times New Roman" w:hAnsi="Times New Roman" w:eastAsia="宋体" w:cs="Times New Roman"/>
                      <w:color w:val="auto"/>
                      <w:sz w:val="21"/>
                      <w:szCs w:val="21"/>
                      <w:highlight w:val="none"/>
                      <w:lang w:val="en-US" w:eastAsia="zh-CN"/>
                    </w:rPr>
                    <w:t>个，一路采用双回路架设长度</w:t>
                  </w:r>
                  <w:r>
                    <w:rPr>
                      <w:rFonts w:hint="default" w:ascii="Times New Roman" w:hAnsi="Times New Roman" w:eastAsia="宋体" w:cs="Times New Roman"/>
                      <w:color w:val="auto"/>
                      <w:sz w:val="21"/>
                      <w:szCs w:val="21"/>
                      <w:highlight w:val="none"/>
                      <w:lang w:val="en-US" w:eastAsia="zh-CN"/>
                    </w:rPr>
                    <w:t>23.9km</w:t>
                  </w:r>
                  <w:r>
                    <w:rPr>
                      <w:rFonts w:hint="eastAsia" w:ascii="Times New Roman" w:hAnsi="Times New Roman" w:eastAsia="宋体" w:cs="Times New Roman"/>
                      <w:color w:val="auto"/>
                      <w:sz w:val="21"/>
                      <w:szCs w:val="21"/>
                      <w:highlight w:val="none"/>
                      <w:lang w:val="en-US" w:eastAsia="zh-CN"/>
                    </w:rPr>
                    <w:t>，杆塔</w:t>
                  </w:r>
                  <w:r>
                    <w:rPr>
                      <w:rFonts w:hint="default" w:ascii="Times New Roman" w:hAnsi="Times New Roman" w:eastAsia="宋体" w:cs="Times New Roman"/>
                      <w:color w:val="auto"/>
                      <w:sz w:val="21"/>
                      <w:szCs w:val="21"/>
                      <w:highlight w:val="none"/>
                      <w:lang w:val="en-US" w:eastAsia="zh-CN"/>
                    </w:rPr>
                    <w:t>31</w:t>
                  </w:r>
                  <w:r>
                    <w:rPr>
                      <w:rFonts w:hint="eastAsia" w:ascii="Times New Roman" w:hAnsi="Times New Roman" w:eastAsia="宋体" w:cs="Times New Roman"/>
                      <w:color w:val="auto"/>
                      <w:sz w:val="21"/>
                      <w:szCs w:val="21"/>
                      <w:highlight w:val="none"/>
                      <w:lang w:val="en-US" w:eastAsia="zh-CN"/>
                    </w:rPr>
                    <w:t>个。本工程新建线路连接两台风机采用</w:t>
                  </w:r>
                  <w:r>
                    <w:rPr>
                      <w:rFonts w:hint="default" w:ascii="Times New Roman" w:hAnsi="Times New Roman" w:eastAsia="宋体" w:cs="Times New Roman"/>
                      <w:color w:val="auto"/>
                      <w:sz w:val="21"/>
                      <w:szCs w:val="21"/>
                      <w:highlight w:val="none"/>
                      <w:lang w:val="en-US" w:eastAsia="zh-CN"/>
                    </w:rPr>
                    <w:t>JL/G1A-240/30</w:t>
                  </w:r>
                  <w:r>
                    <w:rPr>
                      <w:rFonts w:hint="eastAsia" w:ascii="Times New Roman" w:hAnsi="Times New Roman" w:eastAsia="宋体" w:cs="Times New Roman"/>
                      <w:color w:val="auto"/>
                      <w:sz w:val="21"/>
                      <w:szCs w:val="21"/>
                      <w:highlight w:val="none"/>
                      <w:lang w:val="en-US" w:eastAsia="zh-CN"/>
                    </w:rPr>
                    <w:t>钢芯铝绞线，新建线路连接三台风机的采用</w:t>
                  </w:r>
                  <w:r>
                    <w:rPr>
                      <w:rFonts w:hint="default" w:ascii="Times New Roman" w:hAnsi="Times New Roman" w:eastAsia="宋体" w:cs="Times New Roman"/>
                      <w:color w:val="auto"/>
                      <w:sz w:val="21"/>
                      <w:szCs w:val="21"/>
                      <w:highlight w:val="none"/>
                      <w:lang w:val="en-US" w:eastAsia="zh-CN"/>
                    </w:rPr>
                    <w:t>JL/G1A-400/35</w:t>
                  </w:r>
                  <w:r>
                    <w:rPr>
                      <w:rFonts w:hint="eastAsia" w:ascii="Times New Roman" w:hAnsi="Times New Roman" w:eastAsia="宋体" w:cs="Times New Roman"/>
                      <w:color w:val="auto"/>
                      <w:sz w:val="21"/>
                      <w:szCs w:val="21"/>
                      <w:highlight w:val="none"/>
                      <w:lang w:val="en-US" w:eastAsia="zh-CN"/>
                    </w:rPr>
                    <w:t>钢芯铝绞线。35kV集电线路路径见附图7。</w:t>
                  </w: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auto"/>
                    <w:rPr>
                      <w:rFonts w:hint="eastAsia" w:cs="Times New Roman"/>
                      <w:b w:val="0"/>
                      <w:bCs/>
                      <w:snapToGrid w:val="0"/>
                      <w:color w:val="auto"/>
                      <w:kern w:val="0"/>
                      <w:sz w:val="21"/>
                      <w:szCs w:val="21"/>
                      <w:highlight w:val="none"/>
                      <w:lang w:val="en-US"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both"/>
                    <w:textAlignment w:val="auto"/>
                    <w:rPr>
                      <w:color w:val="auto"/>
                      <w:highlight w:val="none"/>
                    </w:rPr>
                  </w:pPr>
                </w:p>
              </w:tc>
              <w:tc>
                <w:tcPr>
                  <w:tcW w:w="36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both"/>
                    <w:textAlignment w:val="auto"/>
                    <w:rPr>
                      <w:color w:val="auto"/>
                      <w:highlight w:val="none"/>
                    </w:rPr>
                  </w:pPr>
                </w:p>
              </w:tc>
              <w:tc>
                <w:tcPr>
                  <w:tcW w:w="29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both"/>
                    <w:textAlignment w:val="auto"/>
                    <w:rPr>
                      <w:color w:val="auto"/>
                      <w:highlight w:val="none"/>
                    </w:rPr>
                  </w:pPr>
                </w:p>
              </w:tc>
              <w:tc>
                <w:tcPr>
                  <w:tcW w:w="419"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both"/>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基础</w:t>
                  </w:r>
                </w:p>
              </w:tc>
              <w:tc>
                <w:tcPr>
                  <w:tcW w:w="30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both"/>
                    <w:textAlignment w:val="auto"/>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1</w:t>
                  </w:r>
                  <w:r>
                    <w:rPr>
                      <w:rFonts w:hint="eastAsia" w:ascii="Times New Roman" w:hAnsi="Times New Roman" w:eastAsia="宋体" w:cs="Times New Roman"/>
                      <w:b w:val="0"/>
                      <w:bCs/>
                      <w:snapToGrid w:val="0"/>
                      <w:color w:val="auto"/>
                      <w:kern w:val="0"/>
                      <w:sz w:val="21"/>
                      <w:szCs w:val="21"/>
                      <w:highlight w:val="none"/>
                      <w:lang w:val="en-US" w:eastAsia="zh-CN"/>
                    </w:rPr>
                    <w:t>）复测分坑</w:t>
                  </w:r>
                  <w:r>
                    <w:rPr>
                      <w:rFonts w:hint="eastAsia" w:cs="Times New Roman"/>
                      <w:b w:val="0"/>
                      <w:bCs/>
                      <w:snapToGrid w:val="0"/>
                      <w:color w:val="auto"/>
                      <w:kern w:val="0"/>
                      <w:sz w:val="21"/>
                      <w:szCs w:val="21"/>
                      <w:highlight w:val="none"/>
                      <w:lang w:val="en-US" w:eastAsia="zh-CN"/>
                    </w:rPr>
                    <w:t>：</w:t>
                  </w:r>
                  <w:r>
                    <w:rPr>
                      <w:rFonts w:hint="eastAsia" w:ascii="Times New Roman" w:hAnsi="Times New Roman" w:eastAsia="宋体" w:cs="Times New Roman"/>
                      <w:b w:val="0"/>
                      <w:bCs/>
                      <w:snapToGrid w:val="0"/>
                      <w:color w:val="auto"/>
                      <w:kern w:val="0"/>
                      <w:sz w:val="21"/>
                      <w:szCs w:val="21"/>
                      <w:highlight w:val="none"/>
                      <w:lang w:val="en-US" w:eastAsia="zh-CN"/>
                    </w:rPr>
                    <w:t>全线杆塔基础均应在施工前复测档距，高差和转角度数，凡丢失桩的杆塔位，应补钉塔位桩，且与路径纵断面图相符无误后方可施工。</w:t>
                  </w:r>
                </w:p>
                <w:p>
                  <w:pPr>
                    <w:keepNext w:val="0"/>
                    <w:keepLines w:val="0"/>
                    <w:pageBreakBefore w:val="0"/>
                    <w:widowControl/>
                    <w:suppressLineNumbers w:val="0"/>
                    <w:kinsoku/>
                    <w:wordWrap/>
                    <w:overflowPunct/>
                    <w:topLinePunct w:val="0"/>
                    <w:bidi w:val="0"/>
                    <w:spacing w:line="240" w:lineRule="auto"/>
                    <w:ind w:left="0" w:leftChars="0" w:right="0" w:rightChars="0"/>
                    <w:jc w:val="both"/>
                    <w:textAlignment w:val="auto"/>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2</w:t>
                  </w:r>
                  <w:r>
                    <w:rPr>
                      <w:rFonts w:hint="eastAsia" w:ascii="Times New Roman" w:hAnsi="Times New Roman" w:eastAsia="宋体" w:cs="Times New Roman"/>
                      <w:b w:val="0"/>
                      <w:bCs/>
                      <w:snapToGrid w:val="0"/>
                      <w:color w:val="auto"/>
                      <w:kern w:val="0"/>
                      <w:sz w:val="21"/>
                      <w:szCs w:val="21"/>
                      <w:highlight w:val="none"/>
                      <w:lang w:val="en-US" w:eastAsia="zh-CN"/>
                    </w:rPr>
                    <w:t>）基础开挖</w:t>
                  </w:r>
                  <w:r>
                    <w:rPr>
                      <w:rFonts w:hint="eastAsia" w:cs="Times New Roman"/>
                      <w:b w:val="0"/>
                      <w:bCs/>
                      <w:snapToGrid w:val="0"/>
                      <w:color w:val="auto"/>
                      <w:kern w:val="0"/>
                      <w:sz w:val="21"/>
                      <w:szCs w:val="21"/>
                      <w:highlight w:val="none"/>
                      <w:lang w:val="en-US" w:eastAsia="zh-CN"/>
                    </w:rPr>
                    <w:t>：</w:t>
                  </w:r>
                  <w:r>
                    <w:rPr>
                      <w:rFonts w:hint="eastAsia" w:ascii="Times New Roman" w:hAnsi="Times New Roman" w:eastAsia="宋体" w:cs="Times New Roman"/>
                      <w:b w:val="0"/>
                      <w:bCs/>
                      <w:snapToGrid w:val="0"/>
                      <w:color w:val="auto"/>
                      <w:kern w:val="0"/>
                      <w:sz w:val="21"/>
                      <w:szCs w:val="21"/>
                      <w:highlight w:val="none"/>
                      <w:lang w:val="en-US" w:eastAsia="zh-CN"/>
                    </w:rPr>
                    <w:t>基础开挖应以设计图纸为准，按不同地质条件规定开挖边坡。基面开挖后应平整不应积水，边坡不应坍塌。</w:t>
                  </w:r>
                </w:p>
                <w:p>
                  <w:pPr>
                    <w:keepNext w:val="0"/>
                    <w:keepLines w:val="0"/>
                    <w:pageBreakBefore w:val="0"/>
                    <w:widowControl/>
                    <w:suppressLineNumbers w:val="0"/>
                    <w:kinsoku/>
                    <w:wordWrap/>
                    <w:overflowPunct/>
                    <w:topLinePunct w:val="0"/>
                    <w:bidi w:val="0"/>
                    <w:spacing w:line="240" w:lineRule="auto"/>
                    <w:ind w:left="0" w:leftChars="0" w:right="0" w:rightChars="0"/>
                    <w:jc w:val="both"/>
                    <w:textAlignment w:val="auto"/>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3</w:t>
                  </w:r>
                  <w:r>
                    <w:rPr>
                      <w:rFonts w:hint="eastAsia" w:ascii="Times New Roman" w:hAnsi="Times New Roman" w:eastAsia="宋体" w:cs="Times New Roman"/>
                      <w:b w:val="0"/>
                      <w:bCs/>
                      <w:snapToGrid w:val="0"/>
                      <w:color w:val="auto"/>
                      <w:kern w:val="0"/>
                      <w:sz w:val="21"/>
                      <w:szCs w:val="21"/>
                      <w:highlight w:val="none"/>
                      <w:lang w:val="en-US" w:eastAsia="zh-CN"/>
                    </w:rPr>
                    <w:t>）混凝土浇制及养护</w:t>
                  </w:r>
                  <w:r>
                    <w:rPr>
                      <w:rFonts w:hint="eastAsia" w:cs="Times New Roman"/>
                      <w:b w:val="0"/>
                      <w:bCs/>
                      <w:snapToGrid w:val="0"/>
                      <w:color w:val="auto"/>
                      <w:kern w:val="0"/>
                      <w:sz w:val="21"/>
                      <w:szCs w:val="21"/>
                      <w:highlight w:val="none"/>
                      <w:lang w:val="en-US" w:eastAsia="zh-CN"/>
                    </w:rPr>
                    <w:t>：</w:t>
                  </w:r>
                  <w:r>
                    <w:rPr>
                      <w:rFonts w:hint="eastAsia" w:ascii="Times New Roman" w:hAnsi="Times New Roman" w:eastAsia="宋体" w:cs="Times New Roman"/>
                      <w:b w:val="0"/>
                      <w:bCs/>
                      <w:snapToGrid w:val="0"/>
                      <w:color w:val="auto"/>
                      <w:kern w:val="0"/>
                      <w:sz w:val="21"/>
                      <w:szCs w:val="21"/>
                      <w:highlight w:val="none"/>
                      <w:lang w:val="en-US" w:eastAsia="zh-CN"/>
                    </w:rPr>
                    <w:t>原材料采集及运输。浇制时应采用人工搅拌和机械振捣，施工电源使用现场发电机。基坑开挖完毕后，开始拼支底板及立柱模板，完成后可开始浇筑底板及立柱，底板应抹光，立柱应留有毛面，并采用塑料薄膜保温养护。</w:t>
                  </w:r>
                </w:p>
                <w:p>
                  <w:pPr>
                    <w:keepNext w:val="0"/>
                    <w:keepLines w:val="0"/>
                    <w:pageBreakBefore w:val="0"/>
                    <w:widowControl/>
                    <w:suppressLineNumbers w:val="0"/>
                    <w:kinsoku/>
                    <w:wordWrap/>
                    <w:overflowPunct/>
                    <w:topLinePunct w:val="0"/>
                    <w:bidi w:val="0"/>
                    <w:spacing w:line="240" w:lineRule="auto"/>
                    <w:ind w:left="0" w:leftChars="0" w:right="0" w:rightChars="0"/>
                    <w:jc w:val="both"/>
                    <w:textAlignment w:val="auto"/>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4</w:t>
                  </w:r>
                  <w:r>
                    <w:rPr>
                      <w:rFonts w:hint="eastAsia" w:ascii="Times New Roman" w:hAnsi="Times New Roman" w:eastAsia="宋体" w:cs="Times New Roman"/>
                      <w:b w:val="0"/>
                      <w:bCs/>
                      <w:snapToGrid w:val="0"/>
                      <w:color w:val="auto"/>
                      <w:kern w:val="0"/>
                      <w:sz w:val="21"/>
                      <w:szCs w:val="21"/>
                      <w:highlight w:val="none"/>
                      <w:lang w:val="en-US" w:eastAsia="zh-CN"/>
                    </w:rPr>
                    <w:t>）基础回填</w:t>
                  </w:r>
                  <w:r>
                    <w:rPr>
                      <w:rFonts w:hint="eastAsia" w:cs="Times New Roman"/>
                      <w:b w:val="0"/>
                      <w:bCs/>
                      <w:snapToGrid w:val="0"/>
                      <w:color w:val="auto"/>
                      <w:kern w:val="0"/>
                      <w:sz w:val="21"/>
                      <w:szCs w:val="21"/>
                      <w:highlight w:val="none"/>
                      <w:lang w:val="en-US" w:eastAsia="zh-CN"/>
                    </w:rPr>
                    <w:t>：</w:t>
                  </w:r>
                  <w:r>
                    <w:rPr>
                      <w:rFonts w:hint="eastAsia" w:ascii="Times New Roman" w:hAnsi="Times New Roman" w:eastAsia="宋体" w:cs="Times New Roman"/>
                      <w:b w:val="0"/>
                      <w:bCs/>
                      <w:snapToGrid w:val="0"/>
                      <w:color w:val="auto"/>
                      <w:kern w:val="0"/>
                      <w:sz w:val="21"/>
                      <w:szCs w:val="21"/>
                      <w:highlight w:val="none"/>
                      <w:lang w:val="en-US" w:eastAsia="zh-CN"/>
                    </w:rPr>
                    <w:t>清除树根、杂草，每填入</w:t>
                  </w:r>
                  <w:r>
                    <w:rPr>
                      <w:rFonts w:hint="default" w:ascii="Times New Roman" w:hAnsi="Times New Roman" w:eastAsia="宋体" w:cs="Times New Roman"/>
                      <w:b w:val="0"/>
                      <w:bCs/>
                      <w:snapToGrid w:val="0"/>
                      <w:color w:val="auto"/>
                      <w:kern w:val="0"/>
                      <w:sz w:val="21"/>
                      <w:szCs w:val="21"/>
                      <w:highlight w:val="none"/>
                      <w:lang w:val="en-US" w:eastAsia="zh-CN"/>
                    </w:rPr>
                    <w:t>300mm</w:t>
                  </w:r>
                  <w:r>
                    <w:rPr>
                      <w:rFonts w:hint="eastAsia" w:ascii="Times New Roman" w:hAnsi="Times New Roman" w:eastAsia="宋体" w:cs="Times New Roman"/>
                      <w:b w:val="0"/>
                      <w:bCs/>
                      <w:snapToGrid w:val="0"/>
                      <w:color w:val="auto"/>
                      <w:kern w:val="0"/>
                      <w:sz w:val="21"/>
                      <w:szCs w:val="21"/>
                      <w:highlight w:val="none"/>
                      <w:lang w:val="en-US" w:eastAsia="zh-CN"/>
                    </w:rPr>
                    <w:t>夯实一次，直至回填到与原地貌标高相同。一般土壤防沉层应高出地面</w:t>
                  </w:r>
                  <w:r>
                    <w:rPr>
                      <w:rFonts w:hint="default" w:ascii="Times New Roman" w:hAnsi="Times New Roman" w:eastAsia="宋体" w:cs="Times New Roman"/>
                      <w:b w:val="0"/>
                      <w:bCs/>
                      <w:snapToGrid w:val="0"/>
                      <w:color w:val="auto"/>
                      <w:kern w:val="0"/>
                      <w:sz w:val="21"/>
                      <w:szCs w:val="21"/>
                      <w:highlight w:val="none"/>
                      <w:lang w:val="en-US" w:eastAsia="zh-CN"/>
                    </w:rPr>
                    <w:t>300mm</w:t>
                  </w:r>
                  <w:r>
                    <w:rPr>
                      <w:rFonts w:hint="eastAsia" w:ascii="Times New Roman" w:hAnsi="Times New Roman" w:eastAsia="宋体" w:cs="Times New Roman"/>
                      <w:b w:val="0"/>
                      <w:bCs/>
                      <w:snapToGrid w:val="0"/>
                      <w:color w:val="auto"/>
                      <w:kern w:val="0"/>
                      <w:sz w:val="21"/>
                      <w:szCs w:val="21"/>
                      <w:highlight w:val="none"/>
                      <w:lang w:val="en-US" w:eastAsia="zh-CN"/>
                    </w:rPr>
                    <w:t>。</w:t>
                  </w:r>
                  <w:r>
                    <w:rPr>
                      <w:rFonts w:hint="eastAsia" w:cs="Times New Roman"/>
                      <w:b w:val="0"/>
                      <w:bCs/>
                      <w:snapToGrid w:val="0"/>
                      <w:color w:val="auto"/>
                      <w:kern w:val="0"/>
                      <w:sz w:val="21"/>
                      <w:szCs w:val="21"/>
                      <w:highlight w:val="none"/>
                      <w:lang w:val="en-US" w:eastAsia="zh-CN"/>
                    </w:rPr>
                    <w:t>基础占地共计2048m</w:t>
                  </w:r>
                  <w:r>
                    <w:rPr>
                      <w:rFonts w:hint="eastAsia" w:cs="Times New Roman"/>
                      <w:b w:val="0"/>
                      <w:bCs/>
                      <w:snapToGrid w:val="0"/>
                      <w:color w:val="auto"/>
                      <w:kern w:val="0"/>
                      <w:sz w:val="21"/>
                      <w:szCs w:val="21"/>
                      <w:highlight w:val="none"/>
                      <w:vertAlign w:val="superscript"/>
                      <w:lang w:val="en-US" w:eastAsia="zh-CN"/>
                    </w:rPr>
                    <w:t>2</w:t>
                  </w:r>
                  <w:r>
                    <w:rPr>
                      <w:rFonts w:hint="eastAsia" w:cs="Times New Roman"/>
                      <w:b w:val="0"/>
                      <w:bCs/>
                      <w:snapToGrid w:val="0"/>
                      <w:color w:val="auto"/>
                      <w:kern w:val="0"/>
                      <w:sz w:val="21"/>
                      <w:szCs w:val="21"/>
                      <w:highlight w:val="none"/>
                      <w:lang w:val="en-US" w:eastAsia="zh-CN"/>
                    </w:rPr>
                    <w:t>。</w:t>
                  </w: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9" w:type="pct"/>
                  <w:vMerge w:val="restart"/>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公用工程</w:t>
                  </w:r>
                </w:p>
              </w:tc>
              <w:tc>
                <w:tcPr>
                  <w:tcW w:w="1088" w:type="pct"/>
                  <w:gridSpan w:val="3"/>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供电</w:t>
                  </w:r>
                </w:p>
              </w:tc>
              <w:tc>
                <w:tcPr>
                  <w:tcW w:w="3068"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施工用电考虑就近从升压站站用电引接，并配以一定数量的柴油发电机，确保施工用电。施工结束后作为风电场</w:t>
                  </w:r>
                  <w:r>
                    <w:rPr>
                      <w:rFonts w:hint="eastAsia" w:cs="Times New Roman"/>
                      <w:color w:val="auto"/>
                      <w:kern w:val="0"/>
                      <w:sz w:val="21"/>
                      <w:szCs w:val="21"/>
                      <w:highlight w:val="none"/>
                      <w:lang w:val="en-US" w:eastAsia="zh-CN"/>
                    </w:rPr>
                    <w:t>场</w:t>
                  </w:r>
                  <w:r>
                    <w:rPr>
                      <w:rFonts w:hint="default" w:ascii="Times New Roman" w:hAnsi="Times New Roman" w:eastAsia="宋体" w:cs="Times New Roman"/>
                      <w:color w:val="auto"/>
                      <w:kern w:val="0"/>
                      <w:sz w:val="21"/>
                      <w:szCs w:val="21"/>
                      <w:highlight w:val="none"/>
                      <w:lang w:val="en-US" w:eastAsia="zh-CN"/>
                    </w:rPr>
                    <w:t>用电源。</w:t>
                  </w: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b/>
                      <w:color w:val="auto"/>
                      <w:sz w:val="21"/>
                      <w:szCs w:val="21"/>
                      <w:highlight w:val="none"/>
                      <w:lang w:val="en-US" w:eastAsia="zh-CN"/>
                    </w:rPr>
                  </w:pPr>
                </w:p>
              </w:tc>
              <w:tc>
                <w:tcPr>
                  <w:tcW w:w="1088" w:type="pct"/>
                  <w:gridSpan w:val="3"/>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通风</w:t>
                  </w:r>
                </w:p>
              </w:tc>
              <w:tc>
                <w:tcPr>
                  <w:tcW w:w="3068"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left"/>
                    <w:textAlignment w:val="auto"/>
                    <w:rPr>
                      <w:rFonts w:hint="default"/>
                      <w:color w:val="auto"/>
                      <w:highlight w:val="none"/>
                      <w:lang w:val="en-US" w:eastAsia="zh-CN"/>
                    </w:rPr>
                  </w:pPr>
                  <w:r>
                    <w:rPr>
                      <w:rFonts w:hint="eastAsia" w:cs="Times New Roman"/>
                      <w:color w:val="auto"/>
                      <w:kern w:val="0"/>
                      <w:sz w:val="21"/>
                      <w:szCs w:val="21"/>
                      <w:highlight w:val="none"/>
                      <w:lang w:val="en-US" w:eastAsia="zh-CN"/>
                    </w:rPr>
                    <w:t>本项目施工期不涉及室内工作，运营期不设置员工生活办公区，故不涉及通风。</w:t>
                  </w: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b/>
                      <w:color w:val="auto"/>
                      <w:sz w:val="21"/>
                      <w:szCs w:val="21"/>
                      <w:highlight w:val="none"/>
                    </w:rPr>
                  </w:pPr>
                </w:p>
              </w:tc>
              <w:tc>
                <w:tcPr>
                  <w:tcW w:w="1088" w:type="pct"/>
                  <w:gridSpan w:val="3"/>
                  <w:vMerge w:val="restar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供水</w:t>
                  </w:r>
                </w:p>
              </w:tc>
              <w:tc>
                <w:tcPr>
                  <w:tcW w:w="3068"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本工程施工用水采用汽车拉运至各机位现场。在工程施工临建区</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sz w:val="21"/>
                      <w:szCs w:val="21"/>
                      <w:highlight w:val="none"/>
                      <w:lang w:val="en-US" w:eastAsia="zh-CN"/>
                    </w:rPr>
                    <w:t>依托“国家电投集团中卫香山风电场1-3期“以大代小”150MW增容项目”临时施工营地现有</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bidi="ar"/>
                    </w:rPr>
                    <w:t>设置生活水箱，经沉淀、净化设备净化处理后作为生活用水。</w:t>
                  </w: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38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auto"/>
                    <w:rPr>
                      <w:color w:val="auto"/>
                      <w:highlight w:val="none"/>
                    </w:rPr>
                  </w:pPr>
                </w:p>
              </w:tc>
              <w:tc>
                <w:tcPr>
                  <w:tcW w:w="1088" w:type="pct"/>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auto"/>
                    <w:rPr>
                      <w:color w:val="auto"/>
                      <w:highlight w:val="none"/>
                    </w:rPr>
                  </w:pPr>
                </w:p>
              </w:tc>
              <w:tc>
                <w:tcPr>
                  <w:tcW w:w="3068"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另外在风机施工现场需设置移动式蓄水箱作为补充。</w:t>
                  </w: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b/>
                      <w:color w:val="auto"/>
                      <w:sz w:val="21"/>
                      <w:szCs w:val="21"/>
                      <w:highlight w:val="none"/>
                    </w:rPr>
                  </w:pPr>
                </w:p>
              </w:tc>
              <w:tc>
                <w:tcPr>
                  <w:tcW w:w="1088" w:type="pct"/>
                  <w:gridSpan w:val="3"/>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排水</w:t>
                  </w:r>
                </w:p>
              </w:tc>
              <w:tc>
                <w:tcPr>
                  <w:tcW w:w="3068"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施工期：设置环保旱厕；施工废水沉淀后用于洒水抑尘；</w:t>
                  </w:r>
                </w:p>
                <w:p>
                  <w:pPr>
                    <w:keepNext w:val="0"/>
                    <w:keepLines w:val="0"/>
                    <w:pageBreakBefore w:val="0"/>
                    <w:widowControl/>
                    <w:suppressLineNumbers w:val="0"/>
                    <w:kinsoku/>
                    <w:wordWrap/>
                    <w:overflowPunct/>
                    <w:topLinePunct w:val="0"/>
                    <w:bidi w:val="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运营期不设置员工生活办公区，故无生活废水和生产废水产生。</w:t>
                  </w: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b/>
                      <w:color w:val="auto"/>
                      <w:sz w:val="21"/>
                      <w:szCs w:val="21"/>
                      <w:highlight w:val="none"/>
                    </w:rPr>
                  </w:pPr>
                </w:p>
              </w:tc>
              <w:tc>
                <w:tcPr>
                  <w:tcW w:w="1088" w:type="pct"/>
                  <w:gridSpan w:val="3"/>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供暖</w:t>
                  </w:r>
                </w:p>
              </w:tc>
              <w:tc>
                <w:tcPr>
                  <w:tcW w:w="3068" w:type="pct"/>
                  <w:tcBorders>
                    <w:tl2br w:val="nil"/>
                    <w:tr2bl w:val="nil"/>
                  </w:tcBorders>
                  <w:noWrap w:val="0"/>
                  <w:vAlign w:val="center"/>
                </w:tcPr>
                <w:p>
                  <w:pPr>
                    <w:keepNext w:val="0"/>
                    <w:keepLines w:val="0"/>
                    <w:pageBreakBefore w:val="0"/>
                    <w:kinsoku/>
                    <w:wordWrap/>
                    <w:overflowPunct/>
                    <w:topLinePunct w:val="0"/>
                    <w:bidi w:val="0"/>
                    <w:snapToGrid w:val="0"/>
                    <w:contextualSpacing/>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冬季不安排施工，不供暖</w:t>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kinsoku/>
                    <w:wordWrap/>
                    <w:overflowPunct/>
                    <w:topLinePunct w:val="0"/>
                    <w:bidi w:val="0"/>
                    <w:snapToGrid w:val="0"/>
                    <w:contextualSpacing/>
                    <w:jc w:val="left"/>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 w:val="21"/>
                      <w:szCs w:val="21"/>
                      <w:highlight w:val="none"/>
                      <w:lang w:val="en-US" w:eastAsia="zh-CN"/>
                    </w:rPr>
                    <w:t>运营期不设置员工生活办公区，不供暖。</w:t>
                  </w:r>
                </w:p>
              </w:tc>
              <w:tc>
                <w:tcPr>
                  <w:tcW w:w="453" w:type="pct"/>
                  <w:tcBorders>
                    <w:tl2br w:val="nil"/>
                    <w:tr2bl w:val="nil"/>
                  </w:tcBorders>
                  <w:noWrap w:val="0"/>
                  <w:vAlign w:val="center"/>
                </w:tcPr>
                <w:p>
                  <w:pPr>
                    <w:keepNext w:val="0"/>
                    <w:keepLines w:val="0"/>
                    <w:pageBreakBefore w:val="0"/>
                    <w:kinsoku/>
                    <w:wordWrap/>
                    <w:overflowPunct/>
                    <w:topLinePunct w:val="0"/>
                    <w:bidi w:val="0"/>
                    <w:snapToGrid w:val="0"/>
                    <w:contextualSpacing/>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389" w:type="pct"/>
                  <w:vMerge w:val="restart"/>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eastAsia="zh-CN"/>
                    </w:rPr>
                    <w:t>辅助工程</w:t>
                  </w:r>
                </w:p>
              </w:tc>
              <w:tc>
                <w:tcPr>
                  <w:tcW w:w="1088" w:type="pct"/>
                  <w:gridSpan w:val="3"/>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cs="宋体"/>
                      <w:color w:val="auto"/>
                      <w:sz w:val="21"/>
                      <w:szCs w:val="21"/>
                      <w:highlight w:val="none"/>
                      <w:lang w:val="en-US" w:eastAsia="zh-CN"/>
                    </w:rPr>
                    <w:t>施工道路</w:t>
                  </w:r>
                </w:p>
              </w:tc>
              <w:tc>
                <w:tcPr>
                  <w:tcW w:w="3068" w:type="pct"/>
                  <w:tcBorders>
                    <w:tl2br w:val="nil"/>
                    <w:tr2bl w:val="nil"/>
                  </w:tcBorders>
                  <w:noWrap w:val="0"/>
                  <w:vAlign w:val="center"/>
                </w:tcPr>
                <w:p>
                  <w:pPr>
                    <w:keepNext w:val="0"/>
                    <w:keepLines w:val="0"/>
                    <w:widowControl/>
                    <w:suppressLineNumbers w:val="0"/>
                    <w:jc w:val="both"/>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本项目在利用现有道路的情况下，新建道路长度</w:t>
                  </w:r>
                  <w:r>
                    <w:rPr>
                      <w:rFonts w:hint="eastAsia" w:cs="Times New Roman"/>
                      <w:b w:val="0"/>
                      <w:bCs w:val="0"/>
                      <w:color w:val="auto"/>
                      <w:sz w:val="21"/>
                      <w:szCs w:val="21"/>
                      <w:highlight w:val="none"/>
                      <w:lang w:val="en-US" w:eastAsia="zh-CN"/>
                    </w:rPr>
                    <w:t>7.52</w:t>
                  </w:r>
                  <w:r>
                    <w:rPr>
                      <w:rFonts w:hint="default" w:ascii="Times New Roman" w:hAnsi="Times New Roman" w:eastAsia="宋体" w:cs="Times New Roman"/>
                      <w:b w:val="0"/>
                      <w:bCs w:val="0"/>
                      <w:color w:val="auto"/>
                      <w:sz w:val="21"/>
                      <w:szCs w:val="21"/>
                      <w:highlight w:val="none"/>
                      <w:lang w:val="en-US" w:eastAsia="zh-CN"/>
                    </w:rPr>
                    <w:t>km</w:t>
                  </w:r>
                  <w:r>
                    <w:rPr>
                      <w:rFonts w:hint="eastAsia" w:cs="Times New Roman"/>
                      <w:b w:val="0"/>
                      <w:bCs w:val="0"/>
                      <w:color w:val="auto"/>
                      <w:sz w:val="21"/>
                      <w:szCs w:val="21"/>
                      <w:highlight w:val="none"/>
                      <w:lang w:val="en-US" w:eastAsia="zh-CN"/>
                    </w:rPr>
                    <w:t>（路面宽度5.5m，采用30cm泥结石路面）</w:t>
                  </w:r>
                  <w:r>
                    <w:rPr>
                      <w:rFonts w:hint="default" w:ascii="Times New Roman" w:hAnsi="Times New Roman" w:eastAsia="宋体" w:cs="Times New Roman"/>
                      <w:b w:val="0"/>
                      <w:bCs w:val="0"/>
                      <w:color w:val="auto"/>
                      <w:sz w:val="21"/>
                      <w:szCs w:val="21"/>
                      <w:highlight w:val="none"/>
                      <w:lang w:val="en-US" w:eastAsia="zh-CN"/>
                    </w:rPr>
                    <w:t>，改建道路</w:t>
                  </w:r>
                  <w:r>
                    <w:rPr>
                      <w:rFonts w:hint="eastAsia" w:cs="Times New Roman"/>
                      <w:b w:val="0"/>
                      <w:bCs w:val="0"/>
                      <w:color w:val="auto"/>
                      <w:sz w:val="21"/>
                      <w:szCs w:val="21"/>
                      <w:highlight w:val="none"/>
                      <w:lang w:val="en-US" w:eastAsia="zh-CN"/>
                    </w:rPr>
                    <w:t>7.0</w:t>
                  </w:r>
                  <w:r>
                    <w:rPr>
                      <w:rFonts w:hint="default" w:ascii="Times New Roman" w:hAnsi="Times New Roman" w:eastAsia="宋体" w:cs="Times New Roman"/>
                      <w:b w:val="0"/>
                      <w:bCs w:val="0"/>
                      <w:color w:val="auto"/>
                      <w:sz w:val="21"/>
                      <w:szCs w:val="21"/>
                      <w:highlight w:val="none"/>
                      <w:lang w:val="en-US" w:eastAsia="zh-CN"/>
                    </w:rPr>
                    <w:t>km</w:t>
                  </w:r>
                  <w:r>
                    <w:rPr>
                      <w:rFonts w:hint="eastAsia" w:ascii="Times New Roman" w:hAnsi="Times New Roman" w:eastAsia="宋体" w:cs="Times New Roman"/>
                      <w:b w:val="0"/>
                      <w:bCs w:val="0"/>
                      <w:color w:val="auto"/>
                      <w:sz w:val="21"/>
                      <w:szCs w:val="21"/>
                      <w:highlight w:val="none"/>
                      <w:lang w:val="en-US" w:eastAsia="zh-CN"/>
                    </w:rPr>
                    <w:t>（路面宽度5.5m，村道水泥路采用修补方式，乡道土路采用300mm厚砂夹石路面，道路转弯半径≥30m，风场施工道路主路最大向上纵坡不大于</w:t>
                  </w:r>
                  <w:r>
                    <w:rPr>
                      <w:rFonts w:hint="eastAsia"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2%，下坡不大于 15%</w:t>
                  </w:r>
                  <w:r>
                    <w:rPr>
                      <w:rFonts w:hint="eastAsia" w:cs="Times New Roman"/>
                      <w:b w:val="0"/>
                      <w:bCs w:val="0"/>
                      <w:color w:val="auto"/>
                      <w:sz w:val="21"/>
                      <w:szCs w:val="21"/>
                      <w:highlight w:val="none"/>
                      <w:lang w:val="en-US" w:eastAsia="zh-CN"/>
                    </w:rPr>
                    <w:t>）（道路走向见附图8）</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新增占地面积348900m</w:t>
                  </w:r>
                  <w:r>
                    <w:rPr>
                      <w:rFonts w:hint="eastAsia"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w:t>
                  </w:r>
                </w:p>
              </w:tc>
              <w:tc>
                <w:tcPr>
                  <w:tcW w:w="453"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kern w:val="0"/>
                      <w:sz w:val="21"/>
                      <w:szCs w:val="21"/>
                      <w:highlight w:val="none"/>
                      <w:lang w:eastAsia="zh-CN"/>
                    </w:rPr>
                    <w:t>改建</w:t>
                  </w:r>
                  <w:r>
                    <w:rPr>
                      <w:rFonts w:hint="eastAsia" w:cs="Times New Roman"/>
                      <w:color w:val="auto"/>
                      <w:kern w:val="0"/>
                      <w:sz w:val="21"/>
                      <w:szCs w:val="21"/>
                      <w:highlight w:val="none"/>
                      <w:lang w:val="en-US" w:eastAsia="zh-CN"/>
                    </w:rPr>
                    <w:t>+</w:t>
                  </w: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5"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eastAsia" w:cs="Times New Roman"/>
                      <w:b/>
                      <w:color w:val="auto"/>
                      <w:sz w:val="21"/>
                      <w:szCs w:val="21"/>
                      <w:highlight w:val="none"/>
                      <w:lang w:eastAsia="zh-CN"/>
                    </w:rPr>
                  </w:pPr>
                </w:p>
              </w:tc>
              <w:tc>
                <w:tcPr>
                  <w:tcW w:w="1088" w:type="pct"/>
                  <w:gridSpan w:val="3"/>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检修道路</w:t>
                  </w:r>
                </w:p>
              </w:tc>
              <w:tc>
                <w:tcPr>
                  <w:tcW w:w="3068" w:type="pct"/>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施工期结束后，在施工道路的基础上留设4m宽作为检修道路，其余路面恢复为原地貌。检修道路总长</w:t>
                  </w:r>
                  <w:r>
                    <w:rPr>
                      <w:rFonts w:hint="eastAsia" w:cs="Times New Roman"/>
                      <w:b w:val="0"/>
                      <w:bCs w:val="0"/>
                      <w:color w:val="auto"/>
                      <w:sz w:val="21"/>
                      <w:szCs w:val="21"/>
                      <w:highlight w:val="none"/>
                      <w:lang w:val="en-US" w:eastAsia="zh-CN"/>
                    </w:rPr>
                    <w:t>14.52</w:t>
                  </w:r>
                  <w:r>
                    <w:rPr>
                      <w:rFonts w:hint="default" w:ascii="Times New Roman" w:hAnsi="Times New Roman" w:eastAsia="宋体" w:cs="Times New Roman"/>
                      <w:b w:val="0"/>
                      <w:bCs w:val="0"/>
                      <w:color w:val="auto"/>
                      <w:sz w:val="21"/>
                      <w:szCs w:val="21"/>
                      <w:highlight w:val="none"/>
                      <w:lang w:val="en-US" w:eastAsia="zh-CN"/>
                    </w:rPr>
                    <w:t>km，其中新建道路</w:t>
                  </w:r>
                  <w:r>
                    <w:rPr>
                      <w:rFonts w:hint="eastAsia" w:cs="Times New Roman"/>
                      <w:b w:val="0"/>
                      <w:bCs w:val="0"/>
                      <w:color w:val="auto"/>
                      <w:sz w:val="21"/>
                      <w:szCs w:val="21"/>
                      <w:highlight w:val="none"/>
                      <w:lang w:val="en-US" w:eastAsia="zh-CN"/>
                    </w:rPr>
                    <w:t>7.52</w:t>
                  </w:r>
                  <w:r>
                    <w:rPr>
                      <w:rFonts w:hint="default" w:ascii="Times New Roman" w:hAnsi="Times New Roman" w:eastAsia="宋体" w:cs="Times New Roman"/>
                      <w:b w:val="0"/>
                      <w:bCs w:val="0"/>
                      <w:color w:val="auto"/>
                      <w:sz w:val="21"/>
                      <w:szCs w:val="21"/>
                      <w:highlight w:val="none"/>
                      <w:lang w:val="en-US" w:eastAsia="zh-CN"/>
                    </w:rPr>
                    <w:t>km，改建道路</w:t>
                  </w:r>
                  <w:r>
                    <w:rPr>
                      <w:rFonts w:hint="eastAsia" w:cs="Times New Roman"/>
                      <w:b w:val="0"/>
                      <w:bCs w:val="0"/>
                      <w:color w:val="auto"/>
                      <w:sz w:val="21"/>
                      <w:szCs w:val="21"/>
                      <w:highlight w:val="none"/>
                      <w:lang w:val="en-US" w:eastAsia="zh-CN"/>
                    </w:rPr>
                    <w:t>7.0</w:t>
                  </w:r>
                  <w:r>
                    <w:rPr>
                      <w:rFonts w:hint="default" w:ascii="Times New Roman" w:hAnsi="Times New Roman" w:eastAsia="宋体" w:cs="Times New Roman"/>
                      <w:b w:val="0"/>
                      <w:bCs w:val="0"/>
                      <w:color w:val="auto"/>
                      <w:sz w:val="21"/>
                      <w:szCs w:val="21"/>
                      <w:highlight w:val="none"/>
                      <w:lang w:val="en-US" w:eastAsia="zh-CN"/>
                    </w:rPr>
                    <w:t>km，</w:t>
                  </w:r>
                  <w:r>
                    <w:rPr>
                      <w:rFonts w:hint="eastAsia" w:cs="Times New Roman"/>
                      <w:b w:val="0"/>
                      <w:bCs w:val="0"/>
                      <w:color w:val="auto"/>
                      <w:sz w:val="21"/>
                      <w:szCs w:val="21"/>
                      <w:highlight w:val="none"/>
                      <w:lang w:val="en-US" w:eastAsia="zh-CN"/>
                    </w:rPr>
                    <w:t>占地面积82200m</w:t>
                  </w:r>
                  <w:r>
                    <w:rPr>
                      <w:rFonts w:hint="eastAsia"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w:t>
                  </w:r>
                </w:p>
              </w:tc>
              <w:tc>
                <w:tcPr>
                  <w:tcW w:w="453" w:type="pct"/>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5" w:hRule="atLeast"/>
                <w:jc w:val="center"/>
              </w:trPr>
              <w:tc>
                <w:tcPr>
                  <w:tcW w:w="389"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eastAsia"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临时工程</w:t>
                  </w:r>
                </w:p>
              </w:tc>
              <w:tc>
                <w:tcPr>
                  <w:tcW w:w="1088" w:type="pct"/>
                  <w:gridSpan w:val="3"/>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施工临时设施</w:t>
                  </w:r>
                </w:p>
              </w:tc>
              <w:tc>
                <w:tcPr>
                  <w:tcW w:w="3068"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本期风电场场区内施工临建工程</w:t>
                  </w:r>
                  <w:r>
                    <w:rPr>
                      <w:rFonts w:hint="eastAsia" w:cs="Times New Roman"/>
                      <w:color w:val="auto"/>
                      <w:sz w:val="21"/>
                      <w:szCs w:val="21"/>
                      <w:highlight w:val="none"/>
                      <w:lang w:val="en-US" w:eastAsia="zh-CN"/>
                    </w:rPr>
                    <w:t>，不新增占地，</w:t>
                  </w:r>
                  <w:r>
                    <w:rPr>
                      <w:rFonts w:hint="eastAsia" w:ascii="Times New Roman" w:hAnsi="Times New Roman" w:eastAsia="宋体" w:cs="Times New Roman"/>
                      <w:color w:val="auto"/>
                      <w:sz w:val="21"/>
                      <w:szCs w:val="21"/>
                      <w:highlight w:val="none"/>
                      <w:lang w:val="en-US" w:eastAsia="zh-CN"/>
                    </w:rPr>
                    <w:t>依托“国家电投集团中卫香山风电场1-3期“以大代小”150MW增容项目”临时施工营地现有。</w:t>
                  </w: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5"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eastAsia" w:cs="Times New Roman"/>
                      <w:b/>
                      <w:color w:val="auto"/>
                      <w:sz w:val="21"/>
                      <w:szCs w:val="21"/>
                      <w:highlight w:val="none"/>
                      <w:lang w:eastAsia="zh-CN"/>
                    </w:rPr>
                  </w:pPr>
                </w:p>
              </w:tc>
              <w:tc>
                <w:tcPr>
                  <w:tcW w:w="1088" w:type="pct"/>
                  <w:gridSpan w:val="3"/>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center"/>
                    <w:textAlignment w:val="auto"/>
                    <w:rPr>
                      <w:rFonts w:hint="eastAsia" w:cs="Times New Roman"/>
                      <w:color w:val="auto"/>
                      <w:sz w:val="21"/>
                      <w:szCs w:val="21"/>
                      <w:highlight w:val="none"/>
                      <w:lang w:eastAsia="zh-CN"/>
                    </w:rPr>
                  </w:pPr>
                  <w:r>
                    <w:rPr>
                      <w:rFonts w:hint="eastAsia" w:ascii="宋体" w:hAnsi="宋体" w:cs="宋体"/>
                      <w:b w:val="0"/>
                      <w:bCs w:val="0"/>
                      <w:color w:val="auto"/>
                      <w:sz w:val="21"/>
                      <w:szCs w:val="21"/>
                      <w:highlight w:val="none"/>
                      <w:lang w:val="en-US" w:eastAsia="zh-CN"/>
                    </w:rPr>
                    <w:t>风机吊装平台</w:t>
                  </w:r>
                </w:p>
              </w:tc>
              <w:tc>
                <w:tcPr>
                  <w:tcW w:w="3068" w:type="pct"/>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为满足风电机组的施工安装需要，在每个风机设一施工吊装场地，并与场内施工道路相连。</w:t>
                  </w:r>
                  <w:r>
                    <w:rPr>
                      <w:rFonts w:hint="eastAsia" w:ascii="Times New Roman" w:hAnsi="Times New Roman" w:eastAsia="宋体" w:cs="Times New Roman"/>
                      <w:b w:val="0"/>
                      <w:bCs w:val="0"/>
                      <w:color w:val="auto"/>
                      <w:sz w:val="21"/>
                      <w:szCs w:val="21"/>
                      <w:highlight w:val="none"/>
                      <w:lang w:val="en-US" w:eastAsia="zh-CN"/>
                    </w:rPr>
                    <w:t>风机吊装平台</w:t>
                  </w:r>
                  <w:r>
                    <w:rPr>
                      <w:rFonts w:hint="default" w:ascii="Times New Roman" w:hAnsi="Times New Roman" w:eastAsia="宋体" w:cs="Times New Roman"/>
                      <w:b w:val="0"/>
                      <w:bCs w:val="0"/>
                      <w:color w:val="auto"/>
                      <w:sz w:val="21"/>
                      <w:szCs w:val="21"/>
                      <w:highlight w:val="none"/>
                      <w:lang w:val="en-US" w:eastAsia="zh-CN"/>
                    </w:rPr>
                    <w:t>共</w:t>
                  </w:r>
                  <w:r>
                    <w:rPr>
                      <w:rFonts w:hint="eastAsia" w:ascii="Times New Roman" w:hAnsi="Times New Roman" w:eastAsia="宋体"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lang w:val="en-US" w:eastAsia="zh-CN"/>
                    </w:rPr>
                    <w:t>处</w:t>
                  </w:r>
                  <w:r>
                    <w:rPr>
                      <w:rFonts w:hint="eastAsia" w:cs="Times New Roman"/>
                      <w:b w:val="0"/>
                      <w:bCs/>
                      <w:snapToGrid w:val="0"/>
                      <w:color w:val="auto"/>
                      <w:kern w:val="0"/>
                      <w:sz w:val="21"/>
                      <w:szCs w:val="21"/>
                      <w:highlight w:val="none"/>
                      <w:lang w:val="en-US" w:eastAsia="zh-CN"/>
                    </w:rPr>
                    <w:t>（含组装临时用地）</w:t>
                  </w:r>
                  <w:r>
                    <w:rPr>
                      <w:rFonts w:hint="default" w:ascii="Times New Roman" w:hAnsi="Times New Roman" w:eastAsia="宋体" w:cs="Times New Roman"/>
                      <w:b w:val="0"/>
                      <w:bCs w:val="0"/>
                      <w:color w:val="auto"/>
                      <w:sz w:val="21"/>
                      <w:szCs w:val="21"/>
                      <w:highlight w:val="none"/>
                      <w:lang w:val="en-US" w:eastAsia="zh-CN"/>
                    </w:rPr>
                    <w:t>，总占地面积为</w:t>
                  </w:r>
                  <w:r>
                    <w:rPr>
                      <w:rFonts w:hint="eastAsia" w:cs="Times New Roman"/>
                      <w:b w:val="0"/>
                      <w:bCs w:val="0"/>
                      <w:color w:val="auto"/>
                      <w:sz w:val="21"/>
                      <w:szCs w:val="21"/>
                      <w:highlight w:val="none"/>
                      <w:lang w:val="en-US" w:eastAsia="zh-CN"/>
                    </w:rPr>
                    <w:t>24000</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eastAsia" w:cs="Times New Roman"/>
                      <w:b w:val="0"/>
                      <w:bCs w:val="0"/>
                      <w:color w:val="auto"/>
                      <w:sz w:val="21"/>
                      <w:szCs w:val="21"/>
                      <w:highlight w:val="none"/>
                      <w:lang w:val="en-US" w:eastAsia="zh-CN"/>
                    </w:rPr>
                    <w:t>，每个</w:t>
                  </w:r>
                  <w:r>
                    <w:rPr>
                      <w:rFonts w:hint="eastAsia" w:ascii="Times New Roman" w:hAnsi="Times New Roman" w:eastAsia="宋体" w:cs="Times New Roman"/>
                      <w:b w:val="0"/>
                      <w:bCs w:val="0"/>
                      <w:color w:val="auto"/>
                      <w:sz w:val="21"/>
                      <w:szCs w:val="21"/>
                      <w:highlight w:val="none"/>
                      <w:lang w:val="en-US" w:eastAsia="zh-CN"/>
                    </w:rPr>
                    <w:t>3000</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。施工结束后全部恢复为原地貌。</w:t>
                  </w:r>
                </w:p>
              </w:tc>
              <w:tc>
                <w:tcPr>
                  <w:tcW w:w="453" w:type="pct"/>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5"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eastAsia" w:cs="Times New Roman"/>
                      <w:b/>
                      <w:color w:val="auto"/>
                      <w:sz w:val="21"/>
                      <w:szCs w:val="21"/>
                      <w:highlight w:val="none"/>
                      <w:lang w:eastAsia="zh-CN"/>
                    </w:rPr>
                  </w:pPr>
                </w:p>
              </w:tc>
              <w:tc>
                <w:tcPr>
                  <w:tcW w:w="1088" w:type="pct"/>
                  <w:gridSpan w:val="3"/>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center"/>
                    <w:textAlignment w:val="auto"/>
                    <w:rPr>
                      <w:rFonts w:hint="eastAsia"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弃土场</w:t>
                  </w:r>
                </w:p>
              </w:tc>
              <w:tc>
                <w:tcPr>
                  <w:tcW w:w="3068" w:type="pct"/>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根据设计单位提供资料，主体工程用料及混凝土全部外购，不设置取土（料）场，施工过程中产生的挖方，部分用于基础填筑，剩余土方全部用于场地平整，无弃方，不设置弃土场。</w:t>
                  </w:r>
                </w:p>
              </w:tc>
              <w:tc>
                <w:tcPr>
                  <w:tcW w:w="453" w:type="pct"/>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5"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eastAsia" w:cs="Times New Roman"/>
                      <w:b/>
                      <w:color w:val="auto"/>
                      <w:sz w:val="21"/>
                      <w:szCs w:val="21"/>
                      <w:highlight w:val="none"/>
                      <w:lang w:eastAsia="zh-CN"/>
                    </w:rPr>
                  </w:pPr>
                </w:p>
              </w:tc>
              <w:tc>
                <w:tcPr>
                  <w:tcW w:w="1088" w:type="pct"/>
                  <w:gridSpan w:val="3"/>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center"/>
                    <w:textAlignment w:val="auto"/>
                    <w:rPr>
                      <w:rFonts w:hint="eastAsia"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电缆沟</w:t>
                  </w:r>
                </w:p>
              </w:tc>
              <w:tc>
                <w:tcPr>
                  <w:tcW w:w="3068" w:type="pct"/>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风机和箱变之间的</w:t>
                  </w:r>
                  <w:r>
                    <w:rPr>
                      <w:rFonts w:hint="eastAsia" w:ascii="Times New Roman" w:hAnsi="Times New Roman" w:cs="Times New Roman"/>
                      <w:color w:val="auto"/>
                      <w:sz w:val="21"/>
                      <w:szCs w:val="21"/>
                      <w:highlight w:val="none"/>
                      <w:lang w:val="en-US" w:eastAsia="zh-CN"/>
                    </w:rPr>
                    <w:t>电缆沟</w:t>
                  </w:r>
                  <w:r>
                    <w:rPr>
                      <w:rFonts w:hint="eastAsia"/>
                      <w:color w:val="auto"/>
                      <w:highlight w:val="none"/>
                      <w:lang w:eastAsia="zh-CN"/>
                    </w:rPr>
                    <w:t>占地</w:t>
                  </w:r>
                  <w:r>
                    <w:rPr>
                      <w:rFonts w:hint="eastAsia" w:ascii="Times New Roman" w:hAnsi="Times New Roman" w:cs="Times New Roman"/>
                      <w:color w:val="auto"/>
                      <w:sz w:val="21"/>
                      <w:szCs w:val="21"/>
                      <w:highlight w:val="none"/>
                      <w:lang w:val="en-US" w:eastAsia="zh-CN"/>
                    </w:rPr>
                    <w:t>为临时占地，用地结束后恢复原有地貌，占地面积为</w:t>
                  </w:r>
                  <w:r>
                    <w:rPr>
                      <w:rFonts w:hint="eastAsia" w:cs="Times New Roman"/>
                      <w:color w:val="auto"/>
                      <w:sz w:val="21"/>
                      <w:szCs w:val="21"/>
                      <w:highlight w:val="none"/>
                      <w:lang w:val="en-US" w:eastAsia="zh-CN"/>
                    </w:rPr>
                    <w:t>181</w:t>
                  </w:r>
                  <w:r>
                    <w:rPr>
                      <w:rFonts w:hint="eastAsia" w:ascii="Times New Roman" w:hAnsi="Times New Roman" w:cs="Times New Roman"/>
                      <w:color w:val="auto"/>
                      <w:sz w:val="21"/>
                      <w:szCs w:val="21"/>
                      <w:highlight w:val="none"/>
                      <w:lang w:val="en-US" w:eastAsia="zh-CN"/>
                    </w:rPr>
                    <w:t>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w:t>
                  </w:r>
                </w:p>
              </w:tc>
              <w:tc>
                <w:tcPr>
                  <w:tcW w:w="453" w:type="pct"/>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eastAsia" w:cs="Times New Roman"/>
                      <w:b/>
                      <w:color w:val="auto"/>
                      <w:sz w:val="21"/>
                      <w:szCs w:val="21"/>
                      <w:highlight w:val="none"/>
                      <w:lang w:eastAsia="zh-CN"/>
                    </w:rPr>
                  </w:pPr>
                </w:p>
              </w:tc>
              <w:tc>
                <w:tcPr>
                  <w:tcW w:w="1088" w:type="pct"/>
                  <w:gridSpan w:val="3"/>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center"/>
                    <w:textAlignment w:val="auto"/>
                    <w:rPr>
                      <w:rFonts w:hint="eastAsia"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道路</w:t>
                  </w:r>
                </w:p>
              </w:tc>
              <w:tc>
                <w:tcPr>
                  <w:tcW w:w="3068" w:type="pct"/>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施工道路在施工期结束后，一部分恢复为原有地貌</w:t>
                  </w:r>
                  <w:r>
                    <w:rPr>
                      <w:rFonts w:hint="eastAsia" w:cs="Times New Roman"/>
                      <w:color w:val="auto"/>
                      <w:sz w:val="21"/>
                      <w:szCs w:val="21"/>
                      <w:highlight w:val="none"/>
                      <w:lang w:val="en-US" w:eastAsia="zh-CN"/>
                    </w:rPr>
                    <w:t>（占地面积14500m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，一部分用于运营期检修道路（</w:t>
                  </w:r>
                  <w:r>
                    <w:rPr>
                      <w:rFonts w:hint="eastAsia" w:cs="Times New Roman"/>
                      <w:color w:val="auto"/>
                      <w:sz w:val="21"/>
                      <w:szCs w:val="21"/>
                      <w:highlight w:val="none"/>
                      <w:lang w:val="en-US" w:eastAsia="zh-CN"/>
                    </w:rPr>
                    <w:t>占地面积</w:t>
                  </w:r>
                  <w:r>
                    <w:rPr>
                      <w:rFonts w:hint="eastAsia" w:cs="Times New Roman"/>
                      <w:b w:val="0"/>
                      <w:bCs w:val="0"/>
                      <w:color w:val="auto"/>
                      <w:sz w:val="21"/>
                      <w:szCs w:val="21"/>
                      <w:highlight w:val="none"/>
                      <w:lang w:val="en-US" w:eastAsia="zh-CN"/>
                    </w:rPr>
                    <w:t>65300</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w:t>
                  </w:r>
                </w:p>
              </w:tc>
              <w:tc>
                <w:tcPr>
                  <w:tcW w:w="453" w:type="pct"/>
                  <w:tcBorders>
                    <w:tl2br w:val="nil"/>
                    <w:tr2bl w:val="nil"/>
                  </w:tcBorders>
                  <w:noWrap w:val="0"/>
                  <w:vAlign w:val="center"/>
                </w:tcPr>
                <w:p>
                  <w:pPr>
                    <w:keepNext w:val="0"/>
                    <w:keepLines w:val="0"/>
                    <w:pageBreakBefore w:val="0"/>
                    <w:widowControl/>
                    <w:suppressLineNumbers w:val="0"/>
                    <w:kinsoku/>
                    <w:wordWrap/>
                    <w:topLinePunct w:val="0"/>
                    <w:autoSpaceDE/>
                    <w:autoSpaceDN/>
                    <w:bidi w:val="0"/>
                    <w:spacing w:line="240" w:lineRule="auto"/>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9" w:type="pct"/>
                  <w:vMerge w:val="restart"/>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val="en-US" w:eastAsia="zh-CN"/>
                    </w:rPr>
                    <w:t>环保工程</w:t>
                  </w:r>
                </w:p>
              </w:tc>
              <w:tc>
                <w:tcPr>
                  <w:tcW w:w="369" w:type="pct"/>
                  <w:vMerge w:val="restart"/>
                  <w:tcBorders>
                    <w:tl2br w:val="nil"/>
                    <w:tr2bl w:val="nil"/>
                  </w:tcBorders>
                  <w:noWrap w:val="0"/>
                  <w:vAlign w:val="center"/>
                </w:tcPr>
                <w:p>
                  <w:pPr>
                    <w:keepNext w:val="0"/>
                    <w:keepLines w:val="0"/>
                    <w:pageBreakBefore w:val="0"/>
                    <w:kinsoku/>
                    <w:wordWrap/>
                    <w:overflowPunct/>
                    <w:topLinePunct w:val="0"/>
                    <w:bidi w:val="0"/>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施工期</w:t>
                  </w:r>
                </w:p>
              </w:tc>
              <w:tc>
                <w:tcPr>
                  <w:tcW w:w="719" w:type="pct"/>
                  <w:gridSpan w:val="2"/>
                  <w:tcBorders>
                    <w:tl2br w:val="nil"/>
                    <w:tr2bl w:val="nil"/>
                  </w:tcBorders>
                  <w:noWrap w:val="0"/>
                  <w:vAlign w:val="center"/>
                </w:tcPr>
                <w:p>
                  <w:pPr>
                    <w:keepNext w:val="0"/>
                    <w:keepLines w:val="0"/>
                    <w:pageBreakBefore w:val="0"/>
                    <w:kinsoku/>
                    <w:wordWrap/>
                    <w:overflowPunct/>
                    <w:topLinePunct w:val="0"/>
                    <w:autoSpaceDE w:val="0"/>
                    <w:autoSpaceDN w:val="0"/>
                    <w:bidi w:val="0"/>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废水处理措施</w:t>
                  </w:r>
                </w:p>
              </w:tc>
              <w:tc>
                <w:tcPr>
                  <w:tcW w:w="3068" w:type="pct"/>
                  <w:tcBorders>
                    <w:tl2br w:val="nil"/>
                    <w:tr2bl w:val="nil"/>
                  </w:tcBorders>
                  <w:noWrap w:val="0"/>
                  <w:vAlign w:val="center"/>
                </w:tcPr>
                <w:p>
                  <w:pPr>
                    <w:keepNext w:val="0"/>
                    <w:keepLines w:val="0"/>
                    <w:pageBreakBefore w:val="0"/>
                    <w:kinsoku/>
                    <w:wordWrap/>
                    <w:overflowPunct/>
                    <w:topLinePunct w:val="0"/>
                    <w:bidi w:val="0"/>
                    <w:snapToGrid w:val="0"/>
                    <w:ind w:firstLine="105" w:firstLineChars="50"/>
                    <w:contextualSpacing/>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施工机械冲洗废水</w:t>
                  </w:r>
                  <w:r>
                    <w:rPr>
                      <w:rFonts w:hint="default" w:ascii="Times New Roman" w:hAnsi="Times New Roman" w:eastAsia="宋体" w:cs="Times New Roman"/>
                      <w:color w:val="auto"/>
                      <w:sz w:val="21"/>
                      <w:szCs w:val="21"/>
                      <w:highlight w:val="none"/>
                      <w:lang w:eastAsia="zh-CN"/>
                    </w:rPr>
                    <w:t>经沉淀池处理后用于场地洒水抑尘不外排</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施工人员</w:t>
                  </w:r>
                  <w:r>
                    <w:rPr>
                      <w:rFonts w:hint="default" w:ascii="Times New Roman" w:hAnsi="Times New Roman" w:eastAsia="宋体" w:cs="Times New Roman"/>
                      <w:color w:val="auto"/>
                      <w:sz w:val="21"/>
                      <w:szCs w:val="21"/>
                      <w:highlight w:val="none"/>
                      <w:lang w:eastAsia="zh-CN"/>
                    </w:rPr>
                    <w:t>生活</w:t>
                  </w:r>
                  <w:r>
                    <w:rPr>
                      <w:rFonts w:hint="default" w:ascii="Times New Roman" w:hAnsi="Times New Roman" w:eastAsia="宋体" w:cs="Times New Roman"/>
                      <w:color w:val="auto"/>
                      <w:sz w:val="21"/>
                      <w:szCs w:val="21"/>
                      <w:highlight w:val="none"/>
                      <w:lang w:val="en-US" w:eastAsia="zh-CN"/>
                    </w:rPr>
                    <w:t>污水</w:t>
                  </w:r>
                  <w:r>
                    <w:rPr>
                      <w:rFonts w:hint="eastAsia" w:ascii="Times New Roman" w:hAnsi="Times New Roman" w:eastAsia="宋体" w:cs="Times New Roman"/>
                      <w:color w:val="auto"/>
                      <w:sz w:val="21"/>
                      <w:szCs w:val="21"/>
                      <w:highlight w:val="none"/>
                      <w:lang w:val="en-US" w:eastAsia="zh-CN"/>
                    </w:rPr>
                    <w:t>用于周边场地洒水抑尘，施工区设置旱厕</w:t>
                  </w:r>
                  <w:r>
                    <w:rPr>
                      <w:rFonts w:hint="eastAsia" w:cs="Times New Roman"/>
                      <w:color w:val="auto"/>
                      <w:sz w:val="21"/>
                      <w:szCs w:val="21"/>
                      <w:highlight w:val="none"/>
                      <w:lang w:val="en-US" w:eastAsia="zh-CN"/>
                    </w:rPr>
                    <w:t>，定期清掏用于农家肥</w:t>
                  </w:r>
                  <w:r>
                    <w:rPr>
                      <w:rFonts w:hint="default" w:ascii="Times New Roman" w:hAnsi="Times New Roman" w:eastAsia="宋体" w:cs="Times New Roman"/>
                      <w:color w:val="auto"/>
                      <w:sz w:val="21"/>
                      <w:szCs w:val="21"/>
                      <w:highlight w:val="none"/>
                      <w:lang w:val="en-US" w:eastAsia="zh-CN"/>
                    </w:rPr>
                    <w:t>。</w:t>
                  </w:r>
                </w:p>
              </w:tc>
              <w:tc>
                <w:tcPr>
                  <w:tcW w:w="453" w:type="pct"/>
                  <w:tcBorders>
                    <w:tl2br w:val="nil"/>
                    <w:tr2bl w:val="nil"/>
                  </w:tcBorders>
                  <w:noWrap w:val="0"/>
                  <w:vAlign w:val="center"/>
                </w:tcPr>
                <w:p>
                  <w:pPr>
                    <w:keepNext w:val="0"/>
                    <w:keepLines w:val="0"/>
                    <w:pageBreakBefore w:val="0"/>
                    <w:kinsoku/>
                    <w:wordWrap/>
                    <w:overflowPunct/>
                    <w:topLinePunct w:val="0"/>
                    <w:bidi w:val="0"/>
                    <w:snapToGrid w:val="0"/>
                    <w:ind w:firstLine="105" w:firstLineChars="5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b/>
                      <w:color w:val="auto"/>
                      <w:sz w:val="21"/>
                      <w:szCs w:val="21"/>
                      <w:highlight w:val="none"/>
                    </w:rPr>
                  </w:pPr>
                </w:p>
              </w:tc>
              <w:tc>
                <w:tcPr>
                  <w:tcW w:w="369" w:type="pct"/>
                  <w:vMerge w:val="continue"/>
                  <w:tcBorders>
                    <w:tl2br w:val="nil"/>
                    <w:tr2bl w:val="nil"/>
                  </w:tcBorders>
                  <w:noWrap w:val="0"/>
                  <w:vAlign w:val="center"/>
                </w:tcPr>
                <w:p>
                  <w:pPr>
                    <w:keepNext w:val="0"/>
                    <w:keepLines w:val="0"/>
                    <w:pageBreakBefore w:val="0"/>
                    <w:kinsoku/>
                    <w:wordWrap/>
                    <w:overflowPunct/>
                    <w:topLinePunct w:val="0"/>
                    <w:bidi w:val="0"/>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p>
              </w:tc>
              <w:tc>
                <w:tcPr>
                  <w:tcW w:w="719" w:type="pct"/>
                  <w:gridSpan w:val="2"/>
                  <w:tcBorders>
                    <w:tl2br w:val="nil"/>
                    <w:tr2bl w:val="nil"/>
                  </w:tcBorders>
                  <w:noWrap w:val="0"/>
                  <w:vAlign w:val="center"/>
                </w:tcPr>
                <w:p>
                  <w:pPr>
                    <w:keepNext w:val="0"/>
                    <w:keepLines w:val="0"/>
                    <w:pageBreakBefore w:val="0"/>
                    <w:kinsoku/>
                    <w:wordWrap/>
                    <w:overflowPunct/>
                    <w:topLinePunct w:val="0"/>
                    <w:bidi w:val="0"/>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废气治理措施</w:t>
                  </w:r>
                </w:p>
              </w:tc>
              <w:tc>
                <w:tcPr>
                  <w:tcW w:w="3068"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施工废气主要包括施工扬尘及机械排放废气。施工现场集中堆放的开挖土方进行覆盖，对易引起扬尘的物料采用绿色遮阳网、密目网进行全部覆盖；适时洒水降尘，对不能及时清运的土方采取覆盖等措施；进厂道路原土夯实，适时进行洒水，出入运输车辆车体和车轮及时冲洗，采用密闭车斗，严禁沿路遗漏或抛撒；遇到四级或四级以上大风天气，应停止土方作业，同时作业处覆以防尘网；施工机械及运输车辆排放尾气符合《非道路移动机械用柴油机排气污染物排放限值及测量方法》（中国第三、四阶段）》(GB20891-2014)（环办标征函〔2020〕48 号）中相关限值要求。</w:t>
                  </w: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b/>
                      <w:color w:val="auto"/>
                      <w:sz w:val="21"/>
                      <w:szCs w:val="21"/>
                      <w:highlight w:val="none"/>
                    </w:rPr>
                  </w:pPr>
                </w:p>
              </w:tc>
              <w:tc>
                <w:tcPr>
                  <w:tcW w:w="369" w:type="pct"/>
                  <w:vMerge w:val="continue"/>
                  <w:tcBorders>
                    <w:tl2br w:val="nil"/>
                    <w:tr2bl w:val="nil"/>
                  </w:tcBorders>
                  <w:noWrap w:val="0"/>
                  <w:vAlign w:val="center"/>
                </w:tcPr>
                <w:p>
                  <w:pPr>
                    <w:keepNext w:val="0"/>
                    <w:keepLines w:val="0"/>
                    <w:pageBreakBefore w:val="0"/>
                    <w:kinsoku/>
                    <w:wordWrap/>
                    <w:overflowPunct/>
                    <w:topLinePunct w:val="0"/>
                    <w:bidi w:val="0"/>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p>
              </w:tc>
              <w:tc>
                <w:tcPr>
                  <w:tcW w:w="719" w:type="pct"/>
                  <w:gridSpan w:val="2"/>
                  <w:tcBorders>
                    <w:tl2br w:val="nil"/>
                    <w:tr2bl w:val="nil"/>
                  </w:tcBorders>
                  <w:noWrap w:val="0"/>
                  <w:vAlign w:val="center"/>
                </w:tcPr>
                <w:p>
                  <w:pPr>
                    <w:keepNext w:val="0"/>
                    <w:keepLines w:val="0"/>
                    <w:pageBreakBefore w:val="0"/>
                    <w:kinsoku/>
                    <w:wordWrap/>
                    <w:overflowPunct/>
                    <w:topLinePunct w:val="0"/>
                    <w:bidi w:val="0"/>
                    <w:snapToGrid w:val="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p>
                  <w:pPr>
                    <w:keepNext w:val="0"/>
                    <w:keepLines w:val="0"/>
                    <w:pageBreakBefore w:val="0"/>
                    <w:kinsoku/>
                    <w:wordWrap/>
                    <w:overflowPunct/>
                    <w:topLinePunct w:val="0"/>
                    <w:bidi w:val="0"/>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措施</w:t>
                  </w:r>
                </w:p>
              </w:tc>
              <w:tc>
                <w:tcPr>
                  <w:tcW w:w="3068"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施工期的噪声源主要为施工机械设备作业产生的噪声，通过采取合理安排施工时间、严格夜间作业、合理规划施工场地；消声降噪措施；经常进行检查和维修等措施。</w:t>
                  </w: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0" w:rightChars="0"/>
                    <w:contextualSpacing/>
                    <w:jc w:val="center"/>
                    <w:textAlignment w:val="auto"/>
                    <w:rPr>
                      <w:rFonts w:hint="default" w:ascii="Times New Roman" w:hAnsi="Times New Roman" w:eastAsia="宋体" w:cs="Times New Roman"/>
                      <w:b/>
                      <w:color w:val="auto"/>
                      <w:sz w:val="21"/>
                      <w:szCs w:val="21"/>
                      <w:highlight w:val="none"/>
                    </w:rPr>
                  </w:pPr>
                </w:p>
              </w:tc>
              <w:tc>
                <w:tcPr>
                  <w:tcW w:w="369" w:type="pct"/>
                  <w:vMerge w:val="continue"/>
                  <w:tcBorders>
                    <w:tl2br w:val="nil"/>
                    <w:tr2bl w:val="nil"/>
                  </w:tcBorders>
                  <w:noWrap w:val="0"/>
                  <w:vAlign w:val="center"/>
                </w:tcPr>
                <w:p>
                  <w:pPr>
                    <w:keepNext w:val="0"/>
                    <w:keepLines w:val="0"/>
                    <w:pageBreakBefore w:val="0"/>
                    <w:kinsoku/>
                    <w:wordWrap/>
                    <w:overflowPunct/>
                    <w:topLinePunct w:val="0"/>
                    <w:bidi w:val="0"/>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p>
              </w:tc>
              <w:tc>
                <w:tcPr>
                  <w:tcW w:w="719" w:type="pct"/>
                  <w:gridSpan w:val="2"/>
                  <w:tcBorders>
                    <w:tl2br w:val="nil"/>
                    <w:tr2bl w:val="nil"/>
                  </w:tcBorders>
                  <w:noWrap w:val="0"/>
                  <w:vAlign w:val="center"/>
                </w:tcPr>
                <w:p>
                  <w:pPr>
                    <w:keepNext w:val="0"/>
                    <w:keepLines w:val="0"/>
                    <w:pageBreakBefore w:val="0"/>
                    <w:kinsoku/>
                    <w:wordWrap/>
                    <w:overflowPunct/>
                    <w:topLinePunct w:val="0"/>
                    <w:bidi w:val="0"/>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固体废物防治</w:t>
                  </w:r>
                </w:p>
              </w:tc>
              <w:tc>
                <w:tcPr>
                  <w:tcW w:w="3068"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施工期固体弃物主要是生活垃圾、建筑垃圾。生活垃圾收集后定期送至市政部门规定地点拉运处置</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建筑垃圾回用于场内检修道路的修筑，不能回用的，送指定的垃圾填埋场处置</w:t>
                  </w:r>
                  <w:r>
                    <w:rPr>
                      <w:rFonts w:hint="eastAsia" w:ascii="Times New Roman" w:hAnsi="Times New Roman" w:eastAsia="宋体" w:cs="Times New Roman"/>
                      <w:color w:val="auto"/>
                      <w:sz w:val="21"/>
                      <w:szCs w:val="21"/>
                      <w:highlight w:val="none"/>
                      <w:lang w:val="en-US" w:eastAsia="zh-CN"/>
                    </w:rPr>
                    <w:t>。</w:t>
                  </w: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val="0"/>
                    <w:contextualSpacing/>
                    <w:textAlignment w:val="auto"/>
                    <w:rPr>
                      <w:rFonts w:hint="default" w:ascii="Times New Roman" w:hAnsi="Times New Roman" w:eastAsia="宋体" w:cs="Times New Roman"/>
                      <w:color w:val="auto"/>
                      <w:sz w:val="21"/>
                      <w:szCs w:val="21"/>
                      <w:highlight w:val="none"/>
                    </w:rPr>
                  </w:pPr>
                </w:p>
              </w:tc>
              <w:tc>
                <w:tcPr>
                  <w:tcW w:w="36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default" w:ascii="Times New Roman" w:hAnsi="Times New Roman" w:eastAsia="宋体" w:cs="Times New Roman"/>
                      <w:color w:val="auto"/>
                      <w:sz w:val="21"/>
                      <w:szCs w:val="21"/>
                      <w:highlight w:val="none"/>
                    </w:rPr>
                  </w:pPr>
                </w:p>
              </w:tc>
              <w:tc>
                <w:tcPr>
                  <w:tcW w:w="719" w:type="pct"/>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生态恢复措施</w:t>
                  </w:r>
                </w:p>
              </w:tc>
              <w:tc>
                <w:tcPr>
                  <w:tcW w:w="3068" w:type="pct"/>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项目施工期涉及到占地、土石方开挖、回填、临时堆土等要改变土地利用现状的人为活动，造成植被破坏、植被覆盖面积减少、水土流失等。施工期主要采取分层开挖，表土层堆存区采取遮盖等措施；临时占地内破坏植被及时恢复，施工道路应及时进行恢复工作，根据占地性质实行不同的植被恢复措施</w:t>
                  </w:r>
                  <w:r>
                    <w:rPr>
                      <w:rFonts w:hint="eastAsia" w:ascii="Times New Roman" w:hAnsi="Times New Roman" w:eastAsia="宋体" w:cs="Times New Roman"/>
                      <w:color w:val="auto"/>
                      <w:sz w:val="21"/>
                      <w:szCs w:val="21"/>
                      <w:highlight w:val="none"/>
                      <w:lang w:val="en-US" w:eastAsia="zh-CN"/>
                    </w:rPr>
                    <w:t>，需与原有地貌和景观协调</w:t>
                  </w:r>
                  <w:r>
                    <w:rPr>
                      <w:rFonts w:hint="default" w:ascii="Times New Roman" w:hAnsi="Times New Roman" w:eastAsia="宋体" w:cs="Times New Roman"/>
                      <w:color w:val="auto"/>
                      <w:sz w:val="21"/>
                      <w:szCs w:val="21"/>
                      <w:highlight w:val="none"/>
                      <w:lang w:val="en-US" w:eastAsia="zh-CN"/>
                    </w:rPr>
                    <w:t>。严格控制施工用地范围，严禁在施工用地范围以外的区域活动，尽量减少对表土及植被的扰动。</w:t>
                  </w:r>
                  <w:r>
                    <w:rPr>
                      <w:rFonts w:hint="default" w:cs="Times New Roman"/>
                      <w:color w:val="auto"/>
                      <w:highlight w:val="none"/>
                      <w:lang w:val="en-US" w:eastAsia="zh-CN"/>
                    </w:rPr>
                    <w:t>对于场址区域内出现的</w:t>
                  </w:r>
                  <w:r>
                    <w:rPr>
                      <w:rFonts w:hint="eastAsia" w:cs="Times New Roman"/>
                      <w:color w:val="auto"/>
                      <w:highlight w:val="none"/>
                      <w:lang w:val="en-US" w:eastAsia="zh-CN"/>
                    </w:rPr>
                    <w:t>蒙古扁桃</w:t>
                  </w:r>
                  <w:r>
                    <w:rPr>
                      <w:rFonts w:hint="default" w:cs="Times New Roman"/>
                      <w:color w:val="auto"/>
                      <w:highlight w:val="none"/>
                      <w:lang w:val="en-US" w:eastAsia="zh-CN"/>
                    </w:rPr>
                    <w:t>，加应强施工人员培训，使其识得</w:t>
                  </w:r>
                  <w:r>
                    <w:rPr>
                      <w:rFonts w:hint="eastAsia" w:cs="Times New Roman"/>
                      <w:color w:val="auto"/>
                      <w:highlight w:val="none"/>
                      <w:lang w:val="en-US" w:eastAsia="zh-CN"/>
                    </w:rPr>
                    <w:t>蒙古扁桃</w:t>
                  </w:r>
                  <w:r>
                    <w:rPr>
                      <w:rFonts w:hint="default" w:cs="Times New Roman"/>
                      <w:color w:val="auto"/>
                      <w:highlight w:val="none"/>
                      <w:lang w:val="en-US" w:eastAsia="zh-CN"/>
                    </w:rPr>
                    <w:t>，见到</w:t>
                  </w:r>
                  <w:r>
                    <w:rPr>
                      <w:rFonts w:hint="eastAsia" w:cs="Times New Roman"/>
                      <w:color w:val="auto"/>
                      <w:highlight w:val="none"/>
                      <w:lang w:val="en-US" w:eastAsia="zh-CN"/>
                    </w:rPr>
                    <w:t>蒙古扁桃</w:t>
                  </w:r>
                  <w:r>
                    <w:rPr>
                      <w:rFonts w:hint="default" w:cs="Times New Roman"/>
                      <w:color w:val="auto"/>
                      <w:highlight w:val="none"/>
                      <w:lang w:val="en-US" w:eastAsia="zh-CN"/>
                    </w:rPr>
                    <w:t>不得随意破坏、踩踏，并安排专人核实区域内</w:t>
                  </w:r>
                  <w:r>
                    <w:rPr>
                      <w:rFonts w:hint="eastAsia" w:cs="Times New Roman"/>
                      <w:color w:val="auto"/>
                      <w:highlight w:val="none"/>
                      <w:lang w:val="en-US" w:eastAsia="zh-CN"/>
                    </w:rPr>
                    <w:t>蒙古扁桃</w:t>
                  </w:r>
                  <w:r>
                    <w:rPr>
                      <w:rFonts w:hint="default" w:cs="Times New Roman"/>
                      <w:color w:val="auto"/>
                      <w:highlight w:val="none"/>
                      <w:lang w:val="en-US" w:eastAsia="zh-CN"/>
                    </w:rPr>
                    <w:t>存在数量，可采用区域估测法，即核实一定区域面积内</w:t>
                  </w:r>
                  <w:r>
                    <w:rPr>
                      <w:rFonts w:hint="eastAsia" w:cs="Times New Roman"/>
                      <w:color w:val="auto"/>
                      <w:highlight w:val="none"/>
                      <w:lang w:val="en-US" w:eastAsia="zh-CN"/>
                    </w:rPr>
                    <w:t>蒙古扁桃</w:t>
                  </w:r>
                  <w:r>
                    <w:rPr>
                      <w:rFonts w:hint="default" w:cs="Times New Roman"/>
                      <w:color w:val="auto"/>
                      <w:highlight w:val="none"/>
                      <w:lang w:val="en-US" w:eastAsia="zh-CN"/>
                    </w:rPr>
                    <w:t>数量，在推算场址范围内</w:t>
                  </w:r>
                  <w:r>
                    <w:rPr>
                      <w:rFonts w:hint="eastAsia" w:cs="Times New Roman"/>
                      <w:color w:val="auto"/>
                      <w:highlight w:val="none"/>
                      <w:lang w:val="en-US" w:eastAsia="zh-CN"/>
                    </w:rPr>
                    <w:t>蒙古扁桃</w:t>
                  </w:r>
                  <w:r>
                    <w:rPr>
                      <w:rFonts w:hint="default" w:cs="Times New Roman"/>
                      <w:color w:val="auto"/>
                      <w:highlight w:val="none"/>
                      <w:lang w:val="en-US" w:eastAsia="zh-CN"/>
                    </w:rPr>
                    <w:t>大致数量，</w:t>
                  </w:r>
                  <w:r>
                    <w:rPr>
                      <w:rFonts w:hint="eastAsia" w:cs="Times New Roman"/>
                      <w:color w:val="auto"/>
                      <w:highlight w:val="none"/>
                      <w:lang w:val="en-US" w:eastAsia="zh-CN"/>
                    </w:rPr>
                    <w:t>施工不得占用蒙古扁桃生产区，并对附近的蒙古扁桃采取设置围挡或隔离等措施。</w:t>
                  </w:r>
                </w:p>
              </w:tc>
              <w:tc>
                <w:tcPr>
                  <w:tcW w:w="453" w:type="pct"/>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default" w:ascii="Times New Roman" w:hAnsi="Times New Roman" w:eastAsia="宋体" w:cs="Times New Roman"/>
                      <w:color w:val="auto"/>
                      <w:sz w:val="21"/>
                      <w:szCs w:val="21"/>
                      <w:highlight w:val="none"/>
                    </w:rPr>
                  </w:pPr>
                </w:p>
              </w:tc>
              <w:tc>
                <w:tcPr>
                  <w:tcW w:w="369"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val="0"/>
                    <w:contextualSpacing/>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运营期</w:t>
                  </w:r>
                </w:p>
              </w:tc>
              <w:tc>
                <w:tcPr>
                  <w:tcW w:w="719" w:type="pct"/>
                  <w:gridSpan w:val="2"/>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噪声处理措施</w:t>
                  </w:r>
                </w:p>
              </w:tc>
              <w:tc>
                <w:tcPr>
                  <w:tcW w:w="3068" w:type="pct"/>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采用低噪声设备，风电机选用隔音防振型，变速齿轮箱为减噪型，叶片选用减速叶片等</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并进行设备维护使其处于良好的运行状态。</w:t>
                  </w:r>
                </w:p>
              </w:tc>
              <w:tc>
                <w:tcPr>
                  <w:tcW w:w="453" w:type="pct"/>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default" w:ascii="Times New Roman" w:hAnsi="Times New Roman" w:eastAsia="宋体" w:cs="Times New Roman"/>
                      <w:color w:val="auto"/>
                      <w:sz w:val="21"/>
                      <w:szCs w:val="21"/>
                      <w:highlight w:val="none"/>
                    </w:rPr>
                  </w:pPr>
                </w:p>
              </w:tc>
              <w:tc>
                <w:tcPr>
                  <w:tcW w:w="36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val="0"/>
                    <w:contextualSpacing/>
                    <w:textAlignment w:val="auto"/>
                    <w:rPr>
                      <w:rFonts w:hint="default" w:ascii="Times New Roman" w:hAnsi="Times New Roman" w:eastAsia="宋体" w:cs="Times New Roman"/>
                      <w:color w:val="auto"/>
                      <w:sz w:val="21"/>
                      <w:szCs w:val="21"/>
                      <w:highlight w:val="none"/>
                    </w:rPr>
                  </w:pPr>
                </w:p>
              </w:tc>
              <w:tc>
                <w:tcPr>
                  <w:tcW w:w="719" w:type="pct"/>
                  <w:gridSpan w:val="2"/>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废水处理措施</w:t>
                  </w:r>
                </w:p>
              </w:tc>
              <w:tc>
                <w:tcPr>
                  <w:tcW w:w="3068" w:type="pct"/>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本风电场运营期无人值守，故运营期无生活污水及生产废水产生</w:t>
                  </w:r>
                  <w:r>
                    <w:rPr>
                      <w:rFonts w:hint="default" w:ascii="Times New Roman" w:hAnsi="Times New Roman" w:eastAsia="宋体" w:cs="Times New Roman"/>
                      <w:color w:val="auto"/>
                      <w:sz w:val="21"/>
                      <w:szCs w:val="21"/>
                      <w:highlight w:val="none"/>
                      <w:lang w:val="en-US" w:eastAsia="zh-CN"/>
                    </w:rPr>
                    <w:t>。</w:t>
                  </w:r>
                </w:p>
              </w:tc>
              <w:tc>
                <w:tcPr>
                  <w:tcW w:w="453" w:type="pct"/>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default" w:ascii="Times New Roman" w:hAnsi="Times New Roman" w:eastAsia="宋体" w:cs="Times New Roman"/>
                      <w:color w:val="auto"/>
                      <w:sz w:val="21"/>
                      <w:szCs w:val="21"/>
                      <w:highlight w:val="none"/>
                    </w:rPr>
                  </w:pPr>
                </w:p>
              </w:tc>
              <w:tc>
                <w:tcPr>
                  <w:tcW w:w="36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val="0"/>
                    <w:contextualSpacing/>
                    <w:textAlignment w:val="auto"/>
                    <w:rPr>
                      <w:rFonts w:hint="default" w:ascii="Times New Roman" w:hAnsi="Times New Roman" w:eastAsia="宋体" w:cs="Times New Roman"/>
                      <w:color w:val="auto"/>
                      <w:sz w:val="21"/>
                      <w:szCs w:val="21"/>
                      <w:highlight w:val="none"/>
                    </w:rPr>
                  </w:pPr>
                </w:p>
              </w:tc>
              <w:tc>
                <w:tcPr>
                  <w:tcW w:w="719" w:type="pct"/>
                  <w:gridSpan w:val="2"/>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w:t>
                  </w:r>
                </w:p>
              </w:tc>
              <w:tc>
                <w:tcPr>
                  <w:tcW w:w="3068"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lang w:val="en-US" w:eastAsia="zh-CN"/>
                    </w:rPr>
                    <w:t>风电场</w:t>
                  </w:r>
                  <w:r>
                    <w:rPr>
                      <w:rFonts w:hint="eastAsia" w:ascii="Times New Roman" w:hAnsi="Times New Roman" w:eastAsia="宋体" w:cs="Times New Roman"/>
                      <w:color w:val="auto"/>
                      <w:sz w:val="21"/>
                      <w:szCs w:val="21"/>
                      <w:highlight w:val="none"/>
                      <w:lang w:val="en-US" w:eastAsia="zh-CN"/>
                    </w:rPr>
                    <w:t>运营期</w:t>
                  </w:r>
                  <w:r>
                    <w:rPr>
                      <w:rFonts w:hint="default" w:ascii="Times New Roman" w:hAnsi="Times New Roman" w:eastAsia="宋体" w:cs="Times New Roman"/>
                      <w:color w:val="auto"/>
                      <w:sz w:val="21"/>
                      <w:szCs w:val="21"/>
                      <w:highlight w:val="none"/>
                      <w:lang w:val="en-US" w:eastAsia="zh-CN"/>
                    </w:rPr>
                    <w:t>无人值守，无生活垃圾产生；</w:t>
                  </w:r>
                  <w:r>
                    <w:rPr>
                      <w:rFonts w:hint="eastAsia" w:cs="Times New Roman"/>
                      <w:color w:val="auto"/>
                      <w:sz w:val="21"/>
                      <w:szCs w:val="21"/>
                      <w:highlight w:val="none"/>
                      <w:lang w:val="en-US" w:eastAsia="zh-CN"/>
                    </w:rPr>
                    <w:t>维修垃圾：风电场日常检修中要进行拆卸、加油洗等，该过程会产生维修垃圾（主要为废润滑油）集中收集后</w:t>
                  </w:r>
                  <w:r>
                    <w:rPr>
                      <w:rFonts w:hint="eastAsia"/>
                      <w:color w:val="auto"/>
                      <w:highlight w:val="none"/>
                      <w:lang w:eastAsia="zh-CN"/>
                    </w:rPr>
                    <w:t>送至依托的</w:t>
                  </w:r>
                  <w:r>
                    <w:rPr>
                      <w:rFonts w:hint="eastAsia" w:ascii="Times New Roman" w:hAnsi="Times New Roman" w:eastAsia="宋体" w:cs="Times New Roman"/>
                      <w:color w:val="auto"/>
                      <w:sz w:val="21"/>
                      <w:szCs w:val="21"/>
                      <w:highlight w:val="none"/>
                      <w:lang w:val="en-US" w:eastAsia="zh-CN"/>
                    </w:rPr>
                    <w:t>“国家电投集团中卫香山风电场1-3期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150MW增容项目”危废贮存点（本项目依托）暂存后</w:t>
                  </w:r>
                  <w:r>
                    <w:rPr>
                      <w:rFonts w:hint="eastAsia" w:cs="Times New Roman"/>
                      <w:color w:val="auto"/>
                      <w:sz w:val="21"/>
                      <w:szCs w:val="21"/>
                      <w:highlight w:val="none"/>
                      <w:lang w:val="en-US" w:eastAsia="zh-CN"/>
                    </w:rPr>
                    <w:t>，交由有资质单位处置。</w:t>
                  </w:r>
                </w:p>
              </w:tc>
              <w:tc>
                <w:tcPr>
                  <w:tcW w:w="453"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91" w:hRule="atLeast"/>
                <w:jc w:val="center"/>
              </w:trPr>
              <w:tc>
                <w:tcPr>
                  <w:tcW w:w="38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default" w:ascii="Times New Roman" w:hAnsi="Times New Roman" w:eastAsia="宋体" w:cs="Times New Roman"/>
                      <w:color w:val="auto"/>
                      <w:sz w:val="21"/>
                      <w:szCs w:val="21"/>
                      <w:highlight w:val="none"/>
                    </w:rPr>
                  </w:pPr>
                </w:p>
              </w:tc>
              <w:tc>
                <w:tcPr>
                  <w:tcW w:w="36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val="0"/>
                    <w:contextualSpacing/>
                    <w:textAlignment w:val="auto"/>
                    <w:rPr>
                      <w:rFonts w:hint="default" w:ascii="Times New Roman" w:hAnsi="Times New Roman" w:eastAsia="宋体" w:cs="Times New Roman"/>
                      <w:color w:val="auto"/>
                      <w:sz w:val="21"/>
                      <w:szCs w:val="21"/>
                      <w:highlight w:val="none"/>
                    </w:rPr>
                  </w:pPr>
                </w:p>
              </w:tc>
              <w:tc>
                <w:tcPr>
                  <w:tcW w:w="719" w:type="pct"/>
                  <w:gridSpan w:val="2"/>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生态</w:t>
                  </w:r>
                  <w:r>
                    <w:rPr>
                      <w:rFonts w:hint="default" w:ascii="Times New Roman" w:hAnsi="Times New Roman" w:eastAsia="宋体" w:cs="Times New Roman"/>
                      <w:color w:val="auto"/>
                      <w:sz w:val="21"/>
                      <w:szCs w:val="21"/>
                      <w:highlight w:val="none"/>
                      <w:lang w:val="en-US" w:eastAsia="zh-CN"/>
                    </w:rPr>
                    <w:t>处理措施</w:t>
                  </w:r>
                </w:p>
              </w:tc>
              <w:tc>
                <w:tcPr>
                  <w:tcW w:w="3068" w:type="pct"/>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保护风电场周边林地、草丛等植被，保护动物的生存环境。对永久</w:t>
                  </w:r>
                  <w:r>
                    <w:rPr>
                      <w:rFonts w:hint="eastAsia" w:cs="Times New Roman"/>
                      <w:color w:val="auto"/>
                      <w:sz w:val="21"/>
                      <w:szCs w:val="21"/>
                      <w:highlight w:val="none"/>
                      <w:lang w:val="en-US" w:eastAsia="zh-CN"/>
                    </w:rPr>
                    <w:t>占</w:t>
                  </w:r>
                  <w:r>
                    <w:rPr>
                      <w:rFonts w:hint="default" w:ascii="Times New Roman" w:hAnsi="Times New Roman" w:eastAsia="宋体" w:cs="Times New Roman"/>
                      <w:color w:val="auto"/>
                      <w:sz w:val="21"/>
                      <w:szCs w:val="21"/>
                      <w:highlight w:val="none"/>
                      <w:lang w:val="en-US" w:eastAsia="zh-CN"/>
                    </w:rPr>
                    <w:t>地就近或在场内植树和种草，合理绿化，增加场地及周边林地绿化覆盖率。运营期定期对风机进行巡检时必须严格按照检修划定路线巡检，不得随意行驶破坏风电场内植被。开展宣传教育，安装警示牌，对伤鸟、野生动物救助等。</w:t>
                  </w:r>
                </w:p>
              </w:tc>
              <w:tc>
                <w:tcPr>
                  <w:tcW w:w="453" w:type="pct"/>
                  <w:tcBorders>
                    <w:tl2br w:val="nil"/>
                    <w:tr2bl w:val="nil"/>
                  </w:tcBorders>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eastAsia="zh-CN"/>
                    </w:rPr>
                    <w:t>新建</w:t>
                  </w:r>
                </w:p>
              </w:tc>
            </w:tr>
          </w:tbl>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本项目公用工程、临时工程及部分环保工程均依托“国家电投集团中卫香山风电场1-3期‘以大代小’150MW增容项目”。具体可行性分析见表2-3。“国家电投集团中卫香山风电场1-3期‘以大代小’150MW增容项目”位于本项目西南侧17.89km处，项目与“国家电投集团中卫香山风电场1-3期‘以大代小’150MW增容项目”位置关系见附图7。</w:t>
            </w:r>
          </w:p>
          <w:p>
            <w:pPr>
              <w:pStyle w:val="49"/>
              <w:keepNext w:val="0"/>
              <w:keepLines w:val="0"/>
              <w:pageBreakBefore w:val="0"/>
              <w:widowControl w:val="0"/>
              <w:kinsoku/>
              <w:wordWrap/>
              <w:topLinePunct w:val="0"/>
              <w:autoSpaceDE/>
              <w:autoSpaceDN/>
              <w:bidi w:val="0"/>
              <w:adjustRightInd w:val="0"/>
              <w:snapToGrid w:val="0"/>
              <w:spacing w:before="0" w:beforeLines="0" w:after="0" w:afterLines="0" w:line="240" w:lineRule="auto"/>
              <w:ind w:firstLine="481"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表2-</w:t>
            </w:r>
            <w:r>
              <w:rPr>
                <w:rFonts w:hint="eastAsia" w:ascii="Times New Roman" w:hAnsi="Times New Roman" w:eastAsia="宋体" w:cs="Times New Roman"/>
                <w:color w:val="auto"/>
                <w:highlight w:val="none"/>
                <w:lang w:val="en-US" w:eastAsia="zh-CN"/>
              </w:rPr>
              <w:t xml:space="preserve">3            </w:t>
            </w:r>
            <w:r>
              <w:rPr>
                <w:rFonts w:hint="default" w:ascii="Times New Roman" w:hAnsi="Times New Roman" w:eastAsia="宋体" w:cs="Times New Roman"/>
                <w:color w:val="auto"/>
                <w:highlight w:val="none"/>
                <w:lang w:val="en-US" w:eastAsia="zh-CN"/>
              </w:rPr>
              <w:t xml:space="preserve">   项目依托现有工程情况表</w:t>
            </w:r>
          </w:p>
          <w:tbl>
            <w:tblPr>
              <w:tblStyle w:val="2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
              <w:gridCol w:w="436"/>
              <w:gridCol w:w="1913"/>
              <w:gridCol w:w="2126"/>
              <w:gridCol w:w="1784"/>
              <w:gridCol w:w="16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shd w:val="clear" w:color="auto" w:fill="F9FBFA"/>
                  <w:noWrap w:val="0"/>
                  <w:vAlign w:val="center"/>
                </w:tcPr>
                <w:p>
                  <w:pPr>
                    <w:adjustRightInd w:val="0"/>
                    <w:snapToGrid w:val="0"/>
                    <w:jc w:val="center"/>
                    <w:rPr>
                      <w:b/>
                      <w:color w:val="auto"/>
                      <w:szCs w:val="21"/>
                      <w:highlight w:val="none"/>
                    </w:rPr>
                  </w:pPr>
                  <w:r>
                    <w:rPr>
                      <w:b/>
                      <w:color w:val="auto"/>
                      <w:szCs w:val="21"/>
                      <w:highlight w:val="none"/>
                    </w:rPr>
                    <w:t>序号</w:t>
                  </w:r>
                </w:p>
              </w:tc>
              <w:tc>
                <w:tcPr>
                  <w:tcW w:w="261" w:type="pct"/>
                  <w:shd w:val="clear" w:color="auto" w:fill="F9FBFA"/>
                  <w:noWrap w:val="0"/>
                  <w:vAlign w:val="center"/>
                </w:tcPr>
                <w:p>
                  <w:pPr>
                    <w:adjustRightInd w:val="0"/>
                    <w:snapToGrid w:val="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名称</w:t>
                  </w:r>
                </w:p>
              </w:tc>
              <w:tc>
                <w:tcPr>
                  <w:tcW w:w="1147" w:type="pct"/>
                  <w:shd w:val="clear" w:color="auto" w:fill="F9FBFA"/>
                  <w:noWrap w:val="0"/>
                  <w:vAlign w:val="center"/>
                </w:tcPr>
                <w:p>
                  <w:pPr>
                    <w:adjustRightInd w:val="0"/>
                    <w:snapToGrid w:val="0"/>
                    <w:jc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lang w:val="en-US" w:eastAsia="zh-CN"/>
                    </w:rPr>
                    <w:t>“国家电投集团中卫香山风电场1-3期‘以大代小’150MW增容项目”</w:t>
                  </w:r>
                </w:p>
              </w:tc>
              <w:tc>
                <w:tcPr>
                  <w:tcW w:w="1274" w:type="pct"/>
                  <w:shd w:val="clear" w:color="auto" w:fill="F9FBFA"/>
                  <w:noWrap w:val="0"/>
                  <w:vAlign w:val="center"/>
                </w:tcPr>
                <w:p>
                  <w:pPr>
                    <w:adjustRightInd w:val="0"/>
                    <w:snapToGrid w:val="0"/>
                    <w:jc w:val="center"/>
                    <w:rPr>
                      <w:b/>
                      <w:color w:val="auto"/>
                      <w:szCs w:val="21"/>
                      <w:highlight w:val="none"/>
                    </w:rPr>
                  </w:pPr>
                  <w:r>
                    <w:rPr>
                      <w:b/>
                      <w:color w:val="auto"/>
                      <w:szCs w:val="21"/>
                      <w:highlight w:val="none"/>
                    </w:rPr>
                    <w:t>本项目</w:t>
                  </w:r>
                </w:p>
              </w:tc>
              <w:tc>
                <w:tcPr>
                  <w:tcW w:w="1069" w:type="pct"/>
                  <w:shd w:val="clear" w:color="auto" w:fill="F9FBFA"/>
                  <w:noWrap w:val="0"/>
                  <w:vAlign w:val="center"/>
                </w:tcPr>
                <w:p>
                  <w:pPr>
                    <w:adjustRightInd w:val="0"/>
                    <w:snapToGrid w:val="0"/>
                    <w:jc w:val="center"/>
                    <w:rPr>
                      <w:b/>
                      <w:color w:val="auto"/>
                      <w:szCs w:val="21"/>
                      <w:highlight w:val="none"/>
                    </w:rPr>
                  </w:pPr>
                  <w:r>
                    <w:rPr>
                      <w:b/>
                      <w:color w:val="auto"/>
                      <w:szCs w:val="21"/>
                      <w:highlight w:val="none"/>
                    </w:rPr>
                    <w:t>可行性分析</w:t>
                  </w:r>
                </w:p>
              </w:tc>
              <w:tc>
                <w:tcPr>
                  <w:tcW w:w="991" w:type="pct"/>
                  <w:shd w:val="clear" w:color="auto" w:fill="F9FBFA"/>
                  <w:noWrap w:val="0"/>
                  <w:vAlign w:val="center"/>
                </w:tcPr>
                <w:p>
                  <w:pPr>
                    <w:adjustRightInd w:val="0"/>
                    <w:snapToGrid w:val="0"/>
                    <w:jc w:val="center"/>
                    <w:rPr>
                      <w:rFonts w:hint="eastAsia"/>
                      <w:b/>
                      <w:color w:val="auto"/>
                      <w:szCs w:val="21"/>
                      <w:highlight w:val="none"/>
                    </w:rPr>
                  </w:pPr>
                  <w:r>
                    <w:rPr>
                      <w:rFonts w:hint="eastAsia"/>
                      <w:b/>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shd w:val="clear" w:color="auto" w:fill="F9FBFA"/>
                  <w:noWrap w:val="0"/>
                  <w:vAlign w:val="center"/>
                </w:tcPr>
                <w:p>
                  <w:pPr>
                    <w:adjustRightInd w:val="0"/>
                    <w:snapToGrid w:val="0"/>
                    <w:jc w:val="center"/>
                    <w:rPr>
                      <w:b/>
                      <w:color w:val="auto"/>
                      <w:szCs w:val="21"/>
                      <w:highlight w:val="none"/>
                    </w:rPr>
                  </w:pPr>
                  <w:r>
                    <w:rPr>
                      <w:b/>
                      <w:color w:val="auto"/>
                      <w:szCs w:val="21"/>
                      <w:highlight w:val="none"/>
                    </w:rPr>
                    <w:t>1</w:t>
                  </w:r>
                </w:p>
              </w:tc>
              <w:tc>
                <w:tcPr>
                  <w:tcW w:w="261" w:type="pct"/>
                  <w:shd w:val="clear" w:color="auto" w:fill="F9FBFA"/>
                  <w:noWrap w:val="0"/>
                  <w:vAlign w:val="center"/>
                </w:tcPr>
                <w:p>
                  <w:pPr>
                    <w:adjustRightInd w:val="0"/>
                    <w:snapToGrid w:val="0"/>
                    <w:jc w:val="both"/>
                    <w:rPr>
                      <w:rFonts w:hint="eastAsia" w:ascii="Times New Roman" w:eastAsia="宋体"/>
                      <w:color w:val="auto"/>
                      <w:spacing w:val="4"/>
                      <w:szCs w:val="21"/>
                      <w:highlight w:val="none"/>
                      <w:lang w:val="en-US" w:eastAsia="zh-CN"/>
                    </w:rPr>
                  </w:pPr>
                  <w:r>
                    <w:rPr>
                      <w:rFonts w:hint="eastAsia" w:cs="Times New Roman"/>
                      <w:color w:val="auto"/>
                      <w:sz w:val="21"/>
                      <w:szCs w:val="21"/>
                      <w:highlight w:val="none"/>
                      <w:lang w:val="en-US" w:eastAsia="zh-CN"/>
                    </w:rPr>
                    <w:t>供水</w:t>
                  </w:r>
                </w:p>
              </w:tc>
              <w:tc>
                <w:tcPr>
                  <w:tcW w:w="1147" w:type="pct"/>
                  <w:shd w:val="clear" w:color="auto" w:fill="F9FBFA"/>
                  <w:noWrap w:val="0"/>
                  <w:vAlign w:val="center"/>
                </w:tcPr>
                <w:p>
                  <w:pPr>
                    <w:adjustRightInd w:val="0"/>
                    <w:snapToGrid w:val="0"/>
                    <w:jc w:val="left"/>
                    <w:rPr>
                      <w:rFonts w:ascii="Times New Roman"/>
                      <w:color w:val="auto"/>
                      <w:szCs w:val="21"/>
                      <w:highlight w:val="none"/>
                    </w:rPr>
                  </w:pPr>
                  <w:r>
                    <w:rPr>
                      <w:rFonts w:hint="default" w:ascii="Times New Roman" w:hAnsi="Times New Roman" w:eastAsia="宋体" w:cs="Times New Roman"/>
                      <w:color w:val="auto"/>
                      <w:kern w:val="0"/>
                      <w:sz w:val="21"/>
                      <w:szCs w:val="21"/>
                      <w:highlight w:val="none"/>
                      <w:lang w:val="en-US" w:eastAsia="zh-CN" w:bidi="ar"/>
                    </w:rPr>
                    <w:t>在工程施工临建区设置生活水箱，经沉淀、净化设备净化处理后作为生活用水</w:t>
                  </w:r>
                </w:p>
              </w:tc>
              <w:tc>
                <w:tcPr>
                  <w:tcW w:w="1274" w:type="pct"/>
                  <w:shd w:val="clear" w:color="auto" w:fill="F9FBFA"/>
                  <w:noWrap w:val="0"/>
                  <w:vAlign w:val="center"/>
                </w:tcPr>
                <w:p>
                  <w:pPr>
                    <w:adjustRightInd w:val="0"/>
                    <w:snapToGrid w:val="0"/>
                    <w:jc w:val="left"/>
                    <w:rPr>
                      <w:rFonts w:hint="eastAsia" w:eastAsia="宋体"/>
                      <w:b/>
                      <w:color w:val="auto"/>
                      <w:szCs w:val="21"/>
                      <w:highlight w:val="none"/>
                      <w:lang w:eastAsia="zh-CN"/>
                    </w:rPr>
                  </w:pPr>
                  <w:r>
                    <w:rPr>
                      <w:rFonts w:hint="eastAsia" w:eastAsia="宋体"/>
                      <w:color w:val="auto"/>
                      <w:szCs w:val="21"/>
                      <w:highlight w:val="none"/>
                      <w:lang w:eastAsia="zh-CN"/>
                    </w:rPr>
                    <w:t>本项目施工营地依托</w:t>
                  </w:r>
                  <w:r>
                    <w:rPr>
                      <w:rFonts w:hint="eastAsia" w:ascii="Times New Roman" w:hAnsi="Times New Roman" w:eastAsia="宋体" w:cs="Times New Roman"/>
                      <w:color w:val="auto"/>
                      <w:sz w:val="21"/>
                      <w:szCs w:val="21"/>
                      <w:highlight w:val="none"/>
                      <w:lang w:val="en-US" w:eastAsia="zh-CN"/>
                    </w:rPr>
                    <w:t>“国家电投集团中卫香山风电场1-3期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150MW增容项目”，因此供水依托其施工营地设置。</w:t>
                  </w:r>
                </w:p>
              </w:tc>
              <w:tc>
                <w:tcPr>
                  <w:tcW w:w="1069" w:type="pct"/>
                  <w:shd w:val="clear" w:color="auto" w:fill="F9FBFA"/>
                  <w:noWrap w:val="0"/>
                  <w:vAlign w:val="center"/>
                </w:tcPr>
                <w:p>
                  <w:pPr>
                    <w:adjustRightInd w:val="0"/>
                    <w:snapToGrid w:val="0"/>
                    <w:jc w:val="center"/>
                    <w:rPr>
                      <w:rFonts w:hint="eastAsia"/>
                      <w:b/>
                      <w:color w:val="auto"/>
                      <w:szCs w:val="21"/>
                      <w:highlight w:val="none"/>
                    </w:rPr>
                  </w:pPr>
                  <w:r>
                    <w:rPr>
                      <w:rFonts w:hint="eastAsia" w:ascii="Times New Roman" w:hAnsi="Times New Roman" w:eastAsia="宋体" w:cs="Times New Roman"/>
                      <w:color w:val="auto"/>
                      <w:sz w:val="21"/>
                      <w:szCs w:val="21"/>
                      <w:highlight w:val="none"/>
                      <w:lang w:val="en-US" w:eastAsia="zh-CN"/>
                    </w:rPr>
                    <w:t>本项目施工人数较少，且与“国家电投集团中卫香山风电场1-3期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150MW增容项目”为同一建设单位，“国家电投集团中卫香山风电场1-3期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150MW增容项目”暂未开工建设，但已将本项目施工营地纳入建设范围内，因此，可满足本项目依托需求。</w:t>
                  </w:r>
                  <w:r>
                    <w:rPr>
                      <w:rFonts w:hint="eastAsia"/>
                      <w:color w:val="auto"/>
                      <w:szCs w:val="21"/>
                      <w:highlight w:val="none"/>
                    </w:rPr>
                    <w:t>。</w:t>
                  </w:r>
                </w:p>
              </w:tc>
              <w:tc>
                <w:tcPr>
                  <w:tcW w:w="991" w:type="pct"/>
                  <w:shd w:val="clear" w:color="auto" w:fill="F9FBFA"/>
                  <w:noWrap w:val="0"/>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依托</w:t>
                  </w:r>
                  <w:r>
                    <w:rPr>
                      <w:rFonts w:hint="eastAsia" w:ascii="Times New Roman" w:hAnsi="Times New Roman" w:eastAsia="宋体" w:cs="Times New Roman"/>
                      <w:color w:val="auto"/>
                      <w:sz w:val="21"/>
                      <w:szCs w:val="21"/>
                      <w:highlight w:val="none"/>
                      <w:lang w:val="en-US" w:eastAsia="zh-CN"/>
                    </w:rPr>
                    <w:t>“国家电投集团中卫香山风电场1-3期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shd w:val="clear" w:color="auto" w:fill="F9FBFA"/>
                  <w:noWrap w:val="0"/>
                  <w:vAlign w:val="center"/>
                </w:tcPr>
                <w:p>
                  <w:pPr>
                    <w:adjustRightInd w:val="0"/>
                    <w:snapToGrid w:val="0"/>
                    <w:jc w:val="center"/>
                    <w:rPr>
                      <w:b/>
                      <w:color w:val="auto"/>
                      <w:szCs w:val="21"/>
                      <w:highlight w:val="none"/>
                    </w:rPr>
                  </w:pPr>
                  <w:r>
                    <w:rPr>
                      <w:b/>
                      <w:color w:val="auto"/>
                      <w:szCs w:val="21"/>
                      <w:highlight w:val="none"/>
                    </w:rPr>
                    <w:t>2</w:t>
                  </w:r>
                </w:p>
              </w:tc>
              <w:tc>
                <w:tcPr>
                  <w:tcW w:w="261" w:type="pct"/>
                  <w:shd w:val="clear" w:color="auto" w:fill="F9FBFA"/>
                  <w:noWrap w:val="0"/>
                  <w:vAlign w:val="center"/>
                </w:tcPr>
                <w:p>
                  <w:pPr>
                    <w:adjustRightInd w:val="0"/>
                    <w:snapToGrid w:val="0"/>
                    <w:jc w:val="center"/>
                    <w:rPr>
                      <w:color w:val="auto"/>
                      <w:spacing w:val="4"/>
                      <w:szCs w:val="21"/>
                      <w:highlight w:val="none"/>
                    </w:rPr>
                  </w:pPr>
                  <w:r>
                    <w:rPr>
                      <w:rFonts w:hint="eastAsia" w:cs="Times New Roman"/>
                      <w:color w:val="auto"/>
                      <w:sz w:val="21"/>
                      <w:szCs w:val="21"/>
                      <w:highlight w:val="none"/>
                      <w:lang w:val="en-US" w:eastAsia="zh-CN"/>
                    </w:rPr>
                    <w:t>排水</w:t>
                  </w:r>
                </w:p>
              </w:tc>
              <w:tc>
                <w:tcPr>
                  <w:tcW w:w="1147" w:type="pct"/>
                  <w:shd w:val="clear" w:color="auto" w:fill="F9FBFA"/>
                  <w:noWrap w:val="0"/>
                  <w:vAlign w:val="center"/>
                </w:tcPr>
                <w:p>
                  <w:pPr>
                    <w:adjustRightInd w:val="0"/>
                    <w:snapToGrid w:val="0"/>
                    <w:jc w:val="left"/>
                    <w:rPr>
                      <w:color w:val="auto"/>
                      <w:spacing w:val="4"/>
                      <w:szCs w:val="21"/>
                      <w:highlight w:val="none"/>
                    </w:rPr>
                  </w:pPr>
                  <w:r>
                    <w:rPr>
                      <w:rFonts w:hint="default" w:ascii="Times New Roman" w:hAnsi="Times New Roman" w:eastAsia="宋体" w:cs="Times New Roman"/>
                      <w:color w:val="auto"/>
                      <w:kern w:val="0"/>
                      <w:sz w:val="21"/>
                      <w:szCs w:val="21"/>
                      <w:highlight w:val="none"/>
                      <w:lang w:val="en-US" w:eastAsia="zh-CN" w:bidi="ar"/>
                    </w:rPr>
                    <w:t>设置环保旱厕；施工废水沉淀后用于洒水抑尘</w:t>
                  </w:r>
                </w:p>
              </w:tc>
              <w:tc>
                <w:tcPr>
                  <w:tcW w:w="1274" w:type="pct"/>
                  <w:shd w:val="clear" w:color="auto" w:fill="F9FBFA"/>
                  <w:noWrap w:val="0"/>
                  <w:vAlign w:val="center"/>
                </w:tcPr>
                <w:p>
                  <w:pPr>
                    <w:adjustRightInd w:val="0"/>
                    <w:snapToGrid w:val="0"/>
                    <w:jc w:val="left"/>
                    <w:rPr>
                      <w:b/>
                      <w:color w:val="auto"/>
                      <w:szCs w:val="21"/>
                      <w:highlight w:val="none"/>
                    </w:rPr>
                  </w:pPr>
                  <w:r>
                    <w:rPr>
                      <w:rFonts w:hint="eastAsia" w:eastAsia="宋体"/>
                      <w:color w:val="auto"/>
                      <w:szCs w:val="21"/>
                      <w:highlight w:val="none"/>
                      <w:lang w:eastAsia="zh-CN"/>
                    </w:rPr>
                    <w:t>本项目施工营地依托</w:t>
                  </w:r>
                  <w:r>
                    <w:rPr>
                      <w:rFonts w:hint="eastAsia" w:ascii="Times New Roman" w:hAnsi="Times New Roman" w:eastAsia="宋体" w:cs="Times New Roman"/>
                      <w:color w:val="auto"/>
                      <w:sz w:val="21"/>
                      <w:szCs w:val="21"/>
                      <w:highlight w:val="none"/>
                      <w:lang w:val="en-US" w:eastAsia="zh-CN"/>
                    </w:rPr>
                    <w:t>“国家电投集团中卫香山风电场1-3期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150MW增容项目”，排水依托“国家电投集团中卫香山风电场1-3期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150MW增容项目”施工营地建设内容。</w:t>
                  </w:r>
                </w:p>
              </w:tc>
              <w:tc>
                <w:tcPr>
                  <w:tcW w:w="1069" w:type="pct"/>
                  <w:shd w:val="clear" w:color="auto" w:fill="F9FBFA"/>
                  <w:noWrap w:val="0"/>
                  <w:vAlign w:val="center"/>
                </w:tcPr>
                <w:p>
                  <w:pPr>
                    <w:adjustRightInd w:val="0"/>
                    <w:snapToGrid w:val="0"/>
                    <w:jc w:val="center"/>
                    <w:rPr>
                      <w:b/>
                      <w:color w:val="auto"/>
                      <w:szCs w:val="21"/>
                      <w:highlight w:val="none"/>
                    </w:rPr>
                  </w:pPr>
                  <w:r>
                    <w:rPr>
                      <w:rFonts w:hint="eastAsia" w:ascii="Times New Roman" w:hAnsi="Times New Roman" w:eastAsia="宋体" w:cs="Times New Roman"/>
                      <w:color w:val="auto"/>
                      <w:sz w:val="21"/>
                      <w:szCs w:val="21"/>
                      <w:highlight w:val="none"/>
                      <w:lang w:val="en-US" w:eastAsia="zh-CN"/>
                    </w:rPr>
                    <w:t>本项目施工人数较少，且与“国家电投集团中卫香山风电场1-3期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150MW增容项目”为同一建设单位，“国家电投集团中卫香山风电场1-3期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150MW增容项目”暂未开工建设，但已将本项目施工营地纳入建设范围内，因此，可满足本项目依托需求。</w:t>
                  </w:r>
                </w:p>
              </w:tc>
              <w:tc>
                <w:tcPr>
                  <w:tcW w:w="991" w:type="pct"/>
                  <w:shd w:val="clear" w:color="auto" w:fill="F9FBFA"/>
                  <w:noWrap w:val="0"/>
                  <w:vAlign w:val="center"/>
                </w:tcPr>
                <w:p>
                  <w:pPr>
                    <w:adjustRightInd w:val="0"/>
                    <w:snapToGrid w:val="0"/>
                    <w:jc w:val="center"/>
                    <w:rPr>
                      <w:color w:val="auto"/>
                      <w:szCs w:val="21"/>
                      <w:highlight w:val="none"/>
                    </w:rPr>
                  </w:pPr>
                  <w:r>
                    <w:rPr>
                      <w:rFonts w:hint="eastAsia"/>
                      <w:color w:val="auto"/>
                      <w:szCs w:val="21"/>
                      <w:highlight w:val="none"/>
                      <w:lang w:val="en-US" w:eastAsia="zh-CN"/>
                    </w:rPr>
                    <w:t>依托</w:t>
                  </w:r>
                  <w:r>
                    <w:rPr>
                      <w:rFonts w:hint="eastAsia" w:ascii="Times New Roman" w:hAnsi="Times New Roman" w:eastAsia="宋体" w:cs="Times New Roman"/>
                      <w:color w:val="auto"/>
                      <w:sz w:val="21"/>
                      <w:szCs w:val="21"/>
                      <w:highlight w:val="none"/>
                      <w:lang w:val="en-US" w:eastAsia="zh-CN"/>
                    </w:rPr>
                    <w:t>“国家电投集团中卫香山风电场1-3期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shd w:val="clear" w:color="auto" w:fill="F9FBFA"/>
                  <w:noWrap w:val="0"/>
                  <w:vAlign w:val="center"/>
                </w:tcPr>
                <w:p>
                  <w:pPr>
                    <w:adjustRightInd w:val="0"/>
                    <w:snapToGrid w:val="0"/>
                    <w:jc w:val="center"/>
                    <w:rPr>
                      <w:b/>
                      <w:color w:val="auto"/>
                      <w:szCs w:val="21"/>
                      <w:highlight w:val="none"/>
                    </w:rPr>
                  </w:pPr>
                  <w:r>
                    <w:rPr>
                      <w:b/>
                      <w:color w:val="auto"/>
                      <w:szCs w:val="21"/>
                      <w:highlight w:val="none"/>
                    </w:rPr>
                    <w:t>3</w:t>
                  </w:r>
                </w:p>
              </w:tc>
              <w:tc>
                <w:tcPr>
                  <w:tcW w:w="261" w:type="pct"/>
                  <w:shd w:val="clear" w:color="auto" w:fill="F9FBFA"/>
                  <w:noWrap w:val="0"/>
                  <w:vAlign w:val="center"/>
                </w:tcPr>
                <w:p>
                  <w:pPr>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施工临时设施</w:t>
                  </w:r>
                </w:p>
              </w:tc>
              <w:tc>
                <w:tcPr>
                  <w:tcW w:w="1147" w:type="pct"/>
                  <w:shd w:val="clear" w:color="auto" w:fill="F9FBFA"/>
                  <w:noWrap w:val="0"/>
                  <w:vAlign w:val="center"/>
                </w:tcPr>
                <w:p>
                  <w:pPr>
                    <w:adjustRightInd w:val="0"/>
                    <w:snapToGrid w:val="0"/>
                    <w:jc w:val="left"/>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eastAsia="zh-CN"/>
                    </w:rPr>
                    <w:t>位于升压站旁</w:t>
                  </w:r>
                  <w:r>
                    <w:rPr>
                      <w:rFonts w:hint="eastAsia" w:ascii="Times New Roman" w:hAnsi="Times New Roman" w:eastAsia="宋体" w:cs="Times New Roman"/>
                      <w:color w:val="auto"/>
                      <w:szCs w:val="21"/>
                      <w:highlight w:val="none"/>
                      <w:lang w:val="en-US" w:eastAsia="zh-CN"/>
                    </w:rPr>
                    <w:t>。</w:t>
                  </w:r>
                </w:p>
              </w:tc>
              <w:tc>
                <w:tcPr>
                  <w:tcW w:w="1274" w:type="pct"/>
                  <w:shd w:val="clear" w:color="auto" w:fill="F9FBFA"/>
                  <w:noWrap w:val="0"/>
                  <w:vAlign w:val="center"/>
                </w:tcPr>
                <w:p>
                  <w:pPr>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eastAsia="zh-CN"/>
                    </w:rPr>
                    <w:t>依托现有</w:t>
                  </w:r>
                  <w:r>
                    <w:rPr>
                      <w:rFonts w:hint="eastAsia" w:ascii="Times New Roman" w:hAnsi="Times New Roman" w:eastAsia="宋体" w:cs="Times New Roman"/>
                      <w:color w:val="auto"/>
                      <w:sz w:val="21"/>
                      <w:szCs w:val="21"/>
                      <w:highlight w:val="none"/>
                      <w:lang w:val="en-US" w:eastAsia="zh-CN"/>
                    </w:rPr>
                    <w:t>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150MW增容项目”，排水依托“国家电投集团中卫香山风电场1-3期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150MW增容项目”临时施工营地</w:t>
                  </w:r>
                </w:p>
              </w:tc>
              <w:tc>
                <w:tcPr>
                  <w:tcW w:w="1069" w:type="pct"/>
                  <w:shd w:val="clear" w:color="auto" w:fill="F9FBFA"/>
                  <w:noWrap w:val="0"/>
                  <w:vAlign w:val="center"/>
                </w:tcPr>
                <w:p>
                  <w:pPr>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本项目施工人数较少，且与“国家电投集团中卫香山风电场1-3期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150MW增容项目”为同一建设单位，“国家电投集团中卫香山风电场1-3期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150MW增容项目”暂未开工建设，但已将本项目施工营地纳入建设范围内，因此，可满足本项目依托需求。</w:t>
                  </w:r>
                </w:p>
              </w:tc>
              <w:tc>
                <w:tcPr>
                  <w:tcW w:w="991" w:type="pct"/>
                  <w:shd w:val="clear" w:color="auto" w:fill="F9FBFA"/>
                  <w:noWrap w:val="0"/>
                  <w:vAlign w:val="center"/>
                </w:tcPr>
                <w:p>
                  <w:pPr>
                    <w:adjustRightInd w:val="0"/>
                    <w:snapToGrid w:val="0"/>
                    <w:jc w:val="center"/>
                    <w:rPr>
                      <w:rFonts w:hint="eastAsia"/>
                      <w:bCs/>
                      <w:color w:val="auto"/>
                      <w:szCs w:val="21"/>
                      <w:highlight w:val="none"/>
                    </w:rPr>
                  </w:pPr>
                  <w:r>
                    <w:rPr>
                      <w:rFonts w:hint="eastAsia"/>
                      <w:color w:val="auto"/>
                      <w:szCs w:val="21"/>
                      <w:highlight w:val="none"/>
                      <w:lang w:val="en-US" w:eastAsia="zh-CN"/>
                    </w:rPr>
                    <w:t>依托</w:t>
                  </w:r>
                  <w:r>
                    <w:rPr>
                      <w:rFonts w:hint="eastAsia" w:ascii="Times New Roman" w:hAnsi="Times New Roman" w:eastAsia="宋体" w:cs="Times New Roman"/>
                      <w:color w:val="auto"/>
                      <w:sz w:val="21"/>
                      <w:szCs w:val="21"/>
                      <w:highlight w:val="none"/>
                      <w:lang w:val="en-US" w:eastAsia="zh-CN"/>
                    </w:rPr>
                    <w:t>“国家电投集团中卫香山风电场1-3期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shd w:val="clear" w:color="auto" w:fill="F9FBFA"/>
                  <w:noWrap w:val="0"/>
                  <w:vAlign w:val="center"/>
                </w:tcPr>
                <w:p>
                  <w:pPr>
                    <w:adjustRightInd w:val="0"/>
                    <w:snapToGrid w:val="0"/>
                    <w:jc w:val="left"/>
                    <w:rPr>
                      <w:rFonts w:hint="eastAsia" w:ascii="Times New Roman" w:hAnsi="Times New Roman" w:eastAsia="宋体" w:cs="Times New Roman"/>
                      <w:color w:val="auto"/>
                      <w:szCs w:val="21"/>
                      <w:highlight w:val="none"/>
                      <w:lang w:eastAsia="zh-CN"/>
                    </w:rPr>
                  </w:pPr>
                  <w:r>
                    <w:rPr>
                      <w:color w:val="auto"/>
                      <w:szCs w:val="21"/>
                      <w:highlight w:val="none"/>
                    </w:rPr>
                    <w:t>4</w:t>
                  </w:r>
                </w:p>
              </w:tc>
              <w:tc>
                <w:tcPr>
                  <w:tcW w:w="261" w:type="pct"/>
                  <w:shd w:val="clear" w:color="auto" w:fill="F9FBFA"/>
                  <w:noWrap w:val="0"/>
                  <w:vAlign w:val="center"/>
                </w:tcPr>
                <w:p>
                  <w:pPr>
                    <w:keepNext w:val="0"/>
                    <w:keepLines w:val="0"/>
                    <w:pageBreakBefore w:val="0"/>
                    <w:kinsoku/>
                    <w:wordWrap/>
                    <w:overflowPunct/>
                    <w:topLinePunct w:val="0"/>
                    <w:autoSpaceDE w:val="0"/>
                    <w:autoSpaceDN w:val="0"/>
                    <w:bidi w:val="0"/>
                    <w:snapToGrid w:val="0"/>
                    <w:contextualSpacing/>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废水处理措施</w:t>
                  </w:r>
                </w:p>
              </w:tc>
              <w:tc>
                <w:tcPr>
                  <w:tcW w:w="1147" w:type="pct"/>
                  <w:shd w:val="clear" w:color="auto" w:fill="F9FBFA"/>
                  <w:noWrap w:val="0"/>
                  <w:vAlign w:val="center"/>
                </w:tcPr>
                <w:p>
                  <w:pPr>
                    <w:keepNext w:val="0"/>
                    <w:keepLines w:val="0"/>
                    <w:pageBreakBefore w:val="0"/>
                    <w:kinsoku/>
                    <w:wordWrap/>
                    <w:overflowPunct/>
                    <w:topLinePunct w:val="0"/>
                    <w:bidi w:val="0"/>
                    <w:snapToGrid w:val="0"/>
                    <w:ind w:firstLine="105" w:firstLineChars="50"/>
                    <w:contextualSpacing/>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施工机械冲洗废水</w:t>
                  </w:r>
                  <w:r>
                    <w:rPr>
                      <w:rFonts w:hint="default" w:ascii="Times New Roman" w:hAnsi="Times New Roman" w:eastAsia="宋体" w:cs="Times New Roman"/>
                      <w:color w:val="auto"/>
                      <w:sz w:val="21"/>
                      <w:szCs w:val="21"/>
                      <w:highlight w:val="none"/>
                      <w:lang w:eastAsia="zh-CN"/>
                    </w:rPr>
                    <w:t>经沉淀池处理后用于场地洒水抑尘不外排</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施工人员</w:t>
                  </w:r>
                  <w:r>
                    <w:rPr>
                      <w:rFonts w:hint="default" w:ascii="Times New Roman" w:hAnsi="Times New Roman" w:eastAsia="宋体" w:cs="Times New Roman"/>
                      <w:color w:val="auto"/>
                      <w:sz w:val="21"/>
                      <w:szCs w:val="21"/>
                      <w:highlight w:val="none"/>
                      <w:lang w:eastAsia="zh-CN"/>
                    </w:rPr>
                    <w:t>生活</w:t>
                  </w:r>
                  <w:r>
                    <w:rPr>
                      <w:rFonts w:hint="default" w:ascii="Times New Roman" w:hAnsi="Times New Roman" w:eastAsia="宋体" w:cs="Times New Roman"/>
                      <w:color w:val="auto"/>
                      <w:sz w:val="21"/>
                      <w:szCs w:val="21"/>
                      <w:highlight w:val="none"/>
                      <w:lang w:val="en-US" w:eastAsia="zh-CN"/>
                    </w:rPr>
                    <w:t>污水</w:t>
                  </w:r>
                  <w:r>
                    <w:rPr>
                      <w:rFonts w:hint="eastAsia" w:ascii="Times New Roman" w:hAnsi="Times New Roman" w:eastAsia="宋体" w:cs="Times New Roman"/>
                      <w:color w:val="auto"/>
                      <w:sz w:val="21"/>
                      <w:szCs w:val="21"/>
                      <w:highlight w:val="none"/>
                      <w:lang w:val="en-US" w:eastAsia="zh-CN"/>
                    </w:rPr>
                    <w:t>用于周边场地洒水抑尘，施工区设置旱厕</w:t>
                  </w:r>
                  <w:r>
                    <w:rPr>
                      <w:rFonts w:hint="eastAsia" w:cs="Times New Roman"/>
                      <w:color w:val="auto"/>
                      <w:sz w:val="21"/>
                      <w:szCs w:val="21"/>
                      <w:highlight w:val="none"/>
                      <w:lang w:val="en-US" w:eastAsia="zh-CN"/>
                    </w:rPr>
                    <w:t>，定期清掏用于农家肥</w:t>
                  </w:r>
                  <w:r>
                    <w:rPr>
                      <w:rFonts w:hint="default" w:ascii="Times New Roman" w:hAnsi="Times New Roman" w:eastAsia="宋体" w:cs="Times New Roman"/>
                      <w:color w:val="auto"/>
                      <w:sz w:val="21"/>
                      <w:szCs w:val="21"/>
                      <w:highlight w:val="none"/>
                      <w:lang w:val="en-US" w:eastAsia="zh-CN"/>
                    </w:rPr>
                    <w:t>。</w:t>
                  </w:r>
                </w:p>
              </w:tc>
              <w:tc>
                <w:tcPr>
                  <w:tcW w:w="1274" w:type="pct"/>
                  <w:shd w:val="clear" w:color="auto" w:fill="F9FBFA"/>
                  <w:noWrap w:val="0"/>
                  <w:vAlign w:val="center"/>
                </w:tcPr>
                <w:p>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eastAsia="zh-CN"/>
                    </w:rPr>
                    <w:t>依托现有</w:t>
                  </w:r>
                  <w:r>
                    <w:rPr>
                      <w:rFonts w:hint="eastAsia" w:ascii="Times New Roman" w:hAnsi="Times New Roman" w:eastAsia="宋体" w:cs="Times New Roman"/>
                      <w:color w:val="auto"/>
                      <w:sz w:val="21"/>
                      <w:szCs w:val="21"/>
                      <w:highlight w:val="none"/>
                      <w:lang w:val="en-US" w:eastAsia="zh-CN"/>
                    </w:rPr>
                    <w:t>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150MW增容项目”，排水依托“国家电投集团中卫香山风电场1-3期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150MW增容项目”临时施工营地</w:t>
                  </w:r>
                </w:p>
              </w:tc>
              <w:tc>
                <w:tcPr>
                  <w:tcW w:w="1069" w:type="pct"/>
                  <w:shd w:val="clear" w:color="auto" w:fill="F9FBFA"/>
                  <w:noWrap w:val="0"/>
                  <w:vAlign w:val="center"/>
                </w:tcPr>
                <w:p>
                  <w:pPr>
                    <w:adjustRightInd w:val="0"/>
                    <w:snapToGrid w:val="0"/>
                    <w:jc w:val="left"/>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 w:val="21"/>
                      <w:szCs w:val="21"/>
                      <w:highlight w:val="none"/>
                      <w:lang w:val="en-US" w:eastAsia="zh-CN"/>
                    </w:rPr>
                    <w:t>本项目施工人数较少，且与“国家电投集团中卫香山风电场1-3期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150MW增容项目”为同一建设单位，“国家电投集团中卫香山风电场1-3期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150MW增容项目”暂未开工建设，但已将本项目施工营地纳入建设范围内，因此，可满足本项目依托需求。</w:t>
                  </w:r>
                </w:p>
              </w:tc>
              <w:tc>
                <w:tcPr>
                  <w:tcW w:w="991" w:type="pct"/>
                  <w:shd w:val="clear" w:color="auto" w:fill="F9FBFA"/>
                  <w:noWrap w:val="0"/>
                  <w:vAlign w:val="center"/>
                </w:tcPr>
                <w:p>
                  <w:pPr>
                    <w:adjustRightInd w:val="0"/>
                    <w:snapToGrid w:val="0"/>
                    <w:jc w:val="left"/>
                    <w:rPr>
                      <w:rFonts w:hint="eastAsia" w:ascii="Times New Roman" w:hAnsi="Times New Roman" w:eastAsia="宋体" w:cs="Times New Roman"/>
                      <w:color w:val="auto"/>
                      <w:szCs w:val="21"/>
                      <w:highlight w:val="none"/>
                      <w:lang w:val="en-US" w:eastAsia="zh-CN"/>
                    </w:rPr>
                  </w:pPr>
                  <w:r>
                    <w:rPr>
                      <w:rFonts w:hint="eastAsia"/>
                      <w:color w:val="auto"/>
                      <w:szCs w:val="21"/>
                      <w:highlight w:val="none"/>
                      <w:lang w:val="en-US" w:eastAsia="zh-CN"/>
                    </w:rPr>
                    <w:t>依托</w:t>
                  </w:r>
                  <w:r>
                    <w:rPr>
                      <w:rFonts w:hint="eastAsia" w:ascii="Times New Roman" w:hAnsi="Times New Roman" w:eastAsia="宋体" w:cs="Times New Roman"/>
                      <w:color w:val="auto"/>
                      <w:sz w:val="21"/>
                      <w:szCs w:val="21"/>
                      <w:highlight w:val="none"/>
                      <w:lang w:val="en-US" w:eastAsia="zh-CN"/>
                    </w:rPr>
                    <w:t>“国家电投集团中卫香山风电场1-3期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shd w:val="clear" w:color="auto" w:fill="F9FBFA"/>
                  <w:noWrap w:val="0"/>
                  <w:vAlign w:val="center"/>
                </w:tcPr>
                <w:p>
                  <w:pPr>
                    <w:adjustRightInd w:val="0"/>
                    <w:snapToGrid w:val="0"/>
                    <w:jc w:val="left"/>
                    <w:rPr>
                      <w:rFonts w:hint="eastAsia" w:eastAsia="宋体"/>
                      <w:color w:val="auto"/>
                      <w:szCs w:val="21"/>
                      <w:highlight w:val="none"/>
                      <w:lang w:val="en-US" w:eastAsia="zh-CN"/>
                    </w:rPr>
                  </w:pPr>
                  <w:r>
                    <w:rPr>
                      <w:rFonts w:hint="eastAsia"/>
                      <w:color w:val="auto"/>
                      <w:szCs w:val="21"/>
                      <w:highlight w:val="none"/>
                      <w:lang w:val="en-US" w:eastAsia="zh-CN"/>
                    </w:rPr>
                    <w:t>5</w:t>
                  </w:r>
                </w:p>
              </w:tc>
              <w:tc>
                <w:tcPr>
                  <w:tcW w:w="261" w:type="pct"/>
                  <w:shd w:val="clear" w:color="auto" w:fill="F9FBFA"/>
                  <w:noWrap w:val="0"/>
                  <w:vAlign w:val="center"/>
                </w:tcPr>
                <w:p>
                  <w:pPr>
                    <w:keepNext w:val="0"/>
                    <w:keepLines w:val="0"/>
                    <w:pageBreakBefore w:val="0"/>
                    <w:kinsoku/>
                    <w:wordWrap/>
                    <w:overflowPunct/>
                    <w:topLinePunct w:val="0"/>
                    <w:bidi w:val="0"/>
                    <w:adjustRightInd/>
                    <w:snapToGrid w:val="0"/>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固体废物</w:t>
                  </w:r>
                </w:p>
              </w:tc>
              <w:tc>
                <w:tcPr>
                  <w:tcW w:w="1147" w:type="pct"/>
                  <w:shd w:val="clear" w:color="auto" w:fill="F9FBFA"/>
                  <w:noWrap w:val="0"/>
                  <w:vAlign w:val="center"/>
                </w:tcPr>
                <w:p>
                  <w:pPr>
                    <w:keepNext w:val="0"/>
                    <w:keepLines w:val="0"/>
                    <w:pageBreakBefore w:val="0"/>
                    <w:widowControl/>
                    <w:suppressLineNumbers w:val="0"/>
                    <w:kinsoku/>
                    <w:wordWrap/>
                    <w:overflowPunct/>
                    <w:topLinePunct w:val="0"/>
                    <w:bidi w:val="0"/>
                    <w:adjustRightInd/>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新建危废贮存点1座。</w:t>
                  </w:r>
                </w:p>
              </w:tc>
              <w:tc>
                <w:tcPr>
                  <w:tcW w:w="1274" w:type="pct"/>
                  <w:shd w:val="clear" w:color="auto" w:fill="F9FBFA"/>
                  <w:noWrap w:val="0"/>
                  <w:vAlign w:val="center"/>
                </w:tcPr>
                <w:p>
                  <w:pPr>
                    <w:adjustRightInd w:val="0"/>
                    <w:snapToGrid w:val="0"/>
                    <w:jc w:val="left"/>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lang w:val="en-US" w:eastAsia="zh-CN"/>
                    </w:rPr>
                    <w:t>风电场</w:t>
                  </w:r>
                  <w:r>
                    <w:rPr>
                      <w:rFonts w:hint="eastAsia" w:ascii="Times New Roman" w:hAnsi="Times New Roman" w:eastAsia="宋体" w:cs="Times New Roman"/>
                      <w:color w:val="auto"/>
                      <w:sz w:val="21"/>
                      <w:szCs w:val="21"/>
                      <w:highlight w:val="none"/>
                      <w:lang w:val="en-US" w:eastAsia="zh-CN"/>
                    </w:rPr>
                    <w:t>运营期</w:t>
                  </w:r>
                  <w:r>
                    <w:rPr>
                      <w:rFonts w:hint="default" w:ascii="Times New Roman" w:hAnsi="Times New Roman" w:eastAsia="宋体" w:cs="Times New Roman"/>
                      <w:color w:val="auto"/>
                      <w:sz w:val="21"/>
                      <w:szCs w:val="21"/>
                      <w:highlight w:val="none"/>
                      <w:lang w:val="en-US" w:eastAsia="zh-CN"/>
                    </w:rPr>
                    <w:t>无人值守，无生活垃圾产生；</w:t>
                  </w:r>
                  <w:r>
                    <w:rPr>
                      <w:rFonts w:hint="eastAsia" w:cs="Times New Roman"/>
                      <w:color w:val="auto"/>
                      <w:sz w:val="21"/>
                      <w:szCs w:val="21"/>
                      <w:highlight w:val="none"/>
                      <w:lang w:val="en-US" w:eastAsia="zh-CN"/>
                    </w:rPr>
                    <w:t>维修垃圾：风电场日常检修中要进行拆卸、加油洗等，该过程会产生维修垃圾（主要为废润滑油）集中收集后</w:t>
                  </w:r>
                  <w:r>
                    <w:rPr>
                      <w:rFonts w:hint="eastAsia"/>
                      <w:color w:val="auto"/>
                      <w:highlight w:val="none"/>
                      <w:lang w:eastAsia="zh-CN"/>
                    </w:rPr>
                    <w:t>送至依托的</w:t>
                  </w:r>
                  <w:r>
                    <w:rPr>
                      <w:rFonts w:hint="eastAsia" w:ascii="Times New Roman" w:hAnsi="Times New Roman" w:eastAsia="宋体" w:cs="Times New Roman"/>
                      <w:color w:val="auto"/>
                      <w:sz w:val="21"/>
                      <w:szCs w:val="21"/>
                      <w:highlight w:val="none"/>
                      <w:lang w:val="en-US" w:eastAsia="zh-CN"/>
                    </w:rPr>
                    <w:t>“国家电投集团中卫香山风电场1-3期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150MW增容项目”危废贮存点（本项目依托）暂存后</w:t>
                  </w:r>
                  <w:r>
                    <w:rPr>
                      <w:rFonts w:hint="eastAsia" w:cs="Times New Roman"/>
                      <w:color w:val="auto"/>
                      <w:sz w:val="21"/>
                      <w:szCs w:val="21"/>
                      <w:highlight w:val="none"/>
                      <w:lang w:val="en-US" w:eastAsia="zh-CN"/>
                    </w:rPr>
                    <w:t>直接交由有资质单位处置。</w:t>
                  </w:r>
                </w:p>
              </w:tc>
              <w:tc>
                <w:tcPr>
                  <w:tcW w:w="1069" w:type="pct"/>
                  <w:shd w:val="clear" w:color="auto" w:fill="F9FBFA"/>
                  <w:noWrap w:val="0"/>
                  <w:vAlign w:val="center"/>
                </w:tcPr>
                <w:p>
                  <w:pPr>
                    <w:adjustRightInd w:val="0"/>
                    <w:snapToGrid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本项目规模较小，仅8套风机机组，运营期检修产生的维修垃圾较少，依托可行。</w:t>
                  </w:r>
                </w:p>
              </w:tc>
              <w:tc>
                <w:tcPr>
                  <w:tcW w:w="991" w:type="pct"/>
                  <w:shd w:val="clear" w:color="auto" w:fill="F9FBFA"/>
                  <w:noWrap w:val="0"/>
                  <w:vAlign w:val="center"/>
                </w:tcPr>
                <w:p>
                  <w:pPr>
                    <w:adjustRightInd w:val="0"/>
                    <w:snapToGrid w:val="0"/>
                    <w:jc w:val="left"/>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依托</w:t>
                  </w:r>
                  <w:r>
                    <w:rPr>
                      <w:rFonts w:hint="eastAsia" w:ascii="Times New Roman" w:hAnsi="Times New Roman" w:eastAsia="宋体" w:cs="Times New Roman"/>
                      <w:color w:val="auto"/>
                      <w:sz w:val="21"/>
                      <w:szCs w:val="21"/>
                      <w:highlight w:val="none"/>
                      <w:lang w:val="en-US" w:eastAsia="zh-CN"/>
                    </w:rPr>
                    <w:t>“国家电投集团中卫香山风电场1-3期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w:t>
                  </w:r>
                </w:p>
              </w:tc>
            </w:tr>
          </w:tbl>
          <w:p>
            <w:pPr>
              <w:pStyle w:val="49"/>
              <w:keepNext w:val="0"/>
              <w:keepLines w:val="0"/>
              <w:pageBreakBefore w:val="0"/>
              <w:widowControl w:val="0"/>
              <w:kinsoku/>
              <w:wordWrap/>
              <w:topLinePunct w:val="0"/>
              <w:autoSpaceDE/>
              <w:autoSpaceDN/>
              <w:bidi w:val="0"/>
              <w:adjustRightInd w:val="0"/>
              <w:snapToGrid w:val="0"/>
              <w:spacing w:before="0" w:beforeLines="0" w:after="0" w:afterLines="0" w:line="360" w:lineRule="auto"/>
              <w:ind w:firstLine="480" w:firstLineChars="200"/>
              <w:rPr>
                <w:rFonts w:hint="eastAsia" w:ascii="Times New Roman" w:hAnsi="Times New Roman" w:eastAsia="仿宋_GB2312" w:cs="Times New Roman"/>
                <w:b w:val="0"/>
                <w:color w:val="auto"/>
                <w:kern w:val="16"/>
                <w:sz w:val="24"/>
                <w:szCs w:val="24"/>
                <w:highlight w:val="none"/>
                <w:lang w:val="en-US" w:eastAsia="zh-CN" w:bidi="ar-SA"/>
              </w:rPr>
            </w:pPr>
            <w:r>
              <w:rPr>
                <w:rFonts w:hint="eastAsia" w:ascii="Times New Roman" w:hAnsi="Times New Roman" w:eastAsia="仿宋_GB2312" w:cs="Times New Roman"/>
                <w:b w:val="0"/>
                <w:color w:val="auto"/>
                <w:kern w:val="16"/>
                <w:sz w:val="24"/>
                <w:szCs w:val="24"/>
                <w:highlight w:val="none"/>
                <w:lang w:val="en-US" w:eastAsia="zh-CN" w:bidi="ar-SA"/>
              </w:rPr>
              <w:t>由上表分析可知，本项依托内容均可行。</w:t>
            </w:r>
          </w:p>
          <w:p>
            <w:pPr>
              <w:pStyle w:val="49"/>
              <w:keepNext w:val="0"/>
              <w:keepLines w:val="0"/>
              <w:pageBreakBefore w:val="0"/>
              <w:widowControl w:val="0"/>
              <w:kinsoku/>
              <w:wordWrap/>
              <w:topLinePunct w:val="0"/>
              <w:autoSpaceDE/>
              <w:autoSpaceDN/>
              <w:bidi w:val="0"/>
              <w:adjustRightInd w:val="0"/>
              <w:snapToGrid w:val="0"/>
              <w:spacing w:before="0" w:beforeLines="0" w:after="0" w:afterLines="0" w:line="360" w:lineRule="auto"/>
              <w:ind w:firstLine="481" w:firstLineChars="200"/>
              <w:rPr>
                <w:rFonts w:hint="eastAsia" w:ascii="Times New Roman" w:hAnsi="Times New Roman" w:eastAsia="仿宋" w:cs="Times New Roman"/>
                <w:color w:val="auto"/>
                <w:highlight w:val="none"/>
                <w:lang w:val="en-US" w:eastAsia="zh-CN"/>
              </w:rPr>
            </w:pPr>
            <w:r>
              <w:rPr>
                <w:rFonts w:hint="eastAsia" w:eastAsia="仿宋" w:cs="Times New Roman"/>
                <w:color w:val="auto"/>
                <w:highlight w:val="none"/>
                <w:lang w:val="en-US" w:eastAsia="zh-CN"/>
              </w:rPr>
              <w:t>3</w:t>
            </w:r>
            <w:r>
              <w:rPr>
                <w:rFonts w:hint="default" w:ascii="Times New Roman" w:hAnsi="Times New Roman" w:eastAsia="仿宋" w:cs="Times New Roman"/>
                <w:color w:val="auto"/>
                <w:highlight w:val="none"/>
                <w:lang w:val="en-US" w:eastAsia="zh-CN"/>
              </w:rPr>
              <w:t>.</w:t>
            </w:r>
            <w:r>
              <w:rPr>
                <w:rFonts w:hint="eastAsia" w:ascii="Times New Roman" w:hAnsi="Times New Roman" w:eastAsia="仿宋" w:cs="Times New Roman"/>
                <w:color w:val="auto"/>
                <w:highlight w:val="none"/>
                <w:lang w:val="en-US" w:eastAsia="zh-CN"/>
              </w:rPr>
              <w:t>主要设备</w:t>
            </w:r>
          </w:p>
          <w:p>
            <w:pPr>
              <w:pStyle w:val="49"/>
              <w:keepNext w:val="0"/>
              <w:keepLines w:val="0"/>
              <w:pageBreakBefore w:val="0"/>
              <w:widowControl w:val="0"/>
              <w:kinsoku/>
              <w:wordWrap/>
              <w:topLinePunct w:val="0"/>
              <w:autoSpaceDE/>
              <w:autoSpaceDN/>
              <w:bidi w:val="0"/>
              <w:adjustRightInd w:val="0"/>
              <w:snapToGrid w:val="0"/>
              <w:spacing w:before="0" w:beforeLines="0" w:after="0" w:afterLines="0" w:line="360" w:lineRule="auto"/>
              <w:ind w:firstLine="480" w:firstLineChars="200"/>
              <w:rPr>
                <w:rFonts w:hint="default" w:ascii="Times New Roman" w:hAnsi="Times New Roman" w:eastAsia="仿宋_GB2312" w:cs="Times New Roman"/>
                <w:b w:val="0"/>
                <w:color w:val="auto"/>
                <w:kern w:val="16"/>
                <w:sz w:val="24"/>
                <w:szCs w:val="24"/>
                <w:highlight w:val="none"/>
                <w:lang w:val="en-US" w:eastAsia="zh-CN" w:bidi="ar-SA"/>
              </w:rPr>
            </w:pPr>
            <w:r>
              <w:rPr>
                <w:rFonts w:hint="default" w:ascii="Times New Roman" w:hAnsi="Times New Roman" w:eastAsia="仿宋_GB2312" w:cs="Times New Roman"/>
                <w:b w:val="0"/>
                <w:color w:val="auto"/>
                <w:kern w:val="16"/>
                <w:sz w:val="24"/>
                <w:szCs w:val="24"/>
                <w:highlight w:val="none"/>
                <w:lang w:val="en-US" w:eastAsia="zh-CN" w:bidi="ar-SA"/>
              </w:rPr>
              <w:t>本项目主要设备配置情况见表</w:t>
            </w:r>
            <w:r>
              <w:rPr>
                <w:rFonts w:hint="eastAsia" w:eastAsia="仿宋_GB2312" w:cs="Times New Roman"/>
                <w:b w:val="0"/>
                <w:color w:val="auto"/>
                <w:kern w:val="16"/>
                <w:sz w:val="24"/>
                <w:szCs w:val="24"/>
                <w:highlight w:val="none"/>
                <w:lang w:val="en-US" w:eastAsia="zh-CN" w:bidi="ar-SA"/>
              </w:rPr>
              <w:t>2-4</w:t>
            </w:r>
            <w:r>
              <w:rPr>
                <w:rFonts w:hint="default" w:ascii="Times New Roman" w:hAnsi="Times New Roman" w:eastAsia="仿宋_GB2312" w:cs="Times New Roman"/>
                <w:b w:val="0"/>
                <w:color w:val="auto"/>
                <w:kern w:val="16"/>
                <w:sz w:val="24"/>
                <w:szCs w:val="24"/>
                <w:highlight w:val="none"/>
                <w:lang w:val="en-US" w:eastAsia="zh-CN" w:bidi="ar-SA"/>
              </w:rPr>
              <w:t>。</w:t>
            </w:r>
          </w:p>
          <w:p>
            <w:pPr>
              <w:pStyle w:val="49"/>
              <w:keepNext w:val="0"/>
              <w:keepLines w:val="0"/>
              <w:pageBreakBefore w:val="0"/>
              <w:widowControl w:val="0"/>
              <w:kinsoku/>
              <w:wordWrap/>
              <w:topLinePunct w:val="0"/>
              <w:autoSpaceDE/>
              <w:autoSpaceDN/>
              <w:bidi w:val="0"/>
              <w:adjustRightInd w:val="0"/>
              <w:snapToGrid w:val="0"/>
              <w:spacing w:before="0" w:beforeLines="0" w:after="0" w:afterLines="0" w:line="240" w:lineRule="auto"/>
              <w:ind w:firstLine="481" w:firstLineChars="200"/>
              <w:rPr>
                <w:rFonts w:hint="default" w:cs="Times New Roman"/>
                <w:color w:val="auto"/>
                <w:highlight w:val="none"/>
                <w:lang w:val="en-US" w:eastAsia="zh-CN"/>
              </w:rPr>
            </w:pPr>
            <w:r>
              <w:rPr>
                <w:rFonts w:hint="default" w:cs="Times New Roman"/>
                <w:color w:val="auto"/>
                <w:highlight w:val="none"/>
                <w:lang w:val="en-US" w:eastAsia="zh-CN"/>
              </w:rPr>
              <w:t>表</w:t>
            </w:r>
            <w:r>
              <w:rPr>
                <w:rFonts w:hint="eastAsia" w:cs="Times New Roman"/>
                <w:color w:val="auto"/>
                <w:highlight w:val="none"/>
                <w:lang w:val="en-US" w:eastAsia="zh-CN"/>
              </w:rPr>
              <w:t>2-4</w:t>
            </w:r>
            <w:r>
              <w:rPr>
                <w:rFonts w:hint="default" w:cs="Times New Roman"/>
                <w:color w:val="auto"/>
                <w:highlight w:val="none"/>
                <w:lang w:val="en-US" w:eastAsia="zh-CN"/>
              </w:rPr>
              <w:t xml:space="preserve">                  主要设备配置一览表</w:t>
            </w:r>
          </w:p>
          <w:tbl>
            <w:tblPr>
              <w:tblStyle w:val="90"/>
              <w:tblW w:w="8097" w:type="dxa"/>
              <w:tblInd w:w="4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62"/>
              <w:gridCol w:w="2304"/>
              <w:gridCol w:w="2887"/>
              <w:gridCol w:w="988"/>
              <w:gridCol w:w="10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2"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rPr>
                    <w:t>序号</w:t>
                  </w:r>
                </w:p>
              </w:tc>
              <w:tc>
                <w:tcPr>
                  <w:tcW w:w="2304"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rPr>
                    <w:t>设备名称</w:t>
                  </w:r>
                </w:p>
              </w:tc>
              <w:tc>
                <w:tcPr>
                  <w:tcW w:w="2887"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rPr>
                    <w:t>型号及模型</w:t>
                  </w:r>
                </w:p>
              </w:tc>
              <w:tc>
                <w:tcPr>
                  <w:tcW w:w="988"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rPr>
                    <w:t>单位</w:t>
                  </w:r>
                </w:p>
              </w:tc>
              <w:tc>
                <w:tcPr>
                  <w:tcW w:w="1056"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2"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1</w:t>
                  </w:r>
                </w:p>
              </w:tc>
              <w:tc>
                <w:tcPr>
                  <w:tcW w:w="2304"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风力发电机组</w:t>
                  </w:r>
                </w:p>
              </w:tc>
              <w:tc>
                <w:tcPr>
                  <w:tcW w:w="2887"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rPr>
                    <w:t>6.25M</w:t>
                  </w:r>
                  <w:r>
                    <w:rPr>
                      <w:rFonts w:hint="default" w:ascii="Times New Roman" w:hAnsi="Times New Roman" w:eastAsia="宋体" w:cs="Times New Roman"/>
                      <w:b w:val="0"/>
                      <w:bCs w:val="0"/>
                      <w:color w:val="auto"/>
                      <w:kern w:val="2"/>
                      <w:sz w:val="21"/>
                      <w:szCs w:val="21"/>
                      <w:highlight w:val="none"/>
                      <w:lang w:val="en-US" w:eastAsia="zh-CN"/>
                    </w:rPr>
                    <w:t>W</w:t>
                  </w:r>
                  <w:r>
                    <w:rPr>
                      <w:rFonts w:hint="eastAsia" w:ascii="Times New Roman" w:hAnsi="Times New Roman" w:eastAsia="宋体" w:cs="Times New Roman"/>
                      <w:b w:val="0"/>
                      <w:bCs w:val="0"/>
                      <w:color w:val="auto"/>
                      <w:kern w:val="2"/>
                      <w:sz w:val="21"/>
                      <w:szCs w:val="21"/>
                      <w:highlight w:val="none"/>
                      <w:lang w:val="en-US" w:eastAsia="zh-CN"/>
                    </w:rPr>
                    <w:t>组（其中1台限发至6.05MW）</w:t>
                  </w:r>
                </w:p>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p>
              </w:tc>
              <w:tc>
                <w:tcPr>
                  <w:tcW w:w="988"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台</w:t>
                  </w:r>
                </w:p>
              </w:tc>
              <w:tc>
                <w:tcPr>
                  <w:tcW w:w="1056"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2"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2</w:t>
                  </w:r>
                </w:p>
              </w:tc>
              <w:tc>
                <w:tcPr>
                  <w:tcW w:w="2304"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箱式变压器</w:t>
                  </w:r>
                </w:p>
              </w:tc>
              <w:tc>
                <w:tcPr>
                  <w:tcW w:w="2887"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7000kVA/kV</w:t>
                  </w:r>
                </w:p>
              </w:tc>
              <w:tc>
                <w:tcPr>
                  <w:tcW w:w="988"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台</w:t>
                  </w:r>
                </w:p>
              </w:tc>
              <w:tc>
                <w:tcPr>
                  <w:tcW w:w="1056"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2"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3</w:t>
                  </w:r>
                </w:p>
              </w:tc>
              <w:tc>
                <w:tcPr>
                  <w:tcW w:w="2304"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风机基础</w:t>
                  </w:r>
                </w:p>
              </w:tc>
              <w:tc>
                <w:tcPr>
                  <w:tcW w:w="2887"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C</w:t>
                  </w:r>
                  <w:r>
                    <w:rPr>
                      <w:rFonts w:hint="eastAsia" w:cs="Times New Roman"/>
                      <w:b w:val="0"/>
                      <w:bCs w:val="0"/>
                      <w:color w:val="auto"/>
                      <w:kern w:val="2"/>
                      <w:sz w:val="21"/>
                      <w:szCs w:val="21"/>
                      <w:highlight w:val="none"/>
                      <w:lang w:val="en-US" w:eastAsia="zh-CN"/>
                    </w:rPr>
                    <w:t>20</w:t>
                  </w:r>
                  <w:r>
                    <w:rPr>
                      <w:rFonts w:hint="default" w:ascii="Times New Roman" w:hAnsi="Times New Roman" w:eastAsia="宋体" w:cs="Times New Roman"/>
                      <w:b w:val="0"/>
                      <w:bCs w:val="0"/>
                      <w:color w:val="auto"/>
                      <w:kern w:val="2"/>
                      <w:sz w:val="21"/>
                      <w:szCs w:val="21"/>
                      <w:highlight w:val="none"/>
                      <w:lang w:val="en-US" w:eastAsia="zh-CN"/>
                    </w:rPr>
                    <w:t xml:space="preserve"> 混凝土</w:t>
                  </w:r>
                </w:p>
              </w:tc>
              <w:tc>
                <w:tcPr>
                  <w:tcW w:w="988"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个</w:t>
                  </w:r>
                </w:p>
              </w:tc>
              <w:tc>
                <w:tcPr>
                  <w:tcW w:w="1056"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62"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4</w:t>
                  </w:r>
                </w:p>
              </w:tc>
              <w:tc>
                <w:tcPr>
                  <w:tcW w:w="2304"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eastAsia"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箱变基础</w:t>
                  </w:r>
                </w:p>
              </w:tc>
              <w:tc>
                <w:tcPr>
                  <w:tcW w:w="2887"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right="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C30或C35混凝土</w:t>
                  </w:r>
                </w:p>
              </w:tc>
              <w:tc>
                <w:tcPr>
                  <w:tcW w:w="988"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个</w:t>
                  </w:r>
                </w:p>
              </w:tc>
              <w:tc>
                <w:tcPr>
                  <w:tcW w:w="1056" w:type="dxa"/>
                  <w:tcBorders>
                    <w:tl2br w:val="nil"/>
                    <w:tr2bl w:val="nil"/>
                  </w:tcBorders>
                  <w:noWrap w:val="0"/>
                  <w:vAlign w:val="center"/>
                </w:tcPr>
                <w:p>
                  <w:pPr>
                    <w:pStyle w:val="55"/>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rPr>
                  </w:pPr>
                  <w:r>
                    <w:rPr>
                      <w:rFonts w:hint="eastAsia" w:cs="Times New Roman"/>
                      <w:b w:val="0"/>
                      <w:bCs w:val="0"/>
                      <w:color w:val="auto"/>
                      <w:kern w:val="2"/>
                      <w:sz w:val="21"/>
                      <w:szCs w:val="21"/>
                      <w:highlight w:val="none"/>
                      <w:lang w:val="en-US" w:eastAsia="zh-CN"/>
                    </w:rPr>
                    <w:t>8</w:t>
                  </w:r>
                </w:p>
              </w:tc>
            </w:tr>
          </w:tbl>
          <w:p>
            <w:pPr>
              <w:pStyle w:val="49"/>
              <w:keepNext w:val="0"/>
              <w:keepLines w:val="0"/>
              <w:pageBreakBefore w:val="0"/>
              <w:widowControl w:val="0"/>
              <w:kinsoku/>
              <w:wordWrap/>
              <w:topLinePunct w:val="0"/>
              <w:autoSpaceDE/>
              <w:autoSpaceDN/>
              <w:bidi w:val="0"/>
              <w:adjustRightInd w:val="0"/>
              <w:snapToGrid w:val="0"/>
              <w:spacing w:before="0" w:beforeLines="0" w:after="0" w:afterLines="0" w:line="360" w:lineRule="auto"/>
              <w:ind w:firstLine="481" w:firstLineChars="200"/>
              <w:rPr>
                <w:rFonts w:hint="default" w:ascii="Times New Roman" w:hAnsi="Times New Roman" w:eastAsia="仿宋" w:cs="Times New Roman"/>
                <w:color w:val="auto"/>
                <w:highlight w:val="none"/>
                <w:lang w:val="en-US" w:eastAsia="zh-CN"/>
              </w:rPr>
            </w:pPr>
            <w:r>
              <w:rPr>
                <w:rFonts w:hint="eastAsia" w:eastAsia="仿宋" w:cs="Times New Roman"/>
                <w:color w:val="auto"/>
                <w:highlight w:val="none"/>
                <w:lang w:val="en-US" w:eastAsia="zh-CN"/>
              </w:rPr>
              <w:t>4</w:t>
            </w:r>
            <w:r>
              <w:rPr>
                <w:rFonts w:hint="default" w:ascii="Times New Roman" w:hAnsi="Times New Roman" w:eastAsia="仿宋" w:cs="Times New Roman"/>
                <w:color w:val="auto"/>
                <w:highlight w:val="none"/>
                <w:lang w:val="en-US" w:eastAsia="zh-CN"/>
              </w:rPr>
              <w:t>.技术指标</w:t>
            </w:r>
          </w:p>
          <w:p>
            <w:pPr>
              <w:pStyle w:val="49"/>
              <w:keepNext w:val="0"/>
              <w:keepLines w:val="0"/>
              <w:pageBreakBefore w:val="0"/>
              <w:widowControl w:val="0"/>
              <w:kinsoku/>
              <w:wordWrap/>
              <w:topLinePunct w:val="0"/>
              <w:autoSpaceDE/>
              <w:autoSpaceDN/>
              <w:bidi w:val="0"/>
              <w:adjustRightInd w:val="0"/>
              <w:snapToGrid w:val="0"/>
              <w:spacing w:before="0" w:beforeLines="0" w:after="0" w:afterLines="0" w:line="240" w:lineRule="auto"/>
              <w:ind w:firstLine="481" w:firstLineChars="200"/>
              <w:rPr>
                <w:rFonts w:hint="default" w:cs="Times New Roman"/>
                <w:color w:val="auto"/>
                <w:highlight w:val="none"/>
                <w:lang w:val="en-US" w:eastAsia="zh-CN"/>
              </w:rPr>
            </w:pPr>
            <w:r>
              <w:rPr>
                <w:rFonts w:hint="default" w:cs="Times New Roman"/>
                <w:color w:val="auto"/>
                <w:highlight w:val="none"/>
                <w:lang w:val="en-US" w:eastAsia="zh-CN"/>
              </w:rPr>
              <w:t>表</w:t>
            </w:r>
            <w:r>
              <w:rPr>
                <w:rFonts w:hint="eastAsia" w:cs="Times New Roman"/>
                <w:color w:val="auto"/>
                <w:highlight w:val="none"/>
                <w:lang w:val="en-US" w:eastAsia="zh-CN"/>
              </w:rPr>
              <w:t>2-5</w:t>
            </w:r>
            <w:r>
              <w:rPr>
                <w:rFonts w:hint="default" w:cs="Times New Roman"/>
                <w:color w:val="auto"/>
                <w:highlight w:val="none"/>
                <w:lang w:val="en-US" w:eastAsia="zh-CN"/>
              </w:rPr>
              <w:t xml:space="preserve">                 项目主要技术指标表</w:t>
            </w:r>
          </w:p>
          <w:tbl>
            <w:tblPr>
              <w:tblStyle w:val="28"/>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409"/>
              <w:gridCol w:w="439"/>
              <w:gridCol w:w="637"/>
              <w:gridCol w:w="2359"/>
              <w:gridCol w:w="862"/>
              <w:gridCol w:w="36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blHeader/>
              </w:trPr>
              <w:tc>
                <w:tcPr>
                  <w:tcW w:w="2303" w:type="pct"/>
                  <w:gridSpan w:val="4"/>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名称</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单位（型号）</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数量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22" w:hRule="atLeast"/>
              </w:trPr>
              <w:tc>
                <w:tcPr>
                  <w:tcW w:w="245"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风</w:t>
                  </w:r>
                </w:p>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电</w:t>
                  </w:r>
                </w:p>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场</w:t>
                  </w:r>
                </w:p>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场</w:t>
                  </w:r>
                </w:p>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址</w:t>
                  </w:r>
                </w:p>
              </w:tc>
              <w:tc>
                <w:tcPr>
                  <w:tcW w:w="2057" w:type="pct"/>
                  <w:gridSpan w:val="3"/>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海拔</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m</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1860</w:t>
                  </w:r>
                  <w:r>
                    <w:rPr>
                      <w:rFonts w:hint="default" w:ascii="Times New Roman" w:hAnsi="Times New Roman" w:eastAsia="宋体" w:cs="Times New Roman"/>
                      <w:b w:val="0"/>
                      <w:bCs/>
                      <w:snapToGrid w:val="0"/>
                      <w:color w:val="auto"/>
                      <w:kern w:val="0"/>
                      <w:sz w:val="21"/>
                      <w:szCs w:val="21"/>
                      <w:highlight w:val="none"/>
                      <w:lang w:val="en-US" w:eastAsia="zh-CN"/>
                    </w:rPr>
                    <w:t>～</w:t>
                  </w:r>
                  <w:r>
                    <w:rPr>
                      <w:rFonts w:hint="eastAsia" w:cs="Times New Roman"/>
                      <w:b w:val="0"/>
                      <w:bCs/>
                      <w:snapToGrid w:val="0"/>
                      <w:color w:val="auto"/>
                      <w:kern w:val="0"/>
                      <w:sz w:val="21"/>
                      <w:szCs w:val="21"/>
                      <w:highlight w:val="none"/>
                      <w:lang w:val="en-US" w:eastAsia="zh-CN"/>
                    </w:rPr>
                    <w:t>1968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057" w:type="pct"/>
                  <w:gridSpan w:val="3"/>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经度（东经）</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仿宋" w:cs="Times New Roman"/>
                      <w:color w:val="auto"/>
                      <w:highlight w:val="none"/>
                      <w:lang w:val="en-US" w:eastAsia="zh-CN"/>
                    </w:rPr>
                    <w:t>105°13′12.009″-105°26′24.077″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2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057" w:type="pct"/>
                  <w:gridSpan w:val="3"/>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纬度（北纬）</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u w:val="none"/>
                      <w:lang w:val="en-US" w:eastAsia="zh-CN"/>
                    </w:rPr>
                  </w:pPr>
                  <w:r>
                    <w:rPr>
                      <w:rFonts w:hint="default" w:ascii="Times New Roman" w:hAnsi="Times New Roman" w:eastAsia="宋体" w:cs="Times New Roman"/>
                      <w:b w:val="0"/>
                      <w:bCs/>
                      <w:snapToGrid w:val="0"/>
                      <w:color w:val="auto"/>
                      <w:kern w:val="0"/>
                      <w:sz w:val="21"/>
                      <w:szCs w:val="21"/>
                      <w:highlight w:val="none"/>
                      <w:u w:val="none"/>
                      <w:lang w:val="en-US" w:eastAsia="zh-CN"/>
                    </w:rPr>
                    <w:t>/</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u w:val="none"/>
                      <w:lang w:val="en-US" w:eastAsia="zh-CN"/>
                    </w:rPr>
                  </w:pPr>
                  <w:r>
                    <w:rPr>
                      <w:rFonts w:hint="default" w:ascii="Times New Roman" w:hAnsi="Times New Roman" w:eastAsia="仿宋" w:cs="Times New Roman"/>
                      <w:color w:val="auto"/>
                      <w:highlight w:val="none"/>
                      <w:lang w:val="en-US" w:eastAsia="zh-CN"/>
                    </w:rPr>
                    <w:t>37°21′0.020″- 37°21′0.078″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297"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057" w:type="pct"/>
                  <w:gridSpan w:val="3"/>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年平均风速（轮毂高度）</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m/s</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5.22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23"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057" w:type="pct"/>
                  <w:gridSpan w:val="3"/>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风功率密度（轮毂高度）</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W/m</w:t>
                  </w:r>
                  <w:r>
                    <w:rPr>
                      <w:rFonts w:hint="default" w:ascii="Times New Roman" w:hAnsi="Times New Roman" w:eastAsia="宋体" w:cs="Times New Roman"/>
                      <w:b w:val="0"/>
                      <w:bCs/>
                      <w:snapToGrid w:val="0"/>
                      <w:color w:val="auto"/>
                      <w:kern w:val="0"/>
                      <w:sz w:val="21"/>
                      <w:szCs w:val="21"/>
                      <w:highlight w:val="none"/>
                      <w:vertAlign w:val="superscript"/>
                      <w:lang w:val="en-US" w:eastAsia="zh-CN"/>
                    </w:rPr>
                    <w:t>2</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163.8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8"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057" w:type="pct"/>
                  <w:gridSpan w:val="3"/>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eastAsia"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盛行风向</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SW</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主</w:t>
                  </w:r>
                </w:p>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要</w:t>
                  </w:r>
                </w:p>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设</w:t>
                  </w:r>
                </w:p>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备</w:t>
                  </w:r>
                </w:p>
              </w:tc>
              <w:tc>
                <w:tcPr>
                  <w:tcW w:w="263"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风电场主要机电设备</w:t>
                  </w:r>
                </w:p>
              </w:tc>
              <w:tc>
                <w:tcPr>
                  <w:tcW w:w="381"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风电机组</w:t>
                  </w: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台  数</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台</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额定功率</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kW</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6250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叶片数</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片</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风轮直径</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m</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220/200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轮毂高度</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m</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1</w:t>
                  </w:r>
                  <w:r>
                    <w:rPr>
                      <w:rFonts w:hint="eastAsia" w:cs="Times New Roman"/>
                      <w:b w:val="0"/>
                      <w:bCs/>
                      <w:snapToGrid w:val="0"/>
                      <w:color w:val="auto"/>
                      <w:kern w:val="0"/>
                      <w:sz w:val="21"/>
                      <w:szCs w:val="21"/>
                      <w:highlight w:val="none"/>
                      <w:lang w:val="en-US" w:eastAsia="zh-CN"/>
                    </w:rPr>
                    <w:t>25/115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风轮扫掠面积</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m</w:t>
                  </w:r>
                  <w:r>
                    <w:rPr>
                      <w:rFonts w:hint="eastAsia" w:cs="Times New Roman"/>
                      <w:b w:val="0"/>
                      <w:bCs/>
                      <w:snapToGrid w:val="0"/>
                      <w:color w:val="auto"/>
                      <w:kern w:val="0"/>
                      <w:sz w:val="21"/>
                      <w:szCs w:val="21"/>
                      <w:highlight w:val="none"/>
                      <w:vertAlign w:val="superscript"/>
                      <w:lang w:val="en-US" w:eastAsia="zh-CN"/>
                    </w:rPr>
                    <w:t>2</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38012/31416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切入风速</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m/s</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额定风速</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m/s</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10.2/10.5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切出风速</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m/s</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10min最大风速</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m/s</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37.5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安全</w:t>
                  </w:r>
                  <w:r>
                    <w:rPr>
                      <w:rFonts w:hint="default" w:ascii="Times New Roman" w:hAnsi="Times New Roman" w:eastAsia="宋体" w:cs="Times New Roman"/>
                      <w:b/>
                      <w:snapToGrid w:val="0"/>
                      <w:color w:val="auto"/>
                      <w:kern w:val="0"/>
                      <w:sz w:val="21"/>
                      <w:szCs w:val="21"/>
                      <w:highlight w:val="none"/>
                      <w:lang w:val="en-US" w:eastAsia="zh-CN"/>
                    </w:rPr>
                    <w:t>风速</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m/s</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52.5/49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eastAsia"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发电机额定功率</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kW</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6500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eastAsia"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额定电压</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V</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1140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箱式变压器</w:t>
                  </w: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数量</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台</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eastAsia" w:cs="Times New Roman"/>
                      <w:b/>
                      <w:snapToGrid w:val="0"/>
                      <w:color w:val="auto"/>
                      <w:kern w:val="0"/>
                      <w:sz w:val="21"/>
                      <w:szCs w:val="21"/>
                      <w:highlight w:val="none"/>
                      <w:lang w:val="en-US" w:eastAsia="zh-CN"/>
                    </w:rPr>
                  </w:pP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容量</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kVA</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38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eastAsia"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塔筒</w:t>
                  </w: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eastAsia"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钢制</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t/a</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390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63"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线路工程</w:t>
                  </w:r>
                </w:p>
              </w:tc>
              <w:tc>
                <w:tcPr>
                  <w:tcW w:w="38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eastAsia"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场内集电线路</w:t>
                  </w:r>
                </w:p>
              </w:tc>
              <w:tc>
                <w:tcPr>
                  <w:tcW w:w="1411"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color w:val="auto"/>
                      <w:highlight w:val="none"/>
                      <w:lang w:val="en-US" w:eastAsia="zh-CN"/>
                    </w:rPr>
                  </w:pPr>
                  <w:r>
                    <w:rPr>
                      <w:rFonts w:hint="eastAsia" w:cs="Times New Roman"/>
                      <w:b/>
                      <w:snapToGrid w:val="0"/>
                      <w:color w:val="auto"/>
                      <w:kern w:val="0"/>
                      <w:sz w:val="21"/>
                      <w:szCs w:val="21"/>
                      <w:highlight w:val="none"/>
                      <w:lang w:val="en-US" w:eastAsia="zh-CN"/>
                    </w:rPr>
                    <w:t>35kV线路路径长度</w:t>
                  </w:r>
                </w:p>
              </w:tc>
              <w:tc>
                <w:tcPr>
                  <w:tcW w:w="517"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km</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28.1（单回）/23.9（双回）/3.86（电缆）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土</w:t>
                  </w:r>
                </w:p>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建</w:t>
                  </w:r>
                </w:p>
              </w:tc>
              <w:tc>
                <w:tcPr>
                  <w:tcW w:w="645" w:type="pct"/>
                  <w:gridSpan w:val="2"/>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风机</w:t>
                  </w:r>
                </w:p>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基础</w:t>
                  </w:r>
                </w:p>
              </w:tc>
              <w:tc>
                <w:tcPr>
                  <w:tcW w:w="1411" w:type="pct"/>
                  <w:tcBorders>
                    <w:right w:val="single" w:color="auto" w:sz="4" w:space="0"/>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台  数</w:t>
                  </w:r>
                </w:p>
              </w:tc>
              <w:tc>
                <w:tcPr>
                  <w:tcW w:w="517" w:type="pct"/>
                  <w:tcBorders>
                    <w:left w:val="single" w:color="auto" w:sz="4" w:space="0"/>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台</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645" w:type="pct"/>
                  <w:gridSpan w:val="2"/>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right w:val="single" w:color="auto" w:sz="4" w:space="0"/>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型  式</w:t>
                  </w:r>
                </w:p>
              </w:tc>
              <w:tc>
                <w:tcPr>
                  <w:tcW w:w="517" w:type="pct"/>
                  <w:tcBorders>
                    <w:left w:val="single" w:color="auto" w:sz="4" w:space="0"/>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扩展基础+灌注桩基础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645" w:type="pct"/>
                  <w:gridSpan w:val="2"/>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right w:val="single" w:color="auto" w:sz="4" w:space="0"/>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地基特性</w:t>
                  </w:r>
                </w:p>
              </w:tc>
              <w:tc>
                <w:tcPr>
                  <w:tcW w:w="517" w:type="pct"/>
                  <w:tcBorders>
                    <w:left w:val="single" w:color="auto" w:sz="4" w:space="0"/>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较硬岩~黄土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645" w:type="pct"/>
                  <w:gridSpan w:val="2"/>
                  <w:vMerge w:val="restar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箱变</w:t>
                  </w:r>
                </w:p>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基础</w:t>
                  </w:r>
                </w:p>
              </w:tc>
              <w:tc>
                <w:tcPr>
                  <w:tcW w:w="1411" w:type="pct"/>
                  <w:tcBorders>
                    <w:right w:val="single" w:color="auto" w:sz="4" w:space="0"/>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台  数</w:t>
                  </w:r>
                </w:p>
              </w:tc>
              <w:tc>
                <w:tcPr>
                  <w:tcW w:w="517" w:type="pct"/>
                  <w:tcBorders>
                    <w:left w:val="single" w:color="auto" w:sz="4" w:space="0"/>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台</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645" w:type="pct"/>
                  <w:gridSpan w:val="2"/>
                  <w:vMerge w:val="continue"/>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1411" w:type="pct"/>
                  <w:tcBorders>
                    <w:right w:val="single" w:color="auto" w:sz="4" w:space="0"/>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型  式</w:t>
                  </w:r>
                </w:p>
              </w:tc>
              <w:tc>
                <w:tcPr>
                  <w:tcW w:w="517" w:type="pct"/>
                  <w:tcBorders>
                    <w:left w:val="single" w:color="auto" w:sz="4" w:space="0"/>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箱型基础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2" w:hRule="atLeast"/>
              </w:trPr>
              <w:tc>
                <w:tcPr>
                  <w:tcW w:w="245"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施工</w:t>
                  </w:r>
                </w:p>
              </w:tc>
              <w:tc>
                <w:tcPr>
                  <w:tcW w:w="645" w:type="pct"/>
                  <w:gridSpan w:val="2"/>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工程数量</w:t>
                  </w:r>
                </w:p>
              </w:tc>
              <w:tc>
                <w:tcPr>
                  <w:tcW w:w="1411" w:type="pct"/>
                  <w:tcBorders>
                    <w:right w:val="single" w:color="auto" w:sz="4" w:space="0"/>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场内新修/改建道路</w:t>
                  </w:r>
                </w:p>
              </w:tc>
              <w:tc>
                <w:tcPr>
                  <w:tcW w:w="517" w:type="pct"/>
                  <w:tcBorders>
                    <w:left w:val="single" w:color="auto" w:sz="4" w:space="0"/>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km</w:t>
                  </w:r>
                </w:p>
              </w:tc>
              <w:tc>
                <w:tcPr>
                  <w:tcW w:w="2178" w:type="pct"/>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autoSpaceDE w:val="0"/>
                    <w:autoSpaceDN w:val="0"/>
                    <w:bidi w:val="0"/>
                    <w:adjustRightInd w:val="0"/>
                    <w:snapToGrid w:val="0"/>
                    <w:spacing w:before="20" w:after="20"/>
                    <w:jc w:val="center"/>
                    <w:textAlignment w:val="bottom"/>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7.52/7.0</w:t>
                  </w:r>
                </w:p>
              </w:tc>
            </w:tr>
          </w:tbl>
          <w:p>
            <w:pPr>
              <w:pStyle w:val="49"/>
              <w:keepNext w:val="0"/>
              <w:keepLines w:val="0"/>
              <w:pageBreakBefore w:val="0"/>
              <w:widowControl w:val="0"/>
              <w:kinsoku/>
              <w:wordWrap/>
              <w:topLinePunct w:val="0"/>
              <w:autoSpaceDE/>
              <w:autoSpaceDN/>
              <w:bidi w:val="0"/>
              <w:adjustRightInd w:val="0"/>
              <w:snapToGrid w:val="0"/>
              <w:spacing w:before="0" w:beforeLines="0" w:after="0" w:afterLines="0" w:line="360" w:lineRule="auto"/>
              <w:ind w:firstLine="481" w:firstLineChars="200"/>
              <w:rPr>
                <w:rFonts w:hint="default" w:ascii="Times New Roman" w:hAnsi="Times New Roman" w:eastAsia="仿宋" w:cs="Times New Roman"/>
                <w:color w:val="auto"/>
                <w:highlight w:val="none"/>
                <w:lang w:val="en-US" w:eastAsia="zh-CN"/>
              </w:rPr>
            </w:pPr>
            <w:r>
              <w:rPr>
                <w:rFonts w:hint="eastAsia" w:eastAsia="仿宋" w:cs="Times New Roman"/>
                <w:color w:val="auto"/>
                <w:highlight w:val="none"/>
                <w:lang w:val="en-US" w:eastAsia="zh-CN"/>
              </w:rPr>
              <w:t>5</w:t>
            </w:r>
            <w:r>
              <w:rPr>
                <w:rFonts w:hint="eastAsia" w:ascii="Times New Roman" w:hAnsi="Times New Roman" w:eastAsia="仿宋" w:cs="Times New Roman"/>
                <w:color w:val="auto"/>
                <w:highlight w:val="none"/>
                <w:lang w:val="en-US" w:eastAsia="zh-CN"/>
              </w:rPr>
              <w:t>.项目占地情况</w:t>
            </w:r>
          </w:p>
          <w:p>
            <w:pPr>
              <w:pStyle w:val="5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本项目占地包括永久占地和临时占地，</w:t>
            </w:r>
            <w:r>
              <w:rPr>
                <w:rFonts w:hint="default" w:ascii="Times New Roman" w:hAnsi="Times New Roman" w:eastAsia="仿宋" w:cs="Times New Roman"/>
                <w:b w:val="0"/>
                <w:bCs/>
                <w:color w:val="auto"/>
                <w:kern w:val="2"/>
                <w:sz w:val="24"/>
                <w:szCs w:val="24"/>
                <w:highlight w:val="none"/>
                <w:lang w:val="en-US" w:eastAsia="zh-CN" w:bidi="ar-SA"/>
              </w:rPr>
              <w:t>本项目用地总面积</w:t>
            </w:r>
            <w:r>
              <w:rPr>
                <w:rFonts w:hint="eastAsia" w:eastAsia="仿宋" w:cs="Times New Roman"/>
                <w:b w:val="0"/>
                <w:bCs/>
                <w:color w:val="auto"/>
                <w:kern w:val="2"/>
                <w:sz w:val="24"/>
                <w:szCs w:val="24"/>
                <w:highlight w:val="none"/>
                <w:lang w:val="en-US" w:eastAsia="zh-CN" w:bidi="ar-SA"/>
              </w:rPr>
              <w:t>105449</w:t>
            </w:r>
            <w:r>
              <w:rPr>
                <w:rFonts w:hint="default" w:ascii="Times New Roman" w:hAnsi="Times New Roman" w:eastAsia="仿宋" w:cs="Times New Roman"/>
                <w:b w:val="0"/>
                <w:bCs/>
                <w:color w:val="auto"/>
                <w:kern w:val="2"/>
                <w:sz w:val="24"/>
                <w:szCs w:val="24"/>
                <w:highlight w:val="none"/>
                <w:lang w:val="en-US" w:eastAsia="zh-CN" w:bidi="ar-SA"/>
              </w:rPr>
              <w:t>m</w:t>
            </w:r>
            <w:r>
              <w:rPr>
                <w:rFonts w:hint="default" w:ascii="Times New Roman" w:hAnsi="Times New Roman" w:eastAsia="仿宋" w:cs="Times New Roman"/>
                <w:b w:val="0"/>
                <w:bCs/>
                <w:color w:val="auto"/>
                <w:kern w:val="2"/>
                <w:sz w:val="24"/>
                <w:szCs w:val="24"/>
                <w:highlight w:val="none"/>
                <w:vertAlign w:val="superscript"/>
                <w:lang w:val="en-US" w:eastAsia="zh-CN" w:bidi="ar-SA"/>
              </w:rPr>
              <w:t>2</w:t>
            </w:r>
            <w:r>
              <w:rPr>
                <w:rFonts w:hint="eastAsia" w:eastAsia="仿宋" w:cs="Times New Roman"/>
                <w:b w:val="0"/>
                <w:bCs/>
                <w:color w:val="auto"/>
                <w:kern w:val="2"/>
                <w:sz w:val="24"/>
                <w:szCs w:val="24"/>
                <w:highlight w:val="none"/>
                <w:lang w:val="en-US" w:eastAsia="zh-CN" w:bidi="ar-SA"/>
              </w:rPr>
              <w:t>，其中，永久占地面积50196m</w:t>
            </w:r>
            <w:r>
              <w:rPr>
                <w:rFonts w:hint="eastAsia" w:eastAsia="仿宋" w:cs="Times New Roman"/>
                <w:b w:val="0"/>
                <w:bCs/>
                <w:color w:val="auto"/>
                <w:kern w:val="2"/>
                <w:sz w:val="24"/>
                <w:szCs w:val="24"/>
                <w:highlight w:val="none"/>
                <w:vertAlign w:val="superscript"/>
                <w:lang w:val="en-US" w:eastAsia="zh-CN" w:bidi="ar-SA"/>
              </w:rPr>
              <w:t>2</w:t>
            </w:r>
            <w:r>
              <w:rPr>
                <w:rFonts w:hint="eastAsia" w:eastAsia="仿宋" w:cs="Times New Roman"/>
                <w:b w:val="0"/>
                <w:bCs/>
                <w:color w:val="auto"/>
                <w:kern w:val="2"/>
                <w:sz w:val="24"/>
                <w:szCs w:val="24"/>
                <w:highlight w:val="none"/>
                <w:lang w:val="en-US" w:eastAsia="zh-CN" w:bidi="ar-SA"/>
              </w:rPr>
              <w:t>，临时占地面积55253m</w:t>
            </w:r>
            <w:r>
              <w:rPr>
                <w:rFonts w:hint="eastAsia" w:eastAsia="仿宋" w:cs="Times New Roman"/>
                <w:b w:val="0"/>
                <w:bCs/>
                <w:color w:val="auto"/>
                <w:kern w:val="2"/>
                <w:sz w:val="24"/>
                <w:szCs w:val="24"/>
                <w:highlight w:val="none"/>
                <w:vertAlign w:val="superscript"/>
                <w:lang w:val="en-US" w:eastAsia="zh-CN" w:bidi="ar-SA"/>
              </w:rPr>
              <w:t>2</w:t>
            </w:r>
            <w:r>
              <w:rPr>
                <w:rFonts w:hint="default" w:ascii="Times New Roman" w:hAnsi="Times New Roman" w:cs="Times New Roman"/>
                <w:color w:val="auto"/>
                <w:highlight w:val="none"/>
                <w:lang w:val="en-US" w:eastAsia="zh-CN"/>
              </w:rPr>
              <w:t>。根据土地利用现状分类标准(GB/T21010-2017)对项目区土地类型进行分类，施工结束后根据项目区</w:t>
            </w:r>
            <w:r>
              <w:rPr>
                <w:rFonts w:hint="eastAsia" w:cs="Times New Roman"/>
                <w:color w:val="auto"/>
                <w:highlight w:val="none"/>
                <w:lang w:val="en-US" w:eastAsia="zh-CN"/>
              </w:rPr>
              <w:t>临时</w:t>
            </w:r>
            <w:r>
              <w:rPr>
                <w:rFonts w:hint="default" w:ascii="Times New Roman" w:hAnsi="Times New Roman" w:cs="Times New Roman"/>
                <w:color w:val="auto"/>
                <w:highlight w:val="none"/>
                <w:lang w:val="en-US" w:eastAsia="zh-CN"/>
              </w:rPr>
              <w:t>占地类型全部进行恢复。项目具体占地情况详见表</w:t>
            </w:r>
            <w:r>
              <w:rPr>
                <w:rFonts w:hint="eastAsia" w:cs="Times New Roman"/>
                <w:color w:val="auto"/>
                <w:highlight w:val="none"/>
                <w:lang w:val="en-US" w:eastAsia="zh-CN"/>
              </w:rPr>
              <w:t>2-6</w:t>
            </w:r>
            <w:r>
              <w:rPr>
                <w:rFonts w:hint="default" w:ascii="Times New Roman" w:hAnsi="Times New Roman" w:cs="Times New Roman"/>
                <w:color w:val="auto"/>
                <w:highlight w:val="none"/>
                <w:lang w:val="en-US" w:eastAsia="zh-CN"/>
              </w:rPr>
              <w:t>。</w:t>
            </w:r>
          </w:p>
          <w:p>
            <w:pPr>
              <w:pStyle w:val="49"/>
              <w:keepNext w:val="0"/>
              <w:keepLines w:val="0"/>
              <w:pageBreakBefore w:val="0"/>
              <w:widowControl w:val="0"/>
              <w:kinsoku/>
              <w:wordWrap/>
              <w:topLinePunct w:val="0"/>
              <w:autoSpaceDE/>
              <w:autoSpaceDN/>
              <w:bidi w:val="0"/>
              <w:adjustRightInd w:val="0"/>
              <w:snapToGrid w:val="0"/>
              <w:spacing w:before="0" w:beforeLines="0" w:after="0" w:afterLines="0" w:line="240" w:lineRule="auto"/>
              <w:ind w:firstLine="481"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w:t>
            </w:r>
            <w:r>
              <w:rPr>
                <w:rFonts w:hint="eastAsia" w:cs="Times New Roman"/>
                <w:color w:val="auto"/>
                <w:highlight w:val="none"/>
                <w:lang w:val="en-US" w:eastAsia="zh-CN"/>
              </w:rPr>
              <w:t>2-6</w:t>
            </w:r>
            <w:r>
              <w:rPr>
                <w:rFonts w:hint="default" w:ascii="Times New Roman" w:hAnsi="Times New Roman" w:eastAsia="宋体" w:cs="Times New Roman"/>
                <w:color w:val="auto"/>
                <w:highlight w:val="none"/>
                <w:lang w:val="en-US" w:eastAsia="zh-CN"/>
              </w:rPr>
              <w:t xml:space="preserve">                项目占地情况一览表               </w:t>
            </w:r>
          </w:p>
          <w:tbl>
            <w:tblPr>
              <w:tblStyle w:val="28"/>
              <w:tblW w:w="8064" w:type="dxa"/>
              <w:tblInd w:w="-7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531"/>
              <w:gridCol w:w="870"/>
              <w:gridCol w:w="2776"/>
              <w:gridCol w:w="18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531"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项目</w:t>
                  </w:r>
                </w:p>
              </w:tc>
              <w:tc>
                <w:tcPr>
                  <w:tcW w:w="870"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单位</w:t>
                  </w:r>
                </w:p>
              </w:tc>
              <w:tc>
                <w:tcPr>
                  <w:tcW w:w="2776" w:type="dxa"/>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面积</w:t>
                  </w:r>
                </w:p>
              </w:tc>
              <w:tc>
                <w:tcPr>
                  <w:tcW w:w="1887" w:type="dxa"/>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占地类型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531"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一、永久性占地</w:t>
                  </w:r>
                </w:p>
              </w:tc>
              <w:tc>
                <w:tcPr>
                  <w:tcW w:w="870" w:type="dxa"/>
                  <w:vMerge w:val="restar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m</w:t>
                  </w:r>
                  <w:r>
                    <w:rPr>
                      <w:rFonts w:hint="default" w:ascii="Times New Roman" w:hAnsi="Times New Roman" w:eastAsia="宋体" w:cs="Times New Roman"/>
                      <w:b w:val="0"/>
                      <w:bCs/>
                      <w:snapToGrid w:val="0"/>
                      <w:color w:val="auto"/>
                      <w:kern w:val="0"/>
                      <w:sz w:val="21"/>
                      <w:szCs w:val="21"/>
                      <w:highlight w:val="none"/>
                      <w:vertAlign w:val="superscript"/>
                      <w:lang w:val="en-US" w:eastAsia="zh-CN"/>
                    </w:rPr>
                    <w:t>2</w:t>
                  </w:r>
                </w:p>
              </w:tc>
              <w:tc>
                <w:tcPr>
                  <w:tcW w:w="2776" w:type="dxa"/>
                  <w:tcBorders>
                    <w:right w:val="single" w:color="auto" w:sz="4" w:space="0"/>
                    <w:tl2br w:val="nil"/>
                    <w:tr2bl w:val="nil"/>
                  </w:tcBorders>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50196</w:t>
                  </w:r>
                </w:p>
              </w:tc>
              <w:tc>
                <w:tcPr>
                  <w:tcW w:w="1887" w:type="dxa"/>
                  <w:vMerge w:val="restar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天然牧草地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531"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风机基础</w:t>
                  </w:r>
                </w:p>
              </w:tc>
              <w:tc>
                <w:tcPr>
                  <w:tcW w:w="870" w:type="dxa"/>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p>
              </w:tc>
              <w:tc>
                <w:tcPr>
                  <w:tcW w:w="2776" w:type="dxa"/>
                  <w:tcBorders>
                    <w:right w:val="single" w:color="auto" w:sz="4" w:space="0"/>
                    <w:tl2br w:val="nil"/>
                    <w:tr2bl w:val="nil"/>
                  </w:tcBorders>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3600</w:t>
                  </w:r>
                </w:p>
              </w:tc>
              <w:tc>
                <w:tcPr>
                  <w:tcW w:w="1887" w:type="dxa"/>
                  <w:vMerge w:val="continue"/>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eastAsia" w:ascii="Times New Roman" w:hAnsi="Times New Roman" w:eastAsia="宋体" w:cs="Times New Roman"/>
                      <w:b w:val="0"/>
                      <w:bCs/>
                      <w:snapToGrid w:val="0"/>
                      <w:color w:val="auto"/>
                      <w:ker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531"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箱变基础</w:t>
                  </w:r>
                </w:p>
              </w:tc>
              <w:tc>
                <w:tcPr>
                  <w:tcW w:w="870" w:type="dxa"/>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p>
              </w:tc>
              <w:tc>
                <w:tcPr>
                  <w:tcW w:w="2776" w:type="dxa"/>
                  <w:tcBorders>
                    <w:right w:val="single" w:color="auto" w:sz="4" w:space="0"/>
                    <w:tl2br w:val="nil"/>
                    <w:tr2bl w:val="nil"/>
                  </w:tcBorders>
                  <w:noWrap/>
                  <w:tcMar>
                    <w:top w:w="15" w:type="dxa"/>
                    <w:left w:w="15" w:type="dxa"/>
                    <w:right w:w="15" w:type="dxa"/>
                  </w:tcMar>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208</w:t>
                  </w:r>
                </w:p>
              </w:tc>
              <w:tc>
                <w:tcPr>
                  <w:tcW w:w="1887" w:type="dxa"/>
                  <w:vMerge w:val="continue"/>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eastAsia" w:ascii="Times New Roman" w:hAnsi="Times New Roman" w:eastAsia="宋体" w:cs="Times New Roman"/>
                      <w:b w:val="0"/>
                      <w:bCs/>
                      <w:snapToGrid w:val="0"/>
                      <w:color w:val="auto"/>
                      <w:ker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531"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风场道路区</w:t>
                  </w:r>
                </w:p>
              </w:tc>
              <w:tc>
                <w:tcPr>
                  <w:tcW w:w="870" w:type="dxa"/>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p>
              </w:tc>
              <w:tc>
                <w:tcPr>
                  <w:tcW w:w="2776" w:type="dxa"/>
                  <w:tcBorders>
                    <w:right w:val="single" w:color="auto" w:sz="4" w:space="0"/>
                    <w:tl2br w:val="nil"/>
                    <w:tr2bl w:val="nil"/>
                  </w:tcBorders>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44340</w:t>
                  </w:r>
                </w:p>
              </w:tc>
              <w:tc>
                <w:tcPr>
                  <w:tcW w:w="1887" w:type="dxa"/>
                  <w:vMerge w:val="continue"/>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eastAsia" w:ascii="Times New Roman" w:hAnsi="Times New Roman" w:eastAsia="宋体" w:cs="Times New Roman"/>
                      <w:b w:val="0"/>
                      <w:bCs/>
                      <w:snapToGrid w:val="0"/>
                      <w:color w:val="auto"/>
                      <w:ker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2531"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35kV架空线路</w:t>
                  </w:r>
                </w:p>
              </w:tc>
              <w:tc>
                <w:tcPr>
                  <w:tcW w:w="870" w:type="dxa"/>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p>
              </w:tc>
              <w:tc>
                <w:tcPr>
                  <w:tcW w:w="2776" w:type="dxa"/>
                  <w:tcBorders>
                    <w:right w:val="single" w:color="auto" w:sz="4" w:space="0"/>
                    <w:tl2br w:val="nil"/>
                    <w:tr2bl w:val="nil"/>
                  </w:tcBorders>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2048</w:t>
                  </w:r>
                </w:p>
              </w:tc>
              <w:tc>
                <w:tcPr>
                  <w:tcW w:w="1887" w:type="dxa"/>
                  <w:vMerge w:val="continue"/>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eastAsia" w:ascii="Times New Roman" w:hAnsi="Times New Roman" w:eastAsia="宋体" w:cs="Times New Roman"/>
                      <w:b w:val="0"/>
                      <w:bCs/>
                      <w:snapToGrid w:val="0"/>
                      <w:color w:val="auto"/>
                      <w:ker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2531"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二、临时性占地</w:t>
                  </w:r>
                </w:p>
              </w:tc>
              <w:tc>
                <w:tcPr>
                  <w:tcW w:w="870" w:type="dxa"/>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2776" w:type="dxa"/>
                  <w:tcBorders>
                    <w:right w:val="single" w:color="auto" w:sz="4" w:space="0"/>
                    <w:tl2br w:val="nil"/>
                    <w:tr2bl w:val="nil"/>
                  </w:tcBorders>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55253</w:t>
                  </w:r>
                </w:p>
              </w:tc>
              <w:tc>
                <w:tcPr>
                  <w:tcW w:w="1887" w:type="dxa"/>
                  <w:vMerge w:val="restar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天然牧草地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2531"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风机</w:t>
                  </w:r>
                  <w:r>
                    <w:rPr>
                      <w:rFonts w:hint="default" w:ascii="Times New Roman" w:hAnsi="Times New Roman" w:eastAsia="宋体" w:cs="Times New Roman"/>
                      <w:b w:val="0"/>
                      <w:bCs/>
                      <w:snapToGrid w:val="0"/>
                      <w:color w:val="auto"/>
                      <w:kern w:val="0"/>
                      <w:sz w:val="21"/>
                      <w:szCs w:val="21"/>
                      <w:highlight w:val="none"/>
                      <w:lang w:val="en-US" w:eastAsia="zh-CN"/>
                    </w:rPr>
                    <w:t>吊装用地</w:t>
                  </w:r>
                  <w:r>
                    <w:rPr>
                      <w:rFonts w:hint="eastAsia" w:cs="Times New Roman"/>
                      <w:b w:val="0"/>
                      <w:bCs/>
                      <w:snapToGrid w:val="0"/>
                      <w:color w:val="auto"/>
                      <w:kern w:val="0"/>
                      <w:sz w:val="21"/>
                      <w:szCs w:val="21"/>
                      <w:highlight w:val="none"/>
                      <w:lang w:val="en-US" w:eastAsia="zh-CN"/>
                    </w:rPr>
                    <w:t>（含组装临时用地）</w:t>
                  </w:r>
                </w:p>
              </w:tc>
              <w:tc>
                <w:tcPr>
                  <w:tcW w:w="870" w:type="dxa"/>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p>
              </w:tc>
              <w:tc>
                <w:tcPr>
                  <w:tcW w:w="2776" w:type="dxa"/>
                  <w:tcBorders>
                    <w:right w:val="single" w:color="auto" w:sz="4" w:space="0"/>
                    <w:tl2br w:val="nil"/>
                    <w:tr2bl w:val="nil"/>
                  </w:tcBorders>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24000</w:t>
                  </w:r>
                </w:p>
              </w:tc>
              <w:tc>
                <w:tcPr>
                  <w:tcW w:w="1887" w:type="dxa"/>
                  <w:vMerge w:val="continue"/>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eastAsia" w:ascii="Times New Roman" w:hAnsi="Times New Roman" w:eastAsia="宋体" w:cs="Times New Roman"/>
                      <w:b w:val="0"/>
                      <w:bCs/>
                      <w:snapToGrid w:val="0"/>
                      <w:color w:val="auto"/>
                      <w:ker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2531"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风场道路区</w:t>
                  </w:r>
                </w:p>
              </w:tc>
              <w:tc>
                <w:tcPr>
                  <w:tcW w:w="870" w:type="dxa"/>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p>
              </w:tc>
              <w:tc>
                <w:tcPr>
                  <w:tcW w:w="2776" w:type="dxa"/>
                  <w:tcBorders>
                    <w:right w:val="single" w:color="auto" w:sz="4" w:space="0"/>
                    <w:tl2br w:val="nil"/>
                    <w:tr2bl w:val="nil"/>
                  </w:tcBorders>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14520</w:t>
                  </w:r>
                </w:p>
              </w:tc>
              <w:tc>
                <w:tcPr>
                  <w:tcW w:w="1887" w:type="dxa"/>
                  <w:vMerge w:val="continue"/>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eastAsia" w:ascii="Times New Roman" w:hAnsi="Times New Roman" w:eastAsia="宋体" w:cs="Times New Roman"/>
                      <w:b w:val="0"/>
                      <w:bCs/>
                      <w:snapToGrid w:val="0"/>
                      <w:color w:val="auto"/>
                      <w:ker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2531"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35kV地埋线路</w:t>
                  </w:r>
                </w:p>
              </w:tc>
              <w:tc>
                <w:tcPr>
                  <w:tcW w:w="870" w:type="dxa"/>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p>
              </w:tc>
              <w:tc>
                <w:tcPr>
                  <w:tcW w:w="2776" w:type="dxa"/>
                  <w:tcBorders>
                    <w:right w:val="single" w:color="auto" w:sz="4" w:space="0"/>
                    <w:tl2br w:val="nil"/>
                    <w:tr2bl w:val="nil"/>
                  </w:tcBorders>
                  <w:noWrap/>
                  <w:tcMar>
                    <w:top w:w="15" w:type="dxa"/>
                    <w:left w:w="15" w:type="dxa"/>
                    <w:right w:w="15" w:type="dxa"/>
                  </w:tcMar>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16733</w:t>
                  </w:r>
                </w:p>
              </w:tc>
              <w:tc>
                <w:tcPr>
                  <w:tcW w:w="1887" w:type="dxa"/>
                  <w:vMerge w:val="continue"/>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eastAsia" w:cs="Times New Roman"/>
                      <w:b w:val="0"/>
                      <w:bCs/>
                      <w:snapToGrid w:val="0"/>
                      <w:color w:val="auto"/>
                      <w:kern w:val="0"/>
                      <w:sz w:val="21"/>
                      <w:szCs w:val="21"/>
                      <w:highlight w:val="none"/>
                      <w:lang w:val="en-US" w:eastAsia="zh-CN"/>
                    </w:rPr>
                  </w:pPr>
                </w:p>
              </w:tc>
            </w:tr>
          </w:tbl>
          <w:p>
            <w:pPr>
              <w:pStyle w:val="49"/>
              <w:keepNext w:val="0"/>
              <w:keepLines w:val="0"/>
              <w:pageBreakBefore w:val="0"/>
              <w:widowControl w:val="0"/>
              <w:kinsoku/>
              <w:wordWrap/>
              <w:topLinePunct w:val="0"/>
              <w:autoSpaceDE/>
              <w:autoSpaceDN/>
              <w:bidi w:val="0"/>
              <w:adjustRightInd w:val="0"/>
              <w:snapToGrid w:val="0"/>
              <w:spacing w:before="0" w:beforeLines="0" w:after="0" w:afterLines="0" w:line="360" w:lineRule="auto"/>
              <w:ind w:firstLine="481" w:firstLineChars="200"/>
              <w:rPr>
                <w:rFonts w:hint="eastAsia" w:ascii="Times New Roman" w:hAnsi="Times New Roman" w:eastAsia="仿宋" w:cs="Times New Roman"/>
                <w:color w:val="auto"/>
                <w:highlight w:val="none"/>
                <w:lang w:val="en-US" w:eastAsia="zh-CN"/>
              </w:rPr>
            </w:pPr>
            <w:r>
              <w:rPr>
                <w:rFonts w:hint="eastAsia" w:eastAsia="仿宋" w:cs="Times New Roman"/>
                <w:color w:val="auto"/>
                <w:highlight w:val="none"/>
                <w:lang w:val="en-US" w:eastAsia="zh-CN"/>
              </w:rPr>
              <w:t>6</w:t>
            </w:r>
            <w:r>
              <w:rPr>
                <w:rFonts w:hint="default" w:ascii="Times New Roman" w:hAnsi="Times New Roman" w:eastAsia="仿宋" w:cs="Times New Roman"/>
                <w:color w:val="auto"/>
                <w:highlight w:val="none"/>
                <w:lang w:val="en-US" w:eastAsia="zh-CN"/>
              </w:rPr>
              <w:t>.</w:t>
            </w:r>
            <w:r>
              <w:rPr>
                <w:rFonts w:hint="eastAsia" w:ascii="Times New Roman" w:hAnsi="Times New Roman" w:eastAsia="仿宋" w:cs="Times New Roman"/>
                <w:color w:val="auto"/>
                <w:highlight w:val="none"/>
                <w:lang w:val="en-US" w:eastAsia="zh-CN"/>
              </w:rPr>
              <w:t>土石方平衡</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根据《国家电投中卫香山 49.8MW 分散式风电项目水土保持方案报告书》，</w:t>
            </w:r>
            <w:r>
              <w:rPr>
                <w:rFonts w:hint="default" w:ascii="Times New Roman" w:hAnsi="Times New Roman" w:cs="Times New Roman"/>
                <w:color w:val="auto"/>
                <w:highlight w:val="none"/>
                <w:lang w:val="en-US" w:eastAsia="zh-CN"/>
              </w:rPr>
              <w:t>本项目在建设期开挖土方总量为</w:t>
            </w:r>
            <w:r>
              <w:rPr>
                <w:rFonts w:hint="eastAsia" w:cs="Times New Roman"/>
                <w:color w:val="auto"/>
                <w:highlight w:val="none"/>
                <w:lang w:val="en-US" w:eastAsia="zh-CN"/>
              </w:rPr>
              <w:t>119351</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，回填土方</w:t>
            </w:r>
            <w:r>
              <w:rPr>
                <w:rFonts w:hint="eastAsia" w:cs="Times New Roman"/>
                <w:color w:val="auto"/>
                <w:highlight w:val="none"/>
                <w:lang w:val="en-US" w:eastAsia="zh-CN"/>
              </w:rPr>
              <w:t>119351</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土方挖填平衡</w:t>
            </w:r>
            <w:r>
              <w:rPr>
                <w:rFonts w:hint="default" w:ascii="Times New Roman" w:hAnsi="Times New Roman" w:cs="Times New Roman"/>
                <w:color w:val="auto"/>
                <w:highlight w:val="none"/>
                <w:lang w:val="en-US" w:eastAsia="zh-CN"/>
              </w:rPr>
              <w:t>。项目各单元工程挖、填的土石方情况见表</w:t>
            </w:r>
            <w:r>
              <w:rPr>
                <w:rFonts w:hint="eastAsia" w:cs="Times New Roman"/>
                <w:color w:val="auto"/>
                <w:highlight w:val="none"/>
                <w:lang w:val="en-US" w:eastAsia="zh-CN"/>
              </w:rPr>
              <w:t>2-7</w:t>
            </w:r>
            <w:r>
              <w:rPr>
                <w:rFonts w:hint="default" w:ascii="Times New Roman" w:hAnsi="Times New Roman" w:cs="Times New Roman"/>
                <w:color w:val="auto"/>
                <w:highlight w:val="none"/>
                <w:lang w:val="en-US" w:eastAsia="zh-CN"/>
              </w:rPr>
              <w:t>。</w:t>
            </w:r>
          </w:p>
          <w:p>
            <w:pPr>
              <w:pStyle w:val="49"/>
              <w:keepNext w:val="0"/>
              <w:keepLines w:val="0"/>
              <w:pageBreakBefore w:val="0"/>
              <w:widowControl w:val="0"/>
              <w:kinsoku/>
              <w:wordWrap/>
              <w:overflowPunct/>
              <w:topLinePunct w:val="0"/>
              <w:autoSpaceDE/>
              <w:autoSpaceDN/>
              <w:bidi w:val="0"/>
              <w:adjustRightInd w:val="0"/>
              <w:snapToGrid w:val="0"/>
              <w:spacing w:before="0" w:beforeLines="0" w:after="0" w:afterLines="0"/>
              <w:ind w:firstLine="481" w:firstLineChars="200"/>
              <w:textAlignment w:val="baseline"/>
              <w:rPr>
                <w:rFonts w:hint="default" w:ascii="Times New Roman" w:hAnsi="Times New Roman" w:eastAsia="宋体" w:cs="Times New Roman"/>
                <w:color w:val="auto"/>
                <w:highlight w:val="none"/>
                <w:vertAlign w:val="superscript"/>
                <w:lang w:val="en-US" w:eastAsia="zh-CN"/>
              </w:rPr>
            </w:pPr>
            <w:r>
              <w:rPr>
                <w:rFonts w:hint="default" w:ascii="Times New Roman" w:hAnsi="Times New Roman" w:eastAsia="宋体" w:cs="Times New Roman"/>
                <w:color w:val="auto"/>
                <w:highlight w:val="none"/>
                <w:lang w:val="en-US" w:eastAsia="zh-CN"/>
              </w:rPr>
              <w:t>表</w:t>
            </w:r>
            <w:r>
              <w:rPr>
                <w:rFonts w:hint="eastAsia" w:cs="Times New Roman"/>
                <w:color w:val="auto"/>
                <w:highlight w:val="none"/>
                <w:lang w:val="en-US" w:eastAsia="zh-CN"/>
              </w:rPr>
              <w:t>2-7</w:t>
            </w:r>
            <w:r>
              <w:rPr>
                <w:rFonts w:hint="default"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 xml:space="preserve">          项目土石方平衡表                单位：m</w:t>
            </w:r>
            <w:r>
              <w:rPr>
                <w:rFonts w:hint="default" w:ascii="Times New Roman" w:hAnsi="Times New Roman" w:eastAsia="宋体" w:cs="Times New Roman"/>
                <w:color w:val="auto"/>
                <w:highlight w:val="none"/>
                <w:vertAlign w:val="superscript"/>
                <w:lang w:val="en-US" w:eastAsia="zh-CN"/>
              </w:rPr>
              <w:t>3</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198"/>
              <w:gridCol w:w="1228"/>
              <w:gridCol w:w="1440"/>
              <w:gridCol w:w="961"/>
              <w:gridCol w:w="1078"/>
              <w:gridCol w:w="949"/>
              <w:gridCol w:w="6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gridSpan w:val="2"/>
                  <w:vMerge w:val="restar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项目组成</w:t>
                  </w:r>
                </w:p>
              </w:tc>
              <w:tc>
                <w:tcPr>
                  <w:tcW w:w="736" w:type="pct"/>
                  <w:vMerge w:val="restar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土石方开挖量</w:t>
                  </w:r>
                </w:p>
              </w:tc>
              <w:tc>
                <w:tcPr>
                  <w:tcW w:w="863" w:type="pct"/>
                  <w:vMerge w:val="restar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土石方回填量</w:t>
                  </w:r>
                </w:p>
              </w:tc>
              <w:tc>
                <w:tcPr>
                  <w:tcW w:w="2193" w:type="pct"/>
                  <w:gridSpan w:val="4"/>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直接调运方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gridSpan w:val="2"/>
                  <w:vMerge w:val="continue"/>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736" w:type="pct"/>
                  <w:vMerge w:val="continue"/>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863" w:type="pct"/>
                  <w:vMerge w:val="continue"/>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p>
              </w:tc>
              <w:tc>
                <w:tcPr>
                  <w:tcW w:w="576"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调入</w:t>
                  </w:r>
                </w:p>
              </w:tc>
              <w:tc>
                <w:tcPr>
                  <w:tcW w:w="646"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来源</w:t>
                  </w:r>
                </w:p>
              </w:tc>
              <w:tc>
                <w:tcPr>
                  <w:tcW w:w="569"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调出</w:t>
                  </w:r>
                </w:p>
              </w:tc>
              <w:tc>
                <w:tcPr>
                  <w:tcW w:w="402"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snapToGrid w:val="0"/>
                      <w:color w:val="auto"/>
                      <w:kern w:val="0"/>
                      <w:sz w:val="21"/>
                      <w:szCs w:val="21"/>
                      <w:highlight w:val="none"/>
                      <w:lang w:val="en-US" w:eastAsia="zh-CN"/>
                    </w:rPr>
                  </w:pPr>
                  <w:r>
                    <w:rPr>
                      <w:rFonts w:hint="eastAsia" w:cs="Times New Roman"/>
                      <w:b/>
                      <w:snapToGrid w:val="0"/>
                      <w:color w:val="auto"/>
                      <w:kern w:val="0"/>
                      <w:sz w:val="21"/>
                      <w:szCs w:val="21"/>
                      <w:highlight w:val="none"/>
                      <w:lang w:val="en-US" w:eastAsia="zh-C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gridSpan w:val="2"/>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风机基础</w:t>
                  </w:r>
                  <w:r>
                    <w:rPr>
                      <w:rFonts w:hint="eastAsia" w:cs="Times New Roman"/>
                      <w:b w:val="0"/>
                      <w:bCs/>
                      <w:snapToGrid w:val="0"/>
                      <w:color w:val="auto"/>
                      <w:kern w:val="0"/>
                      <w:sz w:val="21"/>
                      <w:szCs w:val="21"/>
                      <w:highlight w:val="none"/>
                      <w:lang w:val="en-US" w:eastAsia="zh-CN"/>
                    </w:rPr>
                    <w:t>及箱变基础区</w:t>
                  </w:r>
                </w:p>
              </w:tc>
              <w:tc>
                <w:tcPr>
                  <w:tcW w:w="736" w:type="pct"/>
                  <w:noWrap w:val="0"/>
                  <w:vAlign w:val="center"/>
                </w:tcPr>
                <w:p>
                  <w:pPr>
                    <w:pStyle w:val="24"/>
                    <w:ind w:left="0" w:leftChars="0" w:firstLine="0" w:firstLineChars="0"/>
                    <w:jc w:val="center"/>
                    <w:rPr>
                      <w:rFonts w:hint="default"/>
                      <w:color w:val="auto"/>
                      <w:highlight w:val="none"/>
                      <w:lang w:val="en-US" w:eastAsia="zh-CN"/>
                    </w:rPr>
                  </w:pPr>
                  <w:r>
                    <w:rPr>
                      <w:rFonts w:hint="eastAsia"/>
                      <w:color w:val="auto"/>
                      <w:highlight w:val="none"/>
                      <w:lang w:val="en-US" w:eastAsia="zh-CN"/>
                    </w:rPr>
                    <w:t>47369</w:t>
                  </w:r>
                </w:p>
              </w:tc>
              <w:tc>
                <w:tcPr>
                  <w:tcW w:w="863" w:type="pct"/>
                  <w:noWrap w:val="0"/>
                  <w:vAlign w:val="center"/>
                </w:tcPr>
                <w:p>
                  <w:pPr>
                    <w:pStyle w:val="24"/>
                    <w:ind w:left="0" w:leftChars="0" w:firstLine="0" w:firstLineChars="0"/>
                    <w:jc w:val="center"/>
                    <w:rPr>
                      <w:rFonts w:hint="default"/>
                      <w:color w:val="auto"/>
                      <w:highlight w:val="none"/>
                      <w:lang w:val="en-US" w:eastAsia="zh-CN"/>
                    </w:rPr>
                  </w:pPr>
                  <w:r>
                    <w:rPr>
                      <w:rFonts w:hint="eastAsia" w:cs="Times New Roman"/>
                      <w:b w:val="0"/>
                      <w:bCs/>
                      <w:snapToGrid w:val="0"/>
                      <w:color w:val="auto"/>
                      <w:kern w:val="0"/>
                      <w:sz w:val="21"/>
                      <w:szCs w:val="21"/>
                      <w:highlight w:val="none"/>
                      <w:lang w:val="en-US" w:eastAsia="zh-CN"/>
                    </w:rPr>
                    <w:t>47369</w:t>
                  </w:r>
                </w:p>
              </w:tc>
              <w:tc>
                <w:tcPr>
                  <w:tcW w:w="576"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w:t>
                  </w:r>
                </w:p>
              </w:tc>
              <w:tc>
                <w:tcPr>
                  <w:tcW w:w="646" w:type="pct"/>
                  <w:noWrap w:val="0"/>
                  <w:vAlign w:val="center"/>
                </w:tcPr>
                <w:p>
                  <w:pPr>
                    <w:ind w:left="0" w:leftChars="0" w:firstLine="0" w:firstLineChars="0"/>
                    <w:jc w:val="center"/>
                    <w:rPr>
                      <w:rFonts w:hint="default"/>
                      <w:color w:val="auto"/>
                      <w:highlight w:val="none"/>
                      <w:lang w:val="en-US" w:eastAsia="zh-CN"/>
                    </w:rPr>
                  </w:pPr>
                  <w:r>
                    <w:rPr>
                      <w:rFonts w:hint="eastAsia"/>
                      <w:color w:val="auto"/>
                      <w:highlight w:val="none"/>
                      <w:lang w:val="en-US" w:eastAsia="zh-CN"/>
                    </w:rPr>
                    <w:t>/</w:t>
                  </w:r>
                </w:p>
              </w:tc>
              <w:tc>
                <w:tcPr>
                  <w:tcW w:w="569" w:type="pct"/>
                  <w:noWrap w:val="0"/>
                  <w:vAlign w:val="center"/>
                </w:tcPr>
                <w:p>
                  <w:pPr>
                    <w:ind w:left="0" w:leftChars="0"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w:t>
                  </w:r>
                </w:p>
              </w:tc>
              <w:tc>
                <w:tcPr>
                  <w:tcW w:w="402" w:type="pct"/>
                  <w:noWrap w:val="0"/>
                  <w:vAlign w:val="center"/>
                </w:tcPr>
                <w:p>
                  <w:pPr>
                    <w:ind w:left="0" w:leftChars="0"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8"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eastAsia" w:ascii="Times New Roman" w:hAnsi="Times New Roman" w:eastAsia="宋体" w:cs="Times New Roman"/>
                      <w:b w:val="0"/>
                      <w:bCs/>
                      <w:snapToGrid w:val="0"/>
                      <w:color w:val="auto"/>
                      <w:kern w:val="0"/>
                      <w:sz w:val="21"/>
                      <w:szCs w:val="21"/>
                      <w:highlight w:val="none"/>
                      <w:lang w:val="en-US" w:eastAsia="zh-CN"/>
                    </w:rPr>
                  </w:pPr>
                  <w:r>
                    <w:rPr>
                      <w:rFonts w:hint="eastAsia" w:ascii="Times New Roman" w:hAnsi="Times New Roman" w:eastAsia="宋体" w:cs="Times New Roman"/>
                      <w:b w:val="0"/>
                      <w:bCs/>
                      <w:snapToGrid w:val="0"/>
                      <w:color w:val="auto"/>
                      <w:kern w:val="0"/>
                      <w:sz w:val="21"/>
                      <w:szCs w:val="21"/>
                      <w:highlight w:val="none"/>
                      <w:lang w:val="en-US" w:eastAsia="zh-CN"/>
                    </w:rPr>
                    <w:t>①</w:t>
                  </w:r>
                </w:p>
              </w:tc>
              <w:tc>
                <w:tcPr>
                  <w:tcW w:w="718"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风机基础</w:t>
                  </w:r>
                  <w:r>
                    <w:rPr>
                      <w:rFonts w:hint="eastAsia" w:cs="Times New Roman"/>
                      <w:b w:val="0"/>
                      <w:bCs/>
                      <w:snapToGrid w:val="0"/>
                      <w:color w:val="auto"/>
                      <w:kern w:val="0"/>
                      <w:sz w:val="21"/>
                      <w:szCs w:val="21"/>
                      <w:highlight w:val="none"/>
                      <w:lang w:val="en-US" w:eastAsia="zh-CN"/>
                    </w:rPr>
                    <w:t>及箱变基础</w:t>
                  </w:r>
                </w:p>
              </w:tc>
              <w:tc>
                <w:tcPr>
                  <w:tcW w:w="736" w:type="pct"/>
                  <w:noWrap w:val="0"/>
                  <w:vAlign w:val="center"/>
                </w:tcPr>
                <w:p>
                  <w:pPr>
                    <w:pStyle w:val="24"/>
                    <w:ind w:left="0" w:leftChars="0" w:firstLine="0" w:firstLineChars="0"/>
                    <w:jc w:val="center"/>
                    <w:rPr>
                      <w:rFonts w:hint="default"/>
                      <w:color w:val="auto"/>
                      <w:highlight w:val="none"/>
                      <w:lang w:val="en-US" w:eastAsia="zh-CN"/>
                    </w:rPr>
                  </w:pPr>
                  <w:r>
                    <w:rPr>
                      <w:rFonts w:hint="eastAsia" w:cs="Times New Roman"/>
                      <w:b w:val="0"/>
                      <w:bCs/>
                      <w:snapToGrid w:val="0"/>
                      <w:color w:val="auto"/>
                      <w:kern w:val="0"/>
                      <w:sz w:val="21"/>
                      <w:szCs w:val="21"/>
                      <w:highlight w:val="none"/>
                      <w:lang w:val="en-US" w:eastAsia="zh-CN"/>
                    </w:rPr>
                    <w:t>11369</w:t>
                  </w:r>
                </w:p>
              </w:tc>
              <w:tc>
                <w:tcPr>
                  <w:tcW w:w="863" w:type="pct"/>
                  <w:noWrap w:val="0"/>
                  <w:vAlign w:val="center"/>
                </w:tcPr>
                <w:p>
                  <w:pPr>
                    <w:pStyle w:val="24"/>
                    <w:ind w:left="0" w:leftChars="0" w:firstLine="0" w:firstLineChars="0"/>
                    <w:jc w:val="center"/>
                    <w:rPr>
                      <w:rFonts w:hint="default"/>
                      <w:color w:val="auto"/>
                      <w:highlight w:val="none"/>
                      <w:lang w:val="en-US" w:eastAsia="zh-CN"/>
                    </w:rPr>
                  </w:pPr>
                  <w:r>
                    <w:rPr>
                      <w:rFonts w:hint="eastAsia" w:cs="Times New Roman"/>
                      <w:b w:val="0"/>
                      <w:bCs/>
                      <w:snapToGrid w:val="0"/>
                      <w:color w:val="auto"/>
                      <w:kern w:val="0"/>
                      <w:sz w:val="21"/>
                      <w:szCs w:val="21"/>
                      <w:highlight w:val="none"/>
                      <w:lang w:val="en-US" w:eastAsia="zh-CN"/>
                    </w:rPr>
                    <w:t>6494</w:t>
                  </w:r>
                </w:p>
              </w:tc>
              <w:tc>
                <w:tcPr>
                  <w:tcW w:w="576"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0</w:t>
                  </w:r>
                </w:p>
              </w:tc>
              <w:tc>
                <w:tcPr>
                  <w:tcW w:w="646" w:type="pct"/>
                  <w:noWrap w:val="0"/>
                  <w:vAlign w:val="center"/>
                </w:tcPr>
                <w:p>
                  <w:pPr>
                    <w:pStyle w:val="24"/>
                    <w:ind w:left="0" w:leftChars="0" w:firstLine="0" w:firstLineChars="0"/>
                    <w:jc w:val="center"/>
                    <w:rPr>
                      <w:rFonts w:hint="default"/>
                      <w:color w:val="auto"/>
                      <w:highlight w:val="none"/>
                      <w:lang w:val="en-US" w:eastAsia="zh-CN"/>
                    </w:rPr>
                  </w:pPr>
                  <w:r>
                    <w:rPr>
                      <w:rFonts w:hint="eastAsia"/>
                      <w:color w:val="auto"/>
                      <w:highlight w:val="none"/>
                      <w:lang w:val="en-US" w:eastAsia="zh-CN"/>
                    </w:rPr>
                    <w:t>/</w:t>
                  </w:r>
                </w:p>
              </w:tc>
              <w:tc>
                <w:tcPr>
                  <w:tcW w:w="569" w:type="pct"/>
                  <w:noWrap w:val="0"/>
                  <w:vAlign w:val="center"/>
                </w:tcPr>
                <w:p>
                  <w:pPr>
                    <w:pStyle w:val="24"/>
                    <w:ind w:left="0" w:leftChars="0"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4875</w:t>
                  </w:r>
                </w:p>
              </w:tc>
              <w:tc>
                <w:tcPr>
                  <w:tcW w:w="402" w:type="pct"/>
                  <w:noWrap w:val="0"/>
                  <w:vAlign w:val="center"/>
                </w:tcPr>
                <w:p>
                  <w:pPr>
                    <w:pStyle w:val="24"/>
                    <w:ind w:left="0" w:leftChars="0" w:firstLine="0" w:firstLineChars="0"/>
                    <w:jc w:val="center"/>
                    <w:rPr>
                      <w:rFonts w:hint="eastAsia" w:cs="Times New Roman"/>
                      <w:b w:val="0"/>
                      <w:bCs/>
                      <w:snapToGrid w:val="0"/>
                      <w:color w:val="auto"/>
                      <w:kern w:val="0"/>
                      <w:sz w:val="21"/>
                      <w:szCs w:val="21"/>
                      <w:highlight w:val="none"/>
                      <w:lang w:val="en-US" w:eastAsia="zh-CN"/>
                    </w:rPr>
                  </w:pPr>
                  <w:r>
                    <w:rPr>
                      <w:rFonts w:hint="eastAsia" w:ascii="Times New Roman" w:hAnsi="Times New Roman" w:eastAsia="宋体" w:cs="Times New Roman"/>
                      <w:b w:val="0"/>
                      <w:bCs/>
                      <w:snapToGrid w:val="0"/>
                      <w:color w:val="auto"/>
                      <w:kern w:val="0"/>
                      <w:sz w:val="21"/>
                      <w:szCs w:val="21"/>
                      <w:highlight w:val="none"/>
                      <w:lang w:val="en-US" w:eastAsia="zh-CN"/>
                    </w:rPr>
                    <w:t>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8"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ascii="Times New Roman" w:hAnsi="Times New Roman" w:eastAsia="宋体" w:cs="Times New Roman"/>
                      <w:b w:val="0"/>
                      <w:bCs/>
                      <w:snapToGrid w:val="0"/>
                      <w:color w:val="auto"/>
                      <w:kern w:val="0"/>
                      <w:sz w:val="21"/>
                      <w:szCs w:val="21"/>
                      <w:highlight w:val="none"/>
                      <w:lang w:val="en-US" w:eastAsia="zh-CN"/>
                    </w:rPr>
                    <w:t>②</w:t>
                  </w:r>
                </w:p>
              </w:tc>
              <w:tc>
                <w:tcPr>
                  <w:tcW w:w="718"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风机平台</w:t>
                  </w:r>
                </w:p>
              </w:tc>
              <w:tc>
                <w:tcPr>
                  <w:tcW w:w="736" w:type="pct"/>
                  <w:noWrap w:val="0"/>
                  <w:vAlign w:val="center"/>
                </w:tcPr>
                <w:p>
                  <w:pPr>
                    <w:jc w:val="center"/>
                    <w:rPr>
                      <w:rFonts w:hint="default"/>
                      <w:color w:val="auto"/>
                      <w:highlight w:val="none"/>
                      <w:lang w:val="en-US" w:eastAsia="zh-CN"/>
                    </w:rPr>
                  </w:pPr>
                  <w:r>
                    <w:rPr>
                      <w:rFonts w:hint="eastAsia"/>
                      <w:color w:val="auto"/>
                      <w:highlight w:val="none"/>
                      <w:lang w:val="en-US" w:eastAsia="zh-CN"/>
                    </w:rPr>
                    <w:t>36000</w:t>
                  </w:r>
                </w:p>
              </w:tc>
              <w:tc>
                <w:tcPr>
                  <w:tcW w:w="863"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40875</w:t>
                  </w:r>
                </w:p>
              </w:tc>
              <w:tc>
                <w:tcPr>
                  <w:tcW w:w="576"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4875</w:t>
                  </w:r>
                </w:p>
              </w:tc>
              <w:tc>
                <w:tcPr>
                  <w:tcW w:w="646"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ascii="Times New Roman" w:hAnsi="Times New Roman" w:eastAsia="宋体" w:cs="Times New Roman"/>
                      <w:b w:val="0"/>
                      <w:bCs/>
                      <w:snapToGrid w:val="0"/>
                      <w:color w:val="auto"/>
                      <w:kern w:val="0"/>
                      <w:sz w:val="21"/>
                      <w:szCs w:val="21"/>
                      <w:highlight w:val="none"/>
                      <w:lang w:val="en-US" w:eastAsia="zh-CN"/>
                    </w:rPr>
                    <w:t>①</w:t>
                  </w:r>
                </w:p>
              </w:tc>
              <w:tc>
                <w:tcPr>
                  <w:tcW w:w="569"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0</w:t>
                  </w:r>
                </w:p>
              </w:tc>
              <w:tc>
                <w:tcPr>
                  <w:tcW w:w="402" w:type="pct"/>
                  <w:noWrap w:val="0"/>
                  <w:vAlign w:val="center"/>
                </w:tcPr>
                <w:p>
                  <w:pPr>
                    <w:keepNext w:val="0"/>
                    <w:keepLines w:val="0"/>
                    <w:pageBreakBefore w:val="0"/>
                    <w:widowControl w:val="0"/>
                    <w:kinsoku/>
                    <w:wordWrap/>
                    <w:overflowPunct/>
                    <w:topLinePunct/>
                    <w:autoSpaceDE w:val="0"/>
                    <w:autoSpaceDN w:val="0"/>
                    <w:bidi w:val="0"/>
                    <w:adjustRightInd w:val="0"/>
                    <w:snapToGrid w:val="0"/>
                    <w:jc w:val="center"/>
                    <w:textAlignment w:val="bottom"/>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gridSpan w:val="2"/>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风场道路区</w:t>
                  </w:r>
                </w:p>
              </w:tc>
              <w:tc>
                <w:tcPr>
                  <w:tcW w:w="736"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41360</w:t>
                  </w:r>
                </w:p>
              </w:tc>
              <w:tc>
                <w:tcPr>
                  <w:tcW w:w="863"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41360</w:t>
                  </w:r>
                </w:p>
              </w:tc>
              <w:tc>
                <w:tcPr>
                  <w:tcW w:w="576"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default" w:cs="Times New Roman"/>
                      <w:b w:val="0"/>
                      <w:bCs/>
                      <w:snapToGrid w:val="0"/>
                      <w:color w:val="auto"/>
                      <w:kern w:val="0"/>
                      <w:sz w:val="21"/>
                      <w:szCs w:val="21"/>
                      <w:highlight w:val="none"/>
                      <w:lang w:val="en-US" w:eastAsia="zh-CN"/>
                    </w:rPr>
                    <w:t>0</w:t>
                  </w:r>
                </w:p>
              </w:tc>
              <w:tc>
                <w:tcPr>
                  <w:tcW w:w="646"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w:t>
                  </w:r>
                </w:p>
              </w:tc>
              <w:tc>
                <w:tcPr>
                  <w:tcW w:w="569"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default" w:cs="Times New Roman"/>
                      <w:b w:val="0"/>
                      <w:bCs/>
                      <w:snapToGrid w:val="0"/>
                      <w:color w:val="auto"/>
                      <w:kern w:val="0"/>
                      <w:sz w:val="21"/>
                      <w:szCs w:val="21"/>
                      <w:highlight w:val="none"/>
                      <w:lang w:val="en-US" w:eastAsia="zh-CN"/>
                    </w:rPr>
                    <w:t>0</w:t>
                  </w:r>
                </w:p>
              </w:tc>
              <w:tc>
                <w:tcPr>
                  <w:tcW w:w="402"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gridSpan w:val="2"/>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35kV集电线路区</w:t>
                  </w:r>
                </w:p>
              </w:tc>
              <w:tc>
                <w:tcPr>
                  <w:tcW w:w="736"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30622</w:t>
                  </w:r>
                </w:p>
              </w:tc>
              <w:tc>
                <w:tcPr>
                  <w:tcW w:w="863"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30622</w:t>
                  </w:r>
                </w:p>
              </w:tc>
              <w:tc>
                <w:tcPr>
                  <w:tcW w:w="576"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default" w:cs="Times New Roman"/>
                      <w:b w:val="0"/>
                      <w:bCs/>
                      <w:snapToGrid w:val="0"/>
                      <w:color w:val="auto"/>
                      <w:kern w:val="0"/>
                      <w:sz w:val="21"/>
                      <w:szCs w:val="21"/>
                      <w:highlight w:val="none"/>
                      <w:lang w:val="en-US" w:eastAsia="zh-CN"/>
                    </w:rPr>
                    <w:t>0</w:t>
                  </w:r>
                </w:p>
              </w:tc>
              <w:tc>
                <w:tcPr>
                  <w:tcW w:w="646"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w:t>
                  </w:r>
                </w:p>
              </w:tc>
              <w:tc>
                <w:tcPr>
                  <w:tcW w:w="569"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default" w:cs="Times New Roman"/>
                      <w:b w:val="0"/>
                      <w:bCs/>
                      <w:snapToGrid w:val="0"/>
                      <w:color w:val="auto"/>
                      <w:kern w:val="0"/>
                      <w:sz w:val="21"/>
                      <w:szCs w:val="21"/>
                      <w:highlight w:val="none"/>
                      <w:lang w:val="en-US" w:eastAsia="zh-CN"/>
                    </w:rPr>
                    <w:t>0</w:t>
                  </w:r>
                </w:p>
              </w:tc>
              <w:tc>
                <w:tcPr>
                  <w:tcW w:w="402"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8"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③</w:t>
                  </w:r>
                </w:p>
              </w:tc>
              <w:tc>
                <w:tcPr>
                  <w:tcW w:w="718"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塔基基础</w:t>
                  </w:r>
                </w:p>
              </w:tc>
              <w:tc>
                <w:tcPr>
                  <w:tcW w:w="736"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12480</w:t>
                  </w:r>
                </w:p>
              </w:tc>
              <w:tc>
                <w:tcPr>
                  <w:tcW w:w="863"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12480</w:t>
                  </w:r>
                </w:p>
              </w:tc>
              <w:tc>
                <w:tcPr>
                  <w:tcW w:w="576"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default" w:cs="Times New Roman"/>
                      <w:b w:val="0"/>
                      <w:bCs/>
                      <w:snapToGrid w:val="0"/>
                      <w:color w:val="auto"/>
                      <w:kern w:val="0"/>
                      <w:sz w:val="21"/>
                      <w:szCs w:val="21"/>
                      <w:highlight w:val="none"/>
                      <w:lang w:val="en-US" w:eastAsia="zh-CN"/>
                    </w:rPr>
                    <w:t>0</w:t>
                  </w:r>
                </w:p>
              </w:tc>
              <w:tc>
                <w:tcPr>
                  <w:tcW w:w="646"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w:t>
                  </w:r>
                </w:p>
              </w:tc>
              <w:tc>
                <w:tcPr>
                  <w:tcW w:w="569"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default" w:cs="Times New Roman"/>
                      <w:b w:val="0"/>
                      <w:bCs/>
                      <w:snapToGrid w:val="0"/>
                      <w:color w:val="auto"/>
                      <w:kern w:val="0"/>
                      <w:sz w:val="21"/>
                      <w:szCs w:val="21"/>
                      <w:highlight w:val="none"/>
                      <w:lang w:val="en-US" w:eastAsia="zh-CN"/>
                    </w:rPr>
                    <w:t>0</w:t>
                  </w:r>
                </w:p>
              </w:tc>
              <w:tc>
                <w:tcPr>
                  <w:tcW w:w="402"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8"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④</w:t>
                  </w:r>
                </w:p>
              </w:tc>
              <w:tc>
                <w:tcPr>
                  <w:tcW w:w="718"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地埋线路</w:t>
                  </w:r>
                </w:p>
              </w:tc>
              <w:tc>
                <w:tcPr>
                  <w:tcW w:w="736"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18142</w:t>
                  </w:r>
                </w:p>
              </w:tc>
              <w:tc>
                <w:tcPr>
                  <w:tcW w:w="863"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18142</w:t>
                  </w:r>
                </w:p>
              </w:tc>
              <w:tc>
                <w:tcPr>
                  <w:tcW w:w="576"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default" w:cs="Times New Roman"/>
                      <w:b w:val="0"/>
                      <w:bCs/>
                      <w:snapToGrid w:val="0"/>
                      <w:color w:val="auto"/>
                      <w:kern w:val="0"/>
                      <w:sz w:val="21"/>
                      <w:szCs w:val="21"/>
                      <w:highlight w:val="none"/>
                      <w:lang w:val="en-US" w:eastAsia="zh-CN"/>
                    </w:rPr>
                    <w:t>0</w:t>
                  </w:r>
                </w:p>
              </w:tc>
              <w:tc>
                <w:tcPr>
                  <w:tcW w:w="646"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w:t>
                  </w:r>
                </w:p>
              </w:tc>
              <w:tc>
                <w:tcPr>
                  <w:tcW w:w="569" w:type="pct"/>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default" w:cs="Times New Roman"/>
                      <w:b w:val="0"/>
                      <w:bCs/>
                      <w:snapToGrid w:val="0"/>
                      <w:color w:val="auto"/>
                      <w:kern w:val="0"/>
                      <w:sz w:val="21"/>
                      <w:szCs w:val="21"/>
                      <w:highlight w:val="none"/>
                      <w:lang w:val="en-US" w:eastAsia="zh-CN"/>
                    </w:rPr>
                    <w:t>0</w:t>
                  </w:r>
                </w:p>
              </w:tc>
              <w:tc>
                <w:tcPr>
                  <w:tcW w:w="402" w:type="pct"/>
                  <w:noWrap w:val="0"/>
                  <w:vAlign w:val="center"/>
                </w:tcPr>
                <w:p>
                  <w:pPr>
                    <w:pStyle w:val="24"/>
                    <w:ind w:left="0" w:leftChars="0" w:firstLine="0" w:firstLineChars="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gridSpan w:val="2"/>
                  <w:noWrap w:val="0"/>
                  <w:vAlign w:val="center"/>
                </w:tcPr>
                <w:p>
                  <w:pPr>
                    <w:pStyle w:val="24"/>
                    <w:ind w:left="0" w:leftChars="0" w:firstLine="0" w:firstLineChars="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合计</w:t>
                  </w:r>
                </w:p>
              </w:tc>
              <w:tc>
                <w:tcPr>
                  <w:tcW w:w="1228" w:type="dxa"/>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119351</w:t>
                  </w:r>
                </w:p>
              </w:tc>
              <w:tc>
                <w:tcPr>
                  <w:tcW w:w="1440" w:type="dxa"/>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119351</w:t>
                  </w:r>
                </w:p>
              </w:tc>
              <w:tc>
                <w:tcPr>
                  <w:tcW w:w="961" w:type="dxa"/>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4875</w:t>
                  </w:r>
                </w:p>
              </w:tc>
              <w:tc>
                <w:tcPr>
                  <w:tcW w:w="1078" w:type="dxa"/>
                  <w:noWrap w:val="0"/>
                  <w:vAlign w:val="center"/>
                </w:tcPr>
                <w:p>
                  <w:pPr>
                    <w:pStyle w:val="24"/>
                    <w:ind w:left="0" w:leftChars="0" w:firstLine="0" w:firstLineChars="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w:t>
                  </w:r>
                </w:p>
              </w:tc>
              <w:tc>
                <w:tcPr>
                  <w:tcW w:w="949" w:type="dxa"/>
                  <w:noWrap w:val="0"/>
                  <w:vAlign w:val="center"/>
                </w:tcPr>
                <w:p>
                  <w:pPr>
                    <w:pStyle w:val="24"/>
                    <w:ind w:left="0" w:leftChars="0" w:firstLine="0" w:firstLineChars="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4875</w:t>
                  </w:r>
                </w:p>
              </w:tc>
              <w:tc>
                <w:tcPr>
                  <w:tcW w:w="671" w:type="dxa"/>
                  <w:noWrap w:val="0"/>
                  <w:vAlign w:val="center"/>
                </w:tcPr>
                <w:p>
                  <w:pPr>
                    <w:pStyle w:val="24"/>
                    <w:ind w:left="0" w:leftChars="0" w:firstLine="0" w:firstLineChars="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w:t>
                  </w:r>
                </w:p>
              </w:tc>
            </w:tr>
          </w:tbl>
          <w:p>
            <w:pPr>
              <w:pStyle w:val="49"/>
              <w:keepNext w:val="0"/>
              <w:keepLines w:val="0"/>
              <w:pageBreakBefore w:val="0"/>
              <w:widowControl w:val="0"/>
              <w:kinsoku/>
              <w:wordWrap/>
              <w:topLinePunct w:val="0"/>
              <w:autoSpaceDE/>
              <w:autoSpaceDN/>
              <w:bidi w:val="0"/>
              <w:adjustRightInd w:val="0"/>
              <w:snapToGrid w:val="0"/>
              <w:spacing w:before="0" w:beforeLines="0" w:after="0" w:afterLines="0" w:line="360" w:lineRule="auto"/>
              <w:ind w:firstLine="481" w:firstLineChars="200"/>
              <w:rPr>
                <w:rFonts w:hint="default" w:ascii="Times New Roman" w:hAnsi="Times New Roman" w:eastAsia="仿宋" w:cs="Times New Roman"/>
                <w:color w:val="auto"/>
                <w:highlight w:val="none"/>
                <w:lang w:val="en-US" w:eastAsia="zh-CN"/>
              </w:rPr>
            </w:pPr>
            <w:r>
              <w:rPr>
                <w:rFonts w:hint="eastAsia" w:eastAsia="仿宋" w:cs="Times New Roman"/>
                <w:color w:val="auto"/>
                <w:highlight w:val="none"/>
                <w:lang w:val="en-US" w:eastAsia="zh-CN"/>
              </w:rPr>
              <w:t>7</w:t>
            </w:r>
            <w:r>
              <w:rPr>
                <w:rFonts w:hint="default" w:ascii="Times New Roman" w:hAnsi="Times New Roman" w:eastAsia="仿宋" w:cs="Times New Roman"/>
                <w:color w:val="auto"/>
                <w:highlight w:val="none"/>
                <w:lang w:val="en-US" w:eastAsia="zh-CN"/>
              </w:rPr>
              <w:t>.劳动定员</w:t>
            </w:r>
          </w:p>
          <w:p>
            <w:pPr>
              <w:pStyle w:val="50"/>
              <w:bidi w:val="0"/>
              <w:rPr>
                <w:rFonts w:hint="eastAsia" w:cs="Times New Roman"/>
                <w:color w:val="auto"/>
                <w:highlight w:val="none"/>
                <w:lang w:val="en-US" w:eastAsia="zh-CN"/>
              </w:rPr>
            </w:pPr>
            <w:r>
              <w:rPr>
                <w:rFonts w:hint="eastAsia"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lang w:val="en-US" w:eastAsia="zh-CN"/>
              </w:rPr>
              <w:t>施工高峰期施工人数为</w:t>
            </w:r>
            <w:r>
              <w:rPr>
                <w:rFonts w:hint="eastAsia" w:cs="Times New Roman"/>
                <w:color w:val="auto"/>
                <w:highlight w:val="none"/>
                <w:lang w:val="en-US" w:eastAsia="zh-CN"/>
              </w:rPr>
              <w:t>50</w:t>
            </w:r>
            <w:r>
              <w:rPr>
                <w:rFonts w:hint="default" w:ascii="Times New Roman" w:hAnsi="Times New Roman" w:cs="Times New Roman"/>
                <w:color w:val="auto"/>
                <w:highlight w:val="none"/>
                <w:lang w:val="en-US" w:eastAsia="zh-CN"/>
              </w:rPr>
              <w:t>人/d；施工平均人数估算为</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0人/d；</w:t>
            </w:r>
            <w:r>
              <w:rPr>
                <w:rFonts w:hint="eastAsia" w:ascii="Times New Roman" w:hAnsi="Times New Roman" w:cs="Times New Roman"/>
                <w:color w:val="auto"/>
                <w:highlight w:val="none"/>
                <w:lang w:val="en-US" w:eastAsia="zh-CN"/>
              </w:rPr>
              <w:t>运营期为无人值守</w:t>
            </w:r>
            <w:r>
              <w:rPr>
                <w:rFonts w:hint="eastAsia" w:cs="Times New Roman"/>
                <w:color w:val="auto"/>
                <w:highlight w:val="none"/>
                <w:lang w:val="en-US" w:eastAsia="zh-CN"/>
              </w:rPr>
              <w:t>。</w:t>
            </w:r>
          </w:p>
          <w:p>
            <w:pPr>
              <w:pStyle w:val="50"/>
              <w:bidi w:val="0"/>
              <w:rPr>
                <w:rFonts w:hint="default" w:ascii="Times New Roman" w:hAnsi="Times New Roman" w:eastAsia="宋体" w:cs="Times New Roman"/>
                <w:b/>
                <w:color w:val="auto"/>
                <w:kern w:val="2"/>
                <w:sz w:val="24"/>
                <w:szCs w:val="20"/>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69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总平面及现场布置</w:t>
            </w:r>
          </w:p>
        </w:tc>
        <w:tc>
          <w:tcPr>
            <w:tcW w:w="8588" w:type="dxa"/>
            <w:tcBorders>
              <w:tl2br w:val="nil"/>
              <w:tr2bl w:val="nil"/>
            </w:tcBorders>
            <w:shd w:val="clear" w:color="auto" w:fill="auto"/>
            <w:vAlign w:val="center"/>
          </w:tcPr>
          <w:p>
            <w:pPr>
              <w:pStyle w:val="49"/>
              <w:keepNext w:val="0"/>
              <w:keepLines w:val="0"/>
              <w:pageBreakBefore w:val="0"/>
              <w:widowControl w:val="0"/>
              <w:kinsoku/>
              <w:wordWrap/>
              <w:topLinePunct w:val="0"/>
              <w:autoSpaceDE/>
              <w:autoSpaceDN/>
              <w:bidi w:val="0"/>
              <w:adjustRightInd w:val="0"/>
              <w:snapToGrid w:val="0"/>
              <w:spacing w:before="0" w:beforeLines="0" w:after="0" w:afterLines="0" w:line="360" w:lineRule="auto"/>
              <w:ind w:firstLine="481" w:firstLineChars="20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1.工程布局情况</w:t>
            </w:r>
          </w:p>
          <w:p>
            <w:pPr>
              <w:pStyle w:val="5"/>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rPr>
                <w:rFonts w:hint="default" w:ascii="Times New Roman" w:hAnsi="Times New Roman" w:eastAsia="方正仿宋_GB2312" w:cs="Times New Roman"/>
                <w:b w:val="0"/>
                <w:bCs w:val="0"/>
                <w:color w:val="auto"/>
                <w:sz w:val="24"/>
                <w:szCs w:val="24"/>
                <w:highlight w:val="none"/>
                <w:lang w:val="en-US" w:eastAsia="zh-CN"/>
              </w:rPr>
            </w:pPr>
            <w:r>
              <w:rPr>
                <w:rFonts w:hint="default" w:ascii="Times New Roman" w:hAnsi="Times New Roman" w:eastAsia="仿宋" w:cs="Times New Roman"/>
                <w:b w:val="0"/>
                <w:bCs w:val="0"/>
                <w:color w:val="auto"/>
                <w:kern w:val="16"/>
                <w:sz w:val="24"/>
                <w:szCs w:val="24"/>
                <w:highlight w:val="none"/>
                <w:lang w:val="en-US" w:eastAsia="zh-CN" w:bidi="ar-SA"/>
              </w:rPr>
              <w:t>本项目</w:t>
            </w:r>
            <w:r>
              <w:rPr>
                <w:rFonts w:hint="eastAsia" w:ascii="Times New Roman" w:hAnsi="Times New Roman" w:eastAsia="仿宋" w:cs="Times New Roman"/>
                <w:b w:val="0"/>
                <w:bCs w:val="0"/>
                <w:color w:val="auto"/>
                <w:kern w:val="16"/>
                <w:sz w:val="24"/>
                <w:szCs w:val="24"/>
                <w:highlight w:val="none"/>
                <w:lang w:val="en-US" w:eastAsia="zh-CN" w:bidi="ar-SA"/>
              </w:rPr>
              <w:t>主要安装8</w:t>
            </w:r>
            <w:r>
              <w:rPr>
                <w:rFonts w:hint="default" w:ascii="Times New Roman" w:hAnsi="Times New Roman" w:eastAsia="仿宋" w:cs="Times New Roman"/>
                <w:b w:val="0"/>
                <w:bCs w:val="0"/>
                <w:color w:val="auto"/>
                <w:kern w:val="16"/>
                <w:sz w:val="24"/>
                <w:szCs w:val="24"/>
                <w:highlight w:val="none"/>
                <w:lang w:val="en-US" w:eastAsia="zh-CN" w:bidi="ar-SA"/>
              </w:rPr>
              <w:t>台</w:t>
            </w:r>
            <w:r>
              <w:rPr>
                <w:rFonts w:hint="eastAsia" w:ascii="Times New Roman" w:hAnsi="Times New Roman" w:eastAsia="仿宋" w:cs="Times New Roman"/>
                <w:b w:val="0"/>
                <w:bCs w:val="0"/>
                <w:color w:val="auto"/>
                <w:kern w:val="16"/>
                <w:sz w:val="24"/>
                <w:szCs w:val="24"/>
                <w:highlight w:val="none"/>
                <w:lang w:val="en-US" w:eastAsia="zh-CN" w:bidi="ar-SA"/>
              </w:rPr>
              <w:t>6.25M</w:t>
            </w:r>
            <w:r>
              <w:rPr>
                <w:rFonts w:hint="default" w:ascii="Times New Roman" w:hAnsi="Times New Roman" w:eastAsia="仿宋" w:cs="Times New Roman"/>
                <w:b w:val="0"/>
                <w:bCs w:val="0"/>
                <w:color w:val="auto"/>
                <w:kern w:val="16"/>
                <w:sz w:val="24"/>
                <w:szCs w:val="24"/>
                <w:highlight w:val="none"/>
                <w:lang w:val="en-US" w:eastAsia="zh-CN" w:bidi="ar-SA"/>
              </w:rPr>
              <w:t>W风力发电机组</w:t>
            </w:r>
            <w:r>
              <w:rPr>
                <w:rFonts w:hint="eastAsia" w:ascii="Times New Roman" w:hAnsi="Times New Roman" w:eastAsia="仿宋" w:cs="Times New Roman"/>
                <w:b w:val="0"/>
                <w:bCs w:val="0"/>
                <w:color w:val="auto"/>
                <w:kern w:val="16"/>
                <w:sz w:val="24"/>
                <w:szCs w:val="24"/>
                <w:highlight w:val="none"/>
                <w:lang w:val="en-US" w:eastAsia="zh-CN" w:bidi="ar-SA"/>
              </w:rPr>
              <w:t>（其中1台限发至6.05MW）</w:t>
            </w:r>
            <w:r>
              <w:rPr>
                <w:rFonts w:hint="default" w:ascii="Times New Roman" w:hAnsi="Times New Roman" w:eastAsia="仿宋" w:cs="Times New Roman"/>
                <w:b w:val="0"/>
                <w:bCs w:val="0"/>
                <w:color w:val="auto"/>
                <w:kern w:val="16"/>
                <w:sz w:val="24"/>
                <w:szCs w:val="24"/>
                <w:highlight w:val="none"/>
                <w:lang w:val="en-US" w:eastAsia="zh-CN" w:bidi="ar-SA"/>
              </w:rPr>
              <w:t>、</w:t>
            </w:r>
            <w:r>
              <w:rPr>
                <w:rFonts w:hint="eastAsia" w:ascii="Times New Roman" w:hAnsi="Times New Roman" w:eastAsia="仿宋" w:cs="Times New Roman"/>
                <w:b w:val="0"/>
                <w:bCs w:val="0"/>
                <w:color w:val="auto"/>
                <w:kern w:val="16"/>
                <w:sz w:val="24"/>
                <w:szCs w:val="24"/>
                <w:highlight w:val="none"/>
                <w:lang w:val="en-US" w:eastAsia="zh-CN" w:bidi="ar-SA"/>
              </w:rPr>
              <w:t>8</w:t>
            </w:r>
            <w:r>
              <w:rPr>
                <w:rFonts w:hint="default" w:ascii="Times New Roman" w:hAnsi="Times New Roman" w:eastAsia="仿宋" w:cs="Times New Roman"/>
                <w:b w:val="0"/>
                <w:bCs w:val="0"/>
                <w:color w:val="auto"/>
                <w:kern w:val="16"/>
                <w:sz w:val="24"/>
                <w:szCs w:val="24"/>
                <w:highlight w:val="none"/>
                <w:lang w:val="en-US" w:eastAsia="zh-CN" w:bidi="ar-SA"/>
              </w:rPr>
              <w:t>台</w:t>
            </w:r>
            <w:r>
              <w:rPr>
                <w:rFonts w:hint="eastAsia" w:ascii="Times New Roman" w:hAnsi="Times New Roman" w:eastAsia="仿宋" w:cs="Times New Roman"/>
                <w:b w:val="0"/>
                <w:bCs w:val="0"/>
                <w:color w:val="auto"/>
                <w:kern w:val="16"/>
                <w:sz w:val="24"/>
                <w:szCs w:val="24"/>
                <w:highlight w:val="none"/>
                <w:lang w:val="en-US" w:eastAsia="zh-CN" w:bidi="ar-SA"/>
              </w:rPr>
              <w:t>7000kVA</w:t>
            </w:r>
            <w:r>
              <w:rPr>
                <w:rFonts w:hint="default" w:ascii="Times New Roman" w:hAnsi="Times New Roman" w:eastAsia="仿宋" w:cs="Times New Roman"/>
                <w:b w:val="0"/>
                <w:bCs w:val="0"/>
                <w:color w:val="auto"/>
                <w:kern w:val="16"/>
                <w:sz w:val="24"/>
                <w:szCs w:val="24"/>
                <w:highlight w:val="none"/>
                <w:lang w:val="en-US" w:eastAsia="zh-CN" w:bidi="ar-SA"/>
              </w:rPr>
              <w:t>箱式变压器（</w:t>
            </w:r>
            <w:r>
              <w:rPr>
                <w:rFonts w:hint="eastAsia" w:ascii="Times New Roman" w:hAnsi="Times New Roman" w:eastAsia="仿宋" w:cs="Times New Roman"/>
                <w:b w:val="0"/>
                <w:bCs w:val="0"/>
                <w:color w:val="auto"/>
                <w:kern w:val="16"/>
                <w:sz w:val="24"/>
                <w:szCs w:val="24"/>
                <w:highlight w:val="none"/>
                <w:lang w:val="en-US" w:eastAsia="zh-CN" w:bidi="ar-SA"/>
              </w:rPr>
              <w:t>干</w:t>
            </w:r>
            <w:r>
              <w:rPr>
                <w:rFonts w:hint="default" w:ascii="Times New Roman" w:hAnsi="Times New Roman" w:eastAsia="仿宋" w:cs="Times New Roman"/>
                <w:b w:val="0"/>
                <w:bCs w:val="0"/>
                <w:color w:val="auto"/>
                <w:kern w:val="16"/>
                <w:sz w:val="24"/>
                <w:szCs w:val="24"/>
                <w:highlight w:val="none"/>
                <w:lang w:val="en-US" w:eastAsia="zh-CN" w:bidi="ar-SA"/>
              </w:rPr>
              <w:t>式）</w:t>
            </w:r>
            <w:r>
              <w:rPr>
                <w:rFonts w:hint="eastAsia" w:ascii="Times New Roman" w:hAnsi="Times New Roman" w:eastAsia="仿宋" w:cs="Times New Roman"/>
                <w:b w:val="0"/>
                <w:bCs w:val="0"/>
                <w:color w:val="auto"/>
                <w:kern w:val="16"/>
                <w:sz w:val="24"/>
                <w:szCs w:val="24"/>
                <w:highlight w:val="none"/>
                <w:lang w:val="en-US" w:eastAsia="zh-CN" w:bidi="ar-SA"/>
              </w:rPr>
              <w:t>；本项目平面布置图见</w:t>
            </w:r>
            <w:r>
              <w:rPr>
                <w:rFonts w:hint="eastAsia" w:ascii="Times New Roman" w:hAnsi="Times New Roman" w:eastAsia="仿宋" w:cs="Times New Roman"/>
                <w:b/>
                <w:bCs/>
                <w:color w:val="auto"/>
                <w:kern w:val="16"/>
                <w:sz w:val="24"/>
                <w:szCs w:val="24"/>
                <w:highlight w:val="none"/>
                <w:lang w:val="en-US" w:eastAsia="zh-CN" w:bidi="ar-SA"/>
              </w:rPr>
              <w:t>附图9</w:t>
            </w:r>
            <w:r>
              <w:rPr>
                <w:rFonts w:hint="default" w:ascii="Times New Roman" w:hAnsi="Times New Roman" w:eastAsia="方正仿宋_GB2312" w:cs="Times New Roman"/>
                <w:b w:val="0"/>
                <w:bCs w:val="0"/>
                <w:color w:val="auto"/>
                <w:sz w:val="24"/>
                <w:szCs w:val="24"/>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1" w:firstLineChars="200"/>
              <w:jc w:val="left"/>
              <w:textAlignment w:val="auto"/>
              <w:rPr>
                <w:rFonts w:hint="default" w:ascii="Times New Roman" w:hAnsi="Times New Roman" w:eastAsia="方正仿宋_GB2312" w:cs="Times New Roman"/>
                <w:b/>
                <w:bCs/>
                <w:color w:val="auto"/>
                <w:sz w:val="24"/>
                <w:szCs w:val="24"/>
                <w:highlight w:val="none"/>
                <w:lang w:val="en-US" w:eastAsia="zh-CN"/>
              </w:rPr>
            </w:pPr>
            <w:r>
              <w:rPr>
                <w:rFonts w:hint="default" w:ascii="Times New Roman" w:hAnsi="Times New Roman" w:eastAsia="方正仿宋_GB2312" w:cs="Times New Roman"/>
                <w:b/>
                <w:bCs/>
                <w:color w:val="auto"/>
                <w:sz w:val="24"/>
                <w:szCs w:val="24"/>
                <w:highlight w:val="none"/>
                <w:lang w:val="en-US" w:eastAsia="zh-CN"/>
              </w:rPr>
              <w:t>（1）风力发电机组布置</w:t>
            </w:r>
          </w:p>
          <w:p>
            <w:pPr>
              <w:pStyle w:val="5"/>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仿宋" w:cs="Times New Roman"/>
                <w:b w:val="0"/>
                <w:bCs w:val="0"/>
                <w:color w:val="auto"/>
                <w:kern w:val="16"/>
                <w:sz w:val="24"/>
                <w:szCs w:val="24"/>
                <w:highlight w:val="none"/>
                <w:lang w:val="en-US" w:eastAsia="zh-CN" w:bidi="ar-SA"/>
              </w:rPr>
            </w:pPr>
            <w:r>
              <w:rPr>
                <w:rFonts w:hint="default" w:ascii="Times New Roman" w:hAnsi="Times New Roman" w:eastAsia="仿宋" w:cs="Times New Roman"/>
                <w:b w:val="0"/>
                <w:bCs w:val="0"/>
                <w:color w:val="auto"/>
                <w:kern w:val="16"/>
                <w:sz w:val="24"/>
                <w:szCs w:val="24"/>
                <w:highlight w:val="none"/>
                <w:lang w:val="en-US" w:eastAsia="zh-CN" w:bidi="ar-SA"/>
              </w:rPr>
              <w:t>本项目采用</w:t>
            </w:r>
            <w:r>
              <w:rPr>
                <w:rFonts w:hint="eastAsia" w:ascii="Times New Roman" w:hAnsi="Times New Roman" w:eastAsia="仿宋" w:cs="Times New Roman"/>
                <w:b w:val="0"/>
                <w:bCs w:val="0"/>
                <w:color w:val="auto"/>
                <w:kern w:val="16"/>
                <w:sz w:val="24"/>
                <w:szCs w:val="24"/>
                <w:highlight w:val="none"/>
                <w:lang w:val="en-US" w:eastAsia="zh-CN" w:bidi="ar-SA"/>
              </w:rPr>
              <w:t>8台6.25MW</w:t>
            </w:r>
            <w:r>
              <w:rPr>
                <w:rFonts w:hint="default" w:ascii="Times New Roman" w:hAnsi="Times New Roman" w:eastAsia="仿宋" w:cs="Times New Roman"/>
                <w:b w:val="0"/>
                <w:bCs w:val="0"/>
                <w:color w:val="auto"/>
                <w:kern w:val="16"/>
                <w:sz w:val="24"/>
                <w:szCs w:val="24"/>
                <w:highlight w:val="none"/>
                <w:lang w:val="en-US" w:eastAsia="zh-CN" w:bidi="ar-SA"/>
              </w:rPr>
              <w:t>风力发电机组</w:t>
            </w:r>
            <w:r>
              <w:rPr>
                <w:rFonts w:hint="eastAsia" w:ascii="Times New Roman" w:hAnsi="Times New Roman" w:eastAsia="仿宋" w:cs="Times New Roman"/>
                <w:b w:val="0"/>
                <w:bCs w:val="0"/>
                <w:color w:val="auto"/>
                <w:kern w:val="16"/>
                <w:sz w:val="24"/>
                <w:szCs w:val="24"/>
                <w:highlight w:val="none"/>
                <w:lang w:val="en-US" w:eastAsia="zh-CN" w:bidi="ar-SA"/>
              </w:rPr>
              <w:t>（其中1台限发至6.05MW），</w:t>
            </w:r>
            <w:r>
              <w:rPr>
                <w:rFonts w:hint="default" w:ascii="Times New Roman" w:hAnsi="Times New Roman" w:eastAsia="仿宋" w:cs="Times New Roman"/>
                <w:b w:val="0"/>
                <w:bCs w:val="0"/>
                <w:color w:val="auto"/>
                <w:kern w:val="16"/>
                <w:sz w:val="24"/>
                <w:szCs w:val="24"/>
                <w:highlight w:val="none"/>
                <w:lang w:val="en-US" w:eastAsia="zh-CN" w:bidi="ar-SA"/>
              </w:rPr>
              <w:t>风电机组布置原则为根据风能分布情况、地形条件、充分利用土地、结合当地交通运输条件和安装条件优选机位</w:t>
            </w:r>
            <w:r>
              <w:rPr>
                <w:rFonts w:hint="eastAsia" w:ascii="Times New Roman" w:hAnsi="Times New Roman" w:eastAsia="仿宋" w:cs="Times New Roman"/>
                <w:b w:val="0"/>
                <w:bCs w:val="0"/>
                <w:color w:val="auto"/>
                <w:kern w:val="16"/>
                <w:sz w:val="24"/>
                <w:szCs w:val="24"/>
                <w:highlight w:val="none"/>
                <w:lang w:val="en-US" w:eastAsia="zh-CN" w:bidi="ar-SA"/>
              </w:rPr>
              <w:t>：</w:t>
            </w:r>
          </w:p>
          <w:p>
            <w:pPr>
              <w:pStyle w:val="49"/>
              <w:keepNext w:val="0"/>
              <w:keepLines w:val="0"/>
              <w:pageBreakBefore w:val="0"/>
              <w:widowControl w:val="0"/>
              <w:kinsoku/>
              <w:wordWrap/>
              <w:topLinePunct w:val="0"/>
              <w:autoSpaceDE/>
              <w:autoSpaceDN/>
              <w:bidi w:val="0"/>
              <w:adjustRightInd w:val="0"/>
              <w:snapToGrid w:val="0"/>
              <w:spacing w:before="0" w:beforeLines="0" w:after="0" w:afterLines="0" w:line="360" w:lineRule="auto"/>
              <w:ind w:firstLine="480" w:firstLineChars="200"/>
              <w:rPr>
                <w:rFonts w:hint="default" w:ascii="Times New Roman" w:hAnsi="Times New Roman"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a.</w:t>
            </w:r>
            <w:r>
              <w:rPr>
                <w:rFonts w:hint="default" w:ascii="Times New Roman" w:hAnsi="Times New Roman" w:eastAsia="仿宋" w:cs="Times New Roman"/>
                <w:b w:val="0"/>
                <w:bCs w:val="0"/>
                <w:color w:val="auto"/>
                <w:kern w:val="16"/>
                <w:sz w:val="24"/>
                <w:szCs w:val="24"/>
                <w:highlight w:val="none"/>
                <w:lang w:val="en-US" w:eastAsia="zh-CN" w:bidi="ar-SA"/>
              </w:rPr>
              <w:t xml:space="preserve">机位尽可能置于风能高值区。 </w:t>
            </w:r>
          </w:p>
          <w:p>
            <w:pPr>
              <w:pStyle w:val="5"/>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rPr>
                <w:rFonts w:hint="default" w:ascii="Times New Roman" w:hAnsi="Times New Roman" w:eastAsia="仿宋" w:cs="Times New Roman"/>
                <w:b w:val="0"/>
                <w:bCs w:val="0"/>
                <w:color w:val="auto"/>
                <w:kern w:val="16"/>
                <w:sz w:val="24"/>
                <w:szCs w:val="24"/>
                <w:highlight w:val="none"/>
                <w:lang w:val="en-US" w:eastAsia="zh-CN" w:bidi="ar-SA"/>
              </w:rPr>
            </w:pPr>
            <w:r>
              <w:rPr>
                <w:rFonts w:hint="eastAsia" w:ascii="Times New Roman" w:hAnsi="Times New Roman" w:eastAsia="仿宋" w:cs="Times New Roman"/>
                <w:b w:val="0"/>
                <w:bCs w:val="0"/>
                <w:color w:val="auto"/>
                <w:kern w:val="16"/>
                <w:sz w:val="24"/>
                <w:szCs w:val="24"/>
                <w:highlight w:val="none"/>
                <w:lang w:val="en-US" w:eastAsia="zh-CN" w:bidi="ar-SA"/>
              </w:rPr>
              <w:t>b.</w:t>
            </w:r>
            <w:r>
              <w:rPr>
                <w:rFonts w:hint="default" w:ascii="Times New Roman" w:hAnsi="Times New Roman" w:eastAsia="仿宋" w:cs="Times New Roman"/>
                <w:b w:val="0"/>
                <w:bCs w:val="0"/>
                <w:color w:val="auto"/>
                <w:kern w:val="16"/>
                <w:sz w:val="24"/>
                <w:szCs w:val="24"/>
                <w:highlight w:val="none"/>
                <w:lang w:val="en-US" w:eastAsia="zh-CN" w:bidi="ar-SA"/>
              </w:rPr>
              <w:t xml:space="preserve">风电机组排列考虑垂直于主风能方向。 </w:t>
            </w:r>
          </w:p>
          <w:p>
            <w:pPr>
              <w:pStyle w:val="5"/>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rPr>
                <w:rFonts w:hint="default" w:ascii="Times New Roman" w:hAnsi="Times New Roman" w:eastAsia="仿宋" w:cs="Times New Roman"/>
                <w:b w:val="0"/>
                <w:bCs w:val="0"/>
                <w:color w:val="auto"/>
                <w:kern w:val="16"/>
                <w:sz w:val="24"/>
                <w:szCs w:val="24"/>
                <w:highlight w:val="none"/>
                <w:lang w:val="en-US" w:eastAsia="zh-CN" w:bidi="ar-SA"/>
              </w:rPr>
            </w:pPr>
            <w:r>
              <w:rPr>
                <w:rFonts w:hint="eastAsia" w:ascii="Times New Roman" w:hAnsi="Times New Roman" w:eastAsia="仿宋" w:cs="Times New Roman"/>
                <w:b w:val="0"/>
                <w:bCs w:val="0"/>
                <w:color w:val="auto"/>
                <w:kern w:val="16"/>
                <w:sz w:val="24"/>
                <w:szCs w:val="24"/>
                <w:highlight w:val="none"/>
                <w:lang w:val="en-US" w:eastAsia="zh-CN" w:bidi="ar-SA"/>
              </w:rPr>
              <w:t>c.</w:t>
            </w:r>
            <w:r>
              <w:rPr>
                <w:rFonts w:hint="default" w:ascii="Times New Roman" w:hAnsi="Times New Roman" w:eastAsia="仿宋" w:cs="Times New Roman"/>
                <w:b w:val="0"/>
                <w:bCs w:val="0"/>
                <w:color w:val="auto"/>
                <w:kern w:val="16"/>
                <w:sz w:val="24"/>
                <w:szCs w:val="24"/>
                <w:highlight w:val="none"/>
                <w:lang w:val="en-US" w:eastAsia="zh-CN" w:bidi="ar-SA"/>
              </w:rPr>
              <w:t xml:space="preserve">风机之间尽量相对紧凑，以减少集电线路和道路的投资。 </w:t>
            </w:r>
          </w:p>
          <w:p>
            <w:pPr>
              <w:pStyle w:val="5"/>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rPr>
                <w:rFonts w:hint="default" w:ascii="Times New Roman" w:hAnsi="Times New Roman" w:eastAsia="仿宋" w:cs="Times New Roman"/>
                <w:b w:val="0"/>
                <w:bCs w:val="0"/>
                <w:color w:val="auto"/>
                <w:kern w:val="16"/>
                <w:sz w:val="24"/>
                <w:szCs w:val="24"/>
                <w:highlight w:val="none"/>
                <w:lang w:val="en-US" w:eastAsia="zh-CN" w:bidi="ar-SA"/>
              </w:rPr>
            </w:pPr>
            <w:r>
              <w:rPr>
                <w:rFonts w:hint="eastAsia" w:ascii="Times New Roman" w:hAnsi="Times New Roman" w:eastAsia="仿宋" w:cs="Times New Roman"/>
                <w:b w:val="0"/>
                <w:bCs w:val="0"/>
                <w:color w:val="auto"/>
                <w:kern w:val="16"/>
                <w:sz w:val="24"/>
                <w:szCs w:val="24"/>
                <w:highlight w:val="none"/>
                <w:lang w:val="en-US" w:eastAsia="zh-CN" w:bidi="ar-SA"/>
              </w:rPr>
              <w:t>d.</w:t>
            </w:r>
            <w:r>
              <w:rPr>
                <w:rFonts w:hint="default" w:ascii="Times New Roman" w:hAnsi="Times New Roman" w:eastAsia="仿宋" w:cs="Times New Roman"/>
                <w:b w:val="0"/>
                <w:bCs w:val="0"/>
                <w:color w:val="auto"/>
                <w:kern w:val="16"/>
                <w:sz w:val="24"/>
                <w:szCs w:val="24"/>
                <w:highlight w:val="none"/>
                <w:lang w:val="en-US" w:eastAsia="zh-CN" w:bidi="ar-SA"/>
              </w:rPr>
              <w:t>依据地形及规划风电场范围，风机布置采用多行多列的</w:t>
            </w:r>
            <w:r>
              <w:rPr>
                <w:rFonts w:hint="eastAsia" w:ascii="Times New Roman" w:hAnsi="Times New Roman" w:eastAsia="仿宋" w:cs="Times New Roman"/>
                <w:b w:val="0"/>
                <w:bCs w:val="0"/>
                <w:color w:val="auto"/>
                <w:kern w:val="16"/>
                <w:sz w:val="24"/>
                <w:szCs w:val="24"/>
                <w:highlight w:val="none"/>
                <w:lang w:val="en-US" w:eastAsia="zh-CN" w:bidi="ar-SA"/>
              </w:rPr>
              <w:t>梅花</w:t>
            </w:r>
            <w:r>
              <w:rPr>
                <w:rFonts w:hint="default" w:ascii="Times New Roman" w:hAnsi="Times New Roman" w:eastAsia="仿宋" w:cs="Times New Roman"/>
                <w:b w:val="0"/>
                <w:bCs w:val="0"/>
                <w:color w:val="auto"/>
                <w:kern w:val="16"/>
                <w:sz w:val="24"/>
                <w:szCs w:val="24"/>
                <w:highlight w:val="none"/>
                <w:lang w:val="en-US" w:eastAsia="zh-CN" w:bidi="ar-SA"/>
              </w:rPr>
              <w:t>型布置方案，行距取大于 3 倍风轮直径、列距取大于 5 倍风轮直径，以最大限度地减少风力发电机组之间的尾流影响。</w:t>
            </w:r>
          </w:p>
          <w:p>
            <w:pPr>
              <w:pStyle w:val="5"/>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rPr>
                <w:rFonts w:hint="default" w:ascii="Times New Roman" w:hAnsi="Times New Roman" w:eastAsia="仿宋" w:cs="Times New Roman"/>
                <w:b w:val="0"/>
                <w:bCs w:val="0"/>
                <w:color w:val="auto"/>
                <w:kern w:val="16"/>
                <w:sz w:val="24"/>
                <w:szCs w:val="24"/>
                <w:highlight w:val="none"/>
                <w:lang w:val="en-US" w:eastAsia="zh-CN" w:bidi="ar-SA"/>
              </w:rPr>
            </w:pPr>
            <w:r>
              <w:rPr>
                <w:rFonts w:hint="eastAsia" w:ascii="Times New Roman" w:hAnsi="Times New Roman" w:eastAsia="仿宋" w:cs="Times New Roman"/>
                <w:b w:val="0"/>
                <w:bCs w:val="0"/>
                <w:color w:val="auto"/>
                <w:kern w:val="16"/>
                <w:sz w:val="24"/>
                <w:szCs w:val="24"/>
                <w:highlight w:val="none"/>
                <w:lang w:val="en-US" w:eastAsia="zh-CN" w:bidi="ar-SA"/>
              </w:rPr>
              <w:t>本项目所选的8个机组点位其中有4个位于二级保护植物蒙古扁桃的分布区域内，但结合现场踏勘调查，4个机组选址点位的施工范围内无蒙古扁桃分布，仅评价区域内涉及蒙古扁桃零散分布，因此，在采取相应措施后，不会对评价范围内分布的蒙古扁桃产生影响。项目风力发电机组布置合理。</w:t>
            </w:r>
          </w:p>
          <w:p>
            <w:pPr>
              <w:pStyle w:val="5"/>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1" w:firstLineChars="200"/>
              <w:jc w:val="left"/>
              <w:textAlignment w:val="auto"/>
              <w:rPr>
                <w:rFonts w:hint="default" w:ascii="Times New Roman" w:hAnsi="Times New Roman" w:eastAsia="仿宋" w:cs="Times New Roman"/>
                <w:b/>
                <w:bCs/>
                <w:color w:val="auto"/>
                <w:kern w:val="16"/>
                <w:sz w:val="24"/>
                <w:szCs w:val="24"/>
                <w:highlight w:val="none"/>
                <w:lang w:val="en-US" w:eastAsia="zh-CN" w:bidi="ar-SA"/>
              </w:rPr>
            </w:pPr>
            <w:r>
              <w:rPr>
                <w:rFonts w:hint="default" w:ascii="Times New Roman" w:hAnsi="Times New Roman" w:eastAsia="仿宋" w:cs="Times New Roman"/>
                <w:b/>
                <w:bCs/>
                <w:color w:val="auto"/>
                <w:kern w:val="16"/>
                <w:sz w:val="24"/>
                <w:szCs w:val="24"/>
                <w:highlight w:val="none"/>
                <w:lang w:val="en-US" w:eastAsia="zh-CN" w:bidi="ar-SA"/>
              </w:rPr>
              <w:t>（2）变压器</w:t>
            </w:r>
            <w:r>
              <w:rPr>
                <w:rFonts w:hint="eastAsia" w:ascii="Times New Roman" w:hAnsi="Times New Roman" w:eastAsia="仿宋" w:cs="Times New Roman"/>
                <w:b/>
                <w:bCs/>
                <w:color w:val="auto"/>
                <w:kern w:val="16"/>
                <w:sz w:val="24"/>
                <w:szCs w:val="24"/>
                <w:highlight w:val="none"/>
                <w:lang w:val="en-US" w:eastAsia="zh-CN" w:bidi="ar-SA"/>
              </w:rPr>
              <w:t>布置</w:t>
            </w:r>
          </w:p>
          <w:p>
            <w:pPr>
              <w:pStyle w:val="5"/>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rPr>
                <w:rFonts w:hint="eastAsia" w:ascii="Times New Roman" w:hAnsi="Times New Roman" w:eastAsia="仿宋" w:cs="Times New Roman"/>
                <w:b w:val="0"/>
                <w:bCs w:val="0"/>
                <w:color w:val="auto"/>
                <w:kern w:val="16"/>
                <w:sz w:val="24"/>
                <w:szCs w:val="24"/>
                <w:highlight w:val="none"/>
                <w:lang w:val="en-US" w:eastAsia="zh-CN" w:bidi="ar-SA"/>
              </w:rPr>
            </w:pPr>
            <w:r>
              <w:rPr>
                <w:rFonts w:hint="default" w:ascii="Times New Roman" w:hAnsi="Times New Roman" w:eastAsia="仿宋" w:cs="Times New Roman"/>
                <w:b w:val="0"/>
                <w:bCs w:val="0"/>
                <w:color w:val="auto"/>
                <w:kern w:val="16"/>
                <w:sz w:val="24"/>
                <w:szCs w:val="24"/>
                <w:highlight w:val="none"/>
                <w:lang w:val="en-US" w:eastAsia="zh-CN" w:bidi="ar-SA"/>
              </w:rPr>
              <w:t>本项目采用一机一变模式，每台风机配套安装1台</w:t>
            </w:r>
            <w:r>
              <w:rPr>
                <w:rFonts w:hint="eastAsia" w:ascii="Times New Roman" w:hAnsi="Times New Roman" w:eastAsia="仿宋" w:cs="Times New Roman"/>
                <w:b w:val="0"/>
                <w:bCs w:val="0"/>
                <w:color w:val="auto"/>
                <w:kern w:val="16"/>
                <w:sz w:val="24"/>
                <w:szCs w:val="24"/>
                <w:highlight w:val="none"/>
                <w:lang w:val="en-US" w:eastAsia="zh-CN" w:bidi="ar-SA"/>
              </w:rPr>
              <w:t>7000kVA</w:t>
            </w:r>
            <w:r>
              <w:rPr>
                <w:rFonts w:hint="default" w:ascii="Times New Roman" w:hAnsi="Times New Roman" w:eastAsia="仿宋" w:cs="Times New Roman"/>
                <w:b w:val="0"/>
                <w:bCs w:val="0"/>
                <w:color w:val="auto"/>
                <w:kern w:val="16"/>
                <w:sz w:val="24"/>
                <w:szCs w:val="24"/>
                <w:highlight w:val="none"/>
                <w:lang w:val="en-US" w:eastAsia="zh-CN" w:bidi="ar-SA"/>
              </w:rPr>
              <w:t>箱式变压器（</w:t>
            </w:r>
            <w:r>
              <w:rPr>
                <w:rFonts w:hint="eastAsia" w:ascii="Times New Roman" w:hAnsi="Times New Roman" w:eastAsia="仿宋" w:cs="Times New Roman"/>
                <w:b w:val="0"/>
                <w:bCs w:val="0"/>
                <w:color w:val="auto"/>
                <w:kern w:val="16"/>
                <w:sz w:val="24"/>
                <w:szCs w:val="24"/>
                <w:highlight w:val="none"/>
                <w:lang w:val="en-US" w:eastAsia="zh-CN" w:bidi="ar-SA"/>
              </w:rPr>
              <w:t>干</w:t>
            </w:r>
            <w:r>
              <w:rPr>
                <w:rFonts w:hint="default" w:ascii="Times New Roman" w:hAnsi="Times New Roman" w:eastAsia="仿宋" w:cs="Times New Roman"/>
                <w:b w:val="0"/>
                <w:bCs w:val="0"/>
                <w:color w:val="auto"/>
                <w:kern w:val="16"/>
                <w:sz w:val="24"/>
                <w:szCs w:val="24"/>
                <w:highlight w:val="none"/>
                <w:lang w:val="en-US" w:eastAsia="zh-CN" w:bidi="ar-SA"/>
              </w:rPr>
              <w:t>式，共安装</w:t>
            </w:r>
            <w:r>
              <w:rPr>
                <w:rFonts w:hint="eastAsia" w:ascii="Times New Roman" w:hAnsi="Times New Roman" w:eastAsia="仿宋" w:cs="Times New Roman"/>
                <w:b w:val="0"/>
                <w:bCs w:val="0"/>
                <w:color w:val="auto"/>
                <w:kern w:val="16"/>
                <w:sz w:val="24"/>
                <w:szCs w:val="24"/>
                <w:highlight w:val="none"/>
                <w:lang w:val="en-US" w:eastAsia="zh-CN" w:bidi="ar-SA"/>
              </w:rPr>
              <w:t>8</w:t>
            </w:r>
            <w:r>
              <w:rPr>
                <w:rFonts w:hint="default" w:ascii="Times New Roman" w:hAnsi="Times New Roman" w:eastAsia="仿宋" w:cs="Times New Roman"/>
                <w:b w:val="0"/>
                <w:bCs w:val="0"/>
                <w:color w:val="auto"/>
                <w:kern w:val="16"/>
                <w:sz w:val="24"/>
                <w:szCs w:val="24"/>
                <w:highlight w:val="none"/>
                <w:lang w:val="en-US" w:eastAsia="zh-CN" w:bidi="ar-SA"/>
              </w:rPr>
              <w:t>台），箱变安装位置应处于风机与最近杆位的连接线上，靠近风机布置，箱变高压侧指向终端杆，低压侧指向风机</w:t>
            </w:r>
            <w:r>
              <w:rPr>
                <w:rFonts w:hint="eastAsia" w:ascii="Times New Roman" w:hAnsi="Times New Roman" w:eastAsia="仿宋" w:cs="Times New Roman"/>
                <w:b w:val="0"/>
                <w:bCs w:val="0"/>
                <w:color w:val="auto"/>
                <w:kern w:val="16"/>
                <w:sz w:val="24"/>
                <w:szCs w:val="24"/>
                <w:highlight w:val="none"/>
                <w:lang w:val="en-US" w:eastAsia="zh-CN" w:bidi="ar-SA"/>
              </w:rPr>
              <w:t>。</w:t>
            </w:r>
          </w:p>
          <w:p>
            <w:pPr>
              <w:pStyle w:val="5"/>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rPr>
                <w:rFonts w:hint="default" w:ascii="Times New Roman" w:hAnsi="Times New Roman" w:eastAsia="仿宋" w:cs="Times New Roman"/>
                <w:b w:val="0"/>
                <w:bCs w:val="0"/>
                <w:color w:val="auto"/>
                <w:kern w:val="16"/>
                <w:sz w:val="24"/>
                <w:szCs w:val="24"/>
                <w:highlight w:val="none"/>
                <w:lang w:val="en-US" w:eastAsia="zh-CN" w:bidi="ar-SA"/>
              </w:rPr>
            </w:pPr>
            <w:r>
              <w:rPr>
                <w:rFonts w:hint="eastAsia" w:ascii="Times New Roman" w:hAnsi="Times New Roman" w:eastAsia="仿宋" w:cs="Times New Roman"/>
                <w:b w:val="0"/>
                <w:bCs w:val="0"/>
                <w:color w:val="auto"/>
                <w:kern w:val="16"/>
                <w:sz w:val="24"/>
                <w:szCs w:val="24"/>
                <w:highlight w:val="none"/>
                <w:lang w:val="en-US" w:eastAsia="zh-CN" w:bidi="ar-SA"/>
              </w:rPr>
              <w:t>经现场踏勘调查，其中有4个风机机组配套箱变选址位于二级保护植物蒙古扁桃的分布区域内，但结合现场踏勘调查，4个箱变选址点位的施工范围内无蒙古扁桃分布，仅评价区域内涉及蒙古扁桃零散分布，因此，在采取相应措施后，不会对评价范围内分布的蒙古扁桃产生影响。项目箱变的品管布置合理。</w:t>
            </w:r>
          </w:p>
          <w:p>
            <w:pPr>
              <w:pStyle w:val="5"/>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481" w:firstLineChars="200"/>
              <w:jc w:val="left"/>
              <w:textAlignment w:val="auto"/>
              <w:rPr>
                <w:rFonts w:hint="default" w:ascii="Times New Roman" w:hAnsi="Times New Roman" w:eastAsia="方正仿宋_GB2312" w:cs="Times New Roman"/>
                <w:b w:val="0"/>
                <w:bCs w:val="0"/>
                <w:color w:val="auto"/>
                <w:sz w:val="24"/>
                <w:szCs w:val="24"/>
                <w:highlight w:val="none"/>
                <w:lang w:val="en-US" w:eastAsia="zh-CN"/>
              </w:rPr>
            </w:pPr>
            <w:r>
              <w:rPr>
                <w:rFonts w:hint="default" w:ascii="Times New Roman" w:hAnsi="Times New Roman" w:eastAsia="方正仿宋_GB2312" w:cs="Times New Roman"/>
                <w:b/>
                <w:bCs/>
                <w:color w:val="auto"/>
                <w:sz w:val="24"/>
                <w:szCs w:val="24"/>
                <w:highlight w:val="none"/>
                <w:lang w:val="en-US" w:eastAsia="zh-CN"/>
              </w:rPr>
              <w:t>（</w:t>
            </w:r>
            <w:r>
              <w:rPr>
                <w:rFonts w:hint="eastAsia" w:ascii="Times New Roman" w:hAnsi="Times New Roman" w:eastAsia="方正仿宋_GB2312" w:cs="Times New Roman"/>
                <w:b/>
                <w:bCs/>
                <w:color w:val="auto"/>
                <w:sz w:val="24"/>
                <w:szCs w:val="24"/>
                <w:highlight w:val="none"/>
                <w:lang w:val="en-US" w:eastAsia="zh-CN"/>
              </w:rPr>
              <w:t>4</w:t>
            </w:r>
            <w:r>
              <w:rPr>
                <w:rFonts w:hint="default" w:ascii="Times New Roman" w:hAnsi="Times New Roman" w:eastAsia="方正仿宋_GB2312" w:cs="Times New Roman"/>
                <w:b/>
                <w:bCs/>
                <w:color w:val="auto"/>
                <w:sz w:val="24"/>
                <w:szCs w:val="24"/>
                <w:highlight w:val="none"/>
                <w:lang w:val="en-US" w:eastAsia="zh-CN"/>
              </w:rPr>
              <w:t>）场内道路</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color w:val="auto"/>
                <w:highlight w:val="none"/>
              </w:rPr>
            </w:pPr>
            <w:r>
              <w:rPr>
                <w:rFonts w:hint="default" w:ascii="Times New Roman" w:hAnsi="Times New Roman" w:eastAsia="方正仿宋_GB2312" w:cs="Times New Roman"/>
                <w:b w:val="0"/>
                <w:bCs w:val="0"/>
                <w:color w:val="auto"/>
                <w:kern w:val="2"/>
                <w:sz w:val="24"/>
                <w:szCs w:val="24"/>
                <w:highlight w:val="none"/>
                <w:lang w:val="en-US" w:eastAsia="zh-CN" w:bidi="zh-CN"/>
              </w:rPr>
              <w:t>本风电场道路布置时，充分考虑利用原有道路，尽可能选择最优路线实现对机位的全连接。本项目在利用现有道路的情况下，新建道路长度</w:t>
            </w:r>
            <w:r>
              <w:rPr>
                <w:rFonts w:hint="eastAsia" w:ascii="Times New Roman" w:hAnsi="Times New Roman" w:eastAsia="方正仿宋_GB2312" w:cs="Times New Roman"/>
                <w:b w:val="0"/>
                <w:bCs w:val="0"/>
                <w:color w:val="auto"/>
                <w:kern w:val="2"/>
                <w:sz w:val="24"/>
                <w:szCs w:val="24"/>
                <w:highlight w:val="none"/>
                <w:lang w:val="en-US" w:eastAsia="zh-CN" w:bidi="zh-CN"/>
              </w:rPr>
              <w:t>7.52</w:t>
            </w:r>
            <w:r>
              <w:rPr>
                <w:rFonts w:hint="default" w:ascii="Times New Roman" w:hAnsi="Times New Roman" w:eastAsia="方正仿宋_GB2312" w:cs="Times New Roman"/>
                <w:b w:val="0"/>
                <w:bCs w:val="0"/>
                <w:color w:val="auto"/>
                <w:kern w:val="2"/>
                <w:sz w:val="24"/>
                <w:szCs w:val="24"/>
                <w:highlight w:val="none"/>
                <w:lang w:val="en-US" w:eastAsia="zh-CN" w:bidi="zh-CN"/>
              </w:rPr>
              <w:t>km</w:t>
            </w:r>
            <w:r>
              <w:rPr>
                <w:rFonts w:hint="eastAsia" w:ascii="Times New Roman" w:hAnsi="Times New Roman" w:eastAsia="方正仿宋_GB2312" w:cs="Times New Roman"/>
                <w:b w:val="0"/>
                <w:bCs w:val="0"/>
                <w:color w:val="auto"/>
                <w:kern w:val="2"/>
                <w:sz w:val="24"/>
                <w:szCs w:val="24"/>
                <w:highlight w:val="none"/>
                <w:lang w:val="en-US" w:eastAsia="zh-CN" w:bidi="zh-CN"/>
              </w:rPr>
              <w:t>（路面宽度5.5m，采用30cm泥结石路面）</w:t>
            </w:r>
            <w:r>
              <w:rPr>
                <w:rFonts w:hint="default" w:ascii="Times New Roman" w:hAnsi="Times New Roman" w:eastAsia="方正仿宋_GB2312" w:cs="Times New Roman"/>
                <w:b w:val="0"/>
                <w:bCs w:val="0"/>
                <w:color w:val="auto"/>
                <w:kern w:val="2"/>
                <w:sz w:val="24"/>
                <w:szCs w:val="24"/>
                <w:highlight w:val="none"/>
                <w:lang w:val="en-US" w:eastAsia="zh-CN" w:bidi="zh-CN"/>
              </w:rPr>
              <w:t>，改建道路</w:t>
            </w:r>
            <w:r>
              <w:rPr>
                <w:rFonts w:hint="eastAsia" w:ascii="Times New Roman" w:hAnsi="Times New Roman" w:eastAsia="方正仿宋_GB2312" w:cs="Times New Roman"/>
                <w:b w:val="0"/>
                <w:bCs w:val="0"/>
                <w:color w:val="auto"/>
                <w:kern w:val="2"/>
                <w:sz w:val="24"/>
                <w:szCs w:val="24"/>
                <w:highlight w:val="none"/>
                <w:lang w:val="en-US" w:eastAsia="zh-CN" w:bidi="zh-CN"/>
              </w:rPr>
              <w:t>7.0</w:t>
            </w:r>
            <w:r>
              <w:rPr>
                <w:rFonts w:hint="default" w:ascii="Times New Roman" w:hAnsi="Times New Roman" w:eastAsia="方正仿宋_GB2312" w:cs="Times New Roman"/>
                <w:b w:val="0"/>
                <w:bCs w:val="0"/>
                <w:color w:val="auto"/>
                <w:kern w:val="2"/>
                <w:sz w:val="24"/>
                <w:szCs w:val="24"/>
                <w:highlight w:val="none"/>
                <w:lang w:val="en-US" w:eastAsia="zh-CN" w:bidi="zh-CN"/>
              </w:rPr>
              <w:t>km</w:t>
            </w:r>
            <w:r>
              <w:rPr>
                <w:rFonts w:hint="eastAsia" w:ascii="Times New Roman" w:hAnsi="Times New Roman" w:eastAsia="方正仿宋_GB2312" w:cs="Times New Roman"/>
                <w:b w:val="0"/>
                <w:bCs w:val="0"/>
                <w:color w:val="auto"/>
                <w:kern w:val="2"/>
                <w:sz w:val="24"/>
                <w:szCs w:val="24"/>
                <w:highlight w:val="none"/>
                <w:lang w:val="en-US" w:eastAsia="zh-CN" w:bidi="zh-CN"/>
              </w:rPr>
              <w:t>（路面宽度5.5m，村道水泥路采用修补方式，乡道土路采用300mm厚砂夹石路面，道路转弯半径≥30m，风场施工道路主路最大向上纵坡不大于12%，下坡不大于 15%）</w:t>
            </w:r>
            <w:r>
              <w:rPr>
                <w:rFonts w:hint="default" w:ascii="Times New Roman" w:hAnsi="Times New Roman" w:eastAsia="方正仿宋_GB2312" w:cs="Times New Roman"/>
                <w:b w:val="0"/>
                <w:bCs w:val="0"/>
                <w:color w:val="auto"/>
                <w:kern w:val="2"/>
                <w:sz w:val="24"/>
                <w:szCs w:val="24"/>
                <w:highlight w:val="none"/>
                <w:lang w:val="en-US" w:eastAsia="zh-CN" w:bidi="zh-CN"/>
              </w:rPr>
              <w:t>。施工期结束后，在施工道路的基础上留设4</w:t>
            </w:r>
            <w:r>
              <w:rPr>
                <w:rFonts w:hint="eastAsia" w:eastAsia="方正仿宋_GB2312" w:cs="Times New Roman"/>
                <w:b w:val="0"/>
                <w:bCs w:val="0"/>
                <w:color w:val="auto"/>
                <w:kern w:val="2"/>
                <w:sz w:val="24"/>
                <w:szCs w:val="24"/>
                <w:highlight w:val="none"/>
                <w:lang w:val="en-US" w:eastAsia="zh-CN" w:bidi="zh-CN"/>
              </w:rPr>
              <w:t>.5</w:t>
            </w:r>
            <w:r>
              <w:rPr>
                <w:rFonts w:hint="default" w:ascii="Times New Roman" w:hAnsi="Times New Roman" w:eastAsia="方正仿宋_GB2312" w:cs="Times New Roman"/>
                <w:b w:val="0"/>
                <w:bCs w:val="0"/>
                <w:color w:val="auto"/>
                <w:kern w:val="2"/>
                <w:sz w:val="24"/>
                <w:szCs w:val="24"/>
                <w:highlight w:val="none"/>
                <w:lang w:val="en-US" w:eastAsia="zh-CN" w:bidi="zh-CN"/>
              </w:rPr>
              <w:t>m宽作为检修道路，其余路面恢复为原地貌。检修道路总长</w:t>
            </w:r>
            <w:r>
              <w:rPr>
                <w:rFonts w:hint="eastAsia" w:eastAsia="方正仿宋_GB2312" w:cs="Times New Roman"/>
                <w:b w:val="0"/>
                <w:bCs w:val="0"/>
                <w:color w:val="auto"/>
                <w:kern w:val="2"/>
                <w:sz w:val="24"/>
                <w:szCs w:val="24"/>
                <w:highlight w:val="none"/>
                <w:lang w:val="en-US" w:eastAsia="zh-CN" w:bidi="zh-CN"/>
              </w:rPr>
              <w:t>14.52</w:t>
            </w:r>
            <w:r>
              <w:rPr>
                <w:rFonts w:hint="default" w:ascii="Times New Roman" w:hAnsi="Times New Roman" w:eastAsia="方正仿宋_GB2312" w:cs="Times New Roman"/>
                <w:b w:val="0"/>
                <w:bCs w:val="0"/>
                <w:color w:val="auto"/>
                <w:kern w:val="2"/>
                <w:sz w:val="24"/>
                <w:szCs w:val="24"/>
                <w:highlight w:val="none"/>
                <w:lang w:val="en-US" w:eastAsia="zh-CN" w:bidi="zh-CN"/>
              </w:rPr>
              <w:t>km，其中新建道路</w:t>
            </w:r>
            <w:r>
              <w:rPr>
                <w:rFonts w:hint="eastAsia" w:eastAsia="方正仿宋_GB2312" w:cs="Times New Roman"/>
                <w:b w:val="0"/>
                <w:bCs w:val="0"/>
                <w:color w:val="auto"/>
                <w:kern w:val="2"/>
                <w:sz w:val="24"/>
                <w:szCs w:val="24"/>
                <w:highlight w:val="none"/>
                <w:lang w:val="en-US" w:eastAsia="zh-CN" w:bidi="zh-CN"/>
              </w:rPr>
              <w:t>7.52</w:t>
            </w:r>
            <w:r>
              <w:rPr>
                <w:rFonts w:hint="default" w:ascii="Times New Roman" w:hAnsi="Times New Roman" w:eastAsia="方正仿宋_GB2312" w:cs="Times New Roman"/>
                <w:b w:val="0"/>
                <w:bCs w:val="0"/>
                <w:color w:val="auto"/>
                <w:kern w:val="2"/>
                <w:sz w:val="24"/>
                <w:szCs w:val="24"/>
                <w:highlight w:val="none"/>
                <w:lang w:val="en-US" w:eastAsia="zh-CN" w:bidi="zh-CN"/>
              </w:rPr>
              <w:t>km，改建道路</w:t>
            </w:r>
            <w:r>
              <w:rPr>
                <w:rFonts w:hint="eastAsia" w:eastAsia="方正仿宋_GB2312" w:cs="Times New Roman"/>
                <w:b w:val="0"/>
                <w:bCs w:val="0"/>
                <w:color w:val="auto"/>
                <w:kern w:val="2"/>
                <w:sz w:val="24"/>
                <w:szCs w:val="24"/>
                <w:highlight w:val="none"/>
                <w:lang w:val="en-US" w:eastAsia="zh-CN" w:bidi="zh-CN"/>
              </w:rPr>
              <w:t>7.0</w:t>
            </w:r>
            <w:r>
              <w:rPr>
                <w:rFonts w:hint="default" w:ascii="Times New Roman" w:hAnsi="Times New Roman" w:eastAsia="方正仿宋_GB2312" w:cs="Times New Roman"/>
                <w:b w:val="0"/>
                <w:bCs w:val="0"/>
                <w:color w:val="auto"/>
                <w:kern w:val="2"/>
                <w:sz w:val="24"/>
                <w:szCs w:val="24"/>
                <w:highlight w:val="none"/>
                <w:lang w:val="en-US" w:eastAsia="zh-CN" w:bidi="zh-CN"/>
              </w:rPr>
              <w:t>km，设计路面宽度4.</w:t>
            </w:r>
            <w:r>
              <w:rPr>
                <w:rFonts w:hint="eastAsia" w:eastAsia="方正仿宋_GB2312" w:cs="Times New Roman"/>
                <w:b w:val="0"/>
                <w:bCs w:val="0"/>
                <w:color w:val="auto"/>
                <w:kern w:val="2"/>
                <w:sz w:val="24"/>
                <w:szCs w:val="24"/>
                <w:highlight w:val="none"/>
                <w:lang w:val="en-US" w:eastAsia="zh-CN" w:bidi="zh-CN"/>
              </w:rPr>
              <w:t>5</w:t>
            </w:r>
            <w:r>
              <w:rPr>
                <w:rFonts w:hint="default" w:ascii="Times New Roman" w:hAnsi="Times New Roman" w:eastAsia="方正仿宋_GB2312" w:cs="Times New Roman"/>
                <w:b w:val="0"/>
                <w:bCs w:val="0"/>
                <w:color w:val="auto"/>
                <w:kern w:val="2"/>
                <w:sz w:val="24"/>
                <w:szCs w:val="24"/>
                <w:highlight w:val="none"/>
                <w:lang w:val="en-US" w:eastAsia="zh-CN" w:bidi="zh-CN"/>
              </w:rPr>
              <w:t>m，占地面积</w:t>
            </w:r>
            <w:r>
              <w:rPr>
                <w:rFonts w:hint="eastAsia" w:eastAsia="方正仿宋_GB2312" w:cs="Times New Roman"/>
                <w:b w:val="0"/>
                <w:bCs w:val="0"/>
                <w:color w:val="auto"/>
                <w:kern w:val="2"/>
                <w:sz w:val="24"/>
                <w:szCs w:val="24"/>
                <w:highlight w:val="none"/>
                <w:lang w:val="en-US" w:eastAsia="zh-CN" w:bidi="zh-CN"/>
              </w:rPr>
              <w:t>65300</w:t>
            </w:r>
            <w:r>
              <w:rPr>
                <w:rFonts w:hint="default" w:ascii="Times New Roman" w:hAnsi="Times New Roman" w:eastAsia="方正仿宋_GB2312" w:cs="Times New Roman"/>
                <w:b w:val="0"/>
                <w:bCs w:val="0"/>
                <w:color w:val="auto"/>
                <w:kern w:val="2"/>
                <w:sz w:val="24"/>
                <w:szCs w:val="24"/>
                <w:highlight w:val="none"/>
                <w:lang w:val="en-US" w:eastAsia="zh-CN" w:bidi="zh-CN"/>
              </w:rPr>
              <w:t>m</w:t>
            </w:r>
            <w:r>
              <w:rPr>
                <w:rFonts w:hint="default" w:ascii="Times New Roman" w:hAnsi="Times New Roman" w:eastAsia="方正仿宋_GB2312" w:cs="Times New Roman"/>
                <w:b w:val="0"/>
                <w:bCs w:val="0"/>
                <w:color w:val="auto"/>
                <w:kern w:val="2"/>
                <w:sz w:val="24"/>
                <w:szCs w:val="24"/>
                <w:highlight w:val="none"/>
                <w:vertAlign w:val="superscript"/>
                <w:lang w:val="en-US" w:eastAsia="zh-CN" w:bidi="zh-CN"/>
              </w:rPr>
              <w:t>2</w:t>
            </w:r>
            <w:r>
              <w:rPr>
                <w:rFonts w:hint="default" w:ascii="Times New Roman" w:hAnsi="Times New Roman" w:eastAsia="方正仿宋_GB2312" w:cs="Times New Roman"/>
                <w:b w:val="0"/>
                <w:bCs w:val="0"/>
                <w:color w:val="auto"/>
                <w:kern w:val="2"/>
                <w:sz w:val="24"/>
                <w:szCs w:val="24"/>
                <w:highlight w:val="none"/>
                <w:lang w:val="en-US" w:eastAsia="zh-CN" w:bidi="zh-CN"/>
              </w:rPr>
              <w:t>。</w:t>
            </w:r>
          </w:p>
          <w:p>
            <w:pPr>
              <w:pStyle w:val="49"/>
              <w:keepNext w:val="0"/>
              <w:keepLines w:val="0"/>
              <w:pageBreakBefore w:val="0"/>
              <w:kinsoku/>
              <w:wordWrap/>
              <w:overflowPunct/>
              <w:topLinePunct w:val="0"/>
              <w:autoSpaceDE/>
              <w:autoSpaceDN/>
              <w:bidi w:val="0"/>
              <w:spacing w:before="0" w:beforeLines="0" w:after="0" w:afterLines="0" w:line="360" w:lineRule="auto"/>
              <w:ind w:firstLine="480" w:firstLineChars="200"/>
              <w:rPr>
                <w:rFonts w:hint="eastAsia" w:ascii="Times New Roman" w:hAnsi="Times New Roman" w:eastAsia="方正仿宋_GB2312" w:cs="Times New Roman"/>
                <w:b w:val="0"/>
                <w:bCs w:val="0"/>
                <w:color w:val="auto"/>
                <w:kern w:val="2"/>
                <w:sz w:val="24"/>
                <w:szCs w:val="24"/>
                <w:highlight w:val="none"/>
                <w:lang w:val="en-US" w:eastAsia="zh-CN" w:bidi="zh-CN"/>
              </w:rPr>
            </w:pPr>
            <w:r>
              <w:rPr>
                <w:rFonts w:hint="eastAsia" w:ascii="Times New Roman" w:hAnsi="Times New Roman" w:eastAsia="方正仿宋_GB2312" w:cs="Times New Roman"/>
                <w:b w:val="0"/>
                <w:bCs w:val="0"/>
                <w:color w:val="auto"/>
                <w:kern w:val="2"/>
                <w:sz w:val="24"/>
                <w:szCs w:val="24"/>
                <w:highlight w:val="none"/>
                <w:lang w:val="en-US" w:eastAsia="zh-CN" w:bidi="zh-CN"/>
              </w:rPr>
              <w:t>经现场踏勘及企业设计单位提供资料，</w:t>
            </w:r>
            <w:r>
              <w:rPr>
                <w:rFonts w:hint="default" w:ascii="Times New Roman" w:hAnsi="Times New Roman" w:eastAsia="方正仿宋_GB2312" w:cs="Times New Roman"/>
                <w:b w:val="0"/>
                <w:bCs w:val="0"/>
                <w:color w:val="auto"/>
                <w:kern w:val="2"/>
                <w:sz w:val="24"/>
                <w:szCs w:val="24"/>
                <w:highlight w:val="none"/>
                <w:lang w:val="en-US" w:eastAsia="zh-CN" w:bidi="zh-CN"/>
              </w:rPr>
              <w:t>主体工程用料及混凝土全部外购，不设置取土（料）场，施工过程中产生的挖方，部分用于基础填筑，剩余土方全部用于场地平整，无弃方，不设置弃土场</w:t>
            </w:r>
            <w:r>
              <w:rPr>
                <w:rFonts w:hint="eastAsia" w:ascii="Times New Roman" w:hAnsi="Times New Roman" w:eastAsia="方正仿宋_GB2312" w:cs="Times New Roman"/>
                <w:b w:val="0"/>
                <w:bCs w:val="0"/>
                <w:color w:val="auto"/>
                <w:kern w:val="2"/>
                <w:sz w:val="24"/>
                <w:szCs w:val="24"/>
                <w:highlight w:val="none"/>
                <w:lang w:val="en-US" w:eastAsia="zh-CN" w:bidi="zh-CN"/>
              </w:rPr>
              <w:t>。</w:t>
            </w:r>
          </w:p>
          <w:p>
            <w:pPr>
              <w:pStyle w:val="49"/>
              <w:keepNext w:val="0"/>
              <w:keepLines w:val="0"/>
              <w:pageBreakBefore w:val="0"/>
              <w:kinsoku/>
              <w:wordWrap/>
              <w:overflowPunct/>
              <w:topLinePunct w:val="0"/>
              <w:autoSpaceDE/>
              <w:autoSpaceDN/>
              <w:bidi w:val="0"/>
              <w:spacing w:before="0" w:beforeLines="0" w:after="0" w:afterLines="0" w:line="360" w:lineRule="auto"/>
              <w:ind w:firstLine="480" w:firstLineChars="200"/>
              <w:rPr>
                <w:rFonts w:hint="default" w:ascii="Times New Roman" w:hAnsi="Times New Roman" w:eastAsia="方正仿宋_GB2312" w:cs="Times New Roman"/>
                <w:b w:val="0"/>
                <w:bCs w:val="0"/>
                <w:color w:val="auto"/>
                <w:kern w:val="2"/>
                <w:sz w:val="24"/>
                <w:szCs w:val="24"/>
                <w:highlight w:val="none"/>
                <w:lang w:val="en-US" w:eastAsia="zh-CN" w:bidi="zh-CN"/>
              </w:rPr>
            </w:pPr>
            <w:r>
              <w:rPr>
                <w:rFonts w:hint="eastAsia" w:eastAsia="方正仿宋_GB2312" w:cs="Times New Roman"/>
                <w:b w:val="0"/>
                <w:bCs w:val="0"/>
                <w:color w:val="auto"/>
                <w:kern w:val="2"/>
                <w:sz w:val="24"/>
                <w:szCs w:val="24"/>
                <w:highlight w:val="none"/>
                <w:lang w:val="en-US" w:eastAsia="zh-CN" w:bidi="zh-CN"/>
              </w:rPr>
              <w:t>经现场踏勘调查，本项目部分工程内容布置在</w:t>
            </w:r>
            <w:r>
              <w:rPr>
                <w:rFonts w:hint="eastAsia" w:ascii="Times New Roman" w:hAnsi="Times New Roman" w:eastAsia="仿宋" w:cs="Times New Roman"/>
                <w:b w:val="0"/>
                <w:bCs w:val="0"/>
                <w:color w:val="auto"/>
                <w:kern w:val="16"/>
                <w:sz w:val="24"/>
                <w:szCs w:val="24"/>
                <w:highlight w:val="none"/>
                <w:lang w:val="en-US" w:eastAsia="zh-CN" w:bidi="ar-SA"/>
              </w:rPr>
              <w:t>二级保护植物蒙古扁桃的分布区域内，</w:t>
            </w:r>
            <w:r>
              <w:rPr>
                <w:rFonts w:hint="eastAsia" w:eastAsia="仿宋" w:cs="Times New Roman"/>
                <w:b w:val="0"/>
                <w:bCs w:val="0"/>
                <w:color w:val="auto"/>
                <w:kern w:val="16"/>
                <w:sz w:val="24"/>
                <w:szCs w:val="24"/>
                <w:highlight w:val="none"/>
                <w:lang w:val="en-US" w:eastAsia="zh-CN" w:bidi="ar-SA"/>
              </w:rPr>
              <w:t>根据企业设计单位提供资料，本项目道路在利用原有道路基础上，避开了蒙古扁桃密集分布区，所选线路均避开蒙古扁桃生长分布区域，但评价范围内均有零散分布，在采取本环评提出的保护措施后，不会对其产生不良影响，因此，本项目场内道路平面布置合理。</w:t>
            </w:r>
          </w:p>
          <w:p>
            <w:pPr>
              <w:pStyle w:val="49"/>
              <w:keepNext w:val="0"/>
              <w:keepLines w:val="0"/>
              <w:pageBreakBefore w:val="0"/>
              <w:kinsoku/>
              <w:wordWrap/>
              <w:overflowPunct/>
              <w:topLinePunct w:val="0"/>
              <w:autoSpaceDE/>
              <w:autoSpaceDN/>
              <w:bidi w:val="0"/>
              <w:spacing w:before="0" w:beforeLines="0" w:after="0" w:afterLines="0" w:line="360" w:lineRule="auto"/>
              <w:ind w:firstLine="481" w:firstLineChars="200"/>
              <w:rPr>
                <w:rFonts w:hint="default" w:ascii="Times New Roman" w:hAnsi="Times New Roman" w:eastAsia="方正仿宋_GB2312" w:cs="Times New Roman"/>
                <w:b/>
                <w:bCs/>
                <w:color w:val="auto"/>
                <w:kern w:val="2"/>
                <w:sz w:val="24"/>
                <w:szCs w:val="24"/>
                <w:highlight w:val="none"/>
                <w:lang w:val="en-US" w:eastAsia="zh-CN" w:bidi="ar-SA"/>
              </w:rPr>
            </w:pPr>
            <w:r>
              <w:rPr>
                <w:rFonts w:hint="default" w:ascii="Times New Roman" w:hAnsi="Times New Roman" w:eastAsia="方正仿宋_GB2312" w:cs="Times New Roman"/>
                <w:b/>
                <w:bCs/>
                <w:color w:val="auto"/>
                <w:kern w:val="2"/>
                <w:sz w:val="24"/>
                <w:szCs w:val="24"/>
                <w:highlight w:val="none"/>
                <w:lang w:val="en-US" w:eastAsia="zh-CN" w:bidi="ar-SA"/>
              </w:rPr>
              <w:t>2.施工布置情况</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b w:val="0"/>
                <w:bCs w:val="0"/>
                <w:color w:val="auto"/>
                <w:kern w:val="16"/>
                <w:sz w:val="24"/>
                <w:szCs w:val="24"/>
                <w:highlight w:val="none"/>
                <w:lang w:val="en-US" w:eastAsia="zh-CN" w:bidi="ar-SA"/>
              </w:rPr>
            </w:pPr>
            <w:r>
              <w:rPr>
                <w:rFonts w:hint="default" w:ascii="Times New Roman" w:hAnsi="Times New Roman" w:eastAsia="仿宋" w:cs="Times New Roman"/>
                <w:b w:val="0"/>
                <w:bCs w:val="0"/>
                <w:color w:val="auto"/>
                <w:kern w:val="16"/>
                <w:sz w:val="24"/>
                <w:szCs w:val="24"/>
                <w:highlight w:val="none"/>
                <w:lang w:val="en-US" w:eastAsia="zh-CN" w:bidi="ar-SA"/>
              </w:rPr>
              <w:t>本工程场址区域地势起伏不平，机组为分散布置，机组点</w:t>
            </w:r>
            <w:r>
              <w:rPr>
                <w:rFonts w:hint="eastAsia" w:ascii="Times New Roman" w:hAnsi="Times New Roman" w:eastAsia="仿宋" w:cs="Times New Roman"/>
                <w:b w:val="0"/>
                <w:bCs w:val="0"/>
                <w:color w:val="auto"/>
                <w:kern w:val="16"/>
                <w:sz w:val="24"/>
                <w:szCs w:val="24"/>
                <w:highlight w:val="none"/>
                <w:lang w:val="en-US" w:eastAsia="zh-CN" w:bidi="ar-SA"/>
              </w:rPr>
              <w:t>较少</w:t>
            </w:r>
            <w:r>
              <w:rPr>
                <w:rFonts w:hint="default" w:ascii="Times New Roman" w:hAnsi="Times New Roman" w:eastAsia="仿宋" w:cs="Times New Roman"/>
                <w:b w:val="0"/>
                <w:bCs w:val="0"/>
                <w:color w:val="auto"/>
                <w:kern w:val="16"/>
                <w:sz w:val="24"/>
                <w:szCs w:val="24"/>
                <w:highlight w:val="none"/>
                <w:lang w:val="en-US" w:eastAsia="zh-CN" w:bidi="ar-SA"/>
              </w:rPr>
              <w:t>，</w:t>
            </w:r>
            <w:r>
              <w:rPr>
                <w:rFonts w:hint="eastAsia" w:ascii="Times New Roman" w:hAnsi="Times New Roman" w:eastAsia="仿宋" w:cs="Times New Roman"/>
                <w:b w:val="0"/>
                <w:bCs w:val="0"/>
                <w:color w:val="auto"/>
                <w:kern w:val="16"/>
                <w:sz w:val="24"/>
                <w:szCs w:val="24"/>
                <w:highlight w:val="none"/>
                <w:lang w:val="en-US" w:eastAsia="zh-CN" w:bidi="ar-SA"/>
              </w:rPr>
              <w:t>但</w:t>
            </w:r>
            <w:r>
              <w:rPr>
                <w:rFonts w:hint="default" w:ascii="Times New Roman" w:hAnsi="Times New Roman" w:eastAsia="仿宋" w:cs="Times New Roman"/>
                <w:b w:val="0"/>
                <w:bCs w:val="0"/>
                <w:color w:val="auto"/>
                <w:kern w:val="16"/>
                <w:sz w:val="24"/>
                <w:szCs w:val="24"/>
                <w:highlight w:val="none"/>
                <w:lang w:val="en-US" w:eastAsia="zh-CN" w:bidi="ar-SA"/>
              </w:rPr>
              <w:t>运输距离较远，施工总布置在满足工程施工需要及环保与水保要求的前提下，根据工程规模、施工方案及工期等因素，按照因地制宜、易于管理、安全可靠、经济合理及尽量少占耕地的原则，布置施工场地</w:t>
            </w:r>
            <w:r>
              <w:rPr>
                <w:rFonts w:hint="eastAsia" w:eastAsia="仿宋" w:cs="Times New Roman"/>
                <w:b w:val="0"/>
                <w:bCs w:val="0"/>
                <w:color w:val="auto"/>
                <w:kern w:val="16"/>
                <w:sz w:val="24"/>
                <w:szCs w:val="24"/>
                <w:highlight w:val="none"/>
                <w:lang w:val="en-US" w:eastAsia="zh-CN" w:bidi="ar-SA"/>
              </w:rPr>
              <w:t>。本项目占地均为天然牧草地，</w:t>
            </w:r>
            <w:r>
              <w:rPr>
                <w:rFonts w:hint="eastAsia" w:ascii="Times New Roman" w:hAnsi="Times New Roman" w:eastAsia="仿宋" w:cs="Times New Roman"/>
                <w:b w:val="0"/>
                <w:bCs w:val="0"/>
                <w:color w:val="auto"/>
                <w:kern w:val="16"/>
                <w:sz w:val="24"/>
                <w:szCs w:val="24"/>
                <w:highlight w:val="none"/>
                <w:lang w:val="en-US" w:eastAsia="zh-CN" w:bidi="ar-SA"/>
              </w:rPr>
              <w:t>本项目</w:t>
            </w:r>
            <w:r>
              <w:rPr>
                <w:rFonts w:hint="default" w:ascii="Times New Roman" w:hAnsi="Times New Roman" w:eastAsia="仿宋" w:cs="Times New Roman"/>
                <w:b w:val="0"/>
                <w:bCs w:val="0"/>
                <w:color w:val="auto"/>
                <w:kern w:val="16"/>
                <w:sz w:val="24"/>
                <w:szCs w:val="24"/>
                <w:highlight w:val="none"/>
                <w:lang w:val="en-US" w:eastAsia="zh-CN" w:bidi="ar-SA"/>
              </w:rPr>
              <w:t>施工场地</w:t>
            </w:r>
            <w:r>
              <w:rPr>
                <w:rFonts w:hint="eastAsia" w:ascii="Times New Roman" w:hAnsi="Times New Roman" w:eastAsia="仿宋" w:cs="Times New Roman"/>
                <w:b w:val="0"/>
                <w:bCs w:val="0"/>
                <w:color w:val="auto"/>
                <w:kern w:val="16"/>
                <w:sz w:val="24"/>
                <w:szCs w:val="24"/>
                <w:highlight w:val="none"/>
                <w:lang w:val="en-US" w:eastAsia="zh-CN" w:bidi="ar-SA"/>
              </w:rPr>
              <w:t>依托《国家电投集团中卫香山风电场1-3期“以大代小”150MW增容项目》</w:t>
            </w:r>
            <w:r>
              <w:rPr>
                <w:rFonts w:hint="eastAsia" w:eastAsia="仿宋" w:cs="Times New Roman"/>
                <w:b w:val="0"/>
                <w:bCs w:val="0"/>
                <w:color w:val="auto"/>
                <w:kern w:val="16"/>
                <w:sz w:val="24"/>
                <w:szCs w:val="24"/>
                <w:highlight w:val="none"/>
                <w:lang w:val="en-US" w:eastAsia="zh-CN" w:bidi="ar-SA"/>
              </w:rPr>
              <w:t>。</w:t>
            </w:r>
          </w:p>
          <w:p>
            <w:pPr>
              <w:pStyle w:val="50"/>
              <w:bidi w:val="0"/>
              <w:ind w:left="0" w:leftChars="0" w:firstLine="481" w:firstLineChars="200"/>
              <w:rPr>
                <w:rFonts w:hint="default" w:ascii="Times New Roman" w:hAnsi="Times New Roman" w:eastAsia="仿宋" w:cs="Times New Roman"/>
                <w:b/>
                <w:bCs/>
                <w:color w:val="auto"/>
                <w:kern w:val="16"/>
                <w:sz w:val="24"/>
                <w:szCs w:val="24"/>
                <w:highlight w:val="none"/>
                <w:lang w:val="en-US" w:eastAsia="zh-CN" w:bidi="ar-SA"/>
              </w:rPr>
            </w:pPr>
            <w:r>
              <w:rPr>
                <w:rFonts w:hint="default" w:ascii="Times New Roman" w:hAnsi="Times New Roman" w:eastAsia="仿宋" w:cs="Times New Roman"/>
                <w:b/>
                <w:bCs/>
                <w:color w:val="auto"/>
                <w:kern w:val="16"/>
                <w:sz w:val="24"/>
                <w:szCs w:val="24"/>
                <w:highlight w:val="none"/>
                <w:lang w:val="en-US" w:eastAsia="zh-CN" w:bidi="ar-SA"/>
              </w:rPr>
              <w:t>施工期主要材料用量及来源</w:t>
            </w:r>
          </w:p>
          <w:p>
            <w:pPr>
              <w:pStyle w:val="50"/>
              <w:bidi w:val="0"/>
              <w:ind w:left="0" w:leftChars="0" w:firstLine="480" w:firstLineChars="200"/>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根据施工总布置的安排以及混凝土浇筑进度要求，为减少设备配置，提高施工效率，本工程混凝土采用购买商品混凝土，商品混凝土在沙坡头区商混站采购，距离均在25km 左右。本工程主要建筑物材料供应充足，钢筋、钢材、油料及生活物资从沙坡头区采购。施工修配与加工系统主要利用沙坡头区当地企业，施工区只设相应的小型修配系统。</w:t>
            </w:r>
          </w:p>
          <w:p>
            <w:pPr>
              <w:pStyle w:val="50"/>
              <w:bidi w:val="0"/>
              <w:spacing w:line="240" w:lineRule="auto"/>
              <w:ind w:left="0" w:leftChars="0" w:firstLine="481" w:firstLineChars="200"/>
              <w:rPr>
                <w:rFonts w:hint="default" w:ascii="Times New Roman" w:hAnsi="Times New Roman" w:cs="Times New Roman" w:eastAsiaTheme="minorEastAsia"/>
                <w:b/>
                <w:bCs/>
                <w:color w:val="auto"/>
                <w:kern w:val="16"/>
                <w:sz w:val="24"/>
                <w:szCs w:val="24"/>
                <w:highlight w:val="none"/>
                <w:lang w:val="en-US" w:eastAsia="zh-CN" w:bidi="ar-SA"/>
              </w:rPr>
            </w:pPr>
            <w:r>
              <w:rPr>
                <w:rFonts w:hint="default" w:ascii="Times New Roman" w:hAnsi="Times New Roman" w:cs="Times New Roman" w:eastAsiaTheme="minorEastAsia"/>
                <w:b/>
                <w:bCs/>
                <w:color w:val="auto"/>
                <w:kern w:val="16"/>
                <w:sz w:val="24"/>
                <w:szCs w:val="24"/>
                <w:highlight w:val="none"/>
                <w:lang w:val="en-US" w:eastAsia="zh-CN" w:bidi="ar-SA"/>
              </w:rPr>
              <w:t>表</w:t>
            </w:r>
            <w:r>
              <w:rPr>
                <w:rFonts w:hint="eastAsia" w:cs="Times New Roman" w:eastAsiaTheme="minorEastAsia"/>
                <w:b/>
                <w:bCs/>
                <w:color w:val="auto"/>
                <w:kern w:val="16"/>
                <w:sz w:val="24"/>
                <w:szCs w:val="24"/>
                <w:highlight w:val="none"/>
                <w:lang w:val="en-US" w:eastAsia="zh-CN" w:bidi="ar-SA"/>
              </w:rPr>
              <w:t>2-8</w:t>
            </w:r>
            <w:r>
              <w:rPr>
                <w:rFonts w:hint="default" w:ascii="Times New Roman" w:hAnsi="Times New Roman" w:cs="Times New Roman" w:eastAsiaTheme="minorEastAsia"/>
                <w:b/>
                <w:bCs/>
                <w:color w:val="auto"/>
                <w:kern w:val="16"/>
                <w:sz w:val="24"/>
                <w:szCs w:val="24"/>
                <w:highlight w:val="none"/>
                <w:lang w:val="en-US" w:eastAsia="zh-CN" w:bidi="ar-SA"/>
              </w:rPr>
              <w:t xml:space="preserve">              主要材料及劳动力汇总表</w:t>
            </w:r>
          </w:p>
          <w:tbl>
            <w:tblPr>
              <w:tblStyle w:val="90"/>
              <w:tblW w:w="839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14"/>
              <w:gridCol w:w="2790"/>
              <w:gridCol w:w="2159"/>
              <w:gridCol w:w="25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4"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bCs/>
                      <w:color w:val="auto"/>
                      <w:kern w:val="16"/>
                      <w:sz w:val="24"/>
                      <w:szCs w:val="24"/>
                      <w:highlight w:val="none"/>
                      <w:lang w:val="en-US" w:eastAsia="zh-CN" w:bidi="ar-SA"/>
                    </w:rPr>
                  </w:pPr>
                  <w:r>
                    <w:rPr>
                      <w:rFonts w:hint="eastAsia" w:eastAsia="仿宋" w:cs="Times New Roman"/>
                      <w:b/>
                      <w:bCs/>
                      <w:color w:val="auto"/>
                      <w:kern w:val="16"/>
                      <w:sz w:val="24"/>
                      <w:szCs w:val="24"/>
                      <w:highlight w:val="none"/>
                      <w:lang w:val="en-US" w:eastAsia="zh-CN" w:bidi="ar-SA"/>
                    </w:rPr>
                    <w:t>序号</w:t>
                  </w:r>
                </w:p>
              </w:tc>
              <w:tc>
                <w:tcPr>
                  <w:tcW w:w="2790"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bCs/>
                      <w:color w:val="auto"/>
                      <w:kern w:val="16"/>
                      <w:sz w:val="24"/>
                      <w:szCs w:val="24"/>
                      <w:highlight w:val="none"/>
                      <w:lang w:val="en-US" w:eastAsia="zh-CN" w:bidi="ar-SA"/>
                    </w:rPr>
                  </w:pPr>
                  <w:r>
                    <w:rPr>
                      <w:rFonts w:hint="eastAsia" w:eastAsia="仿宋" w:cs="Times New Roman"/>
                      <w:b/>
                      <w:bCs/>
                      <w:color w:val="auto"/>
                      <w:kern w:val="16"/>
                      <w:sz w:val="24"/>
                      <w:szCs w:val="24"/>
                      <w:highlight w:val="none"/>
                      <w:lang w:val="en-US" w:eastAsia="zh-CN" w:bidi="ar-SA"/>
                    </w:rPr>
                    <w:t>项目名称</w:t>
                  </w:r>
                </w:p>
              </w:tc>
              <w:tc>
                <w:tcPr>
                  <w:tcW w:w="2159"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bCs/>
                      <w:color w:val="auto"/>
                      <w:kern w:val="16"/>
                      <w:sz w:val="24"/>
                      <w:szCs w:val="24"/>
                      <w:highlight w:val="none"/>
                      <w:lang w:val="en-US" w:eastAsia="zh-CN" w:bidi="ar-SA"/>
                    </w:rPr>
                  </w:pPr>
                  <w:r>
                    <w:rPr>
                      <w:rFonts w:hint="eastAsia" w:eastAsia="仿宋" w:cs="Times New Roman"/>
                      <w:b/>
                      <w:bCs/>
                      <w:color w:val="auto"/>
                      <w:kern w:val="16"/>
                      <w:sz w:val="24"/>
                      <w:szCs w:val="24"/>
                      <w:highlight w:val="none"/>
                      <w:lang w:val="en-US" w:eastAsia="zh-CN" w:bidi="ar-SA"/>
                    </w:rPr>
                    <w:t>单位</w:t>
                  </w:r>
                </w:p>
              </w:tc>
              <w:tc>
                <w:tcPr>
                  <w:tcW w:w="2536"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bCs/>
                      <w:color w:val="auto"/>
                      <w:kern w:val="16"/>
                      <w:sz w:val="24"/>
                      <w:szCs w:val="24"/>
                      <w:highlight w:val="none"/>
                      <w:lang w:val="en-US" w:eastAsia="zh-CN" w:bidi="ar-SA"/>
                    </w:rPr>
                  </w:pPr>
                  <w:r>
                    <w:rPr>
                      <w:rFonts w:hint="eastAsia" w:eastAsia="仿宋" w:cs="Times New Roman"/>
                      <w:b/>
                      <w:bCs/>
                      <w:color w:val="auto"/>
                      <w:kern w:val="16"/>
                      <w:sz w:val="24"/>
                      <w:szCs w:val="24"/>
                      <w:highlight w:val="none"/>
                      <w:lang w:val="en-US" w:eastAsia="zh-CN" w:bidi="ar-SA"/>
                    </w:rPr>
                    <w:t>数量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4"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1</w:t>
                  </w:r>
                </w:p>
              </w:tc>
              <w:tc>
                <w:tcPr>
                  <w:tcW w:w="2790"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混凝土</w:t>
                  </w:r>
                </w:p>
              </w:tc>
              <w:tc>
                <w:tcPr>
                  <w:tcW w:w="2159"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t</w:t>
                  </w:r>
                </w:p>
              </w:tc>
              <w:tc>
                <w:tcPr>
                  <w:tcW w:w="2536" w:type="dxa"/>
                  <w:tcBorders>
                    <w:tl2br w:val="nil"/>
                    <w:tr2bl w:val="nil"/>
                  </w:tcBorders>
                  <w:vAlign w:val="center"/>
                </w:tcPr>
                <w:p>
                  <w:pPr>
                    <w:pStyle w:val="50"/>
                    <w:autoSpaceDE w:val="0"/>
                    <w:autoSpaceDN w:val="0"/>
                    <w:bidi w:val="0"/>
                    <w:spacing w:line="240" w:lineRule="auto"/>
                    <w:ind w:left="0" w:leftChars="0" w:firstLine="0" w:firstLineChars="0"/>
                    <w:jc w:val="center"/>
                    <w:rPr>
                      <w:rFonts w:hint="default"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12646.12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4"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2</w:t>
                  </w:r>
                </w:p>
              </w:tc>
              <w:tc>
                <w:tcPr>
                  <w:tcW w:w="2790"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砂子</w:t>
                  </w:r>
                </w:p>
              </w:tc>
              <w:tc>
                <w:tcPr>
                  <w:tcW w:w="2159"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m</w:t>
                  </w:r>
                  <w:r>
                    <w:rPr>
                      <w:rFonts w:hint="eastAsia" w:eastAsia="仿宋" w:cs="Times New Roman"/>
                      <w:b w:val="0"/>
                      <w:bCs w:val="0"/>
                      <w:color w:val="auto"/>
                      <w:kern w:val="16"/>
                      <w:sz w:val="24"/>
                      <w:szCs w:val="24"/>
                      <w:highlight w:val="none"/>
                      <w:vertAlign w:val="superscript"/>
                      <w:lang w:val="en-US" w:eastAsia="zh-CN" w:bidi="ar-SA"/>
                    </w:rPr>
                    <w:t>3</w:t>
                  </w:r>
                </w:p>
              </w:tc>
              <w:tc>
                <w:tcPr>
                  <w:tcW w:w="2536" w:type="dxa"/>
                  <w:tcBorders>
                    <w:tl2br w:val="nil"/>
                    <w:tr2bl w:val="nil"/>
                  </w:tcBorders>
                  <w:vAlign w:val="center"/>
                </w:tcPr>
                <w:p>
                  <w:pPr>
                    <w:pStyle w:val="50"/>
                    <w:autoSpaceDE w:val="0"/>
                    <w:autoSpaceDN w:val="0"/>
                    <w:bidi w:val="0"/>
                    <w:spacing w:line="240" w:lineRule="auto"/>
                    <w:ind w:left="0" w:leftChars="0" w:firstLine="0" w:firstLineChars="0"/>
                    <w:jc w:val="center"/>
                    <w:rPr>
                      <w:rFonts w:hint="default"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1158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4"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3</w:t>
                  </w:r>
                </w:p>
              </w:tc>
              <w:tc>
                <w:tcPr>
                  <w:tcW w:w="2790"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石子</w:t>
                  </w:r>
                </w:p>
              </w:tc>
              <w:tc>
                <w:tcPr>
                  <w:tcW w:w="2159"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m</w:t>
                  </w:r>
                  <w:r>
                    <w:rPr>
                      <w:rFonts w:hint="eastAsia" w:eastAsia="仿宋" w:cs="Times New Roman"/>
                      <w:b w:val="0"/>
                      <w:bCs w:val="0"/>
                      <w:color w:val="auto"/>
                      <w:kern w:val="16"/>
                      <w:sz w:val="24"/>
                      <w:szCs w:val="24"/>
                      <w:highlight w:val="none"/>
                      <w:vertAlign w:val="superscript"/>
                      <w:lang w:val="en-US" w:eastAsia="zh-CN" w:bidi="ar-SA"/>
                    </w:rPr>
                    <w:t>3</w:t>
                  </w:r>
                </w:p>
              </w:tc>
              <w:tc>
                <w:tcPr>
                  <w:tcW w:w="2536"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24082.58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4"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4</w:t>
                  </w:r>
                </w:p>
              </w:tc>
              <w:tc>
                <w:tcPr>
                  <w:tcW w:w="2790"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块石</w:t>
                  </w:r>
                </w:p>
              </w:tc>
              <w:tc>
                <w:tcPr>
                  <w:tcW w:w="2159"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m</w:t>
                  </w:r>
                  <w:r>
                    <w:rPr>
                      <w:rFonts w:hint="eastAsia" w:eastAsia="仿宋" w:cs="Times New Roman"/>
                      <w:b w:val="0"/>
                      <w:bCs w:val="0"/>
                      <w:color w:val="auto"/>
                      <w:kern w:val="16"/>
                      <w:sz w:val="24"/>
                      <w:szCs w:val="24"/>
                      <w:highlight w:val="none"/>
                      <w:vertAlign w:val="superscript"/>
                      <w:lang w:val="en-US" w:eastAsia="zh-CN" w:bidi="ar-SA"/>
                    </w:rPr>
                    <w:t>3</w:t>
                  </w:r>
                </w:p>
              </w:tc>
              <w:tc>
                <w:tcPr>
                  <w:tcW w:w="2536" w:type="dxa"/>
                  <w:tcBorders>
                    <w:tl2br w:val="nil"/>
                    <w:tr2bl w:val="nil"/>
                  </w:tcBorders>
                  <w:vAlign w:val="center"/>
                </w:tcPr>
                <w:p>
                  <w:pPr>
                    <w:pStyle w:val="50"/>
                    <w:autoSpaceDE w:val="0"/>
                    <w:autoSpaceDN w:val="0"/>
                    <w:bidi w:val="0"/>
                    <w:spacing w:line="240" w:lineRule="auto"/>
                    <w:ind w:left="0" w:leftChars="0" w:firstLine="0" w:firstLineChars="0"/>
                    <w:jc w:val="center"/>
                    <w:rPr>
                      <w:rFonts w:hint="default"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628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4"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5</w:t>
                  </w:r>
                </w:p>
              </w:tc>
              <w:tc>
                <w:tcPr>
                  <w:tcW w:w="2790"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钢材</w:t>
                  </w:r>
                </w:p>
              </w:tc>
              <w:tc>
                <w:tcPr>
                  <w:tcW w:w="2159" w:type="dxa"/>
                  <w:tcBorders>
                    <w:tl2br w:val="nil"/>
                    <w:tr2bl w:val="nil"/>
                  </w:tcBorders>
                  <w:vAlign w:val="center"/>
                </w:tcPr>
                <w:p>
                  <w:pPr>
                    <w:pStyle w:val="50"/>
                    <w:autoSpaceDE w:val="0"/>
                    <w:autoSpaceDN w:val="0"/>
                    <w:bidi w:val="0"/>
                    <w:spacing w:line="240" w:lineRule="auto"/>
                    <w:ind w:left="0" w:leftChars="0" w:firstLine="0" w:firstLineChars="0"/>
                    <w:jc w:val="center"/>
                    <w:rPr>
                      <w:rFonts w:hint="eastAsia"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t</w:t>
                  </w:r>
                </w:p>
              </w:tc>
              <w:tc>
                <w:tcPr>
                  <w:tcW w:w="2536" w:type="dxa"/>
                  <w:tcBorders>
                    <w:tl2br w:val="nil"/>
                    <w:tr2bl w:val="nil"/>
                  </w:tcBorders>
                  <w:vAlign w:val="center"/>
                </w:tcPr>
                <w:p>
                  <w:pPr>
                    <w:pStyle w:val="50"/>
                    <w:autoSpaceDE w:val="0"/>
                    <w:autoSpaceDN w:val="0"/>
                    <w:bidi w:val="0"/>
                    <w:spacing w:line="240" w:lineRule="auto"/>
                    <w:ind w:left="0" w:leftChars="0" w:firstLine="0" w:firstLineChars="0"/>
                    <w:jc w:val="center"/>
                    <w:rPr>
                      <w:rFonts w:hint="default" w:eastAsia="仿宋" w:cs="Times New Roman"/>
                      <w:b w:val="0"/>
                      <w:bCs w:val="0"/>
                      <w:color w:val="auto"/>
                      <w:kern w:val="16"/>
                      <w:sz w:val="24"/>
                      <w:szCs w:val="24"/>
                      <w:highlight w:val="none"/>
                      <w:lang w:val="en-US" w:eastAsia="zh-CN" w:bidi="ar-SA"/>
                    </w:rPr>
                  </w:pPr>
                  <w:r>
                    <w:rPr>
                      <w:rFonts w:hint="eastAsia" w:eastAsia="仿宋" w:cs="Times New Roman"/>
                      <w:b w:val="0"/>
                      <w:bCs w:val="0"/>
                      <w:color w:val="auto"/>
                      <w:kern w:val="16"/>
                      <w:sz w:val="24"/>
                      <w:szCs w:val="24"/>
                      <w:highlight w:val="none"/>
                      <w:lang w:val="en-US" w:eastAsia="zh-CN" w:bidi="ar-SA"/>
                    </w:rPr>
                    <w:t>1079.56</w:t>
                  </w:r>
                </w:p>
              </w:tc>
            </w:tr>
          </w:tbl>
          <w:p>
            <w:pPr>
              <w:pStyle w:val="50"/>
              <w:bidi w:val="0"/>
              <w:ind w:left="0" w:leftChars="0" w:firstLine="480" w:firstLineChars="200"/>
              <w:rPr>
                <w:rFonts w:hint="default" w:ascii="Times New Roman" w:hAnsi="Times New Roman" w:eastAsia="仿宋" w:cs="Times New Roman"/>
                <w:b w:val="0"/>
                <w:bCs w:val="0"/>
                <w:color w:val="auto"/>
                <w:kern w:val="16"/>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69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施工方案</w:t>
            </w:r>
          </w:p>
        </w:tc>
        <w:tc>
          <w:tcPr>
            <w:tcW w:w="8588" w:type="dxa"/>
            <w:tcBorders>
              <w:tl2br w:val="nil"/>
              <w:tr2bl w:val="nil"/>
            </w:tcBorders>
            <w:shd w:val="clear" w:color="auto" w:fill="auto"/>
            <w:vAlign w:val="center"/>
          </w:tcPr>
          <w:p>
            <w:pPr>
              <w:pStyle w:val="50"/>
              <w:bidi w:val="0"/>
              <w:rPr>
                <w:rFonts w:hint="eastAsia" w:ascii="Times New Roman" w:hAnsi="Times New Roman" w:cs="Times New Roman"/>
                <w:b/>
                <w:bCs/>
                <w:color w:val="auto"/>
                <w:highlight w:val="none"/>
                <w:lang w:val="en-US" w:eastAsia="zh-CN"/>
              </w:rPr>
            </w:pPr>
            <w:r>
              <w:rPr>
                <w:rFonts w:hint="eastAsia" w:cs="Times New Roman"/>
                <w:b/>
                <w:bCs/>
                <w:color w:val="auto"/>
                <w:highlight w:val="none"/>
                <w:lang w:val="en-US" w:eastAsia="zh-CN"/>
              </w:rPr>
              <w:t>一、</w:t>
            </w:r>
            <w:r>
              <w:rPr>
                <w:rFonts w:hint="eastAsia" w:ascii="Times New Roman" w:hAnsi="Times New Roman" w:cs="Times New Roman"/>
                <w:b/>
                <w:bCs/>
                <w:color w:val="auto"/>
                <w:highlight w:val="none"/>
                <w:lang w:val="en-US" w:eastAsia="zh-CN"/>
              </w:rPr>
              <w:t>施工工艺</w:t>
            </w:r>
          </w:p>
          <w:p>
            <w:pPr>
              <w:pStyle w:val="50"/>
              <w:bidi w:val="0"/>
              <w:rPr>
                <w:rFonts w:hint="eastAsia" w:ascii="Times New Roman" w:hAnsi="Times New Roman" w:cs="Times New Roman"/>
                <w:b/>
                <w:bCs/>
                <w:color w:val="auto"/>
                <w:highlight w:val="none"/>
                <w:lang w:val="en-US" w:eastAsia="zh-CN"/>
              </w:rPr>
            </w:pPr>
            <w:r>
              <w:rPr>
                <w:rFonts w:hint="eastAsia" w:cs="Times New Roman"/>
                <w:b/>
                <w:bCs/>
                <w:color w:val="auto"/>
                <w:highlight w:val="none"/>
                <w:lang w:val="en-US" w:eastAsia="zh-CN"/>
              </w:rPr>
              <w:t>1.</w:t>
            </w:r>
            <w:r>
              <w:rPr>
                <w:rFonts w:hint="eastAsia" w:ascii="Times New Roman" w:hAnsi="Times New Roman" w:cs="Times New Roman"/>
                <w:b/>
                <w:bCs/>
                <w:color w:val="auto"/>
                <w:highlight w:val="none"/>
                <w:lang w:val="en-US" w:eastAsia="zh-CN"/>
              </w:rPr>
              <w:t>风力发电场建设</w:t>
            </w:r>
            <w:r>
              <w:rPr>
                <w:rFonts w:hint="eastAsia" w:cs="Times New Roman"/>
                <w:b/>
                <w:bCs/>
                <w:color w:val="auto"/>
                <w:highlight w:val="none"/>
                <w:lang w:val="en-US" w:eastAsia="zh-CN"/>
              </w:rPr>
              <w:t>工艺流程</w:t>
            </w:r>
          </w:p>
          <w:p>
            <w:pPr>
              <w:pStyle w:val="50"/>
              <w:bidi w:val="0"/>
              <w:rPr>
                <w:rFonts w:hint="eastAsia" w:cs="Times New Roman"/>
                <w:color w:val="auto"/>
                <w:highlight w:val="none"/>
                <w:lang w:val="en-US" w:eastAsia="zh-CN"/>
              </w:rPr>
            </w:pPr>
            <w:r>
              <w:rPr>
                <w:rFonts w:hint="eastAsia" w:ascii="Times New Roman" w:hAnsi="Times New Roman" w:cs="Times New Roman"/>
                <w:color w:val="auto"/>
                <w:highlight w:val="none"/>
                <w:lang w:val="en-US" w:eastAsia="zh-CN"/>
              </w:rPr>
              <w:t>建设过程可分为前期准备、建筑施工和营运期三个阶段，前期准备阶段主要为施工前期准备及方案、工程设计和征地等，施工阶段分为场地平整、基础工程、主体工程施工；待竣工验收施工期结束，进入营运期。施工流程见图</w:t>
            </w:r>
            <w:r>
              <w:rPr>
                <w:rFonts w:hint="eastAsia" w:cs="Times New Roman"/>
                <w:color w:val="auto"/>
                <w:highlight w:val="none"/>
                <w:lang w:val="en-US" w:eastAsia="zh-CN"/>
              </w:rPr>
              <w:t>2-</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w:t>
            </w:r>
          </w:p>
          <w:p>
            <w:pPr>
              <w:pStyle w:val="50"/>
              <w:bidi w:val="0"/>
              <w:rPr>
                <w:rFonts w:hint="eastAsia" w:cs="Times New Roman"/>
                <w:color w:val="auto"/>
                <w:highlight w:val="none"/>
                <w:lang w:val="en-US" w:eastAsia="zh-CN"/>
              </w:rPr>
            </w:pPr>
          </w:p>
          <w:p>
            <w:pPr>
              <w:pStyle w:val="50"/>
              <w:bidi w:val="0"/>
              <w:rPr>
                <w:rFonts w:hint="eastAsia" w:cs="Times New Roman"/>
                <w:color w:val="auto"/>
                <w:highlight w:val="none"/>
                <w:lang w:val="en-US" w:eastAsia="zh-CN"/>
              </w:rPr>
            </w:pPr>
          </w:p>
          <w:p>
            <w:pPr>
              <w:pStyle w:val="50"/>
              <w:bidi w:val="0"/>
              <w:rPr>
                <w:rFonts w:hint="eastAsia" w:cs="Times New Roman"/>
                <w:color w:val="auto"/>
                <w:highlight w:val="none"/>
                <w:lang w:val="en-US" w:eastAsia="zh-CN"/>
              </w:rPr>
            </w:pPr>
          </w:p>
          <w:p>
            <w:pPr>
              <w:pStyle w:val="50"/>
              <w:bidi w:val="0"/>
              <w:rPr>
                <w:rFonts w:hint="eastAsia" w:cs="Times New Roman"/>
                <w:color w:val="auto"/>
                <w:highlight w:val="none"/>
                <w:lang w:val="en-US" w:eastAsia="zh-CN"/>
              </w:rPr>
            </w:pPr>
          </w:p>
          <w:p>
            <w:pPr>
              <w:pStyle w:val="50"/>
              <w:bidi w:val="0"/>
              <w:rPr>
                <w:rFonts w:hint="eastAsia" w:cs="Times New Roman"/>
                <w:color w:val="auto"/>
                <w:highlight w:val="none"/>
                <w:lang w:val="en-US" w:eastAsia="zh-CN"/>
              </w:rPr>
            </w:pPr>
          </w:p>
          <w:p>
            <w:pPr>
              <w:pStyle w:val="50"/>
              <w:bidi w:val="0"/>
              <w:rPr>
                <w:rFonts w:hint="eastAsia" w:cs="Times New Roman"/>
                <w:color w:val="auto"/>
                <w:highlight w:val="none"/>
                <w:lang w:val="en-US" w:eastAsia="zh-CN"/>
              </w:rPr>
            </w:pPr>
          </w:p>
          <w:p>
            <w:pPr>
              <w:pStyle w:val="50"/>
              <w:bidi w:val="0"/>
              <w:rPr>
                <w:rFonts w:hint="eastAsia" w:cs="Times New Roman"/>
                <w:color w:val="auto"/>
                <w:highlight w:val="none"/>
                <w:lang w:val="en-US" w:eastAsia="zh-CN"/>
              </w:rPr>
            </w:pPr>
          </w:p>
          <w:p>
            <w:pPr>
              <w:pStyle w:val="50"/>
              <w:bidi w:val="0"/>
              <w:spacing w:line="240" w:lineRule="auto"/>
              <w:rPr>
                <w:rFonts w:hint="eastAsia" w:ascii="Times New Roman" w:hAnsi="Times New Roman" w:eastAsia="宋体" w:cs="Times New Roman"/>
                <w:b/>
                <w:color w:val="auto"/>
                <w:kern w:val="2"/>
                <w:sz w:val="24"/>
                <w:szCs w:val="20"/>
                <w:highlight w:val="none"/>
                <w:lang w:val="en-US" w:eastAsia="zh-CN" w:bidi="ar-SA"/>
              </w:rPr>
            </w:pP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2794000</wp:posOffset>
                      </wp:positionH>
                      <wp:positionV relativeFrom="paragraph">
                        <wp:posOffset>2406015</wp:posOffset>
                      </wp:positionV>
                      <wp:extent cx="1276350" cy="285750"/>
                      <wp:effectExtent l="0" t="0" r="0" b="0"/>
                      <wp:wrapNone/>
                      <wp:docPr id="34" name="文本框 34"/>
                      <wp:cNvGraphicFramePr/>
                      <a:graphic xmlns:a="http://schemas.openxmlformats.org/drawingml/2006/main">
                        <a:graphicData uri="http://schemas.microsoft.com/office/word/2010/wordprocessingShape">
                          <wps:wsp>
                            <wps:cNvSpPr txBox="true"/>
                            <wps:spPr>
                              <a:xfrm>
                                <a:off x="4180840" y="5076190"/>
                                <a:ext cx="1276350" cy="28575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24"/>
                                      <w:szCs w:val="24"/>
                                      <w:lang w:eastAsia="zh-CN"/>
                                    </w:rPr>
                                  </w:pPr>
                                  <w:r>
                                    <w:rPr>
                                      <w:rFonts w:hint="eastAsia" w:ascii="黑体" w:hAnsi="黑体" w:eastAsia="黑体" w:cs="黑体"/>
                                      <w:sz w:val="24"/>
                                      <w:szCs w:val="24"/>
                                      <w:lang w:eastAsia="zh-CN"/>
                                    </w:rPr>
                                    <w:t>风机、箱变基础</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20pt;margin-top:189.45pt;height:22.5pt;width:100.5pt;z-index:251663360;mso-width-relative:page;mso-height-relative:page;" fillcolor="#FFFFFF [3212]" filled="t" stroked="f" coordsize="21600,21600" o:gfxdata="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K41/FbX&#10;AAAACwEAAA8AAAAAAAAAAQAgAAAAOAAAAGRycy9kb3ducmV2LnhtbFBLAQIUABQAAAAIAIdO4kBy&#10;oA5BRAIAAGEEAAAOAAAAAAAAAAEAIAAAADwBAABkcnMvZTJvRG9jLnhtbFBLBQYAAAAABgAGAFkB&#10;AADyBQAAAAA=&#10;">
                      <v:fill on="t" focussize="0,0"/>
                      <v:stroke on="f" weight="0.5pt"/>
                      <v:imagedata o:title=""/>
                      <o:lock v:ext="edit" aspectratio="f"/>
                      <v:textbox>
                        <w:txbxContent>
                          <w:p>
                            <w:pPr>
                              <w:rPr>
                                <w:rFonts w:hint="eastAsia" w:ascii="黑体" w:hAnsi="黑体" w:eastAsia="黑体" w:cs="黑体"/>
                                <w:sz w:val="24"/>
                                <w:szCs w:val="24"/>
                                <w:lang w:eastAsia="zh-CN"/>
                              </w:rPr>
                            </w:pPr>
                            <w:r>
                              <w:rPr>
                                <w:rFonts w:hint="eastAsia" w:ascii="黑体" w:hAnsi="黑体" w:eastAsia="黑体" w:cs="黑体"/>
                                <w:sz w:val="24"/>
                                <w:szCs w:val="24"/>
                                <w:lang w:eastAsia="zh-CN"/>
                              </w:rPr>
                              <w:t>风机、箱变基础</w:t>
                            </w:r>
                          </w:p>
                        </w:txbxContent>
                      </v:textbox>
                    </v:shape>
                  </w:pict>
                </mc:Fallback>
              </mc:AlternateContent>
            </w:r>
            <w:r>
              <w:rPr>
                <w:rFonts w:hint="eastAsia" w:ascii="Times New Roman" w:hAnsi="Times New Roman" w:eastAsia="宋体" w:cs="Times New Roman"/>
                <w:b/>
                <w:color w:val="auto"/>
                <w:kern w:val="2"/>
                <w:sz w:val="24"/>
                <w:szCs w:val="20"/>
                <w:highlight w:val="none"/>
                <w:lang w:val="en-US" w:eastAsia="zh-CN" w:bidi="ar-SA"/>
              </w:rPr>
              <w:t xml:space="preserve"> </w:t>
            </w:r>
            <w:r>
              <w:rPr>
                <w:rFonts w:hint="eastAsia" w:ascii="Times New Roman" w:hAnsi="Times New Roman" w:eastAsia="宋体" w:cs="Times New Roman"/>
                <w:b/>
                <w:color w:val="auto"/>
                <w:kern w:val="2"/>
                <w:sz w:val="24"/>
                <w:szCs w:val="20"/>
                <w:highlight w:val="none"/>
                <w:lang w:val="en-US" w:eastAsia="zh-CN" w:bidi="ar-SA"/>
              </w:rPr>
              <w:drawing>
                <wp:inline distT="0" distB="0" distL="114300" distR="114300">
                  <wp:extent cx="4403725" cy="5158740"/>
                  <wp:effectExtent l="0" t="0" r="15875" b="3810"/>
                  <wp:docPr id="35" name="图片 2" descr="C:/Users/Administrator/AppData/Local/Temp/绘图1(1).png绘图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2" descr="C:/Users/Administrator/AppData/Local/Temp/绘图1(1).png绘图1(1)"/>
                          <pic:cNvPicPr>
                            <a:picLocks noChangeAspect="true"/>
                          </pic:cNvPicPr>
                        </pic:nvPicPr>
                        <pic:blipFill>
                          <a:blip r:embed="rId15"/>
                          <a:stretch>
                            <a:fillRect/>
                          </a:stretch>
                        </pic:blipFill>
                        <pic:spPr>
                          <a:xfrm>
                            <a:off x="0" y="0"/>
                            <a:ext cx="4403725" cy="5158740"/>
                          </a:xfrm>
                          <a:prstGeom prst="rect">
                            <a:avLst/>
                          </a:prstGeom>
                          <a:noFill/>
                          <a:ln>
                            <a:noFill/>
                          </a:ln>
                        </pic:spPr>
                      </pic:pic>
                    </a:graphicData>
                  </a:graphic>
                </wp:inline>
              </w:drawing>
            </w:r>
          </w:p>
          <w:p>
            <w:pPr>
              <w:pStyle w:val="50"/>
              <w:bidi w:val="0"/>
              <w:spacing w:line="360" w:lineRule="auto"/>
              <w:ind w:left="0" w:leftChars="0" w:firstLine="0" w:firstLineChars="0"/>
              <w:jc w:val="center"/>
              <w:rPr>
                <w:rFonts w:hint="eastAsia" w:ascii="Times New Roman" w:hAnsi="Times New Roman" w:eastAsia="宋体" w:cs="Times New Roman"/>
                <w:b/>
                <w:color w:val="auto"/>
                <w:kern w:val="2"/>
                <w:sz w:val="24"/>
                <w:szCs w:val="20"/>
                <w:highlight w:val="none"/>
                <w:lang w:val="en-US" w:eastAsia="zh-CN" w:bidi="ar-SA"/>
              </w:rPr>
            </w:pPr>
            <w:r>
              <w:rPr>
                <w:rFonts w:hint="eastAsia" w:ascii="Times New Roman" w:hAnsi="Times New Roman" w:eastAsia="宋体" w:cs="Times New Roman"/>
                <w:b/>
                <w:color w:val="auto"/>
                <w:kern w:val="2"/>
                <w:sz w:val="24"/>
                <w:szCs w:val="20"/>
                <w:highlight w:val="none"/>
                <w:lang w:val="en-US" w:eastAsia="zh-CN" w:bidi="ar-SA"/>
              </w:rPr>
              <w:t>图</w:t>
            </w:r>
            <w:r>
              <w:rPr>
                <w:rFonts w:hint="eastAsia" w:eastAsia="宋体" w:cs="Times New Roman"/>
                <w:b/>
                <w:color w:val="auto"/>
                <w:kern w:val="2"/>
                <w:sz w:val="24"/>
                <w:szCs w:val="20"/>
                <w:highlight w:val="none"/>
                <w:lang w:val="en-US" w:eastAsia="zh-CN" w:bidi="ar-SA"/>
              </w:rPr>
              <w:t>2-</w:t>
            </w:r>
            <w:r>
              <w:rPr>
                <w:rFonts w:hint="eastAsia" w:ascii="Times New Roman" w:hAnsi="Times New Roman" w:eastAsia="宋体" w:cs="Times New Roman"/>
                <w:b/>
                <w:color w:val="auto"/>
                <w:kern w:val="2"/>
                <w:sz w:val="24"/>
                <w:szCs w:val="20"/>
                <w:highlight w:val="none"/>
                <w:lang w:val="en-US" w:eastAsia="zh-CN" w:bidi="ar-SA"/>
              </w:rPr>
              <w:t>1 本项目施工流程图</w:t>
            </w:r>
          </w:p>
          <w:p>
            <w:pPr>
              <w:pStyle w:val="50"/>
              <w:bidi w:val="0"/>
              <w:spacing w:line="360" w:lineRule="auto"/>
              <w:rPr>
                <w:rFonts w:hint="default"/>
                <w:b/>
                <w:bCs/>
                <w:color w:val="auto"/>
                <w:highlight w:val="none"/>
                <w:lang w:val="en-US" w:eastAsia="zh-CN"/>
              </w:rPr>
            </w:pPr>
            <w:r>
              <w:rPr>
                <w:rFonts w:hint="eastAsia"/>
                <w:b/>
                <w:bCs/>
                <w:color w:val="auto"/>
                <w:highlight w:val="none"/>
                <w:lang w:val="en-US" w:eastAsia="zh-CN"/>
              </w:rPr>
              <w:t>2.工艺流程简述</w:t>
            </w:r>
          </w:p>
          <w:p>
            <w:pPr>
              <w:pStyle w:val="50"/>
              <w:bidi w:val="0"/>
              <w:spacing w:line="360" w:lineRule="auto"/>
              <w:rPr>
                <w:rFonts w:hint="default"/>
                <w:b/>
                <w:bCs/>
                <w:color w:val="auto"/>
                <w:highlight w:val="none"/>
                <w:lang w:val="en-US" w:eastAsia="zh-CN"/>
              </w:rPr>
            </w:pPr>
            <w:r>
              <w:rPr>
                <w:rFonts w:hint="eastAsia"/>
                <w:b/>
                <w:bCs/>
                <w:color w:val="auto"/>
                <w:highlight w:val="none"/>
                <w:lang w:val="en-US" w:eastAsia="zh-CN"/>
              </w:rPr>
              <w:t>（1）</w:t>
            </w:r>
            <w:r>
              <w:rPr>
                <w:rFonts w:hint="default"/>
                <w:b/>
                <w:bCs/>
                <w:color w:val="auto"/>
                <w:highlight w:val="none"/>
                <w:lang w:val="en-US" w:eastAsia="zh-CN"/>
              </w:rPr>
              <w:t>施工道路</w:t>
            </w:r>
          </w:p>
          <w:p>
            <w:pPr>
              <w:pStyle w:val="50"/>
              <w:bidi w:val="0"/>
              <w:spacing w:line="360" w:lineRule="auto"/>
              <w:rPr>
                <w:rFonts w:hint="default"/>
                <w:b w:val="0"/>
                <w:bCs w:val="0"/>
                <w:color w:val="auto"/>
                <w:highlight w:val="none"/>
                <w:lang w:val="en-US" w:eastAsia="zh-CN"/>
              </w:rPr>
            </w:pPr>
            <w:r>
              <w:rPr>
                <w:rFonts w:hint="default"/>
                <w:b w:val="0"/>
                <w:bCs w:val="0"/>
                <w:color w:val="auto"/>
                <w:highlight w:val="none"/>
                <w:lang w:val="en-US" w:eastAsia="zh-CN"/>
              </w:rPr>
              <w:t>本风电场道路布置时，充分考虑利用原有道路，尽可能选择最优路线实现对机位的全连接。本项目在利用现有道路的情况下，新建道路长度</w:t>
            </w:r>
            <w:r>
              <w:rPr>
                <w:rFonts w:hint="eastAsia"/>
                <w:b w:val="0"/>
                <w:bCs w:val="0"/>
                <w:color w:val="auto"/>
                <w:highlight w:val="none"/>
                <w:lang w:val="en-US" w:eastAsia="zh-CN"/>
              </w:rPr>
              <w:t>7.52</w:t>
            </w:r>
            <w:r>
              <w:rPr>
                <w:rFonts w:hint="default"/>
                <w:b w:val="0"/>
                <w:bCs w:val="0"/>
                <w:color w:val="auto"/>
                <w:highlight w:val="none"/>
                <w:lang w:val="en-US" w:eastAsia="zh-CN"/>
              </w:rPr>
              <w:t>km</w:t>
            </w:r>
            <w:r>
              <w:rPr>
                <w:rFonts w:hint="eastAsia"/>
                <w:b w:val="0"/>
                <w:bCs w:val="0"/>
                <w:color w:val="auto"/>
                <w:highlight w:val="none"/>
                <w:lang w:val="en-US" w:eastAsia="zh-CN"/>
              </w:rPr>
              <w:t>（路面宽度5.5m，采用30cm泥结石路面）</w:t>
            </w:r>
            <w:r>
              <w:rPr>
                <w:rFonts w:hint="default"/>
                <w:b w:val="0"/>
                <w:bCs w:val="0"/>
                <w:color w:val="auto"/>
                <w:highlight w:val="none"/>
                <w:lang w:val="en-US" w:eastAsia="zh-CN"/>
              </w:rPr>
              <w:t>，改建道路</w:t>
            </w:r>
            <w:r>
              <w:rPr>
                <w:rFonts w:hint="eastAsia"/>
                <w:b w:val="0"/>
                <w:bCs w:val="0"/>
                <w:color w:val="auto"/>
                <w:highlight w:val="none"/>
                <w:lang w:val="en-US" w:eastAsia="zh-CN"/>
              </w:rPr>
              <w:t>7.0</w:t>
            </w:r>
            <w:r>
              <w:rPr>
                <w:rFonts w:hint="default"/>
                <w:b w:val="0"/>
                <w:bCs w:val="0"/>
                <w:color w:val="auto"/>
                <w:highlight w:val="none"/>
                <w:lang w:val="en-US" w:eastAsia="zh-CN"/>
              </w:rPr>
              <w:t>km</w:t>
            </w:r>
            <w:r>
              <w:rPr>
                <w:rFonts w:hint="eastAsia"/>
                <w:b w:val="0"/>
                <w:bCs w:val="0"/>
                <w:color w:val="auto"/>
                <w:highlight w:val="none"/>
                <w:lang w:val="en-US" w:eastAsia="zh-CN"/>
              </w:rPr>
              <w:t>（路面宽度5.5m，村道水泥路采用修补方式，乡道土路采用300mm厚砂夹石路面，道路转弯半径≥30m，风场施工道路主路最大向上纵坡不大于12%，下坡不大于 15%）</w:t>
            </w:r>
            <w:r>
              <w:rPr>
                <w:rFonts w:hint="default"/>
                <w:b w:val="0"/>
                <w:bCs w:val="0"/>
                <w:color w:val="auto"/>
                <w:highlight w:val="none"/>
                <w:lang w:val="en-US" w:eastAsia="zh-CN"/>
              </w:rPr>
              <w:t>。</w:t>
            </w:r>
          </w:p>
          <w:p>
            <w:pPr>
              <w:pStyle w:val="50"/>
              <w:bidi w:val="0"/>
              <w:spacing w:line="360" w:lineRule="auto"/>
              <w:rPr>
                <w:rFonts w:hint="default"/>
                <w:b/>
                <w:bCs/>
                <w:color w:val="auto"/>
                <w:highlight w:val="none"/>
                <w:lang w:val="en-US" w:eastAsia="zh-CN"/>
              </w:rPr>
            </w:pPr>
            <w:r>
              <w:rPr>
                <w:rFonts w:hint="eastAsia"/>
                <w:b/>
                <w:bCs/>
                <w:color w:val="auto"/>
                <w:highlight w:val="none"/>
                <w:lang w:val="en-US" w:eastAsia="zh-CN"/>
              </w:rPr>
              <w:t>（2）</w:t>
            </w:r>
            <w:r>
              <w:rPr>
                <w:rFonts w:hint="default"/>
                <w:b/>
                <w:bCs/>
                <w:color w:val="auto"/>
                <w:highlight w:val="none"/>
                <w:lang w:val="en-US" w:eastAsia="zh-CN"/>
              </w:rPr>
              <w:t>场地平整</w:t>
            </w:r>
          </w:p>
          <w:p>
            <w:pPr>
              <w:pStyle w:val="50"/>
              <w:bidi w:val="0"/>
              <w:spacing w:line="360" w:lineRule="auto"/>
              <w:rPr>
                <w:rFonts w:hint="eastAsia"/>
                <w:b w:val="0"/>
                <w:bCs w:val="0"/>
                <w:color w:val="auto"/>
                <w:highlight w:val="none"/>
                <w:lang w:val="en-US" w:eastAsia="zh-CN"/>
              </w:rPr>
            </w:pPr>
            <w:r>
              <w:rPr>
                <w:rFonts w:hint="eastAsia"/>
                <w:b w:val="0"/>
                <w:bCs w:val="0"/>
                <w:color w:val="auto"/>
                <w:highlight w:val="none"/>
                <w:lang w:val="en-US" w:eastAsia="zh-CN"/>
              </w:rPr>
              <w:t>对风机基础和箱变基础施工前需要对场地进行清理，清除植被等，收集的表土临时堆放于各自安装场内一角，与风机基础后期回填土石方分开堆置，共同采取临时覆盖措施。</w:t>
            </w:r>
          </w:p>
          <w:p>
            <w:pPr>
              <w:pStyle w:val="50"/>
              <w:bidi w:val="0"/>
              <w:spacing w:line="360" w:lineRule="auto"/>
              <w:rPr>
                <w:rFonts w:hint="eastAsia"/>
                <w:color w:val="auto"/>
                <w:highlight w:val="none"/>
                <w:lang w:eastAsia="zh-CN"/>
              </w:rPr>
            </w:pPr>
            <w:r>
              <w:rPr>
                <w:rFonts w:hint="eastAsia"/>
                <w:b/>
                <w:bCs/>
                <w:color w:val="auto"/>
                <w:highlight w:val="none"/>
                <w:lang w:val="en-US" w:eastAsia="zh-CN"/>
              </w:rPr>
              <w:t>（3）风力发电机组基础工程</w:t>
            </w:r>
            <w:r>
              <w:rPr>
                <w:rFonts w:hint="eastAsia"/>
                <w:color w:val="auto"/>
                <w:highlight w:val="none"/>
                <w:lang w:val="en-US" w:eastAsia="zh-CN"/>
              </w:rPr>
              <w:t xml:space="preserve"> </w:t>
            </w:r>
          </w:p>
          <w:p>
            <w:pPr>
              <w:pStyle w:val="50"/>
              <w:bidi w:val="0"/>
              <w:rPr>
                <w:rFonts w:hint="eastAsia"/>
                <w:color w:val="auto"/>
                <w:highlight w:val="none"/>
                <w:lang w:val="en-US" w:eastAsia="zh-CN"/>
              </w:rPr>
            </w:pPr>
            <w:r>
              <w:rPr>
                <w:rFonts w:hint="eastAsia"/>
                <w:color w:val="auto"/>
                <w:highlight w:val="none"/>
                <w:lang w:val="en-US" w:eastAsia="zh-CN"/>
              </w:rPr>
              <w:t>a.基础开挖：根据施工现场坐标控制点，定出基础轴线及基坑开挖线，经复核检查无误后方可进行开挖。土方开挖采用以机械施工开挖为主，人工配合为辅的方法。</w:t>
            </w:r>
          </w:p>
          <w:p>
            <w:pPr>
              <w:pStyle w:val="50"/>
              <w:bidi w:val="0"/>
              <w:rPr>
                <w:rFonts w:hint="eastAsia"/>
                <w:color w:val="auto"/>
                <w:highlight w:val="none"/>
                <w:lang w:val="en-US" w:eastAsia="zh-CN"/>
              </w:rPr>
            </w:pPr>
            <w:r>
              <w:rPr>
                <w:rFonts w:hint="eastAsia"/>
                <w:color w:val="auto"/>
                <w:highlight w:val="none"/>
                <w:lang w:val="en-US" w:eastAsia="zh-CN"/>
              </w:rPr>
              <w:t>b.预埋件施工：本工程风机塔筒采用预埋预应力锚栓组合件连接，预应力锚栓直埋于基础主体混凝土中。</w:t>
            </w:r>
          </w:p>
          <w:p>
            <w:pPr>
              <w:pStyle w:val="50"/>
              <w:bidi w:val="0"/>
              <w:rPr>
                <w:rFonts w:hint="eastAsia"/>
                <w:color w:val="auto"/>
                <w:highlight w:val="none"/>
                <w:lang w:val="en-US" w:eastAsia="zh-CN"/>
              </w:rPr>
            </w:pPr>
            <w:r>
              <w:rPr>
                <w:rFonts w:hint="eastAsia"/>
                <w:color w:val="auto"/>
                <w:highlight w:val="none"/>
                <w:lang w:val="en-US" w:eastAsia="zh-CN"/>
              </w:rPr>
              <w:t>c.基础混凝土浇筑：风机基础钢筋混凝土强度等级为 C20。基础开挖验收后，首先对地面进行洒水、夯实、找平，然后浇筑 C20素混凝土垫层。混凝土采用外购商品砼。</w:t>
            </w:r>
          </w:p>
          <w:p>
            <w:pPr>
              <w:pStyle w:val="50"/>
              <w:bidi w:val="0"/>
              <w:rPr>
                <w:rFonts w:hint="eastAsia"/>
                <w:color w:val="auto"/>
                <w:highlight w:val="none"/>
                <w:lang w:val="en-US" w:eastAsia="zh-CN"/>
              </w:rPr>
            </w:pPr>
            <w:r>
              <w:rPr>
                <w:rFonts w:hint="eastAsia"/>
                <w:color w:val="auto"/>
                <w:highlight w:val="none"/>
                <w:lang w:val="en-US" w:eastAsia="zh-CN"/>
              </w:rPr>
              <w:t>d.土方回填：基础施工完毕，在混凝土强度达到规范、设计要求并经隐蔽工程验收之后，及时进行土方回填。基坑回填前必须先清除基坑底的杂物，土方回填采用机械挖运、人工分层回填、机械振捣夯实的方式。</w:t>
            </w:r>
          </w:p>
          <w:p>
            <w:pPr>
              <w:pStyle w:val="50"/>
              <w:bidi w:val="0"/>
              <w:rPr>
                <w:rFonts w:hint="eastAsia"/>
                <w:b/>
                <w:bCs/>
                <w:color w:val="auto"/>
                <w:highlight w:val="none"/>
                <w:lang w:val="en-US" w:eastAsia="zh-CN"/>
              </w:rPr>
            </w:pPr>
            <w:r>
              <w:rPr>
                <w:rFonts w:hint="eastAsia"/>
                <w:b/>
                <w:bCs/>
                <w:color w:val="auto"/>
                <w:highlight w:val="none"/>
                <w:lang w:val="en-US" w:eastAsia="zh-CN"/>
              </w:rPr>
              <w:t>（4）箱式变电站基础施工</w:t>
            </w:r>
          </w:p>
          <w:p>
            <w:pPr>
              <w:pStyle w:val="50"/>
              <w:bidi w:val="0"/>
              <w:rPr>
                <w:rFonts w:hint="eastAsia"/>
                <w:color w:val="auto"/>
                <w:highlight w:val="none"/>
                <w:lang w:val="en-US" w:eastAsia="zh-CN"/>
              </w:rPr>
            </w:pPr>
            <w:r>
              <w:rPr>
                <w:rFonts w:hint="eastAsia"/>
                <w:color w:val="auto"/>
                <w:highlight w:val="none"/>
                <w:lang w:val="en-US" w:eastAsia="zh-CN"/>
              </w:rPr>
              <w:t>箱式变电站基础采用天然地基基础。土石方开挖采用小型挖掘机进行基础开挖，并辅以人工修正基坑边坡，基础开挖完工后，应将基坑清理干净，进行验收。基坑验收完毕后，根据地质情况对基础做出处理。</w:t>
            </w:r>
          </w:p>
          <w:p>
            <w:pPr>
              <w:pStyle w:val="50"/>
              <w:bidi w:val="0"/>
              <w:rPr>
                <w:rFonts w:hint="eastAsia"/>
                <w:b w:val="0"/>
                <w:bCs w:val="0"/>
                <w:color w:val="auto"/>
                <w:highlight w:val="none"/>
                <w:lang w:val="en-US" w:eastAsia="zh-CN"/>
              </w:rPr>
            </w:pPr>
            <w:r>
              <w:rPr>
                <w:rFonts w:hint="eastAsia"/>
                <w:b/>
                <w:bCs/>
                <w:color w:val="auto"/>
                <w:highlight w:val="none"/>
                <w:lang w:val="en-US" w:eastAsia="zh-CN"/>
              </w:rPr>
              <w:t xml:space="preserve">（5）风力发电机组安装 </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 xml:space="preserve">本期工程推荐方案选择的风力发电机组单机容量为 6.25MW。选用 750t 的履带式主吊和 75t 胎式辅助汽车吊相互配合完成风机的吊装，安装时应在厂家专门技术人员的指导下进行。为了保证吊车吊臂在起吊过程中不碰到塔架，应保证起重机有大于 50×60m 的工作场地空间，在进场公路旁应有存放零配件或小型吊车的足够场地。现将各部件的安装分别叙述如下： </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 xml:space="preserve">a.风电机组塔架安装 </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在现场将筒内的配件安装好后，再进行吊装。在现场保存时应注意将塔筒放置于硬木上并防止其滚动，存放场地应尽可能平整无斜坡。</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b.风电机组机舱安装</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风力发电机组采用分部件吊装的形式，在安装时，应选择良好的天气，下雨或风速超过 12m/s 时不允许安装风力发电机。机舱部件（含发电机）在地面组装完成后将机舱吊起至与塔筒上段对接的安装位置，用四个螺栓相对固定，手动拧紧所有其它螺栓，完全放下机舱，将吊车保留 50%的荷载，用电动扳手紧固全部连接螺栓至规定力矩，拆除吊索。</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 xml:space="preserve">c.风电机组叶片安装 </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安装前，必须对叶片进行全面的检查，以查明其在运输过程中有否损坏。禁止不经全面检查就直接安装叶片。在地面上按施工安装技术要求首先将转子叶片安装在轮毂上，然后再进行吊装工作。轮毂与叶片在地面组装，叶片需采用支架支撑呈水平状态。组装完毕后，采用专用夹具夹紧轮毂，同时用绳索系在其中的两片叶片上，剩余的一片叶片尖端架在可移动式专用小车上。在转子叶片安装前，应用清洗设备对叶片法兰和轮毂法兰进行清洗。当履带吊将轮 毂缓慢吊起时，由人工在地面拉住绳索以控制叶片的摆动，直到提升至安装高度，由安装工人站于机舱内进行空中组装连接。吊装叶片和轮毂时，用大吊车提升轮毂和叶片，用小吊车随吊一片叶片。为了避免叶片在提升过程中摆动，用圆环绳索分别套在三片叶片上，每片叶片用 3～6 名装配人员在地面上拉住。在提升过程中，禁止叶片与吊车、塔架、机舱发生碰撞，应确保绳索不相互缠绕。通过两台吊车的共同作用，慢慢将转子叶片竖立。随后与吊装圆筒塔架相似的办法将带叶片的轮毂起吊并安装到机舱的法兰上。</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安装结束后可将叶片的安装附件移走，并清理安装现场。</w:t>
            </w:r>
          </w:p>
          <w:p>
            <w:pPr>
              <w:pStyle w:val="50"/>
              <w:bidi w:val="0"/>
              <w:rPr>
                <w:rFonts w:hint="eastAsia"/>
                <w:b/>
                <w:bCs/>
                <w:color w:val="auto"/>
                <w:highlight w:val="none"/>
                <w:lang w:val="en-US" w:eastAsia="zh-CN"/>
              </w:rPr>
            </w:pPr>
            <w:r>
              <w:rPr>
                <w:rFonts w:hint="eastAsia"/>
                <w:b/>
                <w:bCs/>
                <w:color w:val="auto"/>
                <w:highlight w:val="none"/>
                <w:lang w:val="en-US" w:eastAsia="zh-CN"/>
              </w:rPr>
              <w:t xml:space="preserve">（6）箱式变电站安装 </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 xml:space="preserve">本工程初拟选择箱式变压器的容量为 7000kVA。 </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靠近箱体顶部有用于装卸的吊钩，起吊钢缆拉伸时与垂直线间的角度不能超过 30°，如有必要，应用横杆支撑钢缆，以免造成箱变结构或起吊钩的变形。箱变大部分重量集中在装有铁心、绕组和绝缘油的箱体中的变压器，高低压终端箱内大部分是空的，重量相对较轻，使用吊钩或起重机不当可能造成箱变或其附件的损坏，或引起人员伤害。在安装完毕后，接上试验电缆插头，按国家有关试验规程进行试验。由于箱变的具体型号和厂商需在施工阶段招标后才能最终确定，其安装方法在施工阶段要按照厂商的要求和说明进行修正。</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b/>
                <w:bCs/>
                <w:color w:val="auto"/>
                <w:highlight w:val="none"/>
                <w:lang w:val="en-US" w:eastAsia="zh-CN"/>
              </w:rPr>
            </w:pPr>
            <w:r>
              <w:rPr>
                <w:rFonts w:hint="eastAsia"/>
                <w:b/>
                <w:bCs/>
                <w:color w:val="auto"/>
                <w:highlight w:val="none"/>
                <w:lang w:val="en-US" w:eastAsia="zh-CN"/>
              </w:rPr>
              <w:t>（7）35kV场内机电线路施工</w:t>
            </w:r>
          </w:p>
          <w:p>
            <w:pPr>
              <w:pStyle w:val="50"/>
              <w:bidi w:val="0"/>
              <w:rPr>
                <w:rFonts w:hint="eastAsia"/>
                <w:b w:val="0"/>
                <w:bCs w:val="0"/>
                <w:color w:val="auto"/>
                <w:highlight w:val="none"/>
                <w:lang w:val="en-US" w:eastAsia="zh-CN"/>
              </w:rPr>
            </w:pPr>
            <w:r>
              <w:rPr>
                <w:rFonts w:hint="default"/>
                <w:b w:val="0"/>
                <w:bCs w:val="0"/>
                <w:color w:val="auto"/>
                <w:highlight w:val="none"/>
                <w:lang w:val="en-US" w:eastAsia="zh-CN"/>
              </w:rPr>
              <w:t>1</w:t>
            </w:r>
            <w:r>
              <w:rPr>
                <w:rFonts w:hint="eastAsia"/>
                <w:b w:val="0"/>
                <w:bCs w:val="0"/>
                <w:color w:val="auto"/>
                <w:highlight w:val="none"/>
                <w:lang w:val="en-US" w:eastAsia="zh-CN"/>
              </w:rPr>
              <w:t>）基础开挖</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风场场址冬季温度低，冻土层较浅，基础开挖和混凝土施工时，应避开冰冻期。基础开挖应以设计图纸为准，按不同地质条件规定开挖边坡。基面开挖后应平整不应积水，边坡不应坍塌。</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2）混凝土浇制及养护</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浇制时应采用人工搅拌和机械振捣，施工电源使用现场发电机。</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基坑开挖完毕后，开始拼支底板及立柱模板，完成后可开始浇筑底板及立柱，底板应抹光，立柱应留有毛面，并采用塑料薄膜保温养护。</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3）基础回填</w:t>
            </w:r>
          </w:p>
          <w:p>
            <w:pPr>
              <w:pStyle w:val="50"/>
              <w:bidi w:val="0"/>
              <w:rPr>
                <w:rFonts w:hint="eastAsia"/>
                <w:b w:val="0"/>
                <w:bCs w:val="0"/>
                <w:color w:val="auto"/>
                <w:highlight w:val="none"/>
                <w:lang w:val="en-US" w:eastAsia="zh-CN"/>
              </w:rPr>
            </w:pPr>
            <w:r>
              <w:rPr>
                <w:rFonts w:hint="eastAsia"/>
                <w:b w:val="0"/>
                <w:bCs w:val="0"/>
                <w:color w:val="auto"/>
                <w:highlight w:val="none"/>
                <w:lang w:val="en-US" w:eastAsia="zh-CN"/>
              </w:rPr>
              <w:t>清除树根、杂草，每填入</w:t>
            </w:r>
            <w:r>
              <w:rPr>
                <w:rFonts w:hint="default"/>
                <w:b w:val="0"/>
                <w:bCs w:val="0"/>
                <w:color w:val="auto"/>
                <w:highlight w:val="none"/>
                <w:lang w:val="en-US" w:eastAsia="zh-CN"/>
              </w:rPr>
              <w:t>300mm</w:t>
            </w:r>
            <w:r>
              <w:rPr>
                <w:rFonts w:hint="eastAsia"/>
                <w:b w:val="0"/>
                <w:bCs w:val="0"/>
                <w:color w:val="auto"/>
                <w:highlight w:val="none"/>
                <w:lang w:val="en-US" w:eastAsia="zh-CN"/>
              </w:rPr>
              <w:t>夯实一次，直至回填到与原地貌标高相同。一般土壤防沉层应高出地面</w:t>
            </w:r>
            <w:r>
              <w:rPr>
                <w:rFonts w:hint="default"/>
                <w:b w:val="0"/>
                <w:bCs w:val="0"/>
                <w:color w:val="auto"/>
                <w:highlight w:val="none"/>
                <w:lang w:val="en-US" w:eastAsia="zh-CN"/>
              </w:rPr>
              <w:t>300mm</w:t>
            </w:r>
            <w:r>
              <w:rPr>
                <w:rFonts w:hint="eastAsia"/>
                <w:b w:val="0"/>
                <w:bCs w:val="0"/>
                <w:color w:val="auto"/>
                <w:highlight w:val="none"/>
                <w:lang w:val="en-US" w:eastAsia="zh-CN"/>
              </w:rPr>
              <w:t>。</w:t>
            </w:r>
          </w:p>
          <w:p>
            <w:pPr>
              <w:pStyle w:val="50"/>
              <w:bidi w:val="0"/>
              <w:rPr>
                <w:rFonts w:hint="default"/>
                <w:b w:val="0"/>
                <w:bCs w:val="0"/>
                <w:color w:val="auto"/>
                <w:highlight w:val="none"/>
                <w:lang w:val="en-US" w:eastAsia="zh-CN"/>
              </w:rPr>
            </w:pPr>
            <w:r>
              <w:rPr>
                <w:rFonts w:hint="eastAsia"/>
                <w:b w:val="0"/>
                <w:bCs w:val="0"/>
                <w:color w:val="auto"/>
                <w:highlight w:val="none"/>
                <w:lang w:val="en-US" w:eastAsia="zh-CN"/>
              </w:rPr>
              <w:t>4）架空线工程</w:t>
            </w:r>
          </w:p>
          <w:p>
            <w:pPr>
              <w:pStyle w:val="50"/>
              <w:bidi w:val="0"/>
              <w:rPr>
                <w:rFonts w:hint="default"/>
                <w:b w:val="0"/>
                <w:bCs w:val="0"/>
                <w:color w:val="auto"/>
                <w:highlight w:val="none"/>
                <w:lang w:val="en-US" w:eastAsia="zh-CN"/>
              </w:rPr>
            </w:pPr>
            <w:r>
              <w:rPr>
                <w:rFonts w:hint="eastAsia"/>
                <w:b w:val="0"/>
                <w:bCs w:val="0"/>
                <w:color w:val="auto"/>
                <w:highlight w:val="none"/>
                <w:lang w:val="en-US" w:eastAsia="zh-CN"/>
              </w:rPr>
              <w:t>放线前应有完整有效的架线（包括放线、紧线及附件的安装等）施工技术文件。放线过程中，对展放的导线和地线应进行外观检查，应该符合设计要求。</w:t>
            </w:r>
          </w:p>
          <w:p>
            <w:pPr>
              <w:pStyle w:val="50"/>
              <w:bidi w:val="0"/>
              <w:rPr>
                <w:rFonts w:hint="default"/>
                <w:b w:val="0"/>
                <w:bCs w:val="0"/>
                <w:color w:val="auto"/>
                <w:highlight w:val="none"/>
                <w:lang w:val="en-US" w:eastAsia="zh-CN"/>
              </w:rPr>
            </w:pPr>
            <w:r>
              <w:rPr>
                <w:rFonts w:hint="eastAsia"/>
                <w:b w:val="0"/>
                <w:bCs w:val="0"/>
                <w:color w:val="auto"/>
                <w:highlight w:val="none"/>
                <w:lang w:val="en-US" w:eastAsia="zh-CN"/>
              </w:rPr>
              <w:t>5）接地工程</w:t>
            </w:r>
          </w:p>
          <w:p>
            <w:pPr>
              <w:pStyle w:val="50"/>
              <w:bidi w:val="0"/>
              <w:rPr>
                <w:rFonts w:hint="default"/>
                <w:b w:val="0"/>
                <w:bCs w:val="0"/>
                <w:color w:val="auto"/>
                <w:highlight w:val="none"/>
                <w:lang w:val="en-US" w:eastAsia="zh-CN"/>
              </w:rPr>
            </w:pPr>
            <w:r>
              <w:rPr>
                <w:rFonts w:hint="eastAsia"/>
                <w:b w:val="0"/>
                <w:bCs w:val="0"/>
                <w:color w:val="auto"/>
                <w:highlight w:val="none"/>
                <w:lang w:val="en-US" w:eastAsia="zh-CN"/>
              </w:rPr>
              <w:t>本工程铁塔均做接地，根据设计要求进行施工，在施工结束后，对接地电阻要进行测量，对不满足要求者，要采取有效措施，适当加长接地线，增加接地极或换土直至满足要求为止。</w:t>
            </w:r>
          </w:p>
          <w:p>
            <w:pPr>
              <w:pStyle w:val="50"/>
              <w:keepNext w:val="0"/>
              <w:keepLines w:val="0"/>
              <w:pageBreakBefore w:val="0"/>
              <w:widowControl w:val="0"/>
              <w:kinsoku/>
              <w:wordWrap/>
              <w:topLinePunct w:val="0"/>
              <w:autoSpaceDE/>
              <w:autoSpaceDN/>
              <w:bidi w:val="0"/>
              <w:adjustRightInd w:val="0"/>
              <w:snapToGrid w:val="0"/>
              <w:spacing w:line="360" w:lineRule="auto"/>
              <w:rPr>
                <w:rFonts w:hint="eastAsia"/>
                <w:b/>
                <w:bCs/>
                <w:color w:val="auto"/>
                <w:highlight w:val="none"/>
                <w:lang w:val="en-US" w:eastAsia="zh-CN"/>
              </w:rPr>
            </w:pPr>
            <w:r>
              <w:rPr>
                <w:rFonts w:hint="eastAsia"/>
                <w:b/>
                <w:bCs/>
                <w:color w:val="auto"/>
                <w:highlight w:val="none"/>
                <w:lang w:val="en-US" w:eastAsia="zh-CN"/>
              </w:rPr>
              <w:t>弃土场</w:t>
            </w:r>
          </w:p>
          <w:p>
            <w:pPr>
              <w:pStyle w:val="50"/>
              <w:bidi w:val="0"/>
              <w:rPr>
                <w:rFonts w:hint="default"/>
                <w:b w:val="0"/>
                <w:bCs w:val="0"/>
                <w:color w:val="auto"/>
                <w:highlight w:val="none"/>
                <w:lang w:val="en-US" w:eastAsia="zh-CN"/>
              </w:rPr>
            </w:pPr>
            <w:r>
              <w:rPr>
                <w:rFonts w:hint="default"/>
                <w:b w:val="0"/>
                <w:bCs w:val="0"/>
                <w:color w:val="auto"/>
                <w:highlight w:val="none"/>
                <w:lang w:val="en-US" w:eastAsia="zh-CN"/>
              </w:rPr>
              <w:t>根据设计单位提供资料，主体工程用料及混凝土全部外购，不设置取土（料）场，施工过程中产生的挖方，部分用于基础填筑，剩余土方全部用于场地平整，无弃方，不设置弃土场</w:t>
            </w:r>
            <w:r>
              <w:rPr>
                <w:rFonts w:hint="eastAsia"/>
                <w:b w:val="0"/>
                <w:bCs w:val="0"/>
                <w:color w:val="auto"/>
                <w:highlight w:val="none"/>
                <w:lang w:val="en-US" w:eastAsia="zh-CN"/>
              </w:rPr>
              <w:t>。</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eastAsia"/>
                <w:b/>
                <w:bCs/>
                <w:color w:val="auto"/>
                <w:highlight w:val="none"/>
                <w:lang w:val="en-US" w:eastAsia="zh-CN"/>
              </w:rPr>
              <w:t>二、建设</w:t>
            </w:r>
            <w:r>
              <w:rPr>
                <w:rFonts w:hint="default"/>
                <w:b/>
                <w:bCs/>
                <w:color w:val="auto"/>
                <w:highlight w:val="none"/>
                <w:lang w:val="en-US" w:eastAsia="zh-CN"/>
              </w:rPr>
              <w:t>周期</w:t>
            </w:r>
          </w:p>
          <w:p>
            <w:pPr>
              <w:pStyle w:val="50"/>
              <w:bidi w:val="0"/>
              <w:rPr>
                <w:rFonts w:hint="default" w:cs="Times New Roman"/>
                <w:color w:val="auto"/>
                <w:highlight w:val="none"/>
                <w:lang w:val="en-US" w:eastAsia="zh-CN"/>
              </w:rPr>
            </w:pPr>
            <w:r>
              <w:rPr>
                <w:rFonts w:hint="eastAsia" w:cs="Times New Roman"/>
                <w:color w:val="auto"/>
                <w:highlight w:val="none"/>
                <w:lang w:val="en-US" w:eastAsia="zh-CN"/>
              </w:rPr>
              <w:t>本工程主要施工项目：施工前期准备→场内交通施工→风电机组基础施工→风电机组安装→第一组风电机组调试、发电投产→工程竣工。本项目建设周期为6个月，</w:t>
            </w:r>
            <w:r>
              <w:rPr>
                <w:rFonts w:hint="eastAsia"/>
                <w:color w:val="auto"/>
                <w:highlight w:val="none"/>
                <w:lang w:val="en-US" w:eastAsia="zh-CN"/>
              </w:rPr>
              <w:t>2025</w:t>
            </w:r>
            <w:r>
              <w:rPr>
                <w:rFonts w:hint="eastAsia" w:cs="Times New Roman"/>
                <w:color w:val="auto"/>
                <w:highlight w:val="none"/>
                <w:lang w:val="en-US" w:eastAsia="zh-CN"/>
              </w:rPr>
              <w:t>年的1月初开工，6月底结束。施工进度见图2-2。</w:t>
            </w:r>
          </w:p>
          <w:p>
            <w:pPr>
              <w:pStyle w:val="50"/>
              <w:bidi w:val="0"/>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drawing>
                <wp:inline distT="0" distB="0" distL="114300" distR="114300">
                  <wp:extent cx="5347970" cy="3514725"/>
                  <wp:effectExtent l="0" t="0" r="5080" b="9525"/>
                  <wp:docPr id="36" name="图片 36" descr="17237436118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1723743611878"/>
                          <pic:cNvPicPr>
                            <a:picLocks noChangeAspect="true"/>
                          </pic:cNvPicPr>
                        </pic:nvPicPr>
                        <pic:blipFill>
                          <a:blip r:embed="rId16"/>
                          <a:stretch>
                            <a:fillRect/>
                          </a:stretch>
                        </pic:blipFill>
                        <pic:spPr>
                          <a:xfrm>
                            <a:off x="0" y="0"/>
                            <a:ext cx="5347970" cy="3514725"/>
                          </a:xfrm>
                          <a:prstGeom prst="rect">
                            <a:avLst/>
                          </a:prstGeom>
                        </pic:spPr>
                      </pic:pic>
                    </a:graphicData>
                  </a:graphic>
                </wp:inline>
              </w:drawing>
            </w:r>
          </w:p>
          <w:p>
            <w:pPr>
              <w:pStyle w:val="50"/>
              <w:bidi w:val="0"/>
              <w:ind w:left="0" w:leftChars="0" w:firstLine="0" w:firstLineChars="0"/>
              <w:jc w:val="center"/>
              <w:rPr>
                <w:rFonts w:hint="eastAsia" w:cs="Times New Roman"/>
                <w:color w:val="auto"/>
                <w:highlight w:val="none"/>
                <w:lang w:val="en-US" w:eastAsia="zh-CN"/>
              </w:rPr>
            </w:pPr>
            <w:r>
              <w:rPr>
                <w:rFonts w:hint="eastAsia" w:ascii="Times New Roman" w:hAnsi="Times New Roman" w:eastAsia="宋体" w:cs="Times New Roman"/>
                <w:b/>
                <w:color w:val="auto"/>
                <w:kern w:val="2"/>
                <w:sz w:val="24"/>
                <w:szCs w:val="20"/>
                <w:highlight w:val="none"/>
                <w:lang w:val="en-US" w:eastAsia="zh-CN" w:bidi="ar-SA"/>
              </w:rPr>
              <w:t>图</w:t>
            </w:r>
            <w:r>
              <w:rPr>
                <w:rFonts w:hint="eastAsia" w:eastAsia="宋体" w:cs="Times New Roman"/>
                <w:b/>
                <w:color w:val="auto"/>
                <w:kern w:val="2"/>
                <w:sz w:val="24"/>
                <w:szCs w:val="20"/>
                <w:highlight w:val="none"/>
                <w:lang w:val="en-US" w:eastAsia="zh-CN" w:bidi="ar-SA"/>
              </w:rPr>
              <w:t>2-2</w:t>
            </w:r>
            <w:r>
              <w:rPr>
                <w:rFonts w:hint="eastAsia" w:ascii="Times New Roman" w:hAnsi="Times New Roman" w:eastAsia="宋体" w:cs="Times New Roman"/>
                <w:b/>
                <w:color w:val="auto"/>
                <w:kern w:val="2"/>
                <w:sz w:val="24"/>
                <w:szCs w:val="20"/>
                <w:highlight w:val="none"/>
                <w:lang w:val="en-US" w:eastAsia="zh-CN" w:bidi="ar-SA"/>
              </w:rPr>
              <w:t xml:space="preserve"> </w:t>
            </w:r>
            <w:r>
              <w:rPr>
                <w:rFonts w:hint="eastAsia" w:eastAsia="宋体" w:cs="Times New Roman"/>
                <w:b/>
                <w:color w:val="auto"/>
                <w:kern w:val="2"/>
                <w:sz w:val="24"/>
                <w:szCs w:val="20"/>
                <w:highlight w:val="none"/>
                <w:lang w:val="en-US" w:eastAsia="zh-CN" w:bidi="ar-SA"/>
              </w:rPr>
              <w:t>施工进度横道</w:t>
            </w:r>
            <w:r>
              <w:rPr>
                <w:rFonts w:hint="eastAsia" w:ascii="Times New Roman" w:hAnsi="Times New Roman" w:eastAsia="宋体" w:cs="Times New Roman"/>
                <w:b/>
                <w:color w:val="auto"/>
                <w:kern w:val="2"/>
                <w:sz w:val="24"/>
                <w:szCs w:val="20"/>
                <w:highlight w:val="none"/>
                <w:lang w:val="en-US" w:eastAsia="zh-CN" w:bidi="ar-SA"/>
              </w:rPr>
              <w:t>图</w:t>
            </w:r>
          </w:p>
          <w:p>
            <w:pPr>
              <w:pStyle w:val="50"/>
              <w:bidi w:val="0"/>
              <w:ind w:left="0" w:leftChars="0" w:firstLine="0" w:firstLineChars="0"/>
              <w:rPr>
                <w:rFonts w:hint="eastAsia" w:cs="Times New Roman"/>
                <w:color w:val="auto"/>
                <w:highlight w:val="none"/>
                <w:lang w:val="en-US" w:eastAsia="zh-CN"/>
              </w:rPr>
            </w:pPr>
            <w:r>
              <w:rPr>
                <w:rFonts w:hint="eastAsia" w:cs="Times New Roman"/>
                <w:color w:val="auto"/>
                <w:highlight w:val="none"/>
                <w:lang w:val="en-US" w:eastAsia="zh-CN"/>
              </w:rPr>
              <w:t>1.施工准备工作</w:t>
            </w:r>
          </w:p>
          <w:p>
            <w:pPr>
              <w:pStyle w:val="50"/>
              <w:bidi w:val="0"/>
              <w:rPr>
                <w:rFonts w:hint="eastAsia" w:cs="Times New Roman"/>
                <w:color w:val="auto"/>
                <w:highlight w:val="none"/>
                <w:lang w:val="en-US" w:eastAsia="zh-CN"/>
              </w:rPr>
            </w:pPr>
            <w:r>
              <w:rPr>
                <w:rFonts w:hint="eastAsia" w:cs="Times New Roman"/>
                <w:color w:val="auto"/>
                <w:highlight w:val="none"/>
                <w:lang w:val="en-US" w:eastAsia="zh-CN"/>
              </w:rPr>
              <w:t>首先对施工场地进行“四通一平”、建造生产和生活临时建筑，为全面施工做准备。</w:t>
            </w:r>
          </w:p>
          <w:p>
            <w:pPr>
              <w:pStyle w:val="50"/>
              <w:bidi w:val="0"/>
              <w:rPr>
                <w:rFonts w:hint="default" w:cs="Times New Roman"/>
                <w:color w:val="auto"/>
                <w:highlight w:val="none"/>
                <w:lang w:val="en-US" w:eastAsia="zh-CN"/>
              </w:rPr>
            </w:pPr>
            <w:r>
              <w:rPr>
                <w:rFonts w:hint="eastAsia" w:cs="Times New Roman"/>
                <w:color w:val="auto"/>
                <w:highlight w:val="none"/>
                <w:lang w:val="en-US" w:eastAsia="zh-CN"/>
              </w:rPr>
              <w:t>场地平整及进场道路修筑；从第一年 1 月初开始，2 月初结束。</w:t>
            </w:r>
          </w:p>
          <w:p>
            <w:pPr>
              <w:pStyle w:val="50"/>
              <w:bidi w:val="0"/>
              <w:rPr>
                <w:rFonts w:hint="eastAsia" w:cs="Times New Roman"/>
                <w:color w:val="auto"/>
                <w:highlight w:val="none"/>
                <w:lang w:val="en-US" w:eastAsia="zh-CN"/>
              </w:rPr>
            </w:pPr>
            <w:r>
              <w:rPr>
                <w:rFonts w:hint="eastAsia" w:cs="Times New Roman"/>
                <w:color w:val="auto"/>
                <w:highlight w:val="none"/>
                <w:lang w:val="en-US" w:eastAsia="zh-CN"/>
              </w:rPr>
              <w:t>2.风电机组土建工程</w:t>
            </w:r>
          </w:p>
          <w:p>
            <w:pPr>
              <w:pStyle w:val="50"/>
              <w:bidi w:val="0"/>
              <w:rPr>
                <w:rFonts w:hint="eastAsia" w:cs="Times New Roman"/>
                <w:color w:val="auto"/>
                <w:highlight w:val="none"/>
                <w:lang w:val="en-US" w:eastAsia="zh-CN"/>
              </w:rPr>
            </w:pPr>
            <w:r>
              <w:rPr>
                <w:rFonts w:hint="eastAsia" w:cs="Times New Roman"/>
                <w:color w:val="auto"/>
                <w:highlight w:val="none"/>
                <w:lang w:val="en-US" w:eastAsia="zh-CN"/>
              </w:rPr>
              <w:t>风电机组基础的施工是工期控制性工序，因此应尽可能投入较多的机械同时施工。计划从第 1 年 2 月初开始，第 1 年 4 月初前完成第一批风机基础的施工。在施工风电机组基础的同时，应同时或提前完成每个机组的箱式变压器基础施工。</w:t>
            </w:r>
          </w:p>
          <w:p>
            <w:pPr>
              <w:pStyle w:val="50"/>
              <w:bidi w:val="0"/>
              <w:rPr>
                <w:rFonts w:hint="default" w:cs="Times New Roman"/>
                <w:color w:val="auto"/>
                <w:highlight w:val="none"/>
                <w:lang w:val="en-US" w:eastAsia="zh-CN"/>
              </w:rPr>
            </w:pPr>
            <w:r>
              <w:rPr>
                <w:rFonts w:hint="eastAsia" w:cs="Times New Roman"/>
                <w:color w:val="auto"/>
                <w:highlight w:val="none"/>
                <w:lang w:val="en-US" w:eastAsia="zh-CN"/>
              </w:rPr>
              <w:t>3.风电机组安装与调试</w:t>
            </w:r>
          </w:p>
          <w:p>
            <w:pPr>
              <w:pStyle w:val="50"/>
              <w:bidi w:val="0"/>
              <w:rPr>
                <w:rFonts w:hint="eastAsia" w:cs="Times New Roman"/>
                <w:color w:val="auto"/>
                <w:highlight w:val="none"/>
                <w:lang w:val="en-US" w:eastAsia="zh-CN"/>
              </w:rPr>
            </w:pPr>
            <w:r>
              <w:rPr>
                <w:rFonts w:hint="eastAsia" w:cs="Times New Roman"/>
                <w:color w:val="auto"/>
                <w:highlight w:val="none"/>
                <w:lang w:val="en-US" w:eastAsia="zh-CN"/>
              </w:rPr>
              <w:t>风电机组的安装与调试计划从第 1 年 4 月初开始，至6 月初结束。</w:t>
            </w:r>
          </w:p>
          <w:p>
            <w:pPr>
              <w:pStyle w:val="50"/>
              <w:bidi w:val="0"/>
              <w:rPr>
                <w:rFonts w:hint="eastAsia" w:cs="Times New Roman"/>
                <w:color w:val="auto"/>
                <w:highlight w:val="none"/>
                <w:lang w:val="en-US" w:eastAsia="zh-CN"/>
              </w:rPr>
            </w:pPr>
            <w:r>
              <w:rPr>
                <w:rFonts w:hint="eastAsia" w:cs="Times New Roman"/>
                <w:color w:val="auto"/>
                <w:highlight w:val="none"/>
                <w:lang w:val="en-US" w:eastAsia="zh-CN"/>
              </w:rPr>
              <w:t>6 月初机组全部发电，工程建设总工期为 6 个月。</w:t>
            </w:r>
          </w:p>
          <w:p>
            <w:pPr>
              <w:pStyle w:val="50"/>
              <w:bidi w:val="0"/>
              <w:rPr>
                <w:rFonts w:hint="eastAsia" w:cs="Times New Roman"/>
                <w:b/>
                <w:bCs/>
                <w:color w:val="auto"/>
                <w:highlight w:val="none"/>
                <w:lang w:val="en-US" w:eastAsia="zh-CN"/>
              </w:rPr>
            </w:pPr>
            <w:r>
              <w:rPr>
                <w:rFonts w:hint="eastAsia" w:cs="Times New Roman"/>
                <w:b/>
                <w:bCs/>
                <w:color w:val="auto"/>
                <w:highlight w:val="none"/>
                <w:lang w:val="en-US" w:eastAsia="zh-CN"/>
              </w:rPr>
              <w:t>三、施工组织</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fldChar w:fldCharType="begin"/>
            </w:r>
            <w:r>
              <w:rPr>
                <w:rFonts w:hint="eastAsia" w:cs="Times New Roman"/>
                <w:b w:val="0"/>
                <w:bCs w:val="0"/>
                <w:color w:val="auto"/>
                <w:highlight w:val="none"/>
                <w:lang w:val="en-US" w:eastAsia="zh-CN"/>
              </w:rPr>
              <w:instrText xml:space="preserve"> = 1 \* GB2 </w:instrText>
            </w:r>
            <w:r>
              <w:rPr>
                <w:rFonts w:hint="eastAsia" w:cs="Times New Roman"/>
                <w:b w:val="0"/>
                <w:bCs w:val="0"/>
                <w:color w:val="auto"/>
                <w:highlight w:val="none"/>
                <w:lang w:val="en-US" w:eastAsia="zh-CN"/>
              </w:rPr>
              <w:fldChar w:fldCharType="separate"/>
            </w:r>
            <w:r>
              <w:rPr>
                <w:rFonts w:hint="eastAsia" w:cs="Times New Roman"/>
                <w:b w:val="0"/>
                <w:bCs w:val="0"/>
                <w:color w:val="auto"/>
                <w:highlight w:val="none"/>
                <w:lang w:val="en-US" w:eastAsia="zh-CN"/>
              </w:rPr>
              <w:t>⑴</w:t>
            </w:r>
            <w:r>
              <w:rPr>
                <w:rFonts w:hint="eastAsia" w:cs="Times New Roman"/>
                <w:b w:val="0"/>
                <w:bCs w:val="0"/>
                <w:color w:val="auto"/>
                <w:highlight w:val="none"/>
                <w:lang w:val="en-US" w:eastAsia="zh-CN"/>
              </w:rPr>
              <w:fldChar w:fldCharType="end"/>
            </w:r>
            <w:r>
              <w:rPr>
                <w:rFonts w:hint="eastAsia" w:cs="Times New Roman"/>
                <w:b w:val="0"/>
                <w:bCs w:val="0"/>
                <w:color w:val="auto"/>
                <w:highlight w:val="none"/>
                <w:lang w:val="en-US" w:eastAsia="zh-CN"/>
              </w:rPr>
              <w:t>施工用水</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风电场施工用水由建筑施工用水、施工机械用水、生活用水等部分组成。本工程施工用水采用汽车拉运至各机位现场。在工程施工临建区（依托）设置生活水箱，经沉淀、净化设备净化处理后作为生活用水。另外在风机施工现场需设置移动式蓄水箱作为补充。</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fldChar w:fldCharType="begin"/>
            </w:r>
            <w:r>
              <w:rPr>
                <w:rFonts w:hint="eastAsia" w:cs="Times New Roman"/>
                <w:b w:val="0"/>
                <w:bCs w:val="0"/>
                <w:color w:val="auto"/>
                <w:highlight w:val="none"/>
                <w:lang w:val="en-US" w:eastAsia="zh-CN"/>
              </w:rPr>
              <w:instrText xml:space="preserve"> = 2 \* GB2 </w:instrText>
            </w:r>
            <w:r>
              <w:rPr>
                <w:rFonts w:hint="eastAsia" w:cs="Times New Roman"/>
                <w:b w:val="0"/>
                <w:bCs w:val="0"/>
                <w:color w:val="auto"/>
                <w:highlight w:val="none"/>
                <w:lang w:val="en-US" w:eastAsia="zh-CN"/>
              </w:rPr>
              <w:fldChar w:fldCharType="separate"/>
            </w:r>
            <w:r>
              <w:rPr>
                <w:rFonts w:hint="eastAsia" w:cs="Times New Roman"/>
                <w:b w:val="0"/>
                <w:bCs w:val="0"/>
                <w:color w:val="auto"/>
                <w:highlight w:val="none"/>
                <w:lang w:val="en-US" w:eastAsia="zh-CN"/>
              </w:rPr>
              <w:t>⑵</w:t>
            </w:r>
            <w:r>
              <w:rPr>
                <w:rFonts w:hint="eastAsia" w:cs="Times New Roman"/>
                <w:b w:val="0"/>
                <w:bCs w:val="0"/>
                <w:color w:val="auto"/>
                <w:highlight w:val="none"/>
                <w:lang w:val="en-US" w:eastAsia="zh-CN"/>
              </w:rPr>
              <w:fldChar w:fldCharType="end"/>
            </w:r>
            <w:r>
              <w:rPr>
                <w:rFonts w:hint="eastAsia" w:cs="Times New Roman"/>
                <w:b w:val="0"/>
                <w:bCs w:val="0"/>
                <w:color w:val="auto"/>
                <w:highlight w:val="none"/>
                <w:lang w:val="en-US" w:eastAsia="zh-CN"/>
              </w:rPr>
              <w:t>施工用电</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施工用电考虑就近从升压站站用电引接，并配以一定数量的柴油发电机，确保施工用电。施工结束后作为风电场厂用电源。</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fldChar w:fldCharType="begin"/>
            </w:r>
            <w:r>
              <w:rPr>
                <w:rFonts w:hint="eastAsia" w:cs="Times New Roman"/>
                <w:b w:val="0"/>
                <w:bCs w:val="0"/>
                <w:color w:val="auto"/>
                <w:highlight w:val="none"/>
                <w:lang w:val="en-US" w:eastAsia="zh-CN"/>
              </w:rPr>
              <w:instrText xml:space="preserve"> = 3 \* GB2 </w:instrText>
            </w:r>
            <w:r>
              <w:rPr>
                <w:rFonts w:hint="eastAsia" w:cs="Times New Roman"/>
                <w:b w:val="0"/>
                <w:bCs w:val="0"/>
                <w:color w:val="auto"/>
                <w:highlight w:val="none"/>
                <w:lang w:val="en-US" w:eastAsia="zh-CN"/>
              </w:rPr>
              <w:fldChar w:fldCharType="separate"/>
            </w:r>
            <w:r>
              <w:rPr>
                <w:rFonts w:hint="eastAsia" w:cs="Times New Roman"/>
                <w:b w:val="0"/>
                <w:bCs w:val="0"/>
                <w:color w:val="auto"/>
                <w:highlight w:val="none"/>
                <w:lang w:val="en-US" w:eastAsia="zh-CN"/>
              </w:rPr>
              <w:t>⑶</w:t>
            </w:r>
            <w:r>
              <w:rPr>
                <w:rFonts w:hint="eastAsia" w:cs="Times New Roman"/>
                <w:b w:val="0"/>
                <w:bCs w:val="0"/>
                <w:color w:val="auto"/>
                <w:highlight w:val="none"/>
                <w:lang w:val="en-US" w:eastAsia="zh-CN"/>
              </w:rPr>
              <w:fldChar w:fldCharType="end"/>
            </w:r>
            <w:r>
              <w:rPr>
                <w:rFonts w:hint="eastAsia" w:cs="Times New Roman"/>
                <w:b w:val="0"/>
                <w:bCs w:val="0"/>
                <w:color w:val="auto"/>
                <w:highlight w:val="none"/>
                <w:lang w:val="en-US" w:eastAsia="zh-CN"/>
              </w:rPr>
              <w:t>建筑供应</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本工程混凝土采用购买商品混凝土，商品混凝土在沙坡头区商混站采购，距离均在25km 左右。 本工程主要建筑物材料供应充足，钢筋、钢材、油料及生活物资从沙坡头区采购。</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fldChar w:fldCharType="begin"/>
            </w:r>
            <w:r>
              <w:rPr>
                <w:rFonts w:hint="eastAsia" w:cs="Times New Roman"/>
                <w:b w:val="0"/>
                <w:bCs w:val="0"/>
                <w:color w:val="auto"/>
                <w:highlight w:val="none"/>
                <w:lang w:val="en-US" w:eastAsia="zh-CN"/>
              </w:rPr>
              <w:instrText xml:space="preserve"> = 4 \* GB2 \* MERGEFORMAT </w:instrText>
            </w:r>
            <w:r>
              <w:rPr>
                <w:rFonts w:hint="eastAsia" w:cs="Times New Roman"/>
                <w:b w:val="0"/>
                <w:bCs w:val="0"/>
                <w:color w:val="auto"/>
                <w:highlight w:val="none"/>
                <w:lang w:val="en-US" w:eastAsia="zh-CN"/>
              </w:rPr>
              <w:fldChar w:fldCharType="separate"/>
            </w:r>
            <w:r>
              <w:rPr>
                <w:rFonts w:hint="eastAsia" w:cs="Times New Roman"/>
                <w:b w:val="0"/>
                <w:bCs w:val="0"/>
                <w:color w:val="auto"/>
                <w:highlight w:val="none"/>
                <w:lang w:val="en-US" w:eastAsia="zh-CN"/>
              </w:rPr>
              <w:t>⑷</w:t>
            </w:r>
            <w:r>
              <w:rPr>
                <w:rFonts w:hint="eastAsia" w:cs="Times New Roman"/>
                <w:b w:val="0"/>
                <w:bCs w:val="0"/>
                <w:color w:val="auto"/>
                <w:highlight w:val="none"/>
                <w:lang w:val="en-US" w:eastAsia="zh-CN"/>
              </w:rPr>
              <w:fldChar w:fldCharType="end"/>
            </w:r>
            <w:r>
              <w:rPr>
                <w:rFonts w:hint="eastAsia" w:cs="Times New Roman"/>
                <w:b w:val="0"/>
                <w:bCs w:val="0"/>
                <w:color w:val="auto"/>
                <w:highlight w:val="none"/>
                <w:lang w:val="en-US" w:eastAsia="zh-CN"/>
              </w:rPr>
              <w:t>临时施工场地布置</w:t>
            </w:r>
          </w:p>
          <w:p>
            <w:pPr>
              <w:pStyle w:val="50"/>
              <w:bidi w:val="0"/>
              <w:rPr>
                <w:rFonts w:hint="eastAsia" w:cs="Times New Roman"/>
                <w:b/>
                <w:bCs/>
                <w:color w:val="auto"/>
                <w:highlight w:val="none"/>
                <w:lang w:val="en-US" w:eastAsia="zh-CN"/>
              </w:rPr>
            </w:pPr>
            <w:r>
              <w:rPr>
                <w:rFonts w:hint="eastAsia" w:cs="Times New Roman"/>
                <w:b w:val="0"/>
                <w:bCs w:val="0"/>
                <w:color w:val="auto"/>
                <w:highlight w:val="none"/>
                <w:lang w:val="en-US" w:eastAsia="zh-CN"/>
              </w:rPr>
              <w:t>根据工程施工特点和基地内风场施工经验，为满足本项目施工期要求，</w:t>
            </w:r>
            <w:r>
              <w:rPr>
                <w:rFonts w:hint="eastAsia" w:ascii="Times New Roman" w:hAnsi="Times New Roman" w:eastAsia="仿宋" w:cs="Times New Roman"/>
                <w:b w:val="0"/>
                <w:bCs w:val="0"/>
                <w:color w:val="auto"/>
                <w:kern w:val="16"/>
                <w:sz w:val="24"/>
                <w:szCs w:val="24"/>
                <w:highlight w:val="none"/>
                <w:lang w:val="en-US" w:eastAsia="zh-CN" w:bidi="ar-SA"/>
              </w:rPr>
              <w:t>本项目</w:t>
            </w:r>
            <w:r>
              <w:rPr>
                <w:rFonts w:hint="default" w:ascii="Times New Roman" w:hAnsi="Times New Roman" w:eastAsia="仿宋" w:cs="Times New Roman"/>
                <w:b w:val="0"/>
                <w:bCs w:val="0"/>
                <w:color w:val="auto"/>
                <w:kern w:val="16"/>
                <w:sz w:val="24"/>
                <w:szCs w:val="24"/>
                <w:highlight w:val="none"/>
                <w:lang w:val="en-US" w:eastAsia="zh-CN" w:bidi="ar-SA"/>
              </w:rPr>
              <w:t>施工场地</w:t>
            </w:r>
            <w:r>
              <w:rPr>
                <w:rFonts w:hint="eastAsia" w:ascii="Times New Roman" w:hAnsi="Times New Roman" w:eastAsia="仿宋" w:cs="Times New Roman"/>
                <w:b w:val="0"/>
                <w:bCs w:val="0"/>
                <w:color w:val="auto"/>
                <w:kern w:val="16"/>
                <w:sz w:val="24"/>
                <w:szCs w:val="24"/>
                <w:highlight w:val="none"/>
                <w:lang w:val="en-US" w:eastAsia="zh-CN" w:bidi="ar-SA"/>
              </w:rPr>
              <w:t>依托《国家电投集团中卫香山风电场1-3期“以大代小”150MW增容项目》</w:t>
            </w:r>
            <w:r>
              <w:rPr>
                <w:rFonts w:hint="eastAsia" w:cs="Times New Roman"/>
                <w:b w:val="0"/>
                <w:bCs w:val="0"/>
                <w:color w:val="auto"/>
                <w:highlight w:val="none"/>
                <w:lang w:val="en-US" w:eastAsia="zh-CN"/>
              </w:rPr>
              <w:t>。</w:t>
            </w:r>
          </w:p>
          <w:p>
            <w:pPr>
              <w:pStyle w:val="50"/>
              <w:bidi w:val="0"/>
              <w:rPr>
                <w:rFonts w:hint="eastAsia" w:cs="Times New Roman"/>
                <w:b/>
                <w:bCs/>
                <w:color w:val="auto"/>
                <w:highlight w:val="none"/>
                <w:lang w:val="en-US" w:eastAsia="zh-CN"/>
              </w:rPr>
            </w:pPr>
            <w:r>
              <w:rPr>
                <w:rFonts w:hint="eastAsia" w:cs="Times New Roman"/>
                <w:b/>
                <w:bCs/>
                <w:color w:val="auto"/>
                <w:highlight w:val="none"/>
                <w:lang w:val="en-US" w:eastAsia="zh-CN"/>
              </w:rPr>
              <w:t>四、施工方式与施工时序</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（1）施工方式</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风电场建设投资大、工期紧、高空作业多，需遵循施工工艺要求和施工规范，用，保证合理工期，施工布置需按以下基本原则进行：</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fldChar w:fldCharType="begin"/>
            </w:r>
            <w:r>
              <w:rPr>
                <w:rFonts w:hint="eastAsia" w:cs="Times New Roman"/>
                <w:b w:val="0"/>
                <w:bCs w:val="0"/>
                <w:color w:val="auto"/>
                <w:highlight w:val="none"/>
                <w:lang w:val="en-US" w:eastAsia="zh-CN"/>
              </w:rPr>
              <w:instrText xml:space="preserve"> = 1 \* GB3 \* MERGEFORMAT </w:instrText>
            </w:r>
            <w:r>
              <w:rPr>
                <w:rFonts w:hint="eastAsia" w:cs="Times New Roman"/>
                <w:b w:val="0"/>
                <w:bCs w:val="0"/>
                <w:color w:val="auto"/>
                <w:highlight w:val="none"/>
                <w:lang w:val="en-US" w:eastAsia="zh-CN"/>
              </w:rPr>
              <w:fldChar w:fldCharType="separate"/>
            </w:r>
            <w:r>
              <w:rPr>
                <w:color w:val="auto"/>
                <w:highlight w:val="none"/>
              </w:rPr>
              <w:t>①</w:t>
            </w:r>
            <w:r>
              <w:rPr>
                <w:rFonts w:hint="eastAsia" w:cs="Times New Roman"/>
                <w:b w:val="0"/>
                <w:bCs w:val="0"/>
                <w:color w:val="auto"/>
                <w:highlight w:val="none"/>
                <w:lang w:val="en-US" w:eastAsia="zh-CN"/>
              </w:rPr>
              <w:fldChar w:fldCharType="end"/>
            </w:r>
            <w:r>
              <w:rPr>
                <w:rFonts w:hint="eastAsia" w:cs="Times New Roman"/>
                <w:b w:val="0"/>
                <w:bCs w:val="0"/>
                <w:color w:val="auto"/>
                <w:highlight w:val="none"/>
                <w:lang w:val="en-US" w:eastAsia="zh-CN"/>
              </w:rPr>
              <w:t>路通为先的原则</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在风电场风力发电机基础及箱式升压站基础施工之前，先修建风力发电机组之间的施工道路。</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②质量第一，安全至上的原则</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风力发电机组的安装工程量、安装高度及吊装重量都相当大，而且安装质量要求高，高空作业难度大。在全部工程实施的始终，都要贯彻执行质量第一、安全至上的原则。</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本风电场不设置独立的拌合系统，采用商品混凝土，使用特种运输车辆将塔架运输到安装现场的每个基础旁，便于起吊器械在吊装平台内移动、吊装。</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（2）施工时序</w:t>
            </w:r>
          </w:p>
          <w:p>
            <w:pPr>
              <w:pStyle w:val="50"/>
              <w:bidi w:val="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根据本项目风电场总平面布置和施工现场的实际情况，确定施工时序。施工时序：施工前期准备→场内交通施工→风电机组基础施工→风电机组安装→第一组风电机组调试、发电投产→工程竣工。</w:t>
            </w:r>
          </w:p>
          <w:p>
            <w:pPr>
              <w:pStyle w:val="50"/>
              <w:bidi w:val="0"/>
              <w:rPr>
                <w:rFonts w:hint="eastAsia" w:cs="Times New Roman"/>
                <w:b/>
                <w:bCs/>
                <w:color w:val="auto"/>
                <w:highlight w:val="none"/>
                <w:lang w:val="en-US" w:eastAsia="zh-CN"/>
              </w:rPr>
            </w:pPr>
          </w:p>
          <w:p>
            <w:pPr>
              <w:pStyle w:val="50"/>
              <w:bidi w:val="0"/>
              <w:rPr>
                <w:rFonts w:hint="eastAsia" w:cs="Times New Roman"/>
                <w:b/>
                <w:bCs/>
                <w:color w:val="auto"/>
                <w:highlight w:val="none"/>
                <w:lang w:val="en-US" w:eastAsia="zh-CN"/>
              </w:rPr>
            </w:pPr>
          </w:p>
          <w:p>
            <w:pPr>
              <w:pStyle w:val="50"/>
              <w:bidi w:val="0"/>
              <w:ind w:firstLine="480" w:firstLineChars="200"/>
              <w:rPr>
                <w:rFonts w:hint="default" w:ascii="Times New Roman" w:hAnsi="Times New Roman" w:eastAsia="仿宋_GB2312" w:cs="Times New Roman"/>
                <w:color w:val="auto"/>
                <w:kern w:val="16"/>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34" w:hRule="atLeast"/>
          <w:jc w:val="center"/>
        </w:trPr>
        <w:tc>
          <w:tcPr>
            <w:tcW w:w="69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其他</w:t>
            </w:r>
          </w:p>
        </w:tc>
        <w:tc>
          <w:tcPr>
            <w:tcW w:w="8588" w:type="dxa"/>
            <w:tcBorders>
              <w:tl2br w:val="nil"/>
              <w:tr2bl w:val="nil"/>
            </w:tcBorders>
            <w:shd w:val="clear" w:color="auto" w:fill="auto"/>
            <w:vAlign w:val="center"/>
          </w:tcPr>
          <w:p>
            <w:pPr>
              <w:pStyle w:val="50"/>
              <w:bidi w:val="0"/>
              <w:ind w:left="0" w:leftChars="0" w:firstLine="0" w:firstLineChars="0"/>
              <w:jc w:val="center"/>
              <w:rPr>
                <w:rFonts w:hint="default" w:ascii="Times New Roman" w:hAnsi="Times New Roman" w:eastAsia="仿宋_GB2312" w:cs="Times New Roman"/>
                <w:color w:val="auto"/>
                <w:kern w:val="16"/>
                <w:sz w:val="24"/>
                <w:szCs w:val="24"/>
                <w:highlight w:val="none"/>
                <w:lang w:val="en-US" w:eastAsia="zh-CN" w:bidi="ar-SA"/>
              </w:rPr>
            </w:pPr>
            <w:r>
              <w:rPr>
                <w:rFonts w:hint="eastAsia" w:cs="Times New Roman"/>
                <w:b/>
                <w:bCs/>
                <w:color w:val="auto"/>
                <w:highlight w:val="none"/>
                <w:lang w:val="en-US" w:eastAsia="zh-CN"/>
              </w:rPr>
              <w:t>无</w:t>
            </w:r>
          </w:p>
        </w:tc>
      </w:tr>
    </w:tbl>
    <w:p>
      <w:pPr>
        <w:rPr>
          <w:rFonts w:hint="default" w:ascii="Times New Roman" w:hAnsi="Times New Roman" w:cs="Times New Roman"/>
          <w:color w:val="auto"/>
          <w:highlight w:val="none"/>
        </w:rPr>
        <w:sectPr>
          <w:pgSz w:w="11905" w:h="16838"/>
          <w:pgMar w:top="1803" w:right="1440" w:bottom="1803" w:left="1440" w:header="1247" w:footer="1247" w:gutter="0"/>
          <w:pgBorders>
            <w:top w:val="none" w:sz="0" w:space="0"/>
            <w:left w:val="none" w:sz="0" w:space="0"/>
            <w:bottom w:val="none" w:sz="0" w:space="0"/>
            <w:right w:val="none" w:sz="0" w:space="0"/>
          </w:pgBorders>
          <w:pgNumType w:fmt="decimal"/>
          <w:cols w:space="0" w:num="1"/>
          <w:rtlGutter w:val="0"/>
          <w:docGrid w:linePitch="312" w:charSpace="0"/>
        </w:sectPr>
      </w:pP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三、生态环境现状、保护目标及评价标准</w:t>
      </w:r>
    </w:p>
    <w:tbl>
      <w:tblPr>
        <w:tblStyle w:val="28"/>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87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36" w:hRule="atLeast"/>
          <w:jc w:val="center"/>
        </w:trPr>
        <w:tc>
          <w:tcPr>
            <w:tcW w:w="604" w:type="dxa"/>
            <w:tcBorders>
              <w:tl2br w:val="nil"/>
              <w:tr2bl w:val="nil"/>
            </w:tcBorders>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生态环境现状</w:t>
            </w:r>
          </w:p>
        </w:tc>
        <w:tc>
          <w:tcPr>
            <w:tcW w:w="8750" w:type="dxa"/>
            <w:vMerge w:val="restart"/>
            <w:tcBorders>
              <w:tl2br w:val="nil"/>
              <w:tr2bl w:val="nil"/>
            </w:tcBorders>
            <w:vAlign w:val="center"/>
          </w:tcPr>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1.生态环境现状</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1.1 主体功能区规划情况</w:t>
            </w:r>
          </w:p>
          <w:p>
            <w:pPr>
              <w:pStyle w:val="5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根据《宁夏回族自治区主体功能区规划》将全区国土空间划分为以下主体功能区：按开发方式，划分为重点开发区域、限制开发区域和禁止开发区域；按开发内容，划分为城市化地区、农产品主产区和重点生态功能区；按层次，划分为国家级和自治区级两个层面。</w:t>
            </w:r>
            <w:r>
              <w:rPr>
                <w:rFonts w:hint="eastAsia" w:cs="Times New Roman"/>
                <w:color w:val="auto"/>
                <w:highlight w:val="none"/>
                <w:lang w:val="en-US" w:eastAsia="zh-CN"/>
              </w:rPr>
              <w:t>对比宁夏回族自治区主体功能区规划图</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本项目</w:t>
            </w:r>
            <w:r>
              <w:rPr>
                <w:rFonts w:hint="default" w:ascii="Times New Roman" w:hAnsi="Times New Roman" w:cs="Times New Roman"/>
                <w:color w:val="auto"/>
                <w:highlight w:val="none"/>
                <w:lang w:val="en-US" w:eastAsia="zh-CN"/>
              </w:rPr>
              <w:t>属于《宁夏回族自治区主体功能区规划》中的</w:t>
            </w:r>
            <w:r>
              <w:rPr>
                <w:rFonts w:hint="eastAsia" w:cs="Times New Roman"/>
                <w:color w:val="auto"/>
                <w:highlight w:val="none"/>
                <w:lang w:val="en-US" w:eastAsia="zh-CN"/>
              </w:rPr>
              <w:t>国家农产品主产区</w:t>
            </w:r>
            <w:r>
              <w:rPr>
                <w:rFonts w:hint="eastAsia" w:cs="Times New Roman"/>
                <w:color w:val="auto"/>
                <w:highlight w:val="none"/>
                <w:lang w:eastAsia="zh-CN"/>
              </w:rPr>
              <w:t>，即生态系统脆弱或生态功能重要，资源环境承载能力较低，不具备大规模高强度工业化、城镇化开发的条件，必须把增强生态产品生产能力作为首要任务，从而应该限制进行大规模高强度工业化、城镇化开发的地区</w:t>
            </w:r>
            <w:r>
              <w:rPr>
                <w:rFonts w:hint="default" w:ascii="Times New Roman" w:hAnsi="Times New Roman" w:cs="Times New Roman"/>
                <w:color w:val="auto"/>
                <w:highlight w:val="none"/>
                <w:lang w:eastAsia="zh-CN"/>
              </w:rPr>
              <w:t>。</w:t>
            </w:r>
            <w:r>
              <w:rPr>
                <w:rFonts w:hint="eastAsia" w:cs="Times New Roman"/>
                <w:color w:val="auto"/>
                <w:highlight w:val="none"/>
                <w:lang w:eastAsia="zh-CN"/>
              </w:rPr>
              <w:t>本次在沙坡头区</w:t>
            </w:r>
            <w:r>
              <w:rPr>
                <w:rFonts w:hint="eastAsia" w:cs="Times New Roman"/>
                <w:color w:val="auto"/>
                <w:highlight w:val="none"/>
                <w:lang w:val="en-US" w:eastAsia="zh-CN"/>
              </w:rPr>
              <w:t>建设49.8MW风电项目，不属于大规模高强度工业化、城镇化开发，所以，本项目与宁夏回族自治区主体功能区规划相符。</w:t>
            </w:r>
            <w:r>
              <w:rPr>
                <w:rFonts w:hint="default" w:ascii="Times New Roman" w:hAnsi="Times New Roman" w:cs="Times New Roman"/>
                <w:color w:val="auto"/>
                <w:highlight w:val="none"/>
                <w:lang w:val="en-US" w:eastAsia="zh-CN"/>
              </w:rPr>
              <w:t>项目与宁夏回族自治区主体功能区规划关系详见</w:t>
            </w:r>
            <w:r>
              <w:rPr>
                <w:rFonts w:hint="default" w:ascii="Times New Roman" w:hAnsi="Times New Roman" w:cs="Times New Roman"/>
                <w:b/>
                <w:bCs/>
                <w:color w:val="auto"/>
                <w:highlight w:val="none"/>
                <w:lang w:val="en-US" w:eastAsia="zh-CN"/>
              </w:rPr>
              <w:t>附图</w:t>
            </w:r>
            <w:r>
              <w:rPr>
                <w:rFonts w:hint="eastAsia" w:cs="Times New Roman"/>
                <w:b/>
                <w:bCs/>
                <w:color w:val="auto"/>
                <w:highlight w:val="none"/>
                <w:lang w:val="en-US" w:eastAsia="zh-CN"/>
              </w:rPr>
              <w:t>10</w:t>
            </w:r>
            <w:r>
              <w:rPr>
                <w:rFonts w:hint="default" w:ascii="Times New Roman" w:hAnsi="Times New Roman" w:cs="Times New Roman"/>
                <w:b/>
                <w:bCs/>
                <w:color w:val="auto"/>
                <w:highlight w:val="none"/>
                <w:lang w:val="en-US" w:eastAsia="zh-CN"/>
              </w:rPr>
              <w:t>。</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1.2 生态功能区划情况</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根据《宁夏生态功能区划》（2003.10），宁夏生态功能区划共划分3个一级区，10个二级区，37个三级区。</w:t>
            </w:r>
            <w:r>
              <w:rPr>
                <w:rFonts w:hint="default" w:ascii="Times New Roman" w:hAnsi="Times New Roman" w:cs="Times New Roman"/>
                <w:color w:val="auto"/>
                <w:highlight w:val="none"/>
                <w:lang w:eastAsia="zh-CN"/>
              </w:rPr>
              <w:t>本工程位于</w:t>
            </w:r>
            <w:r>
              <w:rPr>
                <w:rFonts w:hint="default" w:ascii="Times New Roman" w:hAnsi="Times New Roman" w:cs="Times New Roman"/>
                <w:color w:val="auto"/>
                <w:highlight w:val="none"/>
                <w:lang w:val="en-US" w:eastAsia="zh-CN"/>
              </w:rPr>
              <w:t>中卫市</w:t>
            </w:r>
            <w:r>
              <w:rPr>
                <w:rFonts w:hint="eastAsia" w:cs="Times New Roman"/>
                <w:color w:val="auto"/>
                <w:highlight w:val="none"/>
                <w:lang w:val="en-US" w:eastAsia="zh-CN"/>
              </w:rPr>
              <w:t>沙坡头区</w:t>
            </w:r>
            <w:r>
              <w:rPr>
                <w:rFonts w:hint="default" w:ascii="Times New Roman" w:hAnsi="Times New Roman" w:cs="Times New Roman"/>
                <w:color w:val="auto"/>
                <w:highlight w:val="none"/>
                <w:lang w:eastAsia="zh-CN"/>
              </w:rPr>
              <w:t>，根据宁夏生态功能区划图，本项目属于</w:t>
            </w:r>
            <w:r>
              <w:rPr>
                <w:rFonts w:hint="eastAsia" w:cs="Times New Roman"/>
                <w:color w:val="auto"/>
                <w:highlight w:val="none"/>
                <w:lang w:eastAsia="zh-CN"/>
              </w:rPr>
              <w:t>香山低山丘陵荒漠草原保护、中卫山羊保护种</w:t>
            </w:r>
            <w:r>
              <w:rPr>
                <w:rFonts w:hint="default" w:ascii="Times New Roman" w:hAnsi="Times New Roman" w:cs="Times New Roman"/>
                <w:color w:val="auto"/>
                <w:highlight w:val="none"/>
                <w:lang w:eastAsia="zh-CN"/>
              </w:rPr>
              <w:t>生态功能区</w:t>
            </w:r>
            <w:r>
              <w:rPr>
                <w:rFonts w:hint="eastAsia"/>
                <w:color w:val="auto"/>
                <w:highlight w:val="none"/>
                <w:lang w:eastAsia="zh-CN"/>
              </w:rPr>
              <w:t>；本区的生态问题主要是土地沙化、草场退化及土壤次生盐渍化，天然草地一因干旱缺水，二因超载过牧，草场退化严重，针对上述问题，其治理措施是：充分考虑水资源短缺这一重要限制因素，建立节水型产业体系，采取禁牧、轮牧、禁挖等草原保护措施，发展人工种草、舍饲等相关产业。对于天然草地应先禁牧，趁雨季补种优质牧草，增加植被覆盖，逐步提高草场质量。</w:t>
            </w:r>
            <w:r>
              <w:rPr>
                <w:rFonts w:hint="default" w:ascii="Times New Roman" w:hAnsi="Times New Roman" w:cs="Times New Roman"/>
                <w:color w:val="auto"/>
                <w:highlight w:val="none"/>
                <w:lang w:eastAsia="zh-CN"/>
              </w:rPr>
              <w:t>本项目</w:t>
            </w:r>
            <w:r>
              <w:rPr>
                <w:rFonts w:hint="eastAsia" w:cs="Times New Roman"/>
                <w:color w:val="auto"/>
                <w:highlight w:val="none"/>
                <w:lang w:eastAsia="zh-CN"/>
              </w:rPr>
              <w:t>临</w:t>
            </w:r>
            <w:r>
              <w:rPr>
                <w:rFonts w:hint="eastAsia"/>
                <w:color w:val="auto"/>
                <w:highlight w:val="none"/>
                <w:lang w:eastAsia="zh-CN"/>
              </w:rPr>
              <w:t>时占地主要为天然牧草地，已针对大临工程采取工程措施、</w:t>
            </w:r>
            <w:r>
              <w:rPr>
                <w:rFonts w:hint="eastAsia" w:cs="Times New Roman"/>
                <w:color w:val="auto"/>
                <w:highlight w:val="none"/>
                <w:lang w:eastAsia="zh-CN"/>
              </w:rPr>
              <w:t>临时措施和植被措施进行综合防治水土流失措施，施工后将临时占地恢复与所在区域的景观一致，恢复为原有生态水平。且本项目仅施工期产生不利影响，对于生态影响随施工期的结束而结束，运营期不排放污染物，对生态破坏较小，且与</w:t>
            </w:r>
            <w:r>
              <w:rPr>
                <w:rFonts w:hint="eastAsia" w:cs="Times New Roman"/>
                <w:color w:val="auto"/>
                <w:highlight w:val="none"/>
                <w:lang w:val="en-US" w:eastAsia="zh-CN"/>
              </w:rPr>
              <w:t>《宁夏生态功能区划》相符。本项目</w:t>
            </w:r>
            <w:r>
              <w:rPr>
                <w:rFonts w:hint="default" w:ascii="Times New Roman" w:hAnsi="Times New Roman" w:cs="Times New Roman"/>
                <w:color w:val="auto"/>
                <w:highlight w:val="none"/>
                <w:lang w:eastAsia="zh-CN"/>
              </w:rPr>
              <w:t>与宁夏生态功能区划位置关系见</w:t>
            </w:r>
            <w:r>
              <w:rPr>
                <w:rFonts w:hint="default" w:ascii="Times New Roman" w:hAnsi="Times New Roman" w:cs="Times New Roman"/>
                <w:b/>
                <w:bCs/>
                <w:color w:val="auto"/>
                <w:highlight w:val="none"/>
                <w:lang w:eastAsia="zh-CN"/>
              </w:rPr>
              <w:t>附图</w:t>
            </w:r>
            <w:r>
              <w:rPr>
                <w:rFonts w:hint="eastAsia" w:cs="Times New Roman"/>
                <w:b/>
                <w:bCs/>
                <w:color w:val="auto"/>
                <w:highlight w:val="none"/>
                <w:lang w:val="en-US" w:eastAsia="zh-CN"/>
              </w:rPr>
              <w:t>11</w:t>
            </w:r>
            <w:r>
              <w:rPr>
                <w:rFonts w:hint="default" w:ascii="Times New Roman" w:hAnsi="Times New Roman" w:cs="Times New Roman"/>
                <w:color w:val="auto"/>
                <w:highlight w:val="none"/>
                <w:lang w:val="en-US" w:eastAsia="zh-CN"/>
              </w:rPr>
              <w:t>。</w:t>
            </w:r>
          </w:p>
          <w:p>
            <w:pPr>
              <w:pStyle w:val="50"/>
              <w:bidi w:val="0"/>
              <w:rPr>
                <w:rFonts w:hint="default" w:ascii="Times New Roman" w:hAnsi="Times New Roman" w:eastAsia="仿宋_GB2312" w:cs="Times New Roman"/>
                <w:b/>
                <w:bCs/>
                <w:color w:val="auto"/>
                <w:highlight w:val="none"/>
                <w:lang w:eastAsia="zh-CN"/>
              </w:rPr>
            </w:pPr>
            <w:r>
              <w:rPr>
                <w:rFonts w:hint="default" w:ascii="Times New Roman" w:hAnsi="Times New Roman" w:cs="Times New Roman"/>
                <w:b/>
                <w:bCs/>
                <w:color w:val="auto"/>
                <w:highlight w:val="none"/>
                <w:lang w:val="en-US" w:eastAsia="zh-CN"/>
              </w:rPr>
              <w:t>1.</w:t>
            </w:r>
            <w:r>
              <w:rPr>
                <w:rFonts w:hint="eastAsia" w:cs="Times New Roman"/>
                <w:b/>
                <w:bCs/>
                <w:color w:val="auto"/>
                <w:highlight w:val="none"/>
                <w:lang w:val="en-US" w:eastAsia="zh-CN"/>
              </w:rPr>
              <w:t>3</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土地利用</w:t>
            </w:r>
            <w:r>
              <w:rPr>
                <w:rFonts w:hint="default" w:ascii="Times New Roman" w:hAnsi="Times New Roman" w:cs="Times New Roman"/>
                <w:b/>
                <w:bCs/>
                <w:color w:val="auto"/>
                <w:highlight w:val="none"/>
                <w:lang w:eastAsia="zh-CN"/>
              </w:rPr>
              <w:t>类型</w:t>
            </w:r>
          </w:p>
          <w:p>
            <w:pPr>
              <w:pStyle w:val="50"/>
              <w:bidi w:val="0"/>
              <w:rPr>
                <w:rFonts w:hint="eastAsia" w:cs="Times New Roman"/>
                <w:color w:val="auto"/>
                <w:highlight w:val="none"/>
                <w:lang w:eastAsia="zh-CN"/>
              </w:rPr>
            </w:pPr>
            <w:r>
              <w:rPr>
                <w:rFonts w:hint="eastAsia" w:cs="Times New Roman"/>
                <w:color w:val="auto"/>
                <w:highlight w:val="none"/>
                <w:lang w:eastAsia="zh-CN"/>
              </w:rPr>
              <w:t>本项目占地分为永久占地和临时占地，</w:t>
            </w:r>
            <w:r>
              <w:rPr>
                <w:rFonts w:hint="eastAsia" w:cs="Times New Roman"/>
                <w:color w:val="auto"/>
                <w:highlight w:val="none"/>
                <w:lang w:val="en-US" w:eastAsia="zh-CN"/>
              </w:rPr>
              <w:t>本项目总占地面积105449m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，其中永久占地50196m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，临时占地55253m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。对比</w:t>
            </w:r>
            <w:r>
              <w:rPr>
                <w:rFonts w:hint="eastAsia" w:cs="Times New Roman"/>
                <w:b/>
                <w:bCs/>
                <w:color w:val="auto"/>
                <w:highlight w:val="none"/>
                <w:lang w:val="en-US" w:eastAsia="zh-CN"/>
              </w:rPr>
              <w:t>本项目土地利用现状图（附图12</w:t>
            </w:r>
            <w:r>
              <w:rPr>
                <w:rFonts w:hint="eastAsia" w:cs="Times New Roman"/>
                <w:color w:val="auto"/>
                <w:highlight w:val="none"/>
                <w:lang w:val="en-US" w:eastAsia="zh-CN"/>
              </w:rPr>
              <w:t>），本项目</w:t>
            </w:r>
            <w:r>
              <w:rPr>
                <w:rFonts w:hint="eastAsia" w:cs="Times New Roman"/>
                <w:color w:val="auto"/>
                <w:highlight w:val="none"/>
                <w:lang w:eastAsia="zh-CN"/>
              </w:rPr>
              <w:t>永久占地类型为天然牧草地，临时占地类型为天然牧草地</w:t>
            </w:r>
            <w:r>
              <w:rPr>
                <w:rFonts w:hint="eastAsia" w:cs="Times New Roman"/>
                <w:b w:val="0"/>
                <w:bCs w:val="0"/>
                <w:color w:val="auto"/>
                <w:highlight w:val="none"/>
                <w:lang w:eastAsia="zh-CN"/>
              </w:rPr>
              <w:t>。</w:t>
            </w:r>
          </w:p>
          <w:p>
            <w:pPr>
              <w:spacing w:line="18" w:lineRule="exact"/>
              <w:rPr>
                <w:rFonts w:hint="default" w:ascii="Times New Roman" w:hAnsi="Times New Roman" w:cs="Times New Roman"/>
                <w:color w:val="auto"/>
                <w:highlight w:val="none"/>
              </w:rPr>
            </w:pPr>
          </w:p>
          <w:p>
            <w:pPr>
              <w:pStyle w:val="50"/>
              <w:bidi w:val="0"/>
              <w:ind w:left="0" w:leftChars="0" w:firstLine="481" w:firstLineChars="20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w:t>
            </w:r>
            <w:r>
              <w:rPr>
                <w:rFonts w:hint="eastAsia" w:cs="Times New Roman"/>
                <w:b/>
                <w:bCs/>
                <w:color w:val="auto"/>
                <w:highlight w:val="none"/>
                <w:lang w:val="en-US" w:eastAsia="zh-CN"/>
              </w:rPr>
              <w:t>4</w:t>
            </w:r>
            <w:r>
              <w:rPr>
                <w:rFonts w:hint="default" w:ascii="Times New Roman" w:hAnsi="Times New Roman" w:cs="Times New Roman"/>
                <w:b/>
                <w:bCs/>
                <w:color w:val="auto"/>
                <w:highlight w:val="none"/>
                <w:lang w:val="en-US" w:eastAsia="zh-CN"/>
              </w:rPr>
              <w:t xml:space="preserve"> </w:t>
            </w:r>
            <w:r>
              <w:rPr>
                <w:rFonts w:hint="eastAsia" w:cs="Times New Roman"/>
                <w:b/>
                <w:bCs/>
                <w:color w:val="auto"/>
                <w:highlight w:val="none"/>
                <w:lang w:val="en-US" w:eastAsia="zh-CN"/>
              </w:rPr>
              <w:t>土壤类型</w:t>
            </w:r>
          </w:p>
          <w:p>
            <w:pPr>
              <w:pStyle w:val="5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项目区土壤类型主要为灰钙土。灰钙土受荒漠草原生物气候的影响，有一定的腐殖质积累和较弱的淋溶作用，剖面自上而下可分为有机质层、钙积层及母质层。淡灰钙土广泛分布于宁夏中北部。</w:t>
            </w:r>
          </w:p>
          <w:p>
            <w:pPr>
              <w:pStyle w:val="50"/>
              <w:bidi w:val="0"/>
              <w:ind w:left="0" w:leftChars="0" w:firstLine="481" w:firstLineChars="200"/>
              <w:rPr>
                <w:rFonts w:hint="eastAsia" w:ascii="Times New Roman" w:hAnsi="Times New Roman" w:eastAsia="仿宋_GB2312" w:cs="Times New Roman"/>
                <w:b/>
                <w:bCs/>
                <w:color w:val="auto"/>
                <w:highlight w:val="none"/>
                <w:lang w:val="en-US" w:eastAsia="zh-CN"/>
              </w:rPr>
            </w:pPr>
            <w:r>
              <w:rPr>
                <w:rFonts w:hint="eastAsia" w:cs="Times New Roman"/>
                <w:b/>
                <w:bCs/>
                <w:color w:val="auto"/>
                <w:highlight w:val="none"/>
                <w:lang w:val="en-US" w:eastAsia="zh-CN"/>
              </w:rPr>
              <w:t>1.5区域蒙古扁桃现场调查</w:t>
            </w:r>
          </w:p>
          <w:p>
            <w:pPr>
              <w:pStyle w:val="50"/>
              <w:bidi w:val="0"/>
              <w:ind w:left="0" w:leftChars="0" w:firstLine="480" w:firstLineChars="200"/>
              <w:rPr>
                <w:rFonts w:hint="default" w:ascii="Times New Roman" w:hAnsi="Times New Roman" w:cs="Times New Roman"/>
                <w:b/>
                <w:bCs/>
                <w:color w:val="auto"/>
                <w:highlight w:val="none"/>
                <w:lang w:val="en-US" w:eastAsia="zh-CN"/>
              </w:rPr>
            </w:pPr>
            <w:r>
              <w:rPr>
                <w:rFonts w:hint="eastAsia" w:cs="Times New Roman"/>
                <w:color w:val="auto"/>
                <w:highlight w:val="none"/>
                <w:lang w:val="en-US" w:eastAsia="zh-CN"/>
              </w:rPr>
              <w:t>为全面了解本项目区域的蒙古扁桃生态环境现状，项目组赴现场进行生态</w:t>
            </w:r>
            <w:r>
              <w:rPr>
                <w:rFonts w:hint="default" w:cs="Times New Roman"/>
                <w:color w:val="auto"/>
                <w:highlight w:val="none"/>
                <w:lang w:val="en-US" w:eastAsia="zh-CN"/>
              </w:rPr>
              <w:t>环境调查，根据生态调查结果，将本项目厂界分为</w:t>
            </w:r>
            <w:r>
              <w:rPr>
                <w:rFonts w:hint="eastAsia" w:cs="Times New Roman"/>
                <w:color w:val="auto"/>
                <w:highlight w:val="none"/>
                <w:lang w:val="en-US" w:eastAsia="zh-CN"/>
              </w:rPr>
              <w:t>蒙古扁桃</w:t>
            </w:r>
            <w:r>
              <w:rPr>
                <w:rFonts w:hint="default" w:cs="Times New Roman"/>
                <w:color w:val="auto"/>
                <w:highlight w:val="none"/>
                <w:lang w:val="en-US" w:eastAsia="zh-CN"/>
              </w:rPr>
              <w:t>稀疏分布区域、无</w:t>
            </w:r>
            <w:r>
              <w:rPr>
                <w:rFonts w:hint="eastAsia" w:cs="Times New Roman"/>
                <w:color w:val="auto"/>
                <w:highlight w:val="none"/>
                <w:lang w:val="en-US" w:eastAsia="zh-CN"/>
              </w:rPr>
              <w:t>蒙古扁桃</w:t>
            </w:r>
            <w:r>
              <w:rPr>
                <w:rFonts w:hint="default" w:cs="Times New Roman"/>
                <w:color w:val="auto"/>
                <w:highlight w:val="none"/>
                <w:lang w:val="en-US" w:eastAsia="zh-CN"/>
              </w:rPr>
              <w:t>区域。</w:t>
            </w:r>
            <w:r>
              <w:rPr>
                <w:rFonts w:hint="eastAsia" w:cs="Times New Roman"/>
                <w:color w:val="auto"/>
                <w:highlight w:val="none"/>
                <w:lang w:val="en-US" w:eastAsia="zh-CN"/>
              </w:rPr>
              <w:t>蒙古扁桃</w:t>
            </w:r>
            <w:r>
              <w:rPr>
                <w:rFonts w:hint="default" w:cs="Times New Roman"/>
                <w:color w:val="auto"/>
                <w:highlight w:val="none"/>
                <w:lang w:val="en-US" w:eastAsia="zh-CN"/>
              </w:rPr>
              <w:t>稀疏分布区域坐标为E：105°23′18.572″N：37°19′23.234″；本项目厂界其他区域无</w:t>
            </w:r>
            <w:r>
              <w:rPr>
                <w:rFonts w:hint="eastAsia" w:cs="Times New Roman"/>
                <w:color w:val="auto"/>
                <w:highlight w:val="none"/>
                <w:lang w:val="en-US" w:eastAsia="zh-CN"/>
              </w:rPr>
              <w:t>蒙古扁桃</w:t>
            </w:r>
            <w:r>
              <w:rPr>
                <w:rFonts w:hint="default" w:cs="Times New Roman"/>
                <w:color w:val="auto"/>
                <w:highlight w:val="none"/>
                <w:lang w:val="en-US" w:eastAsia="zh-CN"/>
              </w:rPr>
              <w:t>。本项目区域</w:t>
            </w:r>
            <w:r>
              <w:rPr>
                <w:rFonts w:hint="eastAsia" w:cs="Times New Roman"/>
                <w:color w:val="auto"/>
                <w:highlight w:val="none"/>
                <w:lang w:val="en-US" w:eastAsia="zh-CN"/>
              </w:rPr>
              <w:t>蒙古扁桃覆盖度</w:t>
            </w:r>
            <w:r>
              <w:rPr>
                <w:rFonts w:hint="default" w:cs="Times New Roman"/>
                <w:color w:val="auto"/>
                <w:highlight w:val="none"/>
                <w:lang w:val="en-US" w:eastAsia="zh-CN"/>
              </w:rPr>
              <w:t>见图</w:t>
            </w:r>
            <w:r>
              <w:rPr>
                <w:rFonts w:hint="eastAsia" w:cs="Times New Roman"/>
                <w:color w:val="auto"/>
                <w:highlight w:val="none"/>
                <w:lang w:val="en-US" w:eastAsia="zh-CN"/>
              </w:rPr>
              <w:t>3-1</w:t>
            </w:r>
            <w:r>
              <w:rPr>
                <w:rFonts w:hint="default" w:cs="Times New Roman"/>
                <w:color w:val="auto"/>
                <w:highlight w:val="none"/>
                <w:lang w:val="en-US" w:eastAsia="zh-CN"/>
              </w:rPr>
              <w:t>。</w:t>
            </w:r>
          </w:p>
          <w:tbl>
            <w:tblPr>
              <w:tblStyle w:val="29"/>
              <w:tblW w:w="8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6"/>
              <w:gridCol w:w="4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3"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1745" cy="1423670"/>
                        <wp:effectExtent l="0" t="0" r="1905" b="5080"/>
                        <wp:docPr id="16" name="图片 16" descr="5e780457d239cd059abb5a7c4cfce5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5e780457d239cd059abb5a7c4cfce5d"/>
                                <pic:cNvPicPr>
                                  <a:picLocks noChangeAspect="true"/>
                                </pic:cNvPicPr>
                              </pic:nvPicPr>
                              <pic:blipFill>
                                <a:blip r:embed="rId17"/>
                                <a:stretch>
                                  <a:fillRect/>
                                </a:stretch>
                              </pic:blipFill>
                              <pic:spPr>
                                <a:xfrm>
                                  <a:off x="0" y="0"/>
                                  <a:ext cx="2531745" cy="1423670"/>
                                </a:xfrm>
                                <a:prstGeom prst="rect">
                                  <a:avLst/>
                                </a:prstGeom>
                              </pic:spPr>
                            </pic:pic>
                          </a:graphicData>
                        </a:graphic>
                      </wp:inline>
                    </w:drawing>
                  </w:r>
                </w:p>
              </w:tc>
              <w:tc>
                <w:tcPr>
                  <w:tcW w:w="4214"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1745" cy="1423670"/>
                        <wp:effectExtent l="0" t="0" r="1905" b="5080"/>
                        <wp:docPr id="17" name="图片 17" descr="53182f5adbba9e04dd6c2cde1a63e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53182f5adbba9e04dd6c2cde1a63e06"/>
                                <pic:cNvPicPr>
                                  <a:picLocks noChangeAspect="true"/>
                                </pic:cNvPicPr>
                              </pic:nvPicPr>
                              <pic:blipFill>
                                <a:blip r:embed="rId18"/>
                                <a:stretch>
                                  <a:fillRect/>
                                </a:stretch>
                              </pic:blipFill>
                              <pic:spPr>
                                <a:xfrm>
                                  <a:off x="0" y="0"/>
                                  <a:ext cx="2531745" cy="1423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3"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1745" cy="1423670"/>
                        <wp:effectExtent l="0" t="0" r="1905" b="5080"/>
                        <wp:docPr id="18" name="图片 18" descr="174d156f027a38862ee46467c15f3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174d156f027a38862ee46467c15f383"/>
                                <pic:cNvPicPr>
                                  <a:picLocks noChangeAspect="true"/>
                                </pic:cNvPicPr>
                              </pic:nvPicPr>
                              <pic:blipFill>
                                <a:blip r:embed="rId19"/>
                                <a:stretch>
                                  <a:fillRect/>
                                </a:stretch>
                              </pic:blipFill>
                              <pic:spPr>
                                <a:xfrm>
                                  <a:off x="0" y="0"/>
                                  <a:ext cx="2531745" cy="1423670"/>
                                </a:xfrm>
                                <a:prstGeom prst="rect">
                                  <a:avLst/>
                                </a:prstGeom>
                              </pic:spPr>
                            </pic:pic>
                          </a:graphicData>
                        </a:graphic>
                      </wp:inline>
                    </w:drawing>
                  </w:r>
                </w:p>
              </w:tc>
              <w:tc>
                <w:tcPr>
                  <w:tcW w:w="4214"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1745" cy="1423670"/>
                        <wp:effectExtent l="0" t="0" r="1905" b="5080"/>
                        <wp:docPr id="19" name="图片 19" descr="dff8a96a2d1d956270be72d512aabd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dff8a96a2d1d956270be72d512aabdd"/>
                                <pic:cNvPicPr>
                                  <a:picLocks noChangeAspect="true"/>
                                </pic:cNvPicPr>
                              </pic:nvPicPr>
                              <pic:blipFill>
                                <a:blip r:embed="rId20"/>
                                <a:stretch>
                                  <a:fillRect/>
                                </a:stretch>
                              </pic:blipFill>
                              <pic:spPr>
                                <a:xfrm>
                                  <a:off x="0" y="0"/>
                                  <a:ext cx="2531745" cy="1423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7" w:type="dxa"/>
                  <w:gridSpan w:val="2"/>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eastAsia" w:cs="Times New Roman"/>
                      <w:b w:val="0"/>
                      <w:bCs w:val="0"/>
                      <w:color w:val="auto"/>
                      <w:highlight w:val="none"/>
                      <w:vertAlign w:val="baseline"/>
                      <w:lang w:val="en-US" w:eastAsia="zh-CN"/>
                    </w:rPr>
                    <w:t>蒙古扁桃疏散分布区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13"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4920" cy="1900555"/>
                        <wp:effectExtent l="0" t="0" r="17780" b="4445"/>
                        <wp:docPr id="29" name="图片 29" descr="d369553ca1568282949afedc8e7bfc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d369553ca1568282949afedc8e7bfc5"/>
                                <pic:cNvPicPr>
                                  <a:picLocks noChangeAspect="true"/>
                                </pic:cNvPicPr>
                              </pic:nvPicPr>
                              <pic:blipFill>
                                <a:blip r:embed="rId21"/>
                                <a:stretch>
                                  <a:fillRect/>
                                </a:stretch>
                              </pic:blipFill>
                              <pic:spPr>
                                <a:xfrm>
                                  <a:off x="0" y="0"/>
                                  <a:ext cx="2534920" cy="1900555"/>
                                </a:xfrm>
                                <a:prstGeom prst="rect">
                                  <a:avLst/>
                                </a:prstGeom>
                              </pic:spPr>
                            </pic:pic>
                          </a:graphicData>
                        </a:graphic>
                      </wp:inline>
                    </w:drawing>
                  </w:r>
                </w:p>
              </w:tc>
              <w:tc>
                <w:tcPr>
                  <w:tcW w:w="4214"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4920" cy="1900555"/>
                        <wp:effectExtent l="0" t="0" r="17780" b="4445"/>
                        <wp:docPr id="30" name="图片 30" descr="feb0c14fd864a0d1956d72666a7888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feb0c14fd864a0d1956d72666a7888f"/>
                                <pic:cNvPicPr>
                                  <a:picLocks noChangeAspect="true"/>
                                </pic:cNvPicPr>
                              </pic:nvPicPr>
                              <pic:blipFill>
                                <a:blip r:embed="rId22"/>
                                <a:stretch>
                                  <a:fillRect/>
                                </a:stretch>
                              </pic:blipFill>
                              <pic:spPr>
                                <a:xfrm>
                                  <a:off x="0" y="0"/>
                                  <a:ext cx="2534920" cy="19005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3"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3650" cy="3380105"/>
                        <wp:effectExtent l="0" t="0" r="0" b="10795"/>
                        <wp:docPr id="31" name="图片 31" descr="456742795b91b25172a14aafe674d0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456742795b91b25172a14aafe674d0a"/>
                                <pic:cNvPicPr>
                                  <a:picLocks noChangeAspect="true"/>
                                </pic:cNvPicPr>
                              </pic:nvPicPr>
                              <pic:blipFill>
                                <a:blip r:embed="rId23"/>
                                <a:stretch>
                                  <a:fillRect/>
                                </a:stretch>
                              </pic:blipFill>
                              <pic:spPr>
                                <a:xfrm>
                                  <a:off x="0" y="0"/>
                                  <a:ext cx="2533650" cy="3380105"/>
                                </a:xfrm>
                                <a:prstGeom prst="rect">
                                  <a:avLst/>
                                </a:prstGeom>
                              </pic:spPr>
                            </pic:pic>
                          </a:graphicData>
                        </a:graphic>
                      </wp:inline>
                    </w:drawing>
                  </w:r>
                </w:p>
              </w:tc>
              <w:tc>
                <w:tcPr>
                  <w:tcW w:w="4214"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3650" cy="3380105"/>
                        <wp:effectExtent l="0" t="0" r="0" b="10795"/>
                        <wp:docPr id="32" name="图片 32" descr="fd78c26eb8cbb8051d77e4c2488be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fd78c26eb8cbb8051d77e4c2488be13"/>
                                <pic:cNvPicPr>
                                  <a:picLocks noChangeAspect="true"/>
                                </pic:cNvPicPr>
                              </pic:nvPicPr>
                              <pic:blipFill>
                                <a:blip r:embed="rId24"/>
                                <a:stretch>
                                  <a:fillRect/>
                                </a:stretch>
                              </pic:blipFill>
                              <pic:spPr>
                                <a:xfrm>
                                  <a:off x="0" y="0"/>
                                  <a:ext cx="2533650" cy="33801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7" w:type="dxa"/>
                  <w:gridSpan w:val="2"/>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eastAsia" w:cs="Times New Roman"/>
                      <w:b w:val="0"/>
                      <w:bCs w:val="0"/>
                      <w:color w:val="auto"/>
                      <w:highlight w:val="none"/>
                      <w:vertAlign w:val="baseline"/>
                      <w:lang w:val="en-US" w:eastAsia="zh-CN"/>
                    </w:rPr>
                    <w:t>无蒙古扁桃分布区域</w:t>
                  </w:r>
                </w:p>
              </w:tc>
            </w:tr>
          </w:tbl>
          <w:p>
            <w:pPr>
              <w:pStyle w:val="50"/>
              <w:bidi w:val="0"/>
              <w:spacing w:line="360" w:lineRule="auto"/>
              <w:ind w:left="0" w:leftChars="0" w:firstLine="0" w:firstLineChars="0"/>
              <w:jc w:val="center"/>
              <w:rPr>
                <w:rFonts w:hint="eastAsia" w:ascii="新宋体" w:hAnsi="新宋体" w:eastAsia="新宋体" w:cs="新宋体"/>
                <w:b/>
                <w:bCs/>
                <w:color w:val="auto"/>
                <w:highlight w:val="none"/>
                <w:lang w:val="en-US" w:eastAsia="zh-CN"/>
              </w:rPr>
            </w:pPr>
            <w:r>
              <w:rPr>
                <w:rFonts w:hint="eastAsia" w:ascii="新宋体" w:hAnsi="新宋体" w:eastAsia="新宋体" w:cs="新宋体"/>
                <w:b/>
                <w:bCs/>
                <w:color w:val="auto"/>
                <w:highlight w:val="none"/>
                <w:lang w:val="en-US" w:eastAsia="zh-CN"/>
              </w:rPr>
              <w:t>图3-1 项目区域蒙古扁桃覆盖度图</w:t>
            </w:r>
          </w:p>
          <w:p>
            <w:pPr>
              <w:pStyle w:val="50"/>
              <w:bidi w:val="0"/>
              <w:ind w:left="0" w:leftChars="0" w:firstLine="481" w:firstLineChars="200"/>
              <w:rPr>
                <w:rFonts w:hint="default" w:ascii="Times New Roman" w:hAnsi="Times New Roman" w:eastAsia="仿宋_GB2312" w:cs="Times New Roman"/>
                <w:b/>
                <w:bCs/>
                <w:color w:val="auto"/>
                <w:highlight w:val="none"/>
                <w:lang w:eastAsia="zh-CN"/>
              </w:rPr>
            </w:pPr>
            <w:r>
              <w:rPr>
                <w:rFonts w:hint="eastAsia" w:cs="Times New Roman"/>
                <w:b/>
                <w:bCs/>
                <w:color w:val="auto"/>
                <w:highlight w:val="none"/>
                <w:lang w:val="en-US" w:eastAsia="zh-CN"/>
              </w:rPr>
              <w:t>1.6</w:t>
            </w:r>
            <w:r>
              <w:rPr>
                <w:rFonts w:hint="default" w:ascii="Times New Roman" w:hAnsi="Times New Roman" w:cs="Times New Roman"/>
                <w:b/>
                <w:bCs/>
                <w:color w:val="auto"/>
                <w:highlight w:val="none"/>
              </w:rPr>
              <w:t>植被</w:t>
            </w:r>
            <w:r>
              <w:rPr>
                <w:rFonts w:hint="default" w:ascii="Times New Roman" w:hAnsi="Times New Roman" w:cs="Times New Roman"/>
                <w:b/>
                <w:bCs/>
                <w:color w:val="auto"/>
                <w:highlight w:val="none"/>
                <w:lang w:eastAsia="zh-CN"/>
              </w:rPr>
              <w:t>类型</w:t>
            </w:r>
          </w:p>
          <w:p>
            <w:pPr>
              <w:pStyle w:val="50"/>
              <w:bidi w:val="0"/>
              <w:rPr>
                <w:rFonts w:hint="eastAsia" w:cs="Times New Roman"/>
                <w:b w:val="0"/>
                <w:bCs w:val="0"/>
                <w:color w:val="auto"/>
                <w:highlight w:val="none"/>
                <w:lang w:val="en-US" w:eastAsia="zh-CN"/>
              </w:rPr>
            </w:pPr>
            <w:r>
              <w:rPr>
                <w:rFonts w:hint="eastAsia" w:cs="Times New Roman"/>
                <w:color w:val="auto"/>
                <w:highlight w:val="none"/>
                <w:lang w:val="en-US" w:eastAsia="zh-CN"/>
              </w:rPr>
              <w:t>对照宁夏植被分布图，</w:t>
            </w:r>
            <w:r>
              <w:rPr>
                <w:rFonts w:hint="default" w:ascii="Times New Roman" w:hAnsi="Times New Roman" w:cs="Times New Roman"/>
                <w:color w:val="auto"/>
                <w:highlight w:val="none"/>
                <w:lang w:val="en-US" w:eastAsia="zh-CN"/>
              </w:rPr>
              <w:t>本项目所在区域植被</w:t>
            </w:r>
            <w:r>
              <w:rPr>
                <w:rFonts w:hint="eastAsia" w:cs="Times New Roman"/>
                <w:color w:val="auto"/>
                <w:highlight w:val="none"/>
                <w:lang w:val="en-US" w:eastAsia="zh-CN"/>
              </w:rPr>
              <w:t>区划为IAL3b宁中、宁北荒漠草原小区，为V草原-37短花针茅、旱生小灌木、小半灌木草原。</w:t>
            </w:r>
            <w:r>
              <w:rPr>
                <w:rFonts w:hint="eastAsia"/>
                <w:color w:val="auto"/>
                <w:highlight w:val="none"/>
                <w:lang w:eastAsia="zh-CN"/>
              </w:rPr>
              <w:t>本工程</w:t>
            </w:r>
            <w:r>
              <w:rPr>
                <w:rFonts w:hint="default" w:cs="Times New Roman"/>
                <w:color w:val="auto"/>
                <w:highlight w:val="none"/>
                <w:lang w:val="en-US" w:eastAsia="zh-CN"/>
              </w:rPr>
              <w:t>现场探查过程中发现国家重点保护野生植物</w:t>
            </w:r>
            <w:r>
              <w:rPr>
                <w:rFonts w:hint="eastAsia" w:cs="Times New Roman"/>
                <w:color w:val="auto"/>
                <w:highlight w:val="none"/>
                <w:lang w:val="en-US" w:eastAsia="zh-CN"/>
              </w:rPr>
              <w:t>蒙古扁桃</w:t>
            </w:r>
            <w:r>
              <w:rPr>
                <w:rFonts w:hint="default" w:cs="Times New Roman"/>
                <w:color w:val="auto"/>
                <w:highlight w:val="none"/>
                <w:lang w:val="en-US" w:eastAsia="zh-CN"/>
              </w:rPr>
              <w:t>，根据《国家重点保护野生植物名录》(国家林业和草原局农业农村部公告2021年第15号)文件可知，蔷薇科桃属植物</w:t>
            </w:r>
            <w:r>
              <w:rPr>
                <w:rFonts w:hint="eastAsia" w:cs="Times New Roman"/>
                <w:color w:val="auto"/>
                <w:highlight w:val="none"/>
                <w:lang w:val="en-US" w:eastAsia="zh-CN"/>
              </w:rPr>
              <w:t>蒙古扁桃</w:t>
            </w:r>
            <w:r>
              <w:rPr>
                <w:rFonts w:hint="default" w:cs="Times New Roman"/>
                <w:color w:val="auto"/>
                <w:highlight w:val="none"/>
                <w:lang w:val="en-US" w:eastAsia="zh-CN"/>
              </w:rPr>
              <w:t>属于国家二级保护野生植物，是具有水土保持、固沙、观赏和药用树种，</w:t>
            </w:r>
            <w:r>
              <w:rPr>
                <w:rFonts w:hint="eastAsia" w:cs="Times New Roman"/>
                <w:color w:val="auto"/>
                <w:highlight w:val="none"/>
                <w:lang w:val="en-US" w:eastAsia="zh-CN"/>
              </w:rPr>
              <w:t>经现场调查，项目占地区域内无蒙古扁桃分布，评价区域内，有些许零散分布，</w:t>
            </w:r>
            <w:r>
              <w:rPr>
                <w:rFonts w:hint="default" w:ascii="Times New Roman" w:hAnsi="Times New Roman" w:cs="Times New Roman"/>
                <w:color w:val="auto"/>
                <w:highlight w:val="none"/>
                <w:lang w:eastAsia="zh-CN"/>
              </w:rPr>
              <w:t>本工程</w:t>
            </w:r>
            <w:r>
              <w:rPr>
                <w:rFonts w:hint="default" w:ascii="Times New Roman" w:hAnsi="Times New Roman" w:cs="Times New Roman"/>
                <w:color w:val="auto"/>
                <w:highlight w:val="none"/>
                <w:lang w:val="en-US" w:eastAsia="zh-CN"/>
              </w:rPr>
              <w:t>所在区域</w:t>
            </w:r>
            <w:r>
              <w:rPr>
                <w:rFonts w:hint="default" w:ascii="Times New Roman" w:hAnsi="Times New Roman" w:cs="Times New Roman"/>
                <w:color w:val="auto"/>
                <w:highlight w:val="none"/>
              </w:rPr>
              <w:t>植被</w:t>
            </w:r>
            <w:r>
              <w:rPr>
                <w:rFonts w:hint="default" w:ascii="Times New Roman" w:hAnsi="Times New Roman" w:cs="Times New Roman"/>
                <w:color w:val="auto"/>
                <w:highlight w:val="none"/>
                <w:lang w:val="en-US" w:eastAsia="zh-CN"/>
              </w:rPr>
              <w:t>类型</w:t>
            </w:r>
            <w:r>
              <w:rPr>
                <w:rFonts w:hint="default" w:ascii="Times New Roman" w:hAnsi="Times New Roman" w:cs="Times New Roman"/>
                <w:color w:val="auto"/>
                <w:highlight w:val="none"/>
              </w:rPr>
              <w:t>分布</w:t>
            </w:r>
            <w:r>
              <w:rPr>
                <w:rFonts w:hint="default" w:ascii="Times New Roman" w:hAnsi="Times New Roman" w:cs="Times New Roman"/>
                <w:color w:val="auto"/>
                <w:highlight w:val="none"/>
                <w:lang w:val="en-US" w:eastAsia="zh-CN"/>
              </w:rPr>
              <w:t>图</w:t>
            </w:r>
            <w:r>
              <w:rPr>
                <w:rFonts w:hint="default" w:ascii="Times New Roman" w:hAnsi="Times New Roman" w:cs="Times New Roman"/>
                <w:color w:val="auto"/>
                <w:highlight w:val="none"/>
              </w:rPr>
              <w:t>见</w:t>
            </w:r>
            <w:r>
              <w:rPr>
                <w:rFonts w:hint="default" w:ascii="Times New Roman" w:hAnsi="Times New Roman" w:cs="Times New Roman"/>
                <w:b/>
                <w:bCs/>
                <w:color w:val="auto"/>
                <w:highlight w:val="none"/>
                <w:lang w:eastAsia="zh-CN"/>
              </w:rPr>
              <w:t>附图</w:t>
            </w:r>
            <w:r>
              <w:rPr>
                <w:rFonts w:hint="eastAsia" w:cs="Times New Roman"/>
                <w:b/>
                <w:bCs/>
                <w:color w:val="auto"/>
                <w:highlight w:val="none"/>
                <w:lang w:val="en-US" w:eastAsia="zh-CN"/>
              </w:rPr>
              <w:t>13</w:t>
            </w:r>
            <w:r>
              <w:rPr>
                <w:rFonts w:hint="eastAsia" w:cs="Times New Roman"/>
                <w:b w:val="0"/>
                <w:bCs w:val="0"/>
                <w:color w:val="auto"/>
                <w:highlight w:val="none"/>
                <w:lang w:val="en-US" w:eastAsia="zh-CN"/>
              </w:rPr>
              <w:t>，项目与中卫市野生蒙古扁桃保护小区位置关系见</w:t>
            </w:r>
            <w:r>
              <w:rPr>
                <w:rFonts w:hint="eastAsia" w:cs="Times New Roman"/>
                <w:b/>
                <w:bCs/>
                <w:color w:val="auto"/>
                <w:highlight w:val="none"/>
                <w:lang w:val="en-US" w:eastAsia="zh-CN"/>
              </w:rPr>
              <w:t>附图14。</w:t>
            </w:r>
            <w:r>
              <w:rPr>
                <w:rFonts w:hint="eastAsia" w:cs="Times New Roman"/>
                <w:b w:val="0"/>
                <w:bCs w:val="0"/>
                <w:color w:val="auto"/>
                <w:highlight w:val="none"/>
                <w:lang w:val="en-US" w:eastAsia="zh-CN"/>
              </w:rPr>
              <w:t>现场植被见图3-2，项目周围环境现状图见图3-3。</w:t>
            </w:r>
          </w:p>
          <w:tbl>
            <w:tblPr>
              <w:tblStyle w:val="29"/>
              <w:tblW w:w="8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3"/>
              <w:gridCol w:w="4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3"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eastAsia" w:cs="Times New Roman"/>
                      <w:b/>
                      <w:bCs/>
                      <w:color w:val="auto"/>
                      <w:highlight w:val="none"/>
                      <w:lang w:val="en-US" w:eastAsia="zh-CN"/>
                    </w:rPr>
                    <w:drawing>
                      <wp:inline distT="0" distB="0" distL="114300" distR="114300">
                        <wp:extent cx="2405380" cy="3208655"/>
                        <wp:effectExtent l="0" t="0" r="13970" b="10795"/>
                        <wp:docPr id="6" name="图片 6" descr="c10fab7eb85ba1722e3ca380d945b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c10fab7eb85ba1722e3ca380d945b10"/>
                                <pic:cNvPicPr>
                                  <a:picLocks noChangeAspect="true"/>
                                </pic:cNvPicPr>
                              </pic:nvPicPr>
                              <pic:blipFill>
                                <a:blip r:embed="rId25"/>
                                <a:stretch>
                                  <a:fillRect/>
                                </a:stretch>
                              </pic:blipFill>
                              <pic:spPr>
                                <a:xfrm>
                                  <a:off x="0" y="0"/>
                                  <a:ext cx="2405380" cy="3208655"/>
                                </a:xfrm>
                                <a:prstGeom prst="rect">
                                  <a:avLst/>
                                </a:prstGeom>
                              </pic:spPr>
                            </pic:pic>
                          </a:graphicData>
                        </a:graphic>
                      </wp:inline>
                    </w:drawing>
                  </w:r>
                </w:p>
              </w:tc>
              <w:tc>
                <w:tcPr>
                  <w:tcW w:w="4214"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eastAsia" w:ascii="Times New Roman" w:hAnsi="Times New Roman" w:eastAsia="仿宋_GB2312" w:cs="Times New Roman"/>
                      <w:b/>
                      <w:bCs/>
                      <w:color w:val="auto"/>
                      <w:highlight w:val="none"/>
                      <w:lang w:eastAsia="zh-CN"/>
                    </w:rPr>
                    <w:drawing>
                      <wp:inline distT="0" distB="0" distL="114300" distR="114300">
                        <wp:extent cx="2393315" cy="3194050"/>
                        <wp:effectExtent l="0" t="0" r="6985" b="6350"/>
                        <wp:docPr id="5" name="图片 5" descr="6285769a586f4cc95703940a300014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6285769a586f4cc95703940a300014f"/>
                                <pic:cNvPicPr>
                                  <a:picLocks noChangeAspect="true"/>
                                </pic:cNvPicPr>
                              </pic:nvPicPr>
                              <pic:blipFill>
                                <a:blip r:embed="rId26"/>
                                <a:stretch>
                                  <a:fillRect/>
                                </a:stretch>
                              </pic:blipFill>
                              <pic:spPr>
                                <a:xfrm>
                                  <a:off x="0" y="0"/>
                                  <a:ext cx="2393315" cy="31940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3"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3650" cy="3380105"/>
                        <wp:effectExtent l="0" t="0" r="0" b="10795"/>
                        <wp:docPr id="8" name="图片 8" descr="c20b448f1f55bbf7f46e02a5bb51e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c20b448f1f55bbf7f46e02a5bb51e32"/>
                                <pic:cNvPicPr>
                                  <a:picLocks noChangeAspect="true"/>
                                </pic:cNvPicPr>
                              </pic:nvPicPr>
                              <pic:blipFill>
                                <a:blip r:embed="rId27"/>
                                <a:stretch>
                                  <a:fillRect/>
                                </a:stretch>
                              </pic:blipFill>
                              <pic:spPr>
                                <a:xfrm>
                                  <a:off x="0" y="0"/>
                                  <a:ext cx="2533650" cy="3380105"/>
                                </a:xfrm>
                                <a:prstGeom prst="rect">
                                  <a:avLst/>
                                </a:prstGeom>
                              </pic:spPr>
                            </pic:pic>
                          </a:graphicData>
                        </a:graphic>
                      </wp:inline>
                    </w:drawing>
                  </w:r>
                </w:p>
              </w:tc>
              <w:tc>
                <w:tcPr>
                  <w:tcW w:w="4214"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3650" cy="3380105"/>
                        <wp:effectExtent l="0" t="0" r="0" b="10795"/>
                        <wp:docPr id="9" name="图片 9" descr="df6180b7d12cac296443975200b5a5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df6180b7d12cac296443975200b5a5e"/>
                                <pic:cNvPicPr>
                                  <a:picLocks noChangeAspect="true"/>
                                </pic:cNvPicPr>
                              </pic:nvPicPr>
                              <pic:blipFill>
                                <a:blip r:embed="rId28"/>
                                <a:stretch>
                                  <a:fillRect/>
                                </a:stretch>
                              </pic:blipFill>
                              <pic:spPr>
                                <a:xfrm>
                                  <a:off x="0" y="0"/>
                                  <a:ext cx="2533650" cy="33801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3"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3650" cy="3380105"/>
                        <wp:effectExtent l="0" t="0" r="0" b="10795"/>
                        <wp:docPr id="14" name="图片 14" descr="b4e2be730703ec4d1422693aceaacd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b4e2be730703ec4d1422693aceaacd8"/>
                                <pic:cNvPicPr>
                                  <a:picLocks noChangeAspect="true"/>
                                </pic:cNvPicPr>
                              </pic:nvPicPr>
                              <pic:blipFill>
                                <a:blip r:embed="rId29"/>
                                <a:stretch>
                                  <a:fillRect/>
                                </a:stretch>
                              </pic:blipFill>
                              <pic:spPr>
                                <a:xfrm>
                                  <a:off x="0" y="0"/>
                                  <a:ext cx="2533650" cy="3380105"/>
                                </a:xfrm>
                                <a:prstGeom prst="rect">
                                  <a:avLst/>
                                </a:prstGeom>
                              </pic:spPr>
                            </pic:pic>
                          </a:graphicData>
                        </a:graphic>
                      </wp:inline>
                    </w:drawing>
                  </w:r>
                </w:p>
              </w:tc>
              <w:tc>
                <w:tcPr>
                  <w:tcW w:w="4214"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3650" cy="3380105"/>
                        <wp:effectExtent l="0" t="0" r="0" b="10795"/>
                        <wp:docPr id="13" name="图片 13" descr="678c6e9a1cb33f7eaad16076768b31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678c6e9a1cb33f7eaad16076768b31c"/>
                                <pic:cNvPicPr>
                                  <a:picLocks noChangeAspect="true"/>
                                </pic:cNvPicPr>
                              </pic:nvPicPr>
                              <pic:blipFill>
                                <a:blip r:embed="rId30"/>
                                <a:stretch>
                                  <a:fillRect/>
                                </a:stretch>
                              </pic:blipFill>
                              <pic:spPr>
                                <a:xfrm>
                                  <a:off x="0" y="0"/>
                                  <a:ext cx="2533650" cy="3380105"/>
                                </a:xfrm>
                                <a:prstGeom prst="rect">
                                  <a:avLst/>
                                </a:prstGeom>
                              </pic:spPr>
                            </pic:pic>
                          </a:graphicData>
                        </a:graphic>
                      </wp:inline>
                    </w:drawing>
                  </w:r>
                </w:p>
              </w:tc>
            </w:tr>
          </w:tbl>
          <w:p>
            <w:pPr>
              <w:pStyle w:val="50"/>
              <w:bidi w:val="0"/>
              <w:spacing w:line="360" w:lineRule="auto"/>
              <w:ind w:left="0" w:leftChars="0" w:firstLine="0" w:firstLineChars="0"/>
              <w:jc w:val="center"/>
              <w:rPr>
                <w:rFonts w:hint="eastAsia" w:ascii="新宋体" w:hAnsi="新宋体" w:eastAsia="新宋体" w:cs="新宋体"/>
                <w:b/>
                <w:bCs/>
                <w:color w:val="auto"/>
                <w:highlight w:val="none"/>
                <w:lang w:val="en-US" w:eastAsia="zh-CN"/>
              </w:rPr>
            </w:pPr>
            <w:r>
              <w:rPr>
                <w:rFonts w:hint="eastAsia" w:ascii="新宋体" w:hAnsi="新宋体" w:eastAsia="新宋体" w:cs="新宋体"/>
                <w:b/>
                <w:bCs/>
                <w:color w:val="auto"/>
                <w:highlight w:val="none"/>
                <w:lang w:val="en-US" w:eastAsia="zh-CN"/>
              </w:rPr>
              <w:t>图3-2 现场植被</w:t>
            </w:r>
          </w:p>
          <w:tbl>
            <w:tblPr>
              <w:tblStyle w:val="29"/>
              <w:tblW w:w="8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6"/>
              <w:gridCol w:w="4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3"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3650" cy="3380105"/>
                        <wp:effectExtent l="0" t="0" r="0" b="10795"/>
                        <wp:docPr id="22" name="图片 22" descr="456742795b91b25172a14aafe674d0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456742795b91b25172a14aafe674d0a"/>
                                <pic:cNvPicPr>
                                  <a:picLocks noChangeAspect="true"/>
                                </pic:cNvPicPr>
                              </pic:nvPicPr>
                              <pic:blipFill>
                                <a:blip r:embed="rId23"/>
                                <a:stretch>
                                  <a:fillRect/>
                                </a:stretch>
                              </pic:blipFill>
                              <pic:spPr>
                                <a:xfrm>
                                  <a:off x="0" y="0"/>
                                  <a:ext cx="2533650" cy="3380105"/>
                                </a:xfrm>
                                <a:prstGeom prst="rect">
                                  <a:avLst/>
                                </a:prstGeom>
                              </pic:spPr>
                            </pic:pic>
                          </a:graphicData>
                        </a:graphic>
                      </wp:inline>
                    </w:drawing>
                  </w:r>
                </w:p>
              </w:tc>
              <w:tc>
                <w:tcPr>
                  <w:tcW w:w="4214"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3650" cy="3380105"/>
                        <wp:effectExtent l="0" t="0" r="0" b="10795"/>
                        <wp:docPr id="23" name="图片 23" descr="fd78c26eb8cbb8051d77e4c2488be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fd78c26eb8cbb8051d77e4c2488be13"/>
                                <pic:cNvPicPr>
                                  <a:picLocks noChangeAspect="true"/>
                                </pic:cNvPicPr>
                              </pic:nvPicPr>
                              <pic:blipFill>
                                <a:blip r:embed="rId24"/>
                                <a:stretch>
                                  <a:fillRect/>
                                </a:stretch>
                              </pic:blipFill>
                              <pic:spPr>
                                <a:xfrm>
                                  <a:off x="0" y="0"/>
                                  <a:ext cx="2533650" cy="33801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3"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3650" cy="3380105"/>
                        <wp:effectExtent l="0" t="0" r="0" b="10795"/>
                        <wp:docPr id="24" name="图片 24" descr="8646c929b946380a19400d176a6b2a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8646c929b946380a19400d176a6b2a2"/>
                                <pic:cNvPicPr>
                                  <a:picLocks noChangeAspect="true"/>
                                </pic:cNvPicPr>
                              </pic:nvPicPr>
                              <pic:blipFill>
                                <a:blip r:embed="rId31"/>
                                <a:stretch>
                                  <a:fillRect/>
                                </a:stretch>
                              </pic:blipFill>
                              <pic:spPr>
                                <a:xfrm>
                                  <a:off x="0" y="0"/>
                                  <a:ext cx="2533650" cy="3380105"/>
                                </a:xfrm>
                                <a:prstGeom prst="rect">
                                  <a:avLst/>
                                </a:prstGeom>
                              </pic:spPr>
                            </pic:pic>
                          </a:graphicData>
                        </a:graphic>
                      </wp:inline>
                    </w:drawing>
                  </w:r>
                </w:p>
              </w:tc>
              <w:tc>
                <w:tcPr>
                  <w:tcW w:w="4214"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3650" cy="3380105"/>
                        <wp:effectExtent l="0" t="0" r="0" b="10795"/>
                        <wp:docPr id="27" name="图片 27" descr="b59c118e8e68c5925392d916378786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b59c118e8e68c5925392d916378786d"/>
                                <pic:cNvPicPr>
                                  <a:picLocks noChangeAspect="true"/>
                                </pic:cNvPicPr>
                              </pic:nvPicPr>
                              <pic:blipFill>
                                <a:blip r:embed="rId32"/>
                                <a:stretch>
                                  <a:fillRect/>
                                </a:stretch>
                              </pic:blipFill>
                              <pic:spPr>
                                <a:xfrm>
                                  <a:off x="0" y="0"/>
                                  <a:ext cx="2533650" cy="33801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3"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4920" cy="1900555"/>
                        <wp:effectExtent l="0" t="0" r="17780" b="4445"/>
                        <wp:docPr id="26" name="图片 26" descr="d369553ca1568282949afedc8e7bfc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d369553ca1568282949afedc8e7bfc5"/>
                                <pic:cNvPicPr>
                                  <a:picLocks noChangeAspect="true"/>
                                </pic:cNvPicPr>
                              </pic:nvPicPr>
                              <pic:blipFill>
                                <a:blip r:embed="rId21"/>
                                <a:stretch>
                                  <a:fillRect/>
                                </a:stretch>
                              </pic:blipFill>
                              <pic:spPr>
                                <a:xfrm>
                                  <a:off x="0" y="0"/>
                                  <a:ext cx="2534920" cy="1900555"/>
                                </a:xfrm>
                                <a:prstGeom prst="rect">
                                  <a:avLst/>
                                </a:prstGeom>
                              </pic:spPr>
                            </pic:pic>
                          </a:graphicData>
                        </a:graphic>
                      </wp:inline>
                    </w:drawing>
                  </w:r>
                </w:p>
              </w:tc>
              <w:tc>
                <w:tcPr>
                  <w:tcW w:w="4214" w:type="dxa"/>
                  <w:vAlign w:val="center"/>
                </w:tcPr>
                <w:p>
                  <w:pPr>
                    <w:pStyle w:val="50"/>
                    <w:keepNext w:val="0"/>
                    <w:keepLines w:val="0"/>
                    <w:pageBreakBefore w:val="0"/>
                    <w:widowControl w:val="0"/>
                    <w:kinsoku/>
                    <w:wordWrap/>
                    <w:overflowPunct w:val="0"/>
                    <w:topLinePunct w:val="0"/>
                    <w:autoSpaceDE/>
                    <w:autoSpaceDN/>
                    <w:bidi w:val="0"/>
                    <w:adjustRightInd w:val="0"/>
                    <w:snapToGrid w:val="0"/>
                    <w:ind w:firstLine="0" w:firstLineChars="0"/>
                    <w:jc w:val="center"/>
                    <w:textAlignment w:val="auto"/>
                    <w:rPr>
                      <w:rFonts w:hint="default" w:cs="Times New Roman"/>
                      <w:b w:val="0"/>
                      <w:bCs w:val="0"/>
                      <w:color w:val="auto"/>
                      <w:highlight w:val="none"/>
                      <w:vertAlign w:val="baseline"/>
                      <w:lang w:val="en-US" w:eastAsia="zh-CN"/>
                    </w:rPr>
                  </w:pPr>
                  <w:r>
                    <w:rPr>
                      <w:rFonts w:hint="default" w:cs="Times New Roman"/>
                      <w:b w:val="0"/>
                      <w:bCs w:val="0"/>
                      <w:color w:val="auto"/>
                      <w:highlight w:val="none"/>
                      <w:vertAlign w:val="baseline"/>
                      <w:lang w:val="en-US" w:eastAsia="zh-CN"/>
                    </w:rPr>
                    <w:drawing>
                      <wp:inline distT="0" distB="0" distL="114300" distR="114300">
                        <wp:extent cx="2534920" cy="1900555"/>
                        <wp:effectExtent l="0" t="0" r="17780" b="4445"/>
                        <wp:docPr id="25" name="图片 25" descr="09dfcf54305826ee2625b04110b579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09dfcf54305826ee2625b04110b579e"/>
                                <pic:cNvPicPr>
                                  <a:picLocks noChangeAspect="true"/>
                                </pic:cNvPicPr>
                              </pic:nvPicPr>
                              <pic:blipFill>
                                <a:blip r:embed="rId33"/>
                                <a:stretch>
                                  <a:fillRect/>
                                </a:stretch>
                              </pic:blipFill>
                              <pic:spPr>
                                <a:xfrm>
                                  <a:off x="0" y="0"/>
                                  <a:ext cx="2534920" cy="1900555"/>
                                </a:xfrm>
                                <a:prstGeom prst="rect">
                                  <a:avLst/>
                                </a:prstGeom>
                              </pic:spPr>
                            </pic:pic>
                          </a:graphicData>
                        </a:graphic>
                      </wp:inline>
                    </w:drawing>
                  </w:r>
                </w:p>
              </w:tc>
            </w:tr>
          </w:tbl>
          <w:p>
            <w:pPr>
              <w:pStyle w:val="50"/>
              <w:bidi w:val="0"/>
              <w:spacing w:line="240" w:lineRule="auto"/>
              <w:ind w:left="0" w:leftChars="0" w:firstLine="0" w:firstLineChars="0"/>
              <w:jc w:val="center"/>
              <w:rPr>
                <w:rFonts w:hint="default" w:ascii="新宋体" w:hAnsi="新宋体" w:eastAsia="新宋体" w:cs="新宋体"/>
                <w:b/>
                <w:bCs/>
                <w:color w:val="auto"/>
                <w:highlight w:val="none"/>
                <w:lang w:val="en-US" w:eastAsia="zh-CN"/>
              </w:rPr>
            </w:pPr>
            <w:r>
              <w:rPr>
                <w:rFonts w:hint="default" w:ascii="新宋体" w:hAnsi="新宋体" w:eastAsia="新宋体" w:cs="新宋体"/>
                <w:b/>
                <w:bCs/>
                <w:color w:val="auto"/>
                <w:highlight w:val="none"/>
                <w:lang w:val="en-US" w:eastAsia="zh-CN"/>
              </w:rPr>
              <w:t>图</w:t>
            </w:r>
            <w:r>
              <w:rPr>
                <w:rFonts w:hint="eastAsia" w:ascii="新宋体" w:hAnsi="新宋体" w:eastAsia="新宋体" w:cs="新宋体"/>
                <w:b/>
                <w:bCs/>
                <w:color w:val="auto"/>
                <w:highlight w:val="none"/>
                <w:lang w:val="en-US" w:eastAsia="zh-CN"/>
              </w:rPr>
              <w:t xml:space="preserve">3-3 </w:t>
            </w:r>
            <w:r>
              <w:rPr>
                <w:rFonts w:hint="default" w:ascii="新宋体" w:hAnsi="新宋体" w:eastAsia="新宋体" w:cs="新宋体"/>
                <w:b/>
                <w:bCs/>
                <w:color w:val="auto"/>
                <w:highlight w:val="none"/>
                <w:lang w:val="en-US" w:eastAsia="zh-CN"/>
              </w:rPr>
              <w:t>项目周围环境现状图</w:t>
            </w:r>
          </w:p>
          <w:p>
            <w:pPr>
              <w:pStyle w:val="50"/>
              <w:bidi w:val="0"/>
              <w:spacing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1.</w:t>
            </w:r>
            <w:r>
              <w:rPr>
                <w:rFonts w:hint="eastAsia" w:cs="Times New Roman"/>
                <w:b/>
                <w:bCs/>
                <w:color w:val="auto"/>
                <w:highlight w:val="none"/>
                <w:lang w:val="en-US" w:eastAsia="zh-CN"/>
              </w:rPr>
              <w:t>7</w:t>
            </w:r>
            <w:r>
              <w:rPr>
                <w:rFonts w:hint="default" w:ascii="Times New Roman" w:hAnsi="Times New Roman" w:cs="Times New Roman"/>
                <w:b/>
                <w:bCs/>
                <w:color w:val="auto"/>
                <w:highlight w:val="none"/>
                <w:lang w:val="en-US" w:eastAsia="zh-CN"/>
              </w:rPr>
              <w:t xml:space="preserve"> 动物种类</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项目区所在的区域自然条件相对恶劣，野生动物的种类和数量均较少，土蜥蜴较为常见，野兔、麻蛇等偶尔可见，主要的野生动物包括：燕子、麻雀、喜鹊、麻蛇、</w:t>
            </w:r>
            <w:r>
              <w:rPr>
                <w:rFonts w:hint="eastAsia" w:cs="Times New Roman"/>
                <w:color w:val="auto"/>
                <w:highlight w:val="none"/>
                <w:lang w:eastAsia="zh-CN"/>
              </w:rPr>
              <w:t>狐狸、野兔</w:t>
            </w:r>
            <w:r>
              <w:rPr>
                <w:rFonts w:hint="default" w:ascii="Times New Roman" w:hAnsi="Times New Roman" w:cs="Times New Roman"/>
                <w:color w:val="auto"/>
                <w:highlight w:val="none"/>
              </w:rPr>
              <w:t>等。无国家濒危珍稀保护动物种及其栖息地分布。</w:t>
            </w:r>
          </w:p>
          <w:p>
            <w:pPr>
              <w:pStyle w:val="50"/>
              <w:keepNext w:val="0"/>
              <w:keepLines w:val="0"/>
              <w:pageBreakBefore w:val="0"/>
              <w:widowControl w:val="0"/>
              <w:kinsoku/>
              <w:wordWrap/>
              <w:topLinePunct w:val="0"/>
              <w:autoSpaceDE/>
              <w:autoSpaceDN/>
              <w:bidi w:val="0"/>
              <w:adjustRightInd w:val="0"/>
              <w:snapToGrid w:val="0"/>
              <w:spacing w:line="360" w:lineRule="auto"/>
              <w:rPr>
                <w:rFonts w:hint="eastAsia" w:ascii="Times New Roman" w:hAnsi="Times New Roman" w:eastAsia="仿宋_GB2312" w:cs="Times New Roman"/>
                <w:color w:val="auto"/>
                <w:highlight w:val="none"/>
                <w:lang w:eastAsia="zh-CN"/>
              </w:rPr>
            </w:pPr>
            <w:r>
              <w:rPr>
                <w:rFonts w:hint="eastAsia" w:cs="Times New Roman"/>
                <w:color w:val="auto"/>
                <w:highlight w:val="none"/>
                <w:lang w:eastAsia="zh-CN"/>
              </w:rPr>
              <w:t>根据现场踏勘及资料收集，项目所在区域生态系统类型简单，主要以</w:t>
            </w:r>
            <w:r>
              <w:rPr>
                <w:rFonts w:hint="eastAsia" w:cs="Times New Roman"/>
                <w:color w:val="auto"/>
                <w:highlight w:val="none"/>
                <w:lang w:val="en-US" w:eastAsia="zh-CN"/>
              </w:rPr>
              <w:t>草原</w:t>
            </w:r>
            <w:r>
              <w:rPr>
                <w:rFonts w:hint="eastAsia" w:cs="Times New Roman"/>
                <w:color w:val="auto"/>
                <w:highlight w:val="none"/>
                <w:lang w:eastAsia="zh-CN"/>
              </w:rPr>
              <w:t>生态系统为主，物种丰富度指数较低，植被群系分布也较匮乏、单一，区域分布的陆生动物、两栖类、兽类以及鸟类的种类和数量均较少，区域生态系统自然生产力较低，自然系统的阻抗力稳定性较差。</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2.环境空气质量现状</w:t>
            </w:r>
          </w:p>
          <w:p>
            <w:pPr>
              <w:pStyle w:val="50"/>
              <w:keepNext w:val="0"/>
              <w:keepLines w:val="0"/>
              <w:pageBreakBefore w:val="0"/>
              <w:widowControl w:val="0"/>
              <w:kinsoku/>
              <w:wordWrap/>
              <w:overflowPunct w:val="0"/>
              <w:topLinePunct w:val="0"/>
              <w:autoSpaceDE/>
              <w:autoSpaceDN/>
              <w:bidi w:val="0"/>
              <w:adjustRightInd w:val="0"/>
              <w:snapToGrid w:val="0"/>
              <w:spacing w:line="360" w:lineRule="auto"/>
              <w:textAlignment w:val="auto"/>
              <w:rPr>
                <w:rFonts w:hint="default" w:ascii="Times New Roman" w:hAnsi="Times New Roman" w:eastAsia="黑体" w:cs="Times New Roman"/>
                <w:b w:val="0"/>
                <w:bCs w:val="0"/>
                <w:color w:val="auto"/>
                <w:sz w:val="24"/>
                <w:szCs w:val="24"/>
                <w:highlight w:val="none"/>
              </w:rPr>
            </w:pPr>
            <w:r>
              <w:rPr>
                <w:rFonts w:hint="default" w:ascii="Times New Roman" w:hAnsi="Times New Roman" w:cs="Times New Roman"/>
                <w:color w:val="auto"/>
                <w:highlight w:val="none"/>
              </w:rPr>
              <w:t>本项目位于中卫市</w:t>
            </w:r>
            <w:r>
              <w:rPr>
                <w:rFonts w:hint="eastAsia" w:cs="Times New Roman"/>
                <w:color w:val="auto"/>
                <w:highlight w:val="none"/>
                <w:lang w:eastAsia="zh-CN"/>
              </w:rPr>
              <w:t>沙坡头区</w:t>
            </w:r>
            <w:r>
              <w:rPr>
                <w:rFonts w:hint="default" w:ascii="Times New Roman" w:hAnsi="Times New Roman" w:cs="Times New Roman"/>
                <w:color w:val="auto"/>
                <w:highlight w:val="none"/>
              </w:rPr>
              <w:t>，所在行政区划范围为</w:t>
            </w:r>
            <w:r>
              <w:rPr>
                <w:rFonts w:hint="default" w:ascii="Times New Roman" w:hAnsi="Times New Roman" w:cs="Times New Roman"/>
                <w:color w:val="auto"/>
                <w:highlight w:val="none"/>
                <w:lang w:eastAsia="zh-CN"/>
              </w:rPr>
              <w:t>中卫市</w:t>
            </w:r>
            <w:r>
              <w:rPr>
                <w:rFonts w:hint="eastAsia" w:cs="Times New Roman"/>
                <w:color w:val="auto"/>
                <w:highlight w:val="none"/>
                <w:lang w:eastAsia="zh-CN"/>
              </w:rPr>
              <w:t>沙坡头区</w:t>
            </w:r>
            <w:r>
              <w:rPr>
                <w:rFonts w:hint="default" w:ascii="Times New Roman" w:hAnsi="Times New Roman" w:cs="Times New Roman"/>
                <w:color w:val="auto"/>
                <w:highlight w:val="none"/>
              </w:rPr>
              <w:t>，为说明区域环境质量达标情况，按照《</w:t>
            </w:r>
            <w:r>
              <w:rPr>
                <w:rFonts w:hint="default" w:ascii="Times New Roman" w:hAnsi="Times New Roman" w:cs="Times New Roman"/>
                <w:color w:val="auto"/>
                <w:highlight w:val="none"/>
                <w:lang w:val="en-US" w:eastAsia="zh-CN"/>
              </w:rPr>
              <w:t>建设项目环境影响报告表编制技术指南（</w:t>
            </w:r>
            <w:r>
              <w:rPr>
                <w:rFonts w:hint="eastAsia" w:ascii="Times New Roman" w:hAnsi="Times New Roman" w:cs="Times New Roman"/>
                <w:color w:val="auto"/>
                <w:highlight w:val="none"/>
                <w:lang w:val="en-US" w:eastAsia="zh-CN"/>
              </w:rPr>
              <w:t>生态</w:t>
            </w:r>
            <w:r>
              <w:rPr>
                <w:rFonts w:hint="default" w:ascii="Times New Roman" w:hAnsi="Times New Roman" w:cs="Times New Roman"/>
                <w:color w:val="auto"/>
                <w:highlight w:val="none"/>
                <w:lang w:val="en-US" w:eastAsia="zh-CN"/>
              </w:rPr>
              <w:t>影响类）</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要求，</w:t>
            </w:r>
            <w:r>
              <w:rPr>
                <w:rFonts w:hint="default" w:ascii="Times New Roman" w:hAnsi="Times New Roman" w:cs="Times New Roman"/>
                <w:color w:val="auto"/>
                <w:highlight w:val="none"/>
              </w:rPr>
              <w:t>本次优先选用地方生态环境主管部门公开的环境质量报告书中的数据和结论作为数据达标判定依据来源。项目区域环境空气质量现状引用《</w:t>
            </w:r>
            <w:r>
              <w:rPr>
                <w:rFonts w:hint="default" w:ascii="Times New Roman" w:hAnsi="Times New Roman" w:cs="Times New Roman"/>
                <w:color w:val="auto"/>
                <w:highlight w:val="none"/>
                <w:lang w:val="en-US" w:eastAsia="zh-CN"/>
              </w:rPr>
              <w:t>202</w:t>
            </w:r>
            <w:r>
              <w:rPr>
                <w:rFonts w:hint="eastAsia" w:cs="Times New Roman"/>
                <w:color w:val="auto"/>
                <w:highlight w:val="none"/>
                <w:lang w:val="en-US" w:eastAsia="zh-CN"/>
              </w:rPr>
              <w:t>3</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eastAsia="zh-CN"/>
              </w:rPr>
              <w:t>宁夏</w:t>
            </w:r>
            <w:r>
              <w:rPr>
                <w:rFonts w:hint="default" w:ascii="Times New Roman" w:hAnsi="Times New Roman" w:cs="Times New Roman"/>
                <w:color w:val="auto"/>
                <w:highlight w:val="none"/>
              </w:rPr>
              <w:t>生态环境质量</w:t>
            </w:r>
            <w:r>
              <w:rPr>
                <w:rFonts w:hint="eastAsia" w:cs="Times New Roman"/>
                <w:color w:val="auto"/>
                <w:highlight w:val="none"/>
                <w:lang w:eastAsia="zh-CN"/>
              </w:rPr>
              <w:t>状况</w:t>
            </w:r>
            <w:r>
              <w:rPr>
                <w:rFonts w:hint="default" w:ascii="Times New Roman" w:hAnsi="Times New Roman" w:cs="Times New Roman"/>
                <w:color w:val="auto"/>
                <w:highlight w:val="none"/>
              </w:rPr>
              <w:t>》中</w:t>
            </w:r>
            <w:r>
              <w:rPr>
                <w:rFonts w:hint="default" w:ascii="Times New Roman" w:hAnsi="Times New Roman" w:cs="Times New Roman"/>
                <w:color w:val="auto"/>
                <w:highlight w:val="none"/>
                <w:lang w:val="en-US" w:eastAsia="zh-CN"/>
              </w:rPr>
              <w:t>202</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年</w:t>
            </w:r>
            <w:r>
              <w:rPr>
                <w:rFonts w:hint="eastAsia" w:cs="Times New Roman"/>
                <w:color w:val="auto"/>
                <w:highlight w:val="none"/>
                <w:lang w:eastAsia="zh-CN"/>
              </w:rPr>
              <w:t>沙坡头区</w:t>
            </w:r>
            <w:r>
              <w:rPr>
                <w:rFonts w:hint="default" w:ascii="Times New Roman" w:hAnsi="Times New Roman" w:cs="Times New Roman"/>
                <w:color w:val="auto"/>
                <w:highlight w:val="none"/>
              </w:rPr>
              <w:t>的现状监测数据，并对监测数据进行分析，说明区域环境空气质量达标情况。所在区域公布的环境空气质量现状评价具体见</w:t>
            </w:r>
            <w:r>
              <w:rPr>
                <w:rFonts w:hint="eastAsia" w:ascii="Times New Roman" w:hAnsi="Times New Roman" w:cs="Times New Roman"/>
                <w:color w:val="auto"/>
                <w:highlight w:val="none"/>
                <w:lang w:eastAsia="zh-CN"/>
              </w:rPr>
              <w:t>表</w:t>
            </w:r>
            <w:r>
              <w:rPr>
                <w:rFonts w:hint="eastAsia" w:cs="Times New Roman"/>
                <w:color w:val="auto"/>
                <w:highlight w:val="none"/>
                <w:lang w:val="en-US" w:eastAsia="zh-CN"/>
              </w:rPr>
              <w:t>3-1</w:t>
            </w:r>
            <w:r>
              <w:rPr>
                <w:rFonts w:hint="default" w:ascii="Times New Roman" w:hAnsi="Times New Roman" w:cs="Times New Roman"/>
                <w:color w:val="auto"/>
                <w:highlight w:val="none"/>
              </w:rPr>
              <w:t>。</w:t>
            </w:r>
          </w:p>
          <w:p>
            <w:pPr>
              <w:pStyle w:val="45"/>
              <w:bidi w:val="0"/>
              <w:ind w:firstLine="481"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eastAsia="宋体" w:cs="Times New Roman"/>
                <w:b/>
                <w:bCs/>
                <w:color w:val="auto"/>
                <w:sz w:val="24"/>
                <w:szCs w:val="24"/>
                <w:highlight w:val="none"/>
                <w:lang w:val="en-US" w:eastAsia="zh-CN"/>
              </w:rPr>
              <w:t>3-1</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en-US" w:eastAsia="zh-CN"/>
              </w:rPr>
              <w:t xml:space="preserve"> 项目所在区域环境现状监测数据统计表  </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单位：</w:t>
            </w:r>
            <w:r>
              <w:rPr>
                <w:rFonts w:hint="default" w:ascii="Times New Roman" w:hAnsi="Times New Roman" w:eastAsia="黑体" w:cs="Times New Roman"/>
                <w:b w:val="0"/>
                <w:bCs w:val="0"/>
                <w:color w:val="auto"/>
                <w:sz w:val="24"/>
                <w:szCs w:val="24"/>
                <w:highlight w:val="none"/>
              </w:rPr>
              <w:t>μg/m</w:t>
            </w:r>
            <w:r>
              <w:rPr>
                <w:rFonts w:hint="default" w:ascii="Times New Roman" w:hAnsi="Times New Roman" w:eastAsia="黑体" w:cs="Times New Roman"/>
                <w:b w:val="0"/>
                <w:bCs w:val="0"/>
                <w:color w:val="auto"/>
                <w:sz w:val="24"/>
                <w:szCs w:val="24"/>
                <w:highlight w:val="none"/>
                <w:vertAlign w:val="superscript"/>
              </w:rPr>
              <w:t>3</w:t>
            </w:r>
          </w:p>
          <w:tbl>
            <w:tblPr>
              <w:tblStyle w:val="28"/>
              <w:tblW w:w="495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9"/>
              <w:gridCol w:w="2227"/>
              <w:gridCol w:w="1643"/>
              <w:gridCol w:w="1494"/>
              <w:gridCol w:w="1074"/>
              <w:gridCol w:w="10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906" w:type="dxa"/>
                  <w:tcBorders>
                    <w:top w:val="single" w:color="auto" w:sz="12" w:space="0"/>
                    <w:left w:val="single" w:color="auto" w:sz="12" w:space="0"/>
                    <w:bottom w:val="single" w:color="auto" w:sz="6" w:space="0"/>
                    <w:right w:val="single" w:color="auto" w:sz="6" w:space="0"/>
                  </w:tcBorders>
                  <w:noWrap w:val="0"/>
                  <w:vAlign w:val="center"/>
                </w:tcPr>
                <w:p>
                  <w:pPr>
                    <w:adjustRightInd w:val="0"/>
                    <w:snapToGrid w:val="0"/>
                    <w:jc w:val="center"/>
                    <w:rPr>
                      <w:b/>
                      <w:bCs/>
                      <w:color w:val="auto"/>
                      <w:highlight w:val="none"/>
                    </w:rPr>
                  </w:pPr>
                  <w:r>
                    <w:rPr>
                      <w:b/>
                      <w:bCs/>
                      <w:color w:val="auto"/>
                      <w:highlight w:val="none"/>
                    </w:rPr>
                    <w:t>污染物</w:t>
                  </w:r>
                </w:p>
              </w:tc>
              <w:tc>
                <w:tcPr>
                  <w:tcW w:w="2080" w:type="dxa"/>
                  <w:tcBorders>
                    <w:top w:val="single" w:color="auto" w:sz="12" w:space="0"/>
                    <w:left w:val="single" w:color="auto" w:sz="6" w:space="0"/>
                    <w:bottom w:val="single" w:color="auto" w:sz="6" w:space="0"/>
                    <w:right w:val="single" w:color="auto" w:sz="6" w:space="0"/>
                  </w:tcBorders>
                  <w:noWrap w:val="0"/>
                  <w:vAlign w:val="center"/>
                </w:tcPr>
                <w:p>
                  <w:pPr>
                    <w:adjustRightInd w:val="0"/>
                    <w:snapToGrid w:val="0"/>
                    <w:jc w:val="center"/>
                    <w:rPr>
                      <w:b/>
                      <w:bCs/>
                      <w:color w:val="auto"/>
                      <w:highlight w:val="none"/>
                    </w:rPr>
                  </w:pPr>
                  <w:r>
                    <w:rPr>
                      <w:b/>
                      <w:bCs/>
                      <w:color w:val="auto"/>
                      <w:highlight w:val="none"/>
                    </w:rPr>
                    <w:t>年评价指标</w:t>
                  </w:r>
                </w:p>
              </w:tc>
              <w:tc>
                <w:tcPr>
                  <w:tcW w:w="1535" w:type="dxa"/>
                  <w:tcBorders>
                    <w:top w:val="single" w:color="auto" w:sz="12" w:space="0"/>
                    <w:left w:val="single" w:color="auto" w:sz="6" w:space="0"/>
                    <w:bottom w:val="single" w:color="auto" w:sz="6" w:space="0"/>
                    <w:right w:val="single" w:color="auto" w:sz="6" w:space="0"/>
                  </w:tcBorders>
                  <w:noWrap w:val="0"/>
                  <w:vAlign w:val="center"/>
                </w:tcPr>
                <w:p>
                  <w:pPr>
                    <w:adjustRightInd w:val="0"/>
                    <w:snapToGrid w:val="0"/>
                    <w:jc w:val="center"/>
                    <w:rPr>
                      <w:b/>
                      <w:bCs/>
                      <w:color w:val="auto"/>
                      <w:highlight w:val="none"/>
                    </w:rPr>
                  </w:pPr>
                  <w:r>
                    <w:rPr>
                      <w:b/>
                      <w:bCs/>
                      <w:color w:val="auto"/>
                      <w:highlight w:val="none"/>
                    </w:rPr>
                    <w:t>现状浓度（μg/m</w:t>
                  </w:r>
                  <w:r>
                    <w:rPr>
                      <w:b/>
                      <w:bCs/>
                      <w:color w:val="auto"/>
                      <w:highlight w:val="none"/>
                      <w:vertAlign w:val="superscript"/>
                    </w:rPr>
                    <w:t>3</w:t>
                  </w:r>
                  <w:r>
                    <w:rPr>
                      <w:b/>
                      <w:bCs/>
                      <w:color w:val="auto"/>
                      <w:highlight w:val="none"/>
                    </w:rPr>
                    <w:t>）</w:t>
                  </w:r>
                </w:p>
              </w:tc>
              <w:tc>
                <w:tcPr>
                  <w:tcW w:w="1396" w:type="dxa"/>
                  <w:tcBorders>
                    <w:top w:val="single" w:color="auto" w:sz="12" w:space="0"/>
                    <w:left w:val="single" w:color="auto" w:sz="6" w:space="0"/>
                    <w:bottom w:val="single" w:color="auto" w:sz="6" w:space="0"/>
                    <w:right w:val="single" w:color="auto" w:sz="6" w:space="0"/>
                  </w:tcBorders>
                  <w:noWrap w:val="0"/>
                  <w:vAlign w:val="center"/>
                </w:tcPr>
                <w:p>
                  <w:pPr>
                    <w:adjustRightInd w:val="0"/>
                    <w:snapToGrid w:val="0"/>
                    <w:jc w:val="center"/>
                    <w:rPr>
                      <w:b/>
                      <w:bCs/>
                      <w:color w:val="auto"/>
                      <w:highlight w:val="none"/>
                    </w:rPr>
                  </w:pPr>
                  <w:r>
                    <w:rPr>
                      <w:b/>
                      <w:bCs/>
                      <w:color w:val="auto"/>
                      <w:highlight w:val="none"/>
                    </w:rPr>
                    <w:t>标准值（μg/m</w:t>
                  </w:r>
                  <w:r>
                    <w:rPr>
                      <w:b/>
                      <w:bCs/>
                      <w:color w:val="auto"/>
                      <w:highlight w:val="none"/>
                      <w:vertAlign w:val="superscript"/>
                    </w:rPr>
                    <w:t>3</w:t>
                  </w:r>
                  <w:r>
                    <w:rPr>
                      <w:b/>
                      <w:bCs/>
                      <w:color w:val="auto"/>
                      <w:highlight w:val="none"/>
                    </w:rPr>
                    <w:t>）</w:t>
                  </w:r>
                </w:p>
              </w:tc>
              <w:tc>
                <w:tcPr>
                  <w:tcW w:w="1003" w:type="dxa"/>
                  <w:tcBorders>
                    <w:top w:val="single" w:color="auto" w:sz="12" w:space="0"/>
                    <w:left w:val="single" w:color="auto" w:sz="6" w:space="0"/>
                    <w:bottom w:val="single" w:color="auto" w:sz="6" w:space="0"/>
                    <w:right w:val="single" w:color="auto" w:sz="6" w:space="0"/>
                  </w:tcBorders>
                  <w:noWrap w:val="0"/>
                  <w:vAlign w:val="center"/>
                </w:tcPr>
                <w:p>
                  <w:pPr>
                    <w:adjustRightInd w:val="0"/>
                    <w:snapToGrid w:val="0"/>
                    <w:jc w:val="center"/>
                    <w:rPr>
                      <w:b/>
                      <w:bCs/>
                      <w:color w:val="auto"/>
                      <w:highlight w:val="none"/>
                    </w:rPr>
                  </w:pPr>
                  <w:r>
                    <w:rPr>
                      <w:b/>
                      <w:bCs/>
                      <w:color w:val="auto"/>
                      <w:highlight w:val="none"/>
                    </w:rPr>
                    <w:t>占标率/%</w:t>
                  </w:r>
                </w:p>
              </w:tc>
              <w:tc>
                <w:tcPr>
                  <w:tcW w:w="945" w:type="dxa"/>
                  <w:tcBorders>
                    <w:top w:val="single" w:color="auto" w:sz="12" w:space="0"/>
                    <w:left w:val="single" w:color="auto" w:sz="6" w:space="0"/>
                    <w:bottom w:val="single" w:color="auto" w:sz="6" w:space="0"/>
                    <w:right w:val="single" w:color="auto" w:sz="12" w:space="0"/>
                  </w:tcBorders>
                  <w:noWrap w:val="0"/>
                  <w:vAlign w:val="center"/>
                </w:tcPr>
                <w:p>
                  <w:pPr>
                    <w:adjustRightInd w:val="0"/>
                    <w:snapToGrid w:val="0"/>
                    <w:jc w:val="center"/>
                    <w:rPr>
                      <w:b/>
                      <w:bCs/>
                      <w:color w:val="auto"/>
                      <w:highlight w:val="none"/>
                    </w:rPr>
                  </w:pPr>
                  <w:r>
                    <w:rPr>
                      <w:b/>
                      <w:bCs/>
                      <w:color w:val="auto"/>
                      <w:highlight w:val="none"/>
                    </w:rPr>
                    <w:t>达标</w:t>
                  </w:r>
                </w:p>
                <w:p>
                  <w:pPr>
                    <w:adjustRightInd w:val="0"/>
                    <w:snapToGrid w:val="0"/>
                    <w:jc w:val="center"/>
                    <w:rPr>
                      <w:b/>
                      <w:bCs/>
                      <w:color w:val="auto"/>
                      <w:highlight w:val="none"/>
                    </w:rPr>
                  </w:pPr>
                  <w:r>
                    <w:rPr>
                      <w:b/>
                      <w:bCs/>
                      <w:color w:val="auto"/>
                      <w:highlight w:val="none"/>
                    </w:rP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906" w:type="dxa"/>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PM</w:t>
                  </w:r>
                  <w:r>
                    <w:rPr>
                      <w:color w:val="auto"/>
                      <w:highlight w:val="none"/>
                      <w:vertAlign w:val="subscript"/>
                    </w:rPr>
                    <w:t>10</w:t>
                  </w:r>
                </w:p>
              </w:tc>
              <w:tc>
                <w:tcPr>
                  <w:tcW w:w="2080"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年平均质量浓度</w:t>
                  </w:r>
                </w:p>
              </w:tc>
              <w:tc>
                <w:tcPr>
                  <w:tcW w:w="153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66</w:t>
                  </w:r>
                </w:p>
              </w:tc>
              <w:tc>
                <w:tcPr>
                  <w:tcW w:w="1396"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70</w:t>
                  </w:r>
                </w:p>
              </w:tc>
              <w:tc>
                <w:tcPr>
                  <w:tcW w:w="1003"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94.3</w:t>
                  </w:r>
                </w:p>
              </w:tc>
              <w:tc>
                <w:tcPr>
                  <w:tcW w:w="945" w:type="dxa"/>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color w:val="auto"/>
                      <w:highlight w:val="none"/>
                    </w:rPr>
                  </w:pPr>
                  <w:r>
                    <w:rPr>
                      <w:rFonts w:hint="eastAsia"/>
                      <w:color w:val="auto"/>
                      <w:highlight w:val="none"/>
                    </w:rPr>
                    <w:t>达</w:t>
                  </w:r>
                  <w:r>
                    <w:rPr>
                      <w:color w:val="auto"/>
                      <w:highlight w:val="none"/>
                    </w:rPr>
                    <w:t>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906" w:type="dxa"/>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PM</w:t>
                  </w:r>
                  <w:r>
                    <w:rPr>
                      <w:color w:val="auto"/>
                      <w:highlight w:val="none"/>
                      <w:vertAlign w:val="subscript"/>
                    </w:rPr>
                    <w:t>2.5</w:t>
                  </w:r>
                </w:p>
              </w:tc>
              <w:tc>
                <w:tcPr>
                  <w:tcW w:w="2080"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年平均质量浓度</w:t>
                  </w:r>
                </w:p>
              </w:tc>
              <w:tc>
                <w:tcPr>
                  <w:tcW w:w="153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28</w:t>
                  </w:r>
                </w:p>
              </w:tc>
              <w:tc>
                <w:tcPr>
                  <w:tcW w:w="1396"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35</w:t>
                  </w:r>
                </w:p>
              </w:tc>
              <w:tc>
                <w:tcPr>
                  <w:tcW w:w="1003"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80.0</w:t>
                  </w:r>
                </w:p>
              </w:tc>
              <w:tc>
                <w:tcPr>
                  <w:tcW w:w="945" w:type="dxa"/>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color w:val="auto"/>
                      <w:highlight w:val="none"/>
                    </w:rPr>
                  </w:pPr>
                  <w:r>
                    <w:rPr>
                      <w:rFonts w:hint="eastAsia"/>
                      <w:color w:val="auto"/>
                      <w:highlight w:val="none"/>
                    </w:rPr>
                    <w:t>达</w:t>
                  </w:r>
                  <w:r>
                    <w:rPr>
                      <w:color w:val="auto"/>
                      <w:highlight w:val="none"/>
                    </w:rPr>
                    <w:t>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906" w:type="dxa"/>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SO</w:t>
                  </w:r>
                  <w:r>
                    <w:rPr>
                      <w:color w:val="auto"/>
                      <w:highlight w:val="none"/>
                      <w:vertAlign w:val="subscript"/>
                    </w:rPr>
                    <w:t>2</w:t>
                  </w:r>
                </w:p>
              </w:tc>
              <w:tc>
                <w:tcPr>
                  <w:tcW w:w="2080"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年平均质量浓度</w:t>
                  </w:r>
                </w:p>
              </w:tc>
              <w:tc>
                <w:tcPr>
                  <w:tcW w:w="153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10</w:t>
                  </w:r>
                </w:p>
              </w:tc>
              <w:tc>
                <w:tcPr>
                  <w:tcW w:w="1396"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60</w:t>
                  </w:r>
                </w:p>
              </w:tc>
              <w:tc>
                <w:tcPr>
                  <w:tcW w:w="1003"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16.7</w:t>
                  </w:r>
                </w:p>
              </w:tc>
              <w:tc>
                <w:tcPr>
                  <w:tcW w:w="945" w:type="dxa"/>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906" w:type="dxa"/>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NO</w:t>
                  </w:r>
                  <w:r>
                    <w:rPr>
                      <w:color w:val="auto"/>
                      <w:highlight w:val="none"/>
                      <w:vertAlign w:val="subscript"/>
                    </w:rPr>
                    <w:t>2</w:t>
                  </w:r>
                </w:p>
              </w:tc>
              <w:tc>
                <w:tcPr>
                  <w:tcW w:w="2080"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年平均质量浓度</w:t>
                  </w:r>
                </w:p>
              </w:tc>
              <w:tc>
                <w:tcPr>
                  <w:tcW w:w="153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23</w:t>
                  </w:r>
                </w:p>
              </w:tc>
              <w:tc>
                <w:tcPr>
                  <w:tcW w:w="1396"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40</w:t>
                  </w:r>
                </w:p>
              </w:tc>
              <w:tc>
                <w:tcPr>
                  <w:tcW w:w="1003"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57.5</w:t>
                  </w:r>
                </w:p>
              </w:tc>
              <w:tc>
                <w:tcPr>
                  <w:tcW w:w="945" w:type="dxa"/>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906" w:type="dxa"/>
                  <w:tcBorders>
                    <w:top w:val="single" w:color="auto" w:sz="6" w:space="0"/>
                    <w:left w:val="single" w:color="auto" w:sz="12"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CO</w:t>
                  </w:r>
                </w:p>
              </w:tc>
              <w:tc>
                <w:tcPr>
                  <w:tcW w:w="2080"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24小时平均第95百分数（mg/m</w:t>
                  </w:r>
                  <w:r>
                    <w:rPr>
                      <w:color w:val="auto"/>
                      <w:highlight w:val="none"/>
                      <w:vertAlign w:val="superscript"/>
                    </w:rPr>
                    <w:t>3</w:t>
                  </w:r>
                  <w:r>
                    <w:rPr>
                      <w:color w:val="auto"/>
                      <w:highlight w:val="none"/>
                    </w:rPr>
                    <w:t>）</w:t>
                  </w:r>
                </w:p>
              </w:tc>
              <w:tc>
                <w:tcPr>
                  <w:tcW w:w="153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0.7</w:t>
                  </w:r>
                </w:p>
              </w:tc>
              <w:tc>
                <w:tcPr>
                  <w:tcW w:w="1396"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color w:val="auto"/>
                      <w:highlight w:val="none"/>
                    </w:rPr>
                  </w:pPr>
                  <w:r>
                    <w:rPr>
                      <w:color w:val="auto"/>
                      <w:highlight w:val="none"/>
                    </w:rPr>
                    <w:t>4</w:t>
                  </w:r>
                </w:p>
              </w:tc>
              <w:tc>
                <w:tcPr>
                  <w:tcW w:w="1003"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17.5</w:t>
                  </w:r>
                </w:p>
              </w:tc>
              <w:tc>
                <w:tcPr>
                  <w:tcW w:w="945" w:type="dxa"/>
                  <w:tcBorders>
                    <w:top w:val="single" w:color="auto" w:sz="6" w:space="0"/>
                    <w:left w:val="single" w:color="auto" w:sz="6" w:space="0"/>
                    <w:bottom w:val="single" w:color="auto" w:sz="6" w:space="0"/>
                    <w:right w:val="single" w:color="auto" w:sz="12" w:space="0"/>
                  </w:tcBorders>
                  <w:noWrap w:val="0"/>
                  <w:vAlign w:val="center"/>
                </w:tcPr>
                <w:p>
                  <w:pPr>
                    <w:adjustRightInd w:val="0"/>
                    <w:snapToGrid w:val="0"/>
                    <w:jc w:val="center"/>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906" w:type="dxa"/>
                  <w:tcBorders>
                    <w:top w:val="single" w:color="auto" w:sz="6" w:space="0"/>
                    <w:left w:val="single" w:color="auto" w:sz="12" w:space="0"/>
                    <w:bottom w:val="single" w:color="auto" w:sz="12" w:space="0"/>
                    <w:right w:val="single" w:color="auto" w:sz="6" w:space="0"/>
                  </w:tcBorders>
                  <w:noWrap w:val="0"/>
                  <w:vAlign w:val="center"/>
                </w:tcPr>
                <w:p>
                  <w:pPr>
                    <w:adjustRightInd w:val="0"/>
                    <w:snapToGrid w:val="0"/>
                    <w:jc w:val="center"/>
                    <w:rPr>
                      <w:color w:val="auto"/>
                      <w:highlight w:val="none"/>
                    </w:rPr>
                  </w:pPr>
                  <w:r>
                    <w:rPr>
                      <w:color w:val="auto"/>
                      <w:highlight w:val="none"/>
                    </w:rPr>
                    <w:t>O</w:t>
                  </w:r>
                  <w:r>
                    <w:rPr>
                      <w:color w:val="auto"/>
                      <w:highlight w:val="none"/>
                      <w:vertAlign w:val="subscript"/>
                    </w:rPr>
                    <w:t>3</w:t>
                  </w:r>
                </w:p>
              </w:tc>
              <w:tc>
                <w:tcPr>
                  <w:tcW w:w="2080" w:type="dxa"/>
                  <w:tcBorders>
                    <w:top w:val="single" w:color="auto" w:sz="6" w:space="0"/>
                    <w:left w:val="single" w:color="auto" w:sz="6" w:space="0"/>
                    <w:bottom w:val="single" w:color="auto" w:sz="12" w:space="0"/>
                    <w:right w:val="single" w:color="auto" w:sz="6" w:space="0"/>
                  </w:tcBorders>
                  <w:noWrap w:val="0"/>
                  <w:vAlign w:val="center"/>
                </w:tcPr>
                <w:p>
                  <w:pPr>
                    <w:adjustRightInd w:val="0"/>
                    <w:snapToGrid w:val="0"/>
                    <w:jc w:val="center"/>
                    <w:rPr>
                      <w:color w:val="auto"/>
                      <w:highlight w:val="none"/>
                    </w:rPr>
                  </w:pPr>
                  <w:r>
                    <w:rPr>
                      <w:color w:val="auto"/>
                      <w:highlight w:val="none"/>
                    </w:rPr>
                    <w:t>日最大8小时滑动平均值的第90百分数</w:t>
                  </w:r>
                </w:p>
              </w:tc>
              <w:tc>
                <w:tcPr>
                  <w:tcW w:w="1535" w:type="dxa"/>
                  <w:tcBorders>
                    <w:top w:val="single" w:color="auto" w:sz="6" w:space="0"/>
                    <w:left w:val="single" w:color="auto" w:sz="6" w:space="0"/>
                    <w:bottom w:val="single" w:color="auto" w:sz="12" w:space="0"/>
                    <w:right w:val="single" w:color="auto" w:sz="6" w:space="0"/>
                  </w:tcBorders>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140</w:t>
                  </w:r>
                </w:p>
              </w:tc>
              <w:tc>
                <w:tcPr>
                  <w:tcW w:w="1396" w:type="dxa"/>
                  <w:tcBorders>
                    <w:top w:val="single" w:color="auto" w:sz="6" w:space="0"/>
                    <w:left w:val="single" w:color="auto" w:sz="6" w:space="0"/>
                    <w:bottom w:val="single" w:color="auto" w:sz="12" w:space="0"/>
                    <w:right w:val="single" w:color="auto" w:sz="6" w:space="0"/>
                  </w:tcBorders>
                  <w:noWrap w:val="0"/>
                  <w:vAlign w:val="center"/>
                </w:tcPr>
                <w:p>
                  <w:pPr>
                    <w:adjustRightInd w:val="0"/>
                    <w:snapToGrid w:val="0"/>
                    <w:jc w:val="center"/>
                    <w:rPr>
                      <w:color w:val="auto"/>
                      <w:highlight w:val="none"/>
                    </w:rPr>
                  </w:pPr>
                  <w:r>
                    <w:rPr>
                      <w:color w:val="auto"/>
                      <w:highlight w:val="none"/>
                    </w:rPr>
                    <w:t>160</w:t>
                  </w:r>
                </w:p>
              </w:tc>
              <w:tc>
                <w:tcPr>
                  <w:tcW w:w="1003" w:type="dxa"/>
                  <w:tcBorders>
                    <w:top w:val="single" w:color="auto" w:sz="6" w:space="0"/>
                    <w:left w:val="single" w:color="auto" w:sz="6" w:space="0"/>
                    <w:bottom w:val="single" w:color="auto" w:sz="12" w:space="0"/>
                    <w:right w:val="single" w:color="auto" w:sz="6" w:space="0"/>
                  </w:tcBorders>
                  <w:noWrap w:val="0"/>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87.5</w:t>
                  </w:r>
                </w:p>
              </w:tc>
              <w:tc>
                <w:tcPr>
                  <w:tcW w:w="945" w:type="dxa"/>
                  <w:tcBorders>
                    <w:top w:val="single" w:color="auto" w:sz="6" w:space="0"/>
                    <w:left w:val="single" w:color="auto" w:sz="6" w:space="0"/>
                    <w:bottom w:val="single" w:color="auto" w:sz="12" w:space="0"/>
                    <w:right w:val="single" w:color="auto" w:sz="12" w:space="0"/>
                  </w:tcBorders>
                  <w:noWrap w:val="0"/>
                  <w:vAlign w:val="center"/>
                </w:tcPr>
                <w:p>
                  <w:pPr>
                    <w:adjustRightInd w:val="0"/>
                    <w:snapToGrid w:val="0"/>
                    <w:jc w:val="center"/>
                    <w:rPr>
                      <w:color w:val="auto"/>
                      <w:highlight w:val="none"/>
                    </w:rPr>
                  </w:pPr>
                  <w:r>
                    <w:rPr>
                      <w:rFonts w:hint="eastAsia"/>
                      <w:color w:val="auto"/>
                      <w:highlight w:val="none"/>
                    </w:rPr>
                    <w:t>达</w:t>
                  </w:r>
                  <w:r>
                    <w:rPr>
                      <w:color w:val="auto"/>
                      <w:highlight w:val="none"/>
                    </w:rPr>
                    <w:t>标</w:t>
                  </w:r>
                </w:p>
              </w:tc>
            </w:tr>
          </w:tbl>
          <w:p>
            <w:pPr>
              <w:pStyle w:val="50"/>
              <w:keepNext w:val="0"/>
              <w:keepLines w:val="0"/>
              <w:pageBreakBefore w:val="0"/>
              <w:widowControl w:val="0"/>
              <w:kinsoku/>
              <w:wordWrap/>
              <w:overflowPunct w:val="0"/>
              <w:topLinePunct w:val="0"/>
              <w:autoSpaceDE/>
              <w:autoSpaceDN/>
              <w:bidi w:val="0"/>
              <w:adjustRightInd w:val="0"/>
              <w:snapToGrid w:val="0"/>
              <w:spacing w:line="360" w:lineRule="auto"/>
              <w:textAlignment w:val="auto"/>
              <w:rPr>
                <w:rFonts w:hint="default" w:ascii="Times New Roman" w:hAnsi="Times New Roman" w:cs="Times New Roman"/>
                <w:color w:val="auto"/>
                <w:highlight w:val="none"/>
              </w:rPr>
            </w:pPr>
            <w:r>
              <w:rPr>
                <w:rFonts w:hint="eastAsia"/>
                <w:color w:val="auto"/>
                <w:highlight w:val="none"/>
                <w:lang w:eastAsia="zh-CN"/>
              </w:rPr>
              <w:t>根据</w:t>
            </w:r>
            <w:r>
              <w:rPr>
                <w:rFonts w:hint="eastAsia"/>
                <w:color w:val="auto"/>
                <w:highlight w:val="none"/>
                <w:lang w:val="en-US" w:eastAsia="zh-CN"/>
              </w:rPr>
              <w:t>HJ663-2013判定，项目所在区大气环境质量现状达标</w:t>
            </w:r>
            <w:r>
              <w:rPr>
                <w:rFonts w:hint="default"/>
                <w:color w:val="auto"/>
                <w:highlight w:val="none"/>
              </w:rPr>
              <w:t>。</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3.地表水环境质量状况</w:t>
            </w:r>
          </w:p>
          <w:p>
            <w:pPr>
              <w:pStyle w:val="50"/>
              <w:keepNext w:val="0"/>
              <w:keepLines w:val="0"/>
              <w:pageBreakBefore w:val="0"/>
              <w:widowControl w:val="0"/>
              <w:kinsoku/>
              <w:wordWrap/>
              <w:topLinePunct w:val="0"/>
              <w:autoSpaceDE/>
              <w:autoSpaceDN/>
              <w:bidi w:val="0"/>
              <w:adjustRightInd w:val="0"/>
              <w:snapToGrid w:val="0"/>
              <w:spacing w:line="360" w:lineRule="auto"/>
              <w:rPr>
                <w:rFonts w:hint="eastAsia" w:cs="Times New Roman"/>
                <w:color w:val="auto"/>
                <w:highlight w:val="none"/>
                <w:lang w:val="en-US" w:eastAsia="zh-CN"/>
              </w:rPr>
            </w:pPr>
            <w:r>
              <w:rPr>
                <w:rFonts w:hint="default" w:ascii="Times New Roman" w:hAnsi="Times New Roman" w:cs="Times New Roman"/>
                <w:color w:val="auto"/>
                <w:highlight w:val="none"/>
                <w:lang w:eastAsia="zh-CN"/>
              </w:rPr>
              <w:t>根据《建设项目环境影响报告表编制技术指南》（生态影响类）要求：“项目涉及的水、大气、声、土壤等其他环境要素，应明确项目所在区域的环境质量现状”。</w:t>
            </w:r>
            <w:r>
              <w:rPr>
                <w:rFonts w:hint="eastAsia" w:cs="Times New Roman"/>
                <w:color w:val="auto"/>
                <w:highlight w:val="none"/>
                <w:lang w:eastAsia="zh-CN"/>
              </w:rPr>
              <w:t>本项目周边无地表水体，因此，不开展地表水环境质量现状调查</w:t>
            </w:r>
            <w:r>
              <w:rPr>
                <w:rFonts w:hint="eastAsia" w:cs="Times New Roman"/>
                <w:color w:val="auto"/>
                <w:highlight w:val="none"/>
                <w:lang w:val="en-US" w:eastAsia="zh-CN"/>
              </w:rPr>
              <w:t>。</w:t>
            </w:r>
          </w:p>
          <w:p>
            <w:pPr>
              <w:pStyle w:val="5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lang w:val="en-US" w:eastAsia="zh-CN"/>
              </w:rPr>
              <w:t>.声环境质量状况</w:t>
            </w:r>
          </w:p>
          <w:p>
            <w:pPr>
              <w:pStyle w:val="61"/>
              <w:keepNext w:val="0"/>
              <w:keepLines w:val="0"/>
              <w:pageBreakBefore w:val="0"/>
              <w:widowControl w:val="0"/>
              <w:kinsoku/>
              <w:wordWrap/>
              <w:topLinePunct w:val="0"/>
              <w:autoSpaceDE/>
              <w:autoSpaceDN/>
              <w:bidi w:val="0"/>
              <w:adjustRightInd w:val="0"/>
              <w:snapToGrid w:val="0"/>
              <w:spacing w:line="360" w:lineRule="auto"/>
              <w:ind w:firstLine="480" w:firstLineChars="200"/>
              <w:rPr>
                <w:rFonts w:hint="default" w:ascii="Times New Roman" w:hAnsi="Times New Roman" w:eastAsia="仿宋_GB2312" w:cs="Times New Roman"/>
                <w:color w:val="auto"/>
                <w:kern w:val="2"/>
                <w:szCs w:val="24"/>
                <w:highlight w:val="none"/>
              </w:rPr>
            </w:pPr>
            <w:r>
              <w:rPr>
                <w:rFonts w:hint="default" w:ascii="Times New Roman" w:hAnsi="Times New Roman" w:eastAsia="仿宋_GB2312" w:cs="Times New Roman"/>
                <w:color w:val="auto"/>
                <w:sz w:val="24"/>
                <w:szCs w:val="24"/>
                <w:highlight w:val="none"/>
                <w:lang w:eastAsia="zh-CN"/>
              </w:rPr>
              <w:t>根据《建设项目环境影响报告表编制技术指南》（生态影响类）要求：“项目涉及的水、大气、声、土壤等其他环境要素，应明确项目所在区域的环境质量现状”。根据实地调查，</w:t>
            </w:r>
            <w:r>
              <w:rPr>
                <w:rFonts w:hint="eastAsia" w:eastAsia="仿宋_GB2312" w:cs="Times New Roman"/>
                <w:color w:val="auto"/>
                <w:sz w:val="24"/>
                <w:szCs w:val="24"/>
                <w:highlight w:val="none"/>
                <w:lang w:eastAsia="zh-CN"/>
              </w:rPr>
              <w:t>本工程建成后</w:t>
            </w:r>
            <w:r>
              <w:rPr>
                <w:rFonts w:hint="default" w:ascii="Times New Roman" w:hAnsi="Times New Roman" w:eastAsia="仿宋_GB2312" w:cs="Times New Roman"/>
                <w:color w:val="auto"/>
                <w:sz w:val="24"/>
                <w:szCs w:val="24"/>
                <w:highlight w:val="none"/>
                <w:lang w:val="en-US" w:eastAsia="zh-CN"/>
              </w:rPr>
              <w:t>场</w:t>
            </w:r>
            <w:r>
              <w:rPr>
                <w:rFonts w:hint="default" w:ascii="Times New Roman" w:hAnsi="Times New Roman" w:eastAsia="仿宋_GB2312" w:cs="Times New Roman"/>
                <w:color w:val="auto"/>
                <w:sz w:val="24"/>
                <w:szCs w:val="24"/>
                <w:highlight w:val="none"/>
                <w:lang w:eastAsia="zh-CN"/>
              </w:rPr>
              <w:t>界外周边</w:t>
            </w:r>
            <w:r>
              <w:rPr>
                <w:rFonts w:hint="eastAsia" w:eastAsia="仿宋_GB2312" w:cs="Times New Roman"/>
                <w:color w:val="auto"/>
                <w:sz w:val="24"/>
                <w:szCs w:val="24"/>
                <w:highlight w:val="none"/>
                <w:lang w:val="en-US" w:eastAsia="zh-CN"/>
              </w:rPr>
              <w:t>200</w:t>
            </w:r>
            <w:r>
              <w:rPr>
                <w:rFonts w:hint="default" w:ascii="Times New Roman" w:hAnsi="Times New Roman" w:eastAsia="仿宋_GB2312" w:cs="Times New Roman"/>
                <w:color w:val="auto"/>
                <w:sz w:val="24"/>
                <w:szCs w:val="24"/>
                <w:highlight w:val="none"/>
                <w:lang w:eastAsia="zh-CN"/>
              </w:rPr>
              <w:t>米范围内无环境敏感目标，因此，不再开展声环境质量现状调查</w:t>
            </w:r>
            <w:r>
              <w:rPr>
                <w:rFonts w:hint="default" w:ascii="Times New Roman" w:hAnsi="Times New Roman" w:eastAsia="仿宋_GB2312" w:cs="Times New Roman"/>
                <w:color w:val="auto"/>
                <w:kern w:val="2"/>
                <w:szCs w:val="24"/>
                <w:highlight w:val="none"/>
              </w:rPr>
              <w:t>。</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5.地下水及土壤环境质量状况</w:t>
            </w:r>
          </w:p>
          <w:p>
            <w:pPr>
              <w:pStyle w:val="50"/>
              <w:keepNext w:val="0"/>
              <w:keepLines w:val="0"/>
              <w:pageBreakBefore w:val="0"/>
              <w:widowControl w:val="0"/>
              <w:kinsoku/>
              <w:wordWrap/>
              <w:topLinePunct w:val="0"/>
              <w:autoSpaceDE/>
              <w:autoSpaceDN/>
              <w:bidi w:val="0"/>
              <w:adjustRightInd w:val="0"/>
              <w:snapToGrid w:val="0"/>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rPr>
              <w:t>根据《建设项目环境影响报告表编制技术指南》（生态影响类）要求：“项目涉及的水、大气、声、土壤等其他环境要素，应明确项目所在区域的环境质量现状”。本项目为</w:t>
            </w:r>
            <w:r>
              <w:rPr>
                <w:rFonts w:hint="eastAsia" w:cs="Times New Roman"/>
                <w:color w:val="auto"/>
                <w:sz w:val="24"/>
                <w:szCs w:val="24"/>
                <w:highlight w:val="none"/>
                <w:lang w:eastAsia="zh-CN"/>
              </w:rPr>
              <w:t>风力发电建设</w:t>
            </w:r>
            <w:r>
              <w:rPr>
                <w:rFonts w:hint="default" w:ascii="Times New Roman" w:hAnsi="Times New Roman" w:eastAsia="仿宋_GB2312" w:cs="Times New Roman"/>
                <w:color w:val="auto"/>
                <w:sz w:val="24"/>
                <w:szCs w:val="24"/>
                <w:highlight w:val="none"/>
              </w:rPr>
              <w:t>项目，不存在</w:t>
            </w:r>
            <w:r>
              <w:rPr>
                <w:rFonts w:hint="default" w:ascii="Times New Roman" w:hAnsi="Times New Roman" w:cs="Times New Roman"/>
                <w:color w:val="auto"/>
                <w:sz w:val="24"/>
                <w:szCs w:val="24"/>
                <w:highlight w:val="none"/>
                <w:lang w:eastAsia="zh-CN"/>
              </w:rPr>
              <w:t>地下水及</w:t>
            </w:r>
            <w:r>
              <w:rPr>
                <w:rFonts w:hint="default" w:ascii="Times New Roman" w:hAnsi="Times New Roman" w:eastAsia="仿宋_GB2312" w:cs="Times New Roman"/>
                <w:color w:val="auto"/>
                <w:sz w:val="24"/>
                <w:szCs w:val="24"/>
                <w:highlight w:val="none"/>
              </w:rPr>
              <w:t>土壤环境污染途径</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因此本项目不</w:t>
            </w:r>
            <w:r>
              <w:rPr>
                <w:rFonts w:hint="default" w:ascii="Times New Roman" w:hAnsi="Times New Roman" w:eastAsia="仿宋_GB2312" w:cs="Times New Roman"/>
                <w:color w:val="auto"/>
                <w:sz w:val="24"/>
                <w:szCs w:val="24"/>
                <w:highlight w:val="none"/>
                <w:lang w:eastAsia="zh-CN"/>
              </w:rPr>
              <w:t>再开展</w:t>
            </w:r>
            <w:r>
              <w:rPr>
                <w:rFonts w:hint="default" w:ascii="Times New Roman" w:hAnsi="Times New Roman" w:eastAsia="仿宋_GB2312" w:cs="Times New Roman"/>
                <w:color w:val="auto"/>
                <w:sz w:val="24"/>
                <w:szCs w:val="24"/>
                <w:highlight w:val="none"/>
              </w:rPr>
              <w:t>地下水、土壤环境现状调查。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86" w:hRule="atLeast"/>
          <w:jc w:val="center"/>
        </w:trPr>
        <w:tc>
          <w:tcPr>
            <w:tcW w:w="60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生态环境现状</w:t>
            </w:r>
          </w:p>
        </w:tc>
        <w:tc>
          <w:tcPr>
            <w:tcW w:w="8750" w:type="dxa"/>
            <w:vMerge w:val="continue"/>
            <w:tcBorders>
              <w:tl2br w:val="nil"/>
              <w:tr2bl w:val="nil"/>
            </w:tcBorders>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604" w:type="dxa"/>
            <w:tcBorders>
              <w:tl2br w:val="nil"/>
              <w:tr2bl w:val="nil"/>
            </w:tcBorders>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生态环境现状</w:t>
            </w:r>
          </w:p>
        </w:tc>
        <w:tc>
          <w:tcPr>
            <w:tcW w:w="8750" w:type="dxa"/>
            <w:vMerge w:val="continue"/>
            <w:tcBorders>
              <w:tl2br w:val="nil"/>
              <w:tr2bl w:val="nil"/>
            </w:tcBorders>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dxa"/>
            <w:tcBorders>
              <w:tl2br w:val="nil"/>
              <w:tr2bl w:val="nil"/>
            </w:tcBorders>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与项目有关的原有环境污染和生态破坏问题</w:t>
            </w:r>
          </w:p>
        </w:tc>
        <w:tc>
          <w:tcPr>
            <w:tcW w:w="8750" w:type="dxa"/>
            <w:tcBorders>
              <w:tl2br w:val="nil"/>
              <w:tr2bl w:val="nil"/>
            </w:tcBorders>
            <w:vAlign w:val="top"/>
          </w:tcPr>
          <w:p>
            <w:pPr>
              <w:pStyle w:val="50"/>
              <w:keepNext w:val="0"/>
              <w:keepLines w:val="0"/>
              <w:pageBreakBefore w:val="0"/>
              <w:widowControl w:val="0"/>
              <w:kinsoku/>
              <w:wordWrap/>
              <w:overflowPunct w:val="0"/>
              <w:topLinePunct w:val="0"/>
              <w:autoSpaceDE/>
              <w:autoSpaceDN/>
              <w:bidi w:val="0"/>
              <w:adjustRightInd w:val="0"/>
              <w:snapToGrid w:val="0"/>
              <w:spacing w:before="157" w:beforeLines="50"/>
              <w:jc w:val="both"/>
              <w:textAlignment w:val="auto"/>
              <w:rPr>
                <w:rFonts w:hint="default"/>
                <w:color w:val="auto"/>
                <w:highlight w:val="none"/>
                <w:lang w:val="en-US" w:eastAsia="zh-CN"/>
              </w:rPr>
            </w:pPr>
            <w:r>
              <w:rPr>
                <w:rFonts w:hint="eastAsia"/>
                <w:color w:val="auto"/>
                <w:highlight w:val="none"/>
                <w:lang w:eastAsia="zh-CN"/>
              </w:rPr>
              <w:t>本项目为新建项目，永久占地</w:t>
            </w:r>
            <w:r>
              <w:rPr>
                <w:rFonts w:hint="eastAsia"/>
                <w:color w:val="auto"/>
                <w:highlight w:val="none"/>
                <w:lang w:val="zh-CN" w:eastAsia="zh-CN"/>
              </w:rPr>
              <w:t>类型为天然牧草地</w:t>
            </w:r>
            <w:r>
              <w:rPr>
                <w:rFonts w:hint="eastAsia"/>
                <w:color w:val="auto"/>
                <w:highlight w:val="none"/>
                <w:lang w:eastAsia="zh-CN"/>
              </w:rPr>
              <w:t>。</w:t>
            </w:r>
            <w:r>
              <w:rPr>
                <w:rFonts w:hint="eastAsia"/>
                <w:color w:val="auto"/>
                <w:highlight w:val="none"/>
                <w:lang w:val="en-US" w:eastAsia="zh-CN"/>
              </w:rPr>
              <w:t>不存在与项目有关的原有环境污染和生态破坏问题</w:t>
            </w:r>
            <w:r>
              <w:rPr>
                <w:rFonts w:hint="eastAsia"/>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6" w:hRule="atLeast"/>
          <w:jc w:val="center"/>
        </w:trPr>
        <w:tc>
          <w:tcPr>
            <w:tcW w:w="604" w:type="dxa"/>
            <w:tcBorders>
              <w:tl2br w:val="nil"/>
              <w:tr2bl w:val="nil"/>
            </w:tcBorders>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生态环境保护目标</w:t>
            </w:r>
          </w:p>
        </w:tc>
        <w:tc>
          <w:tcPr>
            <w:tcW w:w="8750" w:type="dxa"/>
            <w:tcBorders>
              <w:tl2br w:val="nil"/>
              <w:tr2bl w:val="nil"/>
            </w:tcBorders>
            <w:vAlign w:val="top"/>
          </w:tcPr>
          <w:p>
            <w:pPr>
              <w:pStyle w:val="50"/>
              <w:bidi w:val="0"/>
              <w:ind w:left="0" w:leftChars="0"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项目建设地点位于</w:t>
            </w:r>
            <w:r>
              <w:rPr>
                <w:rFonts w:hint="eastAsia" w:cs="Times New Roman"/>
                <w:color w:val="auto"/>
                <w:highlight w:val="none"/>
                <w:lang w:val="en-US" w:eastAsia="zh-CN"/>
              </w:rPr>
              <w:t>中卫市沙坡头区</w:t>
            </w:r>
            <w:r>
              <w:rPr>
                <w:rFonts w:hint="default" w:ascii="Times New Roman" w:hAnsi="Times New Roman" w:cs="Times New Roman"/>
                <w:color w:val="auto"/>
                <w:highlight w:val="none"/>
                <w:lang w:val="en-US" w:eastAsia="zh-CN"/>
              </w:rPr>
              <w:t>，根据现场调查，根据《环境影响评价技术导则 ·生态影响》（HJ19-2022）“6.1评价等级判定”</w:t>
            </w:r>
            <w:r>
              <w:rPr>
                <w:rFonts w:hint="eastAsia" w:cs="Times New Roman"/>
                <w:color w:val="auto"/>
                <w:highlight w:val="none"/>
                <w:lang w:val="en-US" w:eastAsia="zh-CN"/>
              </w:rPr>
              <w:t>本项目生态影响评价等级为三级，</w:t>
            </w:r>
            <w:r>
              <w:rPr>
                <w:rFonts w:hint="eastAsia"/>
                <w:color w:val="auto"/>
                <w:highlight w:val="none"/>
                <w:lang w:eastAsia="zh-CN"/>
              </w:rPr>
              <w:t>评价范围为</w:t>
            </w:r>
            <w:r>
              <w:rPr>
                <w:rFonts w:hint="eastAsia" w:cs="Times New Roman"/>
                <w:color w:val="auto"/>
                <w:highlight w:val="none"/>
                <w:lang w:val="en-US" w:eastAsia="zh-CN"/>
              </w:rPr>
              <w:t>项目边界500米范围，评价范围内无水源地、名胜古迹、自然保护区、温泉、疗养地等国家明令规定的保护对象，有</w:t>
            </w:r>
            <w:r>
              <w:rPr>
                <w:rFonts w:hint="default" w:cs="Times New Roman"/>
                <w:color w:val="auto"/>
                <w:highlight w:val="none"/>
                <w:lang w:val="en-US" w:eastAsia="zh-CN"/>
              </w:rPr>
              <w:t>国家二级保护野生植物</w:t>
            </w:r>
            <w:r>
              <w:rPr>
                <w:rFonts w:hint="eastAsia" w:cs="Times New Roman"/>
                <w:color w:val="auto"/>
                <w:highlight w:val="none"/>
                <w:lang w:val="en-US" w:eastAsia="zh-CN"/>
              </w:rPr>
              <w:t>蒙古扁桃零星分布；依据《环境影响评价技术导则 声环境》（HJ2.4-2021），本项目位于声环境功能区为GB3096规定的1类区，因此，确定本项目声环境评价等级为二级</w:t>
            </w:r>
            <w:r>
              <w:rPr>
                <w:rFonts w:hint="eastAsia"/>
                <w:color w:val="auto"/>
                <w:highlight w:val="none"/>
                <w:lang w:eastAsia="zh-CN"/>
              </w:rPr>
              <w:t>，评价范围为项目占地范围外</w:t>
            </w:r>
            <w:r>
              <w:rPr>
                <w:rFonts w:hint="eastAsia"/>
                <w:color w:val="auto"/>
                <w:highlight w:val="none"/>
                <w:lang w:val="en-US" w:eastAsia="zh-CN"/>
              </w:rPr>
              <w:t>200m</w:t>
            </w:r>
            <w:r>
              <w:rPr>
                <w:rFonts w:hint="eastAsia" w:cs="Times New Roman"/>
                <w:color w:val="auto"/>
                <w:highlight w:val="none"/>
                <w:lang w:val="en-US" w:eastAsia="zh-CN"/>
              </w:rPr>
              <w:t>；根据《环境影响评价技术导则地表水环境》（HJ 2.3-2018），本项目运营期为无人值守，无生活废水及生产废水产生及排放，故不划分评价等级级范围；根据《环境影响评价技术导则大气环境》（HJ2.2-2018）中关于工作等级划分表的依据，本次仅进行简要的环境空气影响分析。</w:t>
            </w:r>
          </w:p>
          <w:p>
            <w:pPr>
              <w:pStyle w:val="50"/>
              <w:bidi w:val="0"/>
              <w:ind w:left="0" w:leftChars="0"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环境保护目标主要为占地范围内的生态环境。</w:t>
            </w:r>
          </w:p>
          <w:p>
            <w:pPr>
              <w:pStyle w:val="50"/>
              <w:bidi w:val="0"/>
              <w:spacing w:line="240" w:lineRule="auto"/>
              <w:ind w:left="0" w:leftChars="0" w:firstLine="481" w:firstLineChars="200"/>
              <w:jc w:val="both"/>
              <w:rPr>
                <w:rFonts w:hint="default" w:ascii="Times New Roman" w:hAnsi="Times New Roman" w:cs="Times New Roman" w:eastAsiaTheme="majorEastAsia"/>
                <w:b/>
                <w:bCs/>
                <w:color w:val="auto"/>
                <w:kern w:val="2"/>
                <w:sz w:val="24"/>
                <w:szCs w:val="24"/>
                <w:highlight w:val="none"/>
                <w:lang w:val="en-US" w:eastAsia="zh-CN" w:bidi="ar-SA"/>
              </w:rPr>
            </w:pPr>
            <w:r>
              <w:rPr>
                <w:rFonts w:hint="default" w:ascii="Times New Roman" w:hAnsi="Times New Roman" w:cs="Times New Roman" w:eastAsiaTheme="majorEastAsia"/>
                <w:b/>
                <w:bCs/>
                <w:color w:val="auto"/>
                <w:kern w:val="2"/>
                <w:sz w:val="24"/>
                <w:szCs w:val="24"/>
                <w:highlight w:val="none"/>
                <w:lang w:val="en-US" w:eastAsia="zh-CN" w:bidi="ar-SA"/>
              </w:rPr>
              <w:t>表</w:t>
            </w:r>
            <w:r>
              <w:rPr>
                <w:rFonts w:hint="eastAsia" w:cs="Times New Roman" w:eastAsiaTheme="majorEastAsia"/>
                <w:b/>
                <w:bCs/>
                <w:color w:val="auto"/>
                <w:kern w:val="2"/>
                <w:sz w:val="24"/>
                <w:szCs w:val="24"/>
                <w:highlight w:val="none"/>
                <w:lang w:val="en-US" w:eastAsia="zh-CN" w:bidi="ar-SA"/>
              </w:rPr>
              <w:t>3-2</w:t>
            </w:r>
            <w:r>
              <w:rPr>
                <w:rFonts w:hint="default" w:ascii="Times New Roman" w:hAnsi="Times New Roman" w:cs="Times New Roman" w:eastAsiaTheme="majorEastAsia"/>
                <w:b/>
                <w:bCs/>
                <w:color w:val="auto"/>
                <w:kern w:val="2"/>
                <w:sz w:val="24"/>
                <w:szCs w:val="24"/>
                <w:highlight w:val="none"/>
                <w:lang w:val="en-US" w:eastAsia="zh-CN" w:bidi="ar-SA"/>
              </w:rPr>
              <w:t xml:space="preserve">                 项目环境保护目标一览表</w:t>
            </w:r>
          </w:p>
          <w:tbl>
            <w:tblPr>
              <w:tblStyle w:val="28"/>
              <w:tblW w:w="84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3"/>
              <w:gridCol w:w="877"/>
              <w:gridCol w:w="38"/>
              <w:gridCol w:w="862"/>
              <w:gridCol w:w="19"/>
              <w:gridCol w:w="1313"/>
              <w:gridCol w:w="4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53" w:type="dxa"/>
                  <w:noWrap w:val="0"/>
                  <w:vAlign w:val="center"/>
                </w:tcPr>
                <w:p>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名称</w:t>
                  </w:r>
                </w:p>
              </w:tc>
              <w:tc>
                <w:tcPr>
                  <w:tcW w:w="915" w:type="dxa"/>
                  <w:gridSpan w:val="2"/>
                  <w:noWrap w:val="0"/>
                  <w:vAlign w:val="center"/>
                </w:tcPr>
                <w:p>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功能</w:t>
                  </w:r>
                  <w:r>
                    <w:rPr>
                      <w:rFonts w:hint="eastAsia" w:cs="Times New Roman"/>
                      <w:b/>
                      <w:bCs/>
                      <w:color w:val="auto"/>
                      <w:highlight w:val="none"/>
                      <w:lang w:val="en-US" w:eastAsia="zh-CN"/>
                    </w:rPr>
                    <w:t>、规模</w:t>
                  </w:r>
                </w:p>
              </w:tc>
              <w:tc>
                <w:tcPr>
                  <w:tcW w:w="862" w:type="dxa"/>
                  <w:noWrap w:val="0"/>
                  <w:vAlign w:val="center"/>
                </w:tcPr>
                <w:p>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保护</w:t>
                  </w:r>
                  <w:r>
                    <w:rPr>
                      <w:rFonts w:hint="eastAsia" w:cs="Times New Roman"/>
                      <w:b/>
                      <w:bCs/>
                      <w:color w:val="auto"/>
                      <w:highlight w:val="none"/>
                      <w:lang w:val="en-US" w:eastAsia="zh-CN"/>
                    </w:rPr>
                    <w:t>对象</w:t>
                  </w:r>
                </w:p>
              </w:tc>
              <w:tc>
                <w:tcPr>
                  <w:tcW w:w="1332" w:type="dxa"/>
                  <w:gridSpan w:val="2"/>
                  <w:noWrap w:val="0"/>
                  <w:vAlign w:val="center"/>
                </w:tcPr>
                <w:p>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方位</w:t>
                  </w:r>
                  <w:r>
                    <w:rPr>
                      <w:rFonts w:hint="eastAsia"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距离（m）</w:t>
                  </w:r>
                </w:p>
              </w:tc>
              <w:tc>
                <w:tcPr>
                  <w:tcW w:w="4015" w:type="dxa"/>
                  <w:noWrap w:val="0"/>
                  <w:vAlign w:val="center"/>
                </w:tcPr>
                <w:p>
                  <w:pPr>
                    <w:adjustRightInd w:val="0"/>
                    <w:snapToGrid w:val="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保护要求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53" w:type="dxa"/>
                  <w:noWrap w:val="0"/>
                  <w:vAlign w:val="center"/>
                </w:tcPr>
                <w:p>
                  <w:pPr>
                    <w:adjustRightInd w:val="0"/>
                    <w:snapToGrid w:val="0"/>
                    <w:jc w:val="center"/>
                    <w:rPr>
                      <w:rFonts w:hint="eastAsia"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声环境</w:t>
                  </w:r>
                </w:p>
              </w:tc>
              <w:tc>
                <w:tcPr>
                  <w:tcW w:w="7124" w:type="dxa"/>
                  <w:gridSpan w:val="6"/>
                  <w:noWrap w:val="0"/>
                  <w:vAlign w:val="center"/>
                </w:tcPr>
                <w:p>
                  <w:pPr>
                    <w:adjustRightInd w:val="0"/>
                    <w:snapToGrid w:val="0"/>
                    <w:jc w:val="center"/>
                    <w:rPr>
                      <w:rFonts w:hint="eastAsia"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本项目占地边界200米范围内</w:t>
                  </w:r>
                  <w:r>
                    <w:rPr>
                      <w:rFonts w:hint="eastAsia" w:ascii="Times New Roman" w:hAnsi="Times New Roman" w:eastAsia="宋体" w:cs="Times New Roman"/>
                      <w:b w:val="0"/>
                      <w:bCs w:val="0"/>
                      <w:color w:val="auto"/>
                      <w:highlight w:val="none"/>
                      <w:lang w:val="en-US" w:eastAsia="zh-CN"/>
                    </w:rPr>
                    <w:t>无</w:t>
                  </w:r>
                  <w:r>
                    <w:rPr>
                      <w:rFonts w:hint="eastAsia" w:cs="Times New Roman"/>
                      <w:b w:val="0"/>
                      <w:bCs w:val="0"/>
                      <w:color w:val="auto"/>
                      <w:highlight w:val="none"/>
                      <w:lang w:val="en-US" w:eastAsia="zh-CN"/>
                    </w:rPr>
                    <w:t>声</w:t>
                  </w:r>
                  <w:r>
                    <w:rPr>
                      <w:rFonts w:hint="eastAsia" w:ascii="Times New Roman" w:hAnsi="Times New Roman" w:eastAsia="宋体" w:cs="Times New Roman"/>
                      <w:b w:val="0"/>
                      <w:bCs w:val="0"/>
                      <w:color w:val="auto"/>
                      <w:highlight w:val="none"/>
                      <w:lang w:val="en-US" w:eastAsia="zh-CN"/>
                    </w:rPr>
                    <w:t>环</w:t>
                  </w:r>
                  <w:r>
                    <w:rPr>
                      <w:rFonts w:hint="eastAsia" w:cs="Times New Roman"/>
                      <w:b w:val="0"/>
                      <w:bCs w:val="0"/>
                      <w:color w:val="auto"/>
                      <w:highlight w:val="none"/>
                      <w:lang w:val="en-US" w:eastAsia="zh-CN"/>
                    </w:rPr>
                    <w:t>保护</w:t>
                  </w:r>
                  <w:r>
                    <w:rPr>
                      <w:rFonts w:hint="eastAsia" w:ascii="Times New Roman" w:hAnsi="Times New Roman" w:eastAsia="宋体" w:cs="Times New Roman"/>
                      <w:b w:val="0"/>
                      <w:bCs w:val="0"/>
                      <w:color w:val="auto"/>
                      <w:highlight w:val="none"/>
                      <w:lang w:val="en-US" w:eastAsia="zh-CN"/>
                    </w:rPr>
                    <w:t>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53" w:type="dxa"/>
                  <w:noWrap w:val="0"/>
                  <w:vAlign w:val="center"/>
                </w:tcPr>
                <w:p>
                  <w:pPr>
                    <w:adjustRightInd w:val="0"/>
                    <w:snapToGrid w:val="0"/>
                    <w:jc w:val="center"/>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地表水环境</w:t>
                  </w:r>
                </w:p>
              </w:tc>
              <w:tc>
                <w:tcPr>
                  <w:tcW w:w="7124" w:type="dxa"/>
                  <w:gridSpan w:val="6"/>
                  <w:noWrap w:val="0"/>
                  <w:vAlign w:val="center"/>
                </w:tcPr>
                <w:p>
                  <w:pPr>
                    <w:adjustRightInd w:val="0"/>
                    <w:snapToGrid w:val="0"/>
                    <w:jc w:val="center"/>
                    <w:rPr>
                      <w:rFonts w:hint="eastAsia"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53" w:type="dxa"/>
                  <w:noWrap w:val="0"/>
                  <w:vAlign w:val="center"/>
                </w:tcPr>
                <w:p>
                  <w:pPr>
                    <w:adjustRightInd w:val="0"/>
                    <w:snapToGrid w:val="0"/>
                    <w:jc w:val="center"/>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大气环境</w:t>
                  </w:r>
                </w:p>
              </w:tc>
              <w:tc>
                <w:tcPr>
                  <w:tcW w:w="7124" w:type="dxa"/>
                  <w:gridSpan w:val="6"/>
                  <w:noWrap w:val="0"/>
                  <w:vAlign w:val="center"/>
                </w:tcPr>
                <w:p>
                  <w:pPr>
                    <w:adjustRightInd w:val="0"/>
                    <w:snapToGrid w:val="0"/>
                    <w:jc w:val="center"/>
                    <w:rPr>
                      <w:rFonts w:hint="eastAsia"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53" w:type="dxa"/>
                  <w:noWrap w:val="0"/>
                  <w:vAlign w:val="center"/>
                </w:tcPr>
                <w:p>
                  <w:pPr>
                    <w:adjustRightInd w:val="0"/>
                    <w:snapToGrid w:val="0"/>
                    <w:jc w:val="center"/>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生态</w:t>
                  </w:r>
                </w:p>
                <w:p>
                  <w:pPr>
                    <w:adjustRightInd w:val="0"/>
                    <w:snapToGrid w:val="0"/>
                    <w:jc w:val="center"/>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环境</w:t>
                  </w:r>
                </w:p>
              </w:tc>
              <w:tc>
                <w:tcPr>
                  <w:tcW w:w="877" w:type="dxa"/>
                  <w:noWrap w:val="0"/>
                  <w:vAlign w:val="center"/>
                </w:tcPr>
                <w:p>
                  <w:pPr>
                    <w:adjustRightInd w:val="0"/>
                    <w:snapToGrid w:val="0"/>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w:t>
                  </w:r>
                </w:p>
              </w:tc>
              <w:tc>
                <w:tcPr>
                  <w:tcW w:w="919" w:type="dxa"/>
                  <w:gridSpan w:val="3"/>
                  <w:noWrap w:val="0"/>
                  <w:vAlign w:val="center"/>
                </w:tcPr>
                <w:p>
                  <w:pPr>
                    <w:adjustRightInd w:val="0"/>
                    <w:snapToGrid w:val="0"/>
                    <w:jc w:val="center"/>
                    <w:rPr>
                      <w:rFonts w:hint="eastAsia"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土壤及植被</w:t>
                  </w:r>
                </w:p>
              </w:tc>
              <w:tc>
                <w:tcPr>
                  <w:tcW w:w="1313" w:type="dxa"/>
                  <w:noWrap w:val="0"/>
                  <w:vAlign w:val="center"/>
                </w:tcPr>
                <w:p>
                  <w:pPr>
                    <w:adjustRightInd w:val="0"/>
                    <w:snapToGrid w:val="0"/>
                    <w:jc w:val="center"/>
                    <w:rPr>
                      <w:rFonts w:hint="eastAsia"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项目所在区域</w:t>
                  </w:r>
                </w:p>
              </w:tc>
              <w:tc>
                <w:tcPr>
                  <w:tcW w:w="4015" w:type="dxa"/>
                  <w:noWrap w:val="0"/>
                  <w:vAlign w:val="center"/>
                </w:tcPr>
                <w:p>
                  <w:pPr>
                    <w:adjustRightInd w:val="0"/>
                    <w:snapToGrid w:val="0"/>
                    <w:jc w:val="center"/>
                    <w:rPr>
                      <w:rFonts w:hint="eastAsia"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不得扰动用地范围外的土壤和植被。</w:t>
                  </w:r>
                  <w:r>
                    <w:rPr>
                      <w:rFonts w:hint="eastAsia" w:ascii="Times New Roman" w:hAnsi="Times New Roman" w:eastAsia="宋体" w:cs="Times New Roman"/>
                      <w:b w:val="0"/>
                      <w:bCs w:val="0"/>
                      <w:color w:val="auto"/>
                      <w:highlight w:val="none"/>
                      <w:lang w:val="en-US" w:eastAsia="zh-CN"/>
                    </w:rPr>
                    <w:t>根据项目施工点位，划定施工范围，扩展施工范围，工程施工活动不得进各项施工活动严格限制在施工范围内，</w:t>
                  </w:r>
                  <w:r>
                    <w:rPr>
                      <w:rFonts w:hint="eastAsia" w:cs="Times New Roman"/>
                      <w:b w:val="0"/>
                      <w:bCs w:val="0"/>
                      <w:color w:val="auto"/>
                      <w:highlight w:val="none"/>
                      <w:lang w:val="en-US" w:eastAsia="zh-CN"/>
                    </w:rPr>
                    <w:t>禁止破坏</w:t>
                  </w:r>
                  <w:r>
                    <w:rPr>
                      <w:rFonts w:hint="eastAsia" w:ascii="Times New Roman" w:hAnsi="Times New Roman" w:eastAsia="宋体" w:cs="Times New Roman"/>
                      <w:b w:val="0"/>
                      <w:bCs w:val="0"/>
                      <w:color w:val="auto"/>
                      <w:highlight w:val="none"/>
                      <w:lang w:val="en-US" w:eastAsia="zh-CN"/>
                    </w:rPr>
                    <w:t>生态</w:t>
                  </w:r>
                  <w:r>
                    <w:rPr>
                      <w:rFonts w:hint="eastAsia" w:cs="Times New Roman"/>
                      <w:b w:val="0"/>
                      <w:bCs w:val="0"/>
                      <w:color w:val="auto"/>
                      <w:highlight w:val="none"/>
                      <w:lang w:val="en-US" w:eastAsia="zh-CN"/>
                    </w:rPr>
                    <w:t>环境</w:t>
                  </w:r>
                  <w:r>
                    <w:rPr>
                      <w:rFonts w:hint="eastAsia" w:cs="Times New Roman"/>
                      <w:color w:val="auto"/>
                      <w:highlight w:val="none"/>
                      <w:lang w:val="en-US" w:eastAsia="zh-CN"/>
                    </w:rPr>
                    <w:t>，对</w:t>
                  </w:r>
                  <w:r>
                    <w:rPr>
                      <w:rFonts w:hint="default" w:cs="Times New Roman"/>
                      <w:color w:val="auto"/>
                      <w:highlight w:val="none"/>
                      <w:lang w:val="en-US" w:eastAsia="zh-CN"/>
                    </w:rPr>
                    <w:t>于</w:t>
                  </w:r>
                  <w:r>
                    <w:rPr>
                      <w:rFonts w:hint="eastAsia" w:cs="Times New Roman"/>
                      <w:color w:val="auto"/>
                      <w:highlight w:val="none"/>
                      <w:lang w:val="en-US" w:eastAsia="zh-CN"/>
                    </w:rPr>
                    <w:t>评价</w:t>
                  </w:r>
                  <w:r>
                    <w:rPr>
                      <w:rFonts w:hint="default" w:cs="Times New Roman"/>
                      <w:color w:val="auto"/>
                      <w:highlight w:val="none"/>
                      <w:lang w:val="en-US" w:eastAsia="zh-CN"/>
                    </w:rPr>
                    <w:t>区域内出现的</w:t>
                  </w:r>
                  <w:r>
                    <w:rPr>
                      <w:rFonts w:hint="eastAsia" w:cs="Times New Roman"/>
                      <w:color w:val="auto"/>
                      <w:highlight w:val="none"/>
                      <w:lang w:val="en-US" w:eastAsia="zh-CN"/>
                    </w:rPr>
                    <w:t>蒙古扁桃</w:t>
                  </w:r>
                  <w:r>
                    <w:rPr>
                      <w:rFonts w:hint="default" w:cs="Times New Roman"/>
                      <w:color w:val="auto"/>
                      <w:highlight w:val="none"/>
                      <w:lang w:val="en-US" w:eastAsia="zh-CN"/>
                    </w:rPr>
                    <w:t>，加应强施工人员培训，使其识得</w:t>
                  </w:r>
                  <w:r>
                    <w:rPr>
                      <w:rFonts w:hint="eastAsia" w:cs="Times New Roman"/>
                      <w:color w:val="auto"/>
                      <w:highlight w:val="none"/>
                      <w:lang w:val="en-US" w:eastAsia="zh-CN"/>
                    </w:rPr>
                    <w:t>蒙古扁桃</w:t>
                  </w:r>
                  <w:r>
                    <w:rPr>
                      <w:rFonts w:hint="default" w:cs="Times New Roman"/>
                      <w:color w:val="auto"/>
                      <w:highlight w:val="none"/>
                      <w:lang w:val="en-US" w:eastAsia="zh-CN"/>
                    </w:rPr>
                    <w:t>，见到</w:t>
                  </w:r>
                  <w:r>
                    <w:rPr>
                      <w:rFonts w:hint="eastAsia" w:cs="Times New Roman"/>
                      <w:color w:val="auto"/>
                      <w:highlight w:val="none"/>
                      <w:lang w:val="en-US" w:eastAsia="zh-CN"/>
                    </w:rPr>
                    <w:t>蒙古扁桃</w:t>
                  </w:r>
                  <w:r>
                    <w:rPr>
                      <w:rFonts w:hint="default" w:cs="Times New Roman"/>
                      <w:color w:val="auto"/>
                      <w:highlight w:val="none"/>
                      <w:lang w:val="en-US" w:eastAsia="zh-CN"/>
                    </w:rPr>
                    <w:t>不得随意破坏、踩踏，并安排专人核实区域内</w:t>
                  </w:r>
                  <w:r>
                    <w:rPr>
                      <w:rFonts w:hint="eastAsia" w:cs="Times New Roman"/>
                      <w:color w:val="auto"/>
                      <w:highlight w:val="none"/>
                      <w:lang w:val="en-US" w:eastAsia="zh-CN"/>
                    </w:rPr>
                    <w:t>蒙古扁桃</w:t>
                  </w:r>
                  <w:r>
                    <w:rPr>
                      <w:rFonts w:hint="default" w:cs="Times New Roman"/>
                      <w:color w:val="auto"/>
                      <w:highlight w:val="none"/>
                      <w:lang w:val="en-US" w:eastAsia="zh-CN"/>
                    </w:rPr>
                    <w:t>存在数量，可采用区域估测法，即核实一定区域面积内</w:t>
                  </w:r>
                  <w:r>
                    <w:rPr>
                      <w:rFonts w:hint="eastAsia" w:cs="Times New Roman"/>
                      <w:color w:val="auto"/>
                      <w:highlight w:val="none"/>
                      <w:lang w:val="en-US" w:eastAsia="zh-CN"/>
                    </w:rPr>
                    <w:t>蒙古扁桃</w:t>
                  </w:r>
                  <w:r>
                    <w:rPr>
                      <w:rFonts w:hint="default" w:cs="Times New Roman"/>
                      <w:color w:val="auto"/>
                      <w:highlight w:val="none"/>
                      <w:lang w:val="en-US" w:eastAsia="zh-CN"/>
                    </w:rPr>
                    <w:t>数量，在推算场址范围内</w:t>
                  </w:r>
                  <w:r>
                    <w:rPr>
                      <w:rFonts w:hint="eastAsia" w:cs="Times New Roman"/>
                      <w:color w:val="auto"/>
                      <w:highlight w:val="none"/>
                      <w:lang w:val="en-US" w:eastAsia="zh-CN"/>
                    </w:rPr>
                    <w:t>蒙古扁桃</w:t>
                  </w:r>
                  <w:r>
                    <w:rPr>
                      <w:rFonts w:hint="default" w:cs="Times New Roman"/>
                      <w:color w:val="auto"/>
                      <w:highlight w:val="none"/>
                      <w:lang w:val="en-US" w:eastAsia="zh-CN"/>
                    </w:rPr>
                    <w:t>大致数量，</w:t>
                  </w:r>
                  <w:r>
                    <w:rPr>
                      <w:rFonts w:hint="eastAsia" w:cs="Times New Roman"/>
                      <w:color w:val="auto"/>
                      <w:highlight w:val="none"/>
                      <w:lang w:val="en-US" w:eastAsia="zh-CN"/>
                    </w:rPr>
                    <w:t>施工不得占用蒙古扁桃生产区，并对附近的蒙古扁桃采取设置围挡或隔离等措施。</w:t>
                  </w:r>
                </w:p>
              </w:tc>
            </w:tr>
          </w:tbl>
          <w:p>
            <w:pPr>
              <w:pStyle w:val="50"/>
              <w:bidi w:val="0"/>
              <w:ind w:left="0" w:leftChars="0" w:firstLine="0" w:firstLineChars="0"/>
              <w:jc w:val="both"/>
              <w:rPr>
                <w:rFonts w:hint="default" w:ascii="Times New Roman" w:hAnsi="Times New Roman" w:cs="Times New Roman"/>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6" w:hRule="atLeast"/>
          <w:jc w:val="center"/>
        </w:trPr>
        <w:tc>
          <w:tcPr>
            <w:tcW w:w="604" w:type="dxa"/>
            <w:tcBorders>
              <w:tl2br w:val="nil"/>
              <w:tr2bl w:val="nil"/>
            </w:tcBorders>
            <w:shd w:val="clear" w:color="auto" w:fill="auto"/>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评价标准</w:t>
            </w:r>
          </w:p>
        </w:tc>
        <w:tc>
          <w:tcPr>
            <w:tcW w:w="8750" w:type="dxa"/>
            <w:tcBorders>
              <w:tl2br w:val="nil"/>
              <w:tr2bl w:val="nil"/>
            </w:tcBorders>
            <w:shd w:val="clear" w:color="auto" w:fill="auto"/>
            <w:vAlign w:val="center"/>
          </w:tcPr>
          <w:p>
            <w:pPr>
              <w:pStyle w:val="49"/>
              <w:bidi w:val="0"/>
              <w:ind w:firstLine="481" w:firstLineChars="200"/>
              <w:rPr>
                <w:rFonts w:hint="default" w:ascii="Times New Roman" w:hAnsi="Times New Roman" w:eastAsia="仿宋_GB2312" w:cs="Times New Roman"/>
                <w:b/>
                <w:bCs/>
                <w:color w:val="auto"/>
                <w:kern w:val="16"/>
                <w:sz w:val="24"/>
                <w:szCs w:val="24"/>
                <w:highlight w:val="none"/>
                <w:lang w:val="en-US" w:eastAsia="zh-CN" w:bidi="ar-SA"/>
              </w:rPr>
            </w:pPr>
            <w:r>
              <w:rPr>
                <w:rFonts w:hint="default" w:ascii="Times New Roman" w:hAnsi="Times New Roman" w:eastAsia="仿宋_GB2312" w:cs="Times New Roman"/>
                <w:b/>
                <w:bCs/>
                <w:color w:val="auto"/>
                <w:kern w:val="16"/>
                <w:sz w:val="24"/>
                <w:szCs w:val="24"/>
                <w:highlight w:val="none"/>
                <w:lang w:val="en-US" w:eastAsia="zh-CN" w:bidi="ar-SA"/>
              </w:rPr>
              <w:t>1.环境质量标准</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（1）大气环境</w:t>
            </w:r>
          </w:p>
          <w:p>
            <w:pPr>
              <w:pStyle w:val="50"/>
              <w:bidi w:val="0"/>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区域大气环境执行《环境空气质量标准》（GB3095-2012</w:t>
            </w:r>
            <w:r>
              <w:rPr>
                <w:rFonts w:hint="eastAsia"/>
                <w:color w:val="auto"/>
                <w:highlight w:val="none"/>
                <w:lang w:eastAsia="zh-CN"/>
              </w:rPr>
              <w:t>修改单</w:t>
            </w:r>
            <w:r>
              <w:rPr>
                <w:rFonts w:hint="default" w:ascii="Times New Roman" w:hAnsi="Times New Roman" w:cs="Times New Roman"/>
                <w:color w:val="auto"/>
                <w:highlight w:val="none"/>
              </w:rPr>
              <w:t>）二级标准</w:t>
            </w:r>
            <w:r>
              <w:rPr>
                <w:rFonts w:hint="default" w:ascii="Times New Roman" w:hAnsi="Times New Roman" w:cs="Times New Roman"/>
                <w:color w:val="auto"/>
                <w:highlight w:val="none"/>
                <w:lang w:eastAsia="zh-CN"/>
              </w:rPr>
              <w:t>，具体见表</w:t>
            </w:r>
            <w:r>
              <w:rPr>
                <w:rFonts w:hint="eastAsia" w:cs="Times New Roman"/>
                <w:color w:val="auto"/>
                <w:highlight w:val="none"/>
                <w:lang w:val="en-US" w:eastAsia="zh-CN"/>
              </w:rPr>
              <w:t>3-3</w:t>
            </w:r>
            <w:r>
              <w:rPr>
                <w:rFonts w:hint="default" w:ascii="Times New Roman" w:hAnsi="Times New Roman" w:cs="Times New Roman"/>
                <w:color w:val="auto"/>
                <w:highlight w:val="none"/>
                <w:lang w:val="en-US" w:eastAsia="zh-CN"/>
              </w:rPr>
              <w:t>。</w:t>
            </w:r>
          </w:p>
          <w:p>
            <w:pPr>
              <w:pStyle w:val="102"/>
              <w:bidi w:val="0"/>
              <w:ind w:firstLine="481" w:firstLineChars="200"/>
              <w:jc w:val="both"/>
              <w:rPr>
                <w:rFonts w:hint="default" w:ascii="Times New Roman" w:hAnsi="Times New Roman" w:cs="Times New Roman" w:eastAsiaTheme="majorEastAsia"/>
                <w:b/>
                <w:bCs w:val="0"/>
                <w:color w:val="auto"/>
                <w:kern w:val="16"/>
                <w:sz w:val="24"/>
                <w:szCs w:val="24"/>
                <w:highlight w:val="none"/>
                <w:lang w:val="en-US" w:eastAsia="zh-CN" w:bidi="ar-SA"/>
              </w:rPr>
            </w:pPr>
            <w:r>
              <w:rPr>
                <w:rFonts w:hint="default" w:ascii="Times New Roman" w:hAnsi="Times New Roman" w:cs="Times New Roman" w:eastAsiaTheme="majorEastAsia"/>
                <w:b/>
                <w:bCs w:val="0"/>
                <w:color w:val="auto"/>
                <w:kern w:val="16"/>
                <w:sz w:val="24"/>
                <w:szCs w:val="24"/>
                <w:highlight w:val="none"/>
                <w:lang w:val="en-US" w:eastAsia="zh-CN" w:bidi="ar-SA"/>
              </w:rPr>
              <w:t>表</w:t>
            </w:r>
            <w:r>
              <w:rPr>
                <w:rFonts w:hint="eastAsia" w:cs="Times New Roman" w:eastAsiaTheme="majorEastAsia"/>
                <w:b/>
                <w:bCs w:val="0"/>
                <w:color w:val="auto"/>
                <w:kern w:val="16"/>
                <w:sz w:val="24"/>
                <w:szCs w:val="24"/>
                <w:highlight w:val="none"/>
                <w:lang w:val="en-US" w:eastAsia="zh-CN" w:bidi="ar-SA"/>
              </w:rPr>
              <w:t>3-3</w:t>
            </w:r>
            <w:r>
              <w:rPr>
                <w:rFonts w:hint="default" w:ascii="Times New Roman" w:hAnsi="Times New Roman" w:cs="Times New Roman" w:eastAsiaTheme="majorEastAsia"/>
                <w:b/>
                <w:bCs w:val="0"/>
                <w:color w:val="auto"/>
                <w:kern w:val="16"/>
                <w:sz w:val="24"/>
                <w:szCs w:val="24"/>
                <w:highlight w:val="none"/>
                <w:lang w:val="en-US" w:eastAsia="zh-CN" w:bidi="ar-SA"/>
              </w:rPr>
              <w:t xml:space="preserve">    《环境空气质量标准》（GB3095-2012）二级标准</w:t>
            </w:r>
          </w:p>
          <w:tbl>
            <w:tblPr>
              <w:tblStyle w:val="28"/>
              <w:tblW w:w="82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677"/>
              <w:gridCol w:w="2490"/>
              <w:gridCol w:w="2231"/>
              <w:gridCol w:w="12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noWrap w:val="0"/>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677" w:type="dxa"/>
                  <w:noWrap w:val="0"/>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污染物项目</w:t>
                  </w:r>
                </w:p>
              </w:tc>
              <w:tc>
                <w:tcPr>
                  <w:tcW w:w="2490" w:type="dxa"/>
                  <w:noWrap w:val="0"/>
                  <w:vAlign w:val="center"/>
                </w:tcPr>
                <w:p>
                  <w:pPr>
                    <w:adjustRightInd w:val="0"/>
                    <w:snapToGrid w:val="0"/>
                    <w:ind w:firstLine="421" w:firstLineChars="200"/>
                    <w:jc w:val="both"/>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平均时间</w:t>
                  </w:r>
                </w:p>
              </w:tc>
              <w:tc>
                <w:tcPr>
                  <w:tcW w:w="2231" w:type="dxa"/>
                  <w:noWrap w:val="0"/>
                  <w:vAlign w:val="center"/>
                </w:tcPr>
                <w:p>
                  <w:pPr>
                    <w:adjustRightInd w:val="0"/>
                    <w:snapToGrid w:val="0"/>
                    <w:ind w:firstLine="421" w:firstLineChars="200"/>
                    <w:jc w:val="both"/>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二级浓度限值</w:t>
                  </w:r>
                </w:p>
              </w:tc>
              <w:tc>
                <w:tcPr>
                  <w:tcW w:w="1201" w:type="dxa"/>
                  <w:noWrap w:val="0"/>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677" w:type="dxa"/>
                  <w:vMerge w:val="restart"/>
                  <w:noWrap w:val="0"/>
                  <w:vAlign w:val="center"/>
                </w:tcPr>
                <w:p>
                  <w:pPr>
                    <w:adjustRightInd w:val="0"/>
                    <w:snapToGrid w:val="0"/>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10</w:t>
                  </w: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w:t>
                  </w:r>
                </w:p>
              </w:tc>
              <w:tc>
                <w:tcPr>
                  <w:tcW w:w="223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1201"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μg/m</w:t>
                  </w:r>
                  <w:r>
                    <w:rPr>
                      <w:rFonts w:hint="default" w:ascii="Times New Roman" w:hAnsi="Times New Roman" w:cs="Times New Roman"/>
                      <w:color w:val="auto"/>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677" w:type="dxa"/>
                  <w:vMerge w:val="continue"/>
                  <w:noWrap w:val="0"/>
                  <w:vAlign w:val="center"/>
                </w:tcPr>
                <w:p>
                  <w:pPr>
                    <w:adjustRightInd w:val="0"/>
                    <w:snapToGrid w:val="0"/>
                    <w:spacing w:line="240" w:lineRule="exact"/>
                    <w:jc w:val="center"/>
                    <w:rPr>
                      <w:rFonts w:hint="default" w:ascii="Times New Roman" w:hAnsi="Times New Roman" w:cs="Times New Roman"/>
                      <w:color w:val="auto"/>
                      <w:szCs w:val="21"/>
                      <w:highlight w:val="none"/>
                    </w:rPr>
                  </w:pP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23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201"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677" w:type="dxa"/>
                  <w:vMerge w:val="restart"/>
                  <w:noWrap w:val="0"/>
                  <w:vAlign w:val="center"/>
                </w:tcPr>
                <w:p>
                  <w:pPr>
                    <w:adjustRightInd w:val="0"/>
                    <w:snapToGrid w:val="0"/>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2.5</w:t>
                  </w: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w:t>
                  </w:r>
                </w:p>
              </w:tc>
              <w:tc>
                <w:tcPr>
                  <w:tcW w:w="223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1201" w:type="dxa"/>
                  <w:vMerge w:val="continue"/>
                  <w:noWrap w:val="0"/>
                  <w:vAlign w:val="center"/>
                </w:tcPr>
                <w:p>
                  <w:pPr>
                    <w:adjustRightInd w:val="0"/>
                    <w:snapToGrid w:val="0"/>
                    <w:ind w:firstLine="420" w:firstLineChars="200"/>
                    <w:jc w:val="center"/>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677" w:type="dxa"/>
                  <w:vMerge w:val="continue"/>
                  <w:noWrap w:val="0"/>
                  <w:vAlign w:val="center"/>
                </w:tcPr>
                <w:p>
                  <w:pPr>
                    <w:adjustRightInd w:val="0"/>
                    <w:snapToGrid w:val="0"/>
                    <w:spacing w:line="240" w:lineRule="exact"/>
                    <w:jc w:val="center"/>
                    <w:rPr>
                      <w:rFonts w:hint="default" w:ascii="Times New Roman" w:hAnsi="Times New Roman" w:cs="Times New Roman"/>
                      <w:color w:val="auto"/>
                      <w:szCs w:val="21"/>
                      <w:highlight w:val="none"/>
                    </w:rPr>
                  </w:pP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23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w:t>
                  </w:r>
                </w:p>
              </w:tc>
              <w:tc>
                <w:tcPr>
                  <w:tcW w:w="1201" w:type="dxa"/>
                  <w:vMerge w:val="continue"/>
                  <w:noWrap w:val="0"/>
                  <w:vAlign w:val="center"/>
                </w:tcPr>
                <w:p>
                  <w:pPr>
                    <w:adjustRightInd w:val="0"/>
                    <w:snapToGrid w:val="0"/>
                    <w:ind w:firstLine="420" w:firstLineChars="200"/>
                    <w:jc w:val="center"/>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677" w:type="dxa"/>
                  <w:vMerge w:val="restart"/>
                  <w:noWrap w:val="0"/>
                  <w:vAlign w:val="center"/>
                </w:tcPr>
                <w:p>
                  <w:pPr>
                    <w:adjustRightInd w:val="0"/>
                    <w:snapToGrid w:val="0"/>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w:t>
                  </w:r>
                </w:p>
              </w:tc>
              <w:tc>
                <w:tcPr>
                  <w:tcW w:w="223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1201" w:type="dxa"/>
                  <w:vMerge w:val="continue"/>
                  <w:noWrap w:val="0"/>
                  <w:vAlign w:val="center"/>
                </w:tcPr>
                <w:p>
                  <w:pPr>
                    <w:adjustRightInd w:val="0"/>
                    <w:snapToGrid w:val="0"/>
                    <w:ind w:firstLine="420" w:firstLineChars="200"/>
                    <w:jc w:val="center"/>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677" w:type="dxa"/>
                  <w:vMerge w:val="continue"/>
                  <w:noWrap w:val="0"/>
                  <w:vAlign w:val="center"/>
                </w:tcPr>
                <w:p>
                  <w:pPr>
                    <w:adjustRightInd w:val="0"/>
                    <w:snapToGrid w:val="0"/>
                    <w:spacing w:line="240" w:lineRule="exact"/>
                    <w:jc w:val="center"/>
                    <w:rPr>
                      <w:rFonts w:hint="default" w:ascii="Times New Roman" w:hAnsi="Times New Roman" w:cs="Times New Roman"/>
                      <w:color w:val="auto"/>
                      <w:szCs w:val="21"/>
                      <w:highlight w:val="none"/>
                    </w:rPr>
                  </w:pP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23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201" w:type="dxa"/>
                  <w:vMerge w:val="continue"/>
                  <w:noWrap w:val="0"/>
                  <w:vAlign w:val="center"/>
                </w:tcPr>
                <w:p>
                  <w:pPr>
                    <w:adjustRightInd w:val="0"/>
                    <w:snapToGrid w:val="0"/>
                    <w:ind w:firstLine="420" w:firstLineChars="200"/>
                    <w:jc w:val="center"/>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677" w:type="dxa"/>
                  <w:vMerge w:val="continue"/>
                  <w:noWrap w:val="0"/>
                  <w:vAlign w:val="center"/>
                </w:tcPr>
                <w:p>
                  <w:pPr>
                    <w:adjustRightInd w:val="0"/>
                    <w:snapToGrid w:val="0"/>
                    <w:spacing w:line="240" w:lineRule="exact"/>
                    <w:jc w:val="center"/>
                    <w:rPr>
                      <w:rFonts w:hint="default" w:ascii="Times New Roman" w:hAnsi="Times New Roman" w:cs="Times New Roman"/>
                      <w:color w:val="auto"/>
                      <w:szCs w:val="21"/>
                      <w:highlight w:val="none"/>
                    </w:rPr>
                  </w:pP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1小时平均</w:t>
                  </w:r>
                </w:p>
              </w:tc>
              <w:tc>
                <w:tcPr>
                  <w:tcW w:w="223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w:t>
                  </w:r>
                </w:p>
              </w:tc>
              <w:tc>
                <w:tcPr>
                  <w:tcW w:w="1201" w:type="dxa"/>
                  <w:vMerge w:val="continue"/>
                  <w:noWrap w:val="0"/>
                  <w:vAlign w:val="center"/>
                </w:tcPr>
                <w:p>
                  <w:pPr>
                    <w:adjustRightInd w:val="0"/>
                    <w:snapToGrid w:val="0"/>
                    <w:ind w:firstLine="420" w:firstLineChars="200"/>
                    <w:jc w:val="center"/>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677" w:type="dxa"/>
                  <w:vMerge w:val="restart"/>
                  <w:noWrap w:val="0"/>
                  <w:vAlign w:val="center"/>
                </w:tcPr>
                <w:p>
                  <w:pPr>
                    <w:adjustRightInd w:val="0"/>
                    <w:snapToGrid w:val="0"/>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NO</w:t>
                  </w:r>
                  <w:r>
                    <w:rPr>
                      <w:rFonts w:hint="default" w:ascii="Times New Roman" w:hAnsi="Times New Roman" w:cs="Times New Roman"/>
                      <w:color w:val="auto"/>
                      <w:szCs w:val="21"/>
                      <w:highlight w:val="none"/>
                      <w:vertAlign w:val="subscript"/>
                    </w:rPr>
                    <w:t>2</w:t>
                  </w: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w:t>
                  </w:r>
                </w:p>
              </w:tc>
              <w:tc>
                <w:tcPr>
                  <w:tcW w:w="223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c>
                <w:tcPr>
                  <w:tcW w:w="1201"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677" w:type="dxa"/>
                  <w:vMerge w:val="continue"/>
                  <w:noWrap w:val="0"/>
                  <w:vAlign w:val="center"/>
                </w:tcPr>
                <w:p>
                  <w:pPr>
                    <w:adjustRightInd w:val="0"/>
                    <w:snapToGrid w:val="0"/>
                    <w:spacing w:line="240" w:lineRule="exact"/>
                    <w:jc w:val="center"/>
                    <w:rPr>
                      <w:rFonts w:hint="default" w:ascii="Times New Roman" w:hAnsi="Times New Roman" w:cs="Times New Roman"/>
                      <w:color w:val="auto"/>
                      <w:szCs w:val="21"/>
                      <w:highlight w:val="none"/>
                    </w:rPr>
                  </w:pP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23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w:t>
                  </w:r>
                </w:p>
              </w:tc>
              <w:tc>
                <w:tcPr>
                  <w:tcW w:w="1201"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677" w:type="dxa"/>
                  <w:vMerge w:val="continue"/>
                  <w:noWrap w:val="0"/>
                  <w:vAlign w:val="center"/>
                </w:tcPr>
                <w:p>
                  <w:pPr>
                    <w:adjustRightInd w:val="0"/>
                    <w:snapToGrid w:val="0"/>
                    <w:spacing w:line="240" w:lineRule="exact"/>
                    <w:jc w:val="center"/>
                    <w:rPr>
                      <w:rFonts w:hint="default" w:ascii="Times New Roman" w:hAnsi="Times New Roman" w:cs="Times New Roman"/>
                      <w:color w:val="auto"/>
                      <w:szCs w:val="21"/>
                      <w:highlight w:val="none"/>
                    </w:rPr>
                  </w:pP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1小时平均</w:t>
                  </w:r>
                </w:p>
              </w:tc>
              <w:tc>
                <w:tcPr>
                  <w:tcW w:w="223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201"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677" w:type="dxa"/>
                  <w:vMerge w:val="restart"/>
                  <w:noWrap w:val="0"/>
                  <w:vAlign w:val="center"/>
                </w:tcPr>
                <w:p>
                  <w:pPr>
                    <w:adjustRightInd w:val="0"/>
                    <w:snapToGrid w:val="0"/>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w:t>
                  </w: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23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201"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677" w:type="dxa"/>
                  <w:vMerge w:val="continue"/>
                  <w:noWrap w:val="0"/>
                  <w:vAlign w:val="center"/>
                </w:tcPr>
                <w:p>
                  <w:pPr>
                    <w:adjustRightInd w:val="0"/>
                    <w:snapToGrid w:val="0"/>
                    <w:spacing w:line="240" w:lineRule="exact"/>
                    <w:jc w:val="center"/>
                    <w:rPr>
                      <w:rFonts w:hint="default" w:ascii="Times New Roman" w:hAnsi="Times New Roman" w:cs="Times New Roman"/>
                      <w:color w:val="auto"/>
                      <w:szCs w:val="21"/>
                      <w:highlight w:val="none"/>
                    </w:rPr>
                  </w:pP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1小时平均</w:t>
                  </w:r>
                </w:p>
              </w:tc>
              <w:tc>
                <w:tcPr>
                  <w:tcW w:w="223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1201"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1677" w:type="dxa"/>
                  <w:vMerge w:val="restart"/>
                  <w:noWrap w:val="0"/>
                  <w:vAlign w:val="center"/>
                </w:tcPr>
                <w:p>
                  <w:pPr>
                    <w:adjustRightInd w:val="0"/>
                    <w:snapToGrid w:val="0"/>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O</w:t>
                  </w:r>
                  <w:r>
                    <w:rPr>
                      <w:rFonts w:hint="default" w:ascii="Times New Roman" w:hAnsi="Times New Roman" w:cs="Times New Roman"/>
                      <w:color w:val="auto"/>
                      <w:szCs w:val="21"/>
                      <w:highlight w:val="none"/>
                      <w:vertAlign w:val="subscript"/>
                    </w:rPr>
                    <w:t>3</w:t>
                  </w: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日最大8小时平均</w:t>
                  </w:r>
                </w:p>
              </w:tc>
              <w:tc>
                <w:tcPr>
                  <w:tcW w:w="223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160</w:t>
                  </w:r>
                </w:p>
              </w:tc>
              <w:tc>
                <w:tcPr>
                  <w:tcW w:w="1201"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continue"/>
                  <w:noWrap w:val="0"/>
                  <w:vAlign w:val="center"/>
                </w:tcPr>
                <w:p>
                  <w:pPr>
                    <w:adjustRightInd w:val="0"/>
                    <w:snapToGrid w:val="0"/>
                    <w:jc w:val="both"/>
                    <w:rPr>
                      <w:rFonts w:hint="default" w:ascii="Times New Roman" w:hAnsi="Times New Roman" w:cs="Times New Roman"/>
                      <w:color w:val="auto"/>
                      <w:szCs w:val="21"/>
                      <w:highlight w:val="none"/>
                    </w:rPr>
                  </w:pPr>
                </w:p>
              </w:tc>
              <w:tc>
                <w:tcPr>
                  <w:tcW w:w="1677" w:type="dxa"/>
                  <w:vMerge w:val="continue"/>
                  <w:noWrap w:val="0"/>
                  <w:vAlign w:val="center"/>
                </w:tcPr>
                <w:p>
                  <w:pPr>
                    <w:adjustRightInd w:val="0"/>
                    <w:snapToGrid w:val="0"/>
                    <w:spacing w:line="240" w:lineRule="exact"/>
                    <w:jc w:val="both"/>
                    <w:rPr>
                      <w:rFonts w:hint="default" w:ascii="Times New Roman" w:hAnsi="Times New Roman" w:cs="Times New Roman"/>
                      <w:color w:val="auto"/>
                      <w:szCs w:val="21"/>
                      <w:highlight w:val="none"/>
                    </w:rPr>
                  </w:pP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1小时平均</w:t>
                  </w:r>
                </w:p>
              </w:tc>
              <w:tc>
                <w:tcPr>
                  <w:tcW w:w="223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201" w:type="dxa"/>
                  <w:vMerge w:val="continue"/>
                  <w:noWrap w:val="0"/>
                  <w:vAlign w:val="center"/>
                </w:tcPr>
                <w:p>
                  <w:pPr>
                    <w:adjustRightInd w:val="0"/>
                    <w:snapToGrid w:val="0"/>
                    <w:jc w:val="both"/>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restart"/>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w:t>
                  </w:r>
                </w:p>
              </w:tc>
              <w:tc>
                <w:tcPr>
                  <w:tcW w:w="1677" w:type="dxa"/>
                  <w:vMerge w:val="restart"/>
                  <w:noWrap w:val="0"/>
                  <w:vAlign w:val="center"/>
                </w:tcPr>
                <w:p>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TSP</w:t>
                  </w: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年平均</w:t>
                  </w:r>
                </w:p>
              </w:tc>
              <w:tc>
                <w:tcPr>
                  <w:tcW w:w="22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200</w:t>
                  </w:r>
                </w:p>
              </w:tc>
              <w:tc>
                <w:tcPr>
                  <w:tcW w:w="1201" w:type="dxa"/>
                  <w:vMerge w:val="continue"/>
                  <w:noWrap w:val="0"/>
                  <w:vAlign w:val="center"/>
                </w:tcPr>
                <w:p>
                  <w:pPr>
                    <w:adjustRightInd w:val="0"/>
                    <w:snapToGrid w:val="0"/>
                    <w:jc w:val="both"/>
                    <w:rPr>
                      <w:rFonts w:hint="default" w:ascii="Times New Roman" w:hAnsi="Times New Roman"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continue"/>
                  <w:noWrap w:val="0"/>
                  <w:vAlign w:val="center"/>
                </w:tcPr>
                <w:p>
                  <w:pPr>
                    <w:adjustRightInd w:val="0"/>
                    <w:snapToGrid w:val="0"/>
                    <w:jc w:val="center"/>
                    <w:rPr>
                      <w:rFonts w:hint="eastAsia" w:cs="Times New Roman"/>
                      <w:color w:val="auto"/>
                      <w:szCs w:val="21"/>
                      <w:highlight w:val="none"/>
                      <w:lang w:val="en-US" w:eastAsia="zh-CN"/>
                    </w:rPr>
                  </w:pPr>
                </w:p>
              </w:tc>
              <w:tc>
                <w:tcPr>
                  <w:tcW w:w="1677" w:type="dxa"/>
                  <w:vMerge w:val="continue"/>
                  <w:noWrap w:val="0"/>
                  <w:vAlign w:val="center"/>
                </w:tcPr>
                <w:p>
                  <w:pPr>
                    <w:adjustRightInd w:val="0"/>
                    <w:snapToGrid w:val="0"/>
                    <w:spacing w:line="240" w:lineRule="exact"/>
                    <w:jc w:val="both"/>
                    <w:rPr>
                      <w:rFonts w:hint="eastAsia" w:cs="Times New Roman"/>
                      <w:color w:val="auto"/>
                      <w:szCs w:val="21"/>
                      <w:highlight w:val="none"/>
                      <w:lang w:val="en-US" w:eastAsia="zh-CN"/>
                    </w:rPr>
                  </w:pPr>
                </w:p>
              </w:tc>
              <w:tc>
                <w:tcPr>
                  <w:tcW w:w="2490"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23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300</w:t>
                  </w:r>
                </w:p>
              </w:tc>
              <w:tc>
                <w:tcPr>
                  <w:tcW w:w="1201" w:type="dxa"/>
                  <w:vMerge w:val="continue"/>
                  <w:noWrap w:val="0"/>
                  <w:vAlign w:val="center"/>
                </w:tcPr>
                <w:p>
                  <w:pPr>
                    <w:adjustRightInd w:val="0"/>
                    <w:snapToGrid w:val="0"/>
                    <w:jc w:val="both"/>
                    <w:rPr>
                      <w:rFonts w:hint="default" w:ascii="Times New Roman" w:hAnsi="Times New Roman" w:cs="Times New Roman"/>
                      <w:color w:val="auto"/>
                      <w:szCs w:val="21"/>
                      <w:highlight w:val="none"/>
                    </w:rPr>
                  </w:pPr>
                </w:p>
              </w:tc>
            </w:tr>
          </w:tbl>
          <w:p>
            <w:pPr>
              <w:pStyle w:val="50"/>
              <w:keepNext w:val="0"/>
              <w:keepLines w:val="0"/>
              <w:pageBreakBefore w:val="0"/>
              <w:widowControl w:val="0"/>
              <w:kinsoku/>
              <w:wordWrap/>
              <w:overflowPunct w:val="0"/>
              <w:topLinePunct w:val="0"/>
              <w:autoSpaceDE/>
              <w:autoSpaceDN/>
              <w:bidi w:val="0"/>
              <w:adjustRightInd w:val="0"/>
              <w:snapToGrid w:val="0"/>
              <w:spacing w:before="157" w:beforeLines="50"/>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（2）</w:t>
            </w:r>
            <w:r>
              <w:rPr>
                <w:rFonts w:hint="default" w:ascii="Times New Roman" w:hAnsi="Times New Roman" w:cs="Times New Roman"/>
                <w:b/>
                <w:bCs/>
                <w:color w:val="auto"/>
                <w:highlight w:val="none"/>
                <w:lang w:val="en-US" w:eastAsia="zh-CN"/>
              </w:rPr>
              <w:t>声环境</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本工程声环境执行《声环境质量标准》（GB3096-2008）</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类</w:t>
            </w:r>
            <w:r>
              <w:rPr>
                <w:rFonts w:hint="default" w:ascii="Times New Roman" w:hAnsi="Times New Roman" w:cs="Times New Roman"/>
                <w:color w:val="auto"/>
                <w:highlight w:val="none"/>
                <w:lang w:eastAsia="zh-CN"/>
              </w:rPr>
              <w:t>标准。</w:t>
            </w:r>
            <w:r>
              <w:rPr>
                <w:rFonts w:hint="default" w:ascii="Times New Roman" w:hAnsi="Times New Roman" w:cs="Times New Roman"/>
                <w:color w:val="auto"/>
                <w:highlight w:val="none"/>
                <w:lang w:val="en-US" w:eastAsia="zh-CN"/>
              </w:rPr>
              <w:t>标准要求具体见表</w:t>
            </w:r>
            <w:r>
              <w:rPr>
                <w:rFonts w:hint="eastAsia" w:cs="Times New Roman"/>
                <w:color w:val="auto"/>
                <w:highlight w:val="none"/>
                <w:lang w:val="en-US" w:eastAsia="zh-CN"/>
              </w:rPr>
              <w:t>3-4</w:t>
            </w:r>
            <w:r>
              <w:rPr>
                <w:rFonts w:hint="default" w:ascii="Times New Roman" w:hAnsi="Times New Roman" w:cs="Times New Roman"/>
                <w:color w:val="auto"/>
                <w:highlight w:val="none"/>
                <w:lang w:val="en-US" w:eastAsia="zh-CN"/>
              </w:rPr>
              <w:t>。</w:t>
            </w:r>
          </w:p>
          <w:p>
            <w:pPr>
              <w:pStyle w:val="50"/>
              <w:keepNext w:val="0"/>
              <w:keepLines w:val="0"/>
              <w:pageBreakBefore w:val="0"/>
              <w:widowControl w:val="0"/>
              <w:kinsoku/>
              <w:wordWrap/>
              <w:overflowPunct w:val="0"/>
              <w:topLinePunct w:val="0"/>
              <w:autoSpaceDE/>
              <w:autoSpaceDN/>
              <w:bidi w:val="0"/>
              <w:adjustRightInd w:val="0"/>
              <w:snapToGrid w:val="0"/>
              <w:spacing w:line="240" w:lineRule="auto"/>
              <w:textAlignment w:val="auto"/>
              <w:rPr>
                <w:rFonts w:hint="default" w:ascii="Times New Roman" w:hAnsi="Times New Roman" w:cs="Times New Roman" w:eastAsiaTheme="majorEastAsia"/>
                <w:b/>
                <w:bCs w:val="0"/>
                <w:color w:val="auto"/>
                <w:highlight w:val="none"/>
              </w:rPr>
            </w:pPr>
            <w:r>
              <w:rPr>
                <w:rFonts w:hint="default" w:ascii="Times New Roman" w:hAnsi="Times New Roman" w:cs="Times New Roman" w:eastAsiaTheme="majorEastAsia"/>
                <w:b/>
                <w:bCs w:val="0"/>
                <w:color w:val="auto"/>
                <w:sz w:val="24"/>
                <w:szCs w:val="24"/>
                <w:highlight w:val="none"/>
                <w:lang w:val="en-US" w:eastAsia="zh-CN"/>
              </w:rPr>
              <w:t>表</w:t>
            </w:r>
            <w:r>
              <w:rPr>
                <w:rFonts w:hint="eastAsia" w:cs="Times New Roman" w:eastAsiaTheme="majorEastAsia"/>
                <w:b/>
                <w:bCs w:val="0"/>
                <w:color w:val="auto"/>
                <w:sz w:val="24"/>
                <w:szCs w:val="24"/>
                <w:highlight w:val="none"/>
                <w:lang w:val="en-US" w:eastAsia="zh-CN"/>
              </w:rPr>
              <w:t>3-4</w:t>
            </w:r>
            <w:r>
              <w:rPr>
                <w:rFonts w:hint="default" w:ascii="Times New Roman" w:hAnsi="Times New Roman" w:cs="Times New Roman" w:eastAsiaTheme="majorEastAsia"/>
                <w:b/>
                <w:bCs w:val="0"/>
                <w:color w:val="auto"/>
                <w:sz w:val="24"/>
                <w:szCs w:val="24"/>
                <w:highlight w:val="none"/>
                <w:lang w:val="en-US" w:eastAsia="zh-CN"/>
              </w:rPr>
              <w:t xml:space="preserve">        《声环境质量标准》（GB3096-2008）</w:t>
            </w:r>
          </w:p>
          <w:tbl>
            <w:tblPr>
              <w:tblStyle w:val="28"/>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87"/>
              <w:gridCol w:w="2071"/>
              <w:gridCol w:w="2371"/>
              <w:gridCol w:w="22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87" w:type="dxa"/>
                  <w:vAlign w:val="center"/>
                </w:tcPr>
                <w:p>
                  <w:pPr>
                    <w:spacing w:line="270" w:lineRule="exact"/>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类别</w:t>
                  </w:r>
                </w:p>
              </w:tc>
              <w:tc>
                <w:tcPr>
                  <w:tcW w:w="2071" w:type="dxa"/>
                  <w:vAlign w:val="center"/>
                </w:tcPr>
                <w:p>
                  <w:pPr>
                    <w:spacing w:line="270" w:lineRule="exact"/>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昼间</w:t>
                  </w:r>
                </w:p>
              </w:tc>
              <w:tc>
                <w:tcPr>
                  <w:tcW w:w="2371" w:type="dxa"/>
                  <w:vAlign w:val="center"/>
                </w:tcPr>
                <w:p>
                  <w:pPr>
                    <w:spacing w:line="270" w:lineRule="exact"/>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夜间</w:t>
                  </w:r>
                </w:p>
              </w:tc>
              <w:tc>
                <w:tcPr>
                  <w:tcW w:w="2275" w:type="dxa"/>
                  <w:vAlign w:val="center"/>
                </w:tcPr>
                <w:p>
                  <w:pPr>
                    <w:spacing w:line="270" w:lineRule="exact"/>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等效声级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87" w:type="dxa"/>
                  <w:vAlign w:val="center"/>
                </w:tcPr>
                <w:p>
                  <w:pPr>
                    <w:spacing w:line="270" w:lineRule="exact"/>
                    <w:jc w:val="center"/>
                    <w:rPr>
                      <w:rFonts w:hint="default" w:ascii="Times New Roman" w:hAnsi="Times New Roman" w:eastAsia="宋体" w:cs="Times New Roman"/>
                      <w:b/>
                      <w:bCs/>
                      <w:color w:val="auto"/>
                      <w:highlight w:val="none"/>
                      <w:lang w:eastAsia="zh-CN"/>
                    </w:rPr>
                  </w:pP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类</w:t>
                  </w:r>
                </w:p>
              </w:tc>
              <w:tc>
                <w:tcPr>
                  <w:tcW w:w="2071" w:type="dxa"/>
                  <w:vAlign w:val="center"/>
                </w:tcPr>
                <w:p>
                  <w:pPr>
                    <w:spacing w:line="270" w:lineRule="exact"/>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55</w:t>
                  </w:r>
                </w:p>
              </w:tc>
              <w:tc>
                <w:tcPr>
                  <w:tcW w:w="2371" w:type="dxa"/>
                  <w:vAlign w:val="center"/>
                </w:tcPr>
                <w:p>
                  <w:pPr>
                    <w:spacing w:line="270" w:lineRule="exact"/>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45</w:t>
                  </w:r>
                </w:p>
              </w:tc>
              <w:tc>
                <w:tcPr>
                  <w:tcW w:w="2275" w:type="dxa"/>
                  <w:vAlign w:val="center"/>
                </w:tcPr>
                <w:p>
                  <w:pPr>
                    <w:spacing w:line="27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dB(A)</w:t>
                  </w:r>
                </w:p>
              </w:tc>
            </w:tr>
          </w:tbl>
          <w:p>
            <w:pPr>
              <w:pStyle w:val="49"/>
              <w:keepNext w:val="0"/>
              <w:keepLines w:val="0"/>
              <w:pageBreakBefore w:val="0"/>
              <w:widowControl w:val="0"/>
              <w:kinsoku/>
              <w:wordWrap/>
              <w:topLinePunct w:val="0"/>
              <w:autoSpaceDE/>
              <w:autoSpaceDN/>
              <w:bidi w:val="0"/>
              <w:adjustRightInd w:val="0"/>
              <w:snapToGrid w:val="0"/>
              <w:spacing w:before="0" w:beforeLines="0" w:after="0" w:afterLines="0" w:line="360" w:lineRule="auto"/>
              <w:ind w:firstLine="481" w:firstLineChars="200"/>
              <w:rPr>
                <w:rFonts w:hint="default" w:ascii="Times New Roman" w:hAnsi="Times New Roman" w:eastAsia="仿宋_GB2312" w:cs="Times New Roman"/>
                <w:b/>
                <w:bCs/>
                <w:color w:val="auto"/>
                <w:kern w:val="16"/>
                <w:sz w:val="24"/>
                <w:szCs w:val="24"/>
                <w:highlight w:val="none"/>
                <w:lang w:val="en-US" w:eastAsia="zh-CN" w:bidi="ar-SA"/>
              </w:rPr>
            </w:pPr>
            <w:r>
              <w:rPr>
                <w:rFonts w:hint="default" w:ascii="Times New Roman" w:hAnsi="Times New Roman" w:eastAsia="仿宋_GB2312" w:cs="Times New Roman"/>
                <w:b/>
                <w:bCs/>
                <w:color w:val="auto"/>
                <w:kern w:val="16"/>
                <w:sz w:val="24"/>
                <w:szCs w:val="24"/>
                <w:highlight w:val="none"/>
                <w:lang w:val="en-US" w:eastAsia="zh-CN" w:bidi="ar-SA"/>
              </w:rPr>
              <w:t>2.污染物排放控制标准</w:t>
            </w:r>
          </w:p>
          <w:p>
            <w:pPr>
              <w:pStyle w:val="50"/>
              <w:keepNext w:val="0"/>
              <w:keepLines w:val="0"/>
              <w:pageBreakBefore w:val="0"/>
              <w:widowControl w:val="0"/>
              <w:kinsoku/>
              <w:wordWrap/>
              <w:topLinePunct w:val="0"/>
              <w:autoSpaceDE/>
              <w:autoSpaceDN/>
              <w:bidi w:val="0"/>
              <w:adjustRightInd w:val="0"/>
              <w:snapToGrid w:val="0"/>
              <w:spacing w:line="360" w:lineRule="auto"/>
              <w:ind w:left="0" w:leftChars="0" w:firstLine="481" w:firstLineChars="20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（1）</w:t>
            </w:r>
            <w:r>
              <w:rPr>
                <w:rFonts w:hint="default" w:ascii="Times New Roman" w:hAnsi="Times New Roman" w:cs="Times New Roman"/>
                <w:b/>
                <w:bCs/>
                <w:color w:val="auto"/>
                <w:highlight w:val="none"/>
                <w:lang w:val="en-US" w:eastAsia="zh-CN"/>
              </w:rPr>
              <w:t>废气</w:t>
            </w:r>
          </w:p>
          <w:p>
            <w:pPr>
              <w:pStyle w:val="50"/>
              <w:keepNext w:val="0"/>
              <w:keepLines w:val="0"/>
              <w:pageBreakBefore w:val="0"/>
              <w:widowControl w:val="0"/>
              <w:kinsoku/>
              <w:wordWrap/>
              <w:topLinePunct w:val="0"/>
              <w:autoSpaceDE/>
              <w:autoSpaceDN/>
              <w:bidi w:val="0"/>
              <w:adjustRightInd w:val="0"/>
              <w:snapToGrid w:val="0"/>
              <w:spacing w:line="360" w:lineRule="auto"/>
              <w:ind w:left="0" w:leftChars="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highlight w:val="none"/>
                <w:lang w:eastAsia="zh-CN"/>
              </w:rPr>
              <w:t>本工程施工期</w:t>
            </w:r>
            <w:r>
              <w:rPr>
                <w:rFonts w:hint="eastAsia" w:cs="Times New Roman"/>
                <w:b w:val="0"/>
                <w:bCs w:val="0"/>
                <w:color w:val="auto"/>
                <w:highlight w:val="none"/>
                <w:lang w:eastAsia="zh-CN"/>
              </w:rPr>
              <w:t>扬尘</w:t>
            </w:r>
            <w:r>
              <w:rPr>
                <w:rFonts w:hint="default" w:ascii="Times New Roman" w:hAnsi="Times New Roman" w:cs="Times New Roman"/>
                <w:b w:val="0"/>
                <w:bCs w:val="0"/>
                <w:color w:val="auto"/>
                <w:highlight w:val="none"/>
              </w:rPr>
              <w:t>排放</w:t>
            </w:r>
            <w:r>
              <w:rPr>
                <w:rFonts w:hint="default" w:ascii="Times New Roman" w:hAnsi="Times New Roman" w:cs="Times New Roman"/>
                <w:color w:val="auto"/>
                <w:highlight w:val="none"/>
              </w:rPr>
              <w:t>执行《大气污染物综合排放标准》（GB16297-1996）表2中无组织排放限值。</w:t>
            </w:r>
            <w:r>
              <w:rPr>
                <w:rFonts w:hint="default" w:ascii="Times New Roman" w:hAnsi="Times New Roman" w:cs="Times New Roman"/>
                <w:color w:val="auto"/>
                <w:highlight w:val="none"/>
                <w:lang w:val="en-US" w:eastAsia="zh-CN"/>
              </w:rPr>
              <w:t>标准要求具体见表</w:t>
            </w:r>
            <w:r>
              <w:rPr>
                <w:rFonts w:hint="eastAsia" w:cs="Times New Roman"/>
                <w:color w:val="auto"/>
                <w:highlight w:val="none"/>
                <w:lang w:val="en-US" w:eastAsia="zh-CN"/>
              </w:rPr>
              <w:t>3-5</w:t>
            </w:r>
            <w:r>
              <w:rPr>
                <w:rFonts w:hint="default" w:ascii="Times New Roman" w:hAnsi="Times New Roman" w:cs="Times New Roman"/>
                <w:color w:val="auto"/>
                <w:highlight w:val="none"/>
                <w:lang w:val="en-US" w:eastAsia="zh-CN"/>
              </w:rPr>
              <w:t>。</w:t>
            </w:r>
          </w:p>
          <w:p>
            <w:pPr>
              <w:pStyle w:val="50"/>
              <w:bidi w:val="0"/>
              <w:spacing w:line="240" w:lineRule="auto"/>
              <w:rPr>
                <w:rFonts w:hint="default" w:ascii="Times New Roman" w:hAnsi="Times New Roman" w:eastAsia="宋体" w:cs="Times New Roman"/>
                <w:b w:val="0"/>
                <w:bCs/>
                <w:color w:val="auto"/>
                <w:sz w:val="24"/>
                <w:szCs w:val="24"/>
                <w:highlight w:val="none"/>
                <w:lang w:val="en-US" w:eastAsia="zh-CN"/>
              </w:rPr>
            </w:pPr>
          </w:p>
          <w:p>
            <w:pPr>
              <w:pStyle w:val="50"/>
              <w:bidi w:val="0"/>
              <w:spacing w:line="240" w:lineRule="auto"/>
              <w:rPr>
                <w:rFonts w:hint="default" w:ascii="Times New Roman" w:hAnsi="Times New Roman" w:cs="Times New Roman" w:eastAsiaTheme="majorEastAsia"/>
                <w:b/>
                <w:bCs w:val="0"/>
                <w:color w:val="auto"/>
                <w:sz w:val="24"/>
                <w:szCs w:val="24"/>
                <w:highlight w:val="none"/>
                <w:lang w:val="en-US" w:eastAsia="zh-CN"/>
              </w:rPr>
            </w:pPr>
            <w:r>
              <w:rPr>
                <w:rFonts w:hint="default" w:ascii="Times New Roman" w:hAnsi="Times New Roman" w:cs="Times New Roman" w:eastAsiaTheme="majorEastAsia"/>
                <w:b/>
                <w:bCs w:val="0"/>
                <w:color w:val="auto"/>
                <w:sz w:val="24"/>
                <w:szCs w:val="24"/>
                <w:highlight w:val="none"/>
                <w:lang w:val="en-US" w:eastAsia="zh-CN"/>
              </w:rPr>
              <w:t>表</w:t>
            </w:r>
            <w:r>
              <w:rPr>
                <w:rFonts w:hint="eastAsia" w:cs="Times New Roman" w:eastAsiaTheme="majorEastAsia"/>
                <w:b/>
                <w:bCs w:val="0"/>
                <w:color w:val="auto"/>
                <w:sz w:val="24"/>
                <w:szCs w:val="24"/>
                <w:highlight w:val="none"/>
                <w:lang w:val="en-US" w:eastAsia="zh-CN"/>
              </w:rPr>
              <w:t>3-5</w:t>
            </w:r>
            <w:r>
              <w:rPr>
                <w:rFonts w:hint="default" w:ascii="Times New Roman" w:hAnsi="Times New Roman" w:cs="Times New Roman" w:eastAsiaTheme="majorEastAsia"/>
                <w:b/>
                <w:bCs w:val="0"/>
                <w:color w:val="auto"/>
                <w:sz w:val="24"/>
                <w:szCs w:val="24"/>
                <w:highlight w:val="none"/>
                <w:lang w:val="en-US" w:eastAsia="zh-CN"/>
              </w:rPr>
              <w:t xml:space="preserve">              《大气污染物综合排放标准》</w:t>
            </w:r>
          </w:p>
          <w:tbl>
            <w:tblPr>
              <w:tblStyle w:val="28"/>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70"/>
              <w:gridCol w:w="3953"/>
              <w:gridCol w:w="25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999" w:type="dxa"/>
                  <w:vMerge w:val="restart"/>
                  <w:noWrap w:val="0"/>
                  <w:vAlign w:val="center"/>
                </w:tcPr>
                <w:p>
                  <w:pPr>
                    <w:spacing w:line="28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污染物</w:t>
                  </w:r>
                </w:p>
              </w:tc>
              <w:tc>
                <w:tcPr>
                  <w:tcW w:w="6626" w:type="dxa"/>
                  <w:gridSpan w:val="2"/>
                  <w:noWrap w:val="0"/>
                  <w:vAlign w:val="center"/>
                </w:tcPr>
                <w:p>
                  <w:pPr>
                    <w:spacing w:line="28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999" w:type="dxa"/>
                  <w:vMerge w:val="continue"/>
                  <w:noWrap w:val="0"/>
                  <w:vAlign w:val="center"/>
                </w:tcPr>
                <w:p>
                  <w:pPr>
                    <w:spacing w:line="280" w:lineRule="exact"/>
                    <w:jc w:val="center"/>
                    <w:rPr>
                      <w:rFonts w:hint="default" w:ascii="Times New Roman" w:hAnsi="Times New Roman" w:cs="Times New Roman"/>
                      <w:b/>
                      <w:color w:val="auto"/>
                      <w:szCs w:val="21"/>
                      <w:highlight w:val="none"/>
                    </w:rPr>
                  </w:pPr>
                </w:p>
              </w:tc>
              <w:tc>
                <w:tcPr>
                  <w:tcW w:w="4017" w:type="dxa"/>
                  <w:noWrap w:val="0"/>
                  <w:vAlign w:val="center"/>
                </w:tcPr>
                <w:p>
                  <w:pPr>
                    <w:pStyle w:val="64"/>
                    <w:snapToGrid w:val="0"/>
                    <w:spacing w:before="0" w:line="280" w:lineRule="exact"/>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rPr>
                    <w:t>监控点</w:t>
                  </w:r>
                </w:p>
              </w:tc>
              <w:tc>
                <w:tcPr>
                  <w:tcW w:w="2609" w:type="dxa"/>
                  <w:noWrap w:val="0"/>
                  <w:vAlign w:val="center"/>
                </w:tcPr>
                <w:p>
                  <w:pPr>
                    <w:pStyle w:val="64"/>
                    <w:snapToGrid w:val="0"/>
                    <w:spacing w:before="0" w:line="280" w:lineRule="exact"/>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rPr>
                    <w:t>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999" w:type="dxa"/>
                  <w:noWrap w:val="0"/>
                  <w:vAlign w:val="center"/>
                </w:tcPr>
                <w:p>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w:t>
                  </w:r>
                </w:p>
              </w:tc>
              <w:tc>
                <w:tcPr>
                  <w:tcW w:w="4017" w:type="dxa"/>
                  <w:noWrap w:val="0"/>
                  <w:vAlign w:val="center"/>
                </w:tcPr>
                <w:p>
                  <w:pPr>
                    <w:spacing w:line="280" w:lineRule="exact"/>
                    <w:jc w:val="center"/>
                    <w:rPr>
                      <w:rFonts w:hint="default" w:ascii="Times New Roman" w:hAnsi="Times New Roman" w:cs="Times New Roman"/>
                      <w:b w:val="0"/>
                      <w:bCs w:val="0"/>
                      <w:color w:val="auto"/>
                      <w:spacing w:val="-10"/>
                      <w:szCs w:val="21"/>
                      <w:highlight w:val="none"/>
                    </w:rPr>
                  </w:pPr>
                  <w:r>
                    <w:rPr>
                      <w:rFonts w:hint="default" w:ascii="Times New Roman" w:hAnsi="Times New Roman" w:cs="Times New Roman"/>
                      <w:b w:val="0"/>
                      <w:bCs w:val="0"/>
                      <w:color w:val="auto"/>
                      <w:szCs w:val="21"/>
                      <w:highlight w:val="none"/>
                    </w:rPr>
                    <w:t>周界外浓度最高点</w:t>
                  </w:r>
                </w:p>
              </w:tc>
              <w:tc>
                <w:tcPr>
                  <w:tcW w:w="2609" w:type="dxa"/>
                  <w:noWrap w:val="0"/>
                  <w:vAlign w:val="center"/>
                </w:tcPr>
                <w:p>
                  <w:pPr>
                    <w:pStyle w:val="64"/>
                    <w:snapToGrid w:val="0"/>
                    <w:spacing w:before="0" w:line="280" w:lineRule="exact"/>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rPr>
                    <w:t>1.0mg/m</w:t>
                  </w:r>
                  <w:r>
                    <w:rPr>
                      <w:rFonts w:hint="default" w:ascii="Times New Roman" w:hAnsi="Times New Roman" w:cs="Times New Roman"/>
                      <w:b w:val="0"/>
                      <w:bCs w:val="0"/>
                      <w:color w:val="auto"/>
                      <w:kern w:val="2"/>
                      <w:sz w:val="21"/>
                      <w:szCs w:val="21"/>
                      <w:highlight w:val="none"/>
                      <w:vertAlign w:val="superscript"/>
                    </w:rPr>
                    <w:t>3</w:t>
                  </w:r>
                </w:p>
              </w:tc>
            </w:tr>
          </w:tbl>
          <w:p>
            <w:pPr>
              <w:pStyle w:val="50"/>
              <w:keepNext w:val="0"/>
              <w:keepLines w:val="0"/>
              <w:pageBreakBefore w:val="0"/>
              <w:widowControl w:val="0"/>
              <w:kinsoku/>
              <w:wordWrap/>
              <w:overflowPunct w:val="0"/>
              <w:topLinePunct w:val="0"/>
              <w:autoSpaceDE/>
              <w:autoSpaceDN/>
              <w:bidi w:val="0"/>
              <w:adjustRightInd w:val="0"/>
              <w:snapToGrid w:val="0"/>
              <w:spacing w:before="157" w:beforeLines="50"/>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（2）</w:t>
            </w:r>
            <w:r>
              <w:rPr>
                <w:rFonts w:hint="default" w:ascii="Times New Roman" w:hAnsi="Times New Roman" w:cs="Times New Roman"/>
                <w:b/>
                <w:bCs/>
                <w:color w:val="auto"/>
                <w:highlight w:val="none"/>
                <w:lang w:val="en-US" w:eastAsia="zh-CN"/>
              </w:rPr>
              <w:t>噪声</w:t>
            </w:r>
          </w:p>
          <w:p>
            <w:pPr>
              <w:pStyle w:val="50"/>
              <w:bidi w:val="0"/>
              <w:spacing w:line="360" w:lineRule="auto"/>
              <w:ind w:left="0" w:leftChars="0" w:firstLine="480" w:firstLineChars="20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eastAsia="zh-CN"/>
              </w:rPr>
              <w:t>本工程施工期</w:t>
            </w:r>
            <w:r>
              <w:rPr>
                <w:rFonts w:hint="default" w:ascii="Times New Roman" w:hAnsi="Times New Roman" w:cs="Times New Roman"/>
                <w:color w:val="auto"/>
                <w:highlight w:val="none"/>
              </w:rPr>
              <w:t>噪声排放执行《建筑施工场界环境噪声排放标准》（GB12523-2011）排放限值。</w:t>
            </w:r>
            <w:r>
              <w:rPr>
                <w:rFonts w:hint="default" w:ascii="Times New Roman" w:hAnsi="Times New Roman" w:cs="Times New Roman"/>
                <w:color w:val="auto"/>
                <w:highlight w:val="none"/>
                <w:lang w:val="en-US" w:eastAsia="zh-CN"/>
              </w:rPr>
              <w:t>标准要求具体见表</w:t>
            </w:r>
            <w:r>
              <w:rPr>
                <w:rFonts w:hint="eastAsia" w:cs="Times New Roman"/>
                <w:color w:val="auto"/>
                <w:highlight w:val="none"/>
                <w:lang w:val="en-US" w:eastAsia="zh-CN"/>
              </w:rPr>
              <w:t>3-6</w:t>
            </w:r>
            <w:r>
              <w:rPr>
                <w:rFonts w:hint="default" w:ascii="Times New Roman" w:hAnsi="Times New Roman" w:cs="Times New Roman"/>
                <w:color w:val="auto"/>
                <w:highlight w:val="none"/>
                <w:lang w:val="en-US" w:eastAsia="zh-CN"/>
              </w:rPr>
              <w:t>。</w:t>
            </w:r>
          </w:p>
          <w:p>
            <w:pPr>
              <w:pStyle w:val="50"/>
              <w:bidi w:val="0"/>
              <w:spacing w:line="240" w:lineRule="auto"/>
              <w:ind w:left="0" w:leftChars="0" w:firstLine="481" w:firstLineChars="200"/>
              <w:rPr>
                <w:rFonts w:hint="default" w:ascii="Times New Roman" w:hAnsi="Times New Roman" w:cs="Times New Roman" w:eastAsiaTheme="majorEastAsia"/>
                <w:b/>
                <w:bCs w:val="0"/>
                <w:color w:val="auto"/>
                <w:sz w:val="24"/>
                <w:szCs w:val="24"/>
                <w:highlight w:val="none"/>
                <w:lang w:val="en-US" w:eastAsia="zh-CN"/>
              </w:rPr>
            </w:pPr>
            <w:r>
              <w:rPr>
                <w:rFonts w:hint="default" w:ascii="Times New Roman" w:hAnsi="Times New Roman" w:cs="Times New Roman" w:eastAsiaTheme="majorEastAsia"/>
                <w:b/>
                <w:bCs w:val="0"/>
                <w:color w:val="auto"/>
                <w:sz w:val="24"/>
                <w:szCs w:val="24"/>
                <w:highlight w:val="none"/>
                <w:lang w:val="en-US" w:eastAsia="zh-CN"/>
              </w:rPr>
              <w:t>表</w:t>
            </w:r>
            <w:r>
              <w:rPr>
                <w:rFonts w:hint="eastAsia" w:cs="Times New Roman" w:eastAsiaTheme="majorEastAsia"/>
                <w:b/>
                <w:bCs w:val="0"/>
                <w:color w:val="auto"/>
                <w:sz w:val="24"/>
                <w:szCs w:val="24"/>
                <w:highlight w:val="none"/>
                <w:lang w:val="en-US" w:eastAsia="zh-CN"/>
              </w:rPr>
              <w:t>3-6</w:t>
            </w:r>
            <w:r>
              <w:rPr>
                <w:rFonts w:hint="default" w:ascii="Times New Roman" w:hAnsi="Times New Roman" w:cs="Times New Roman" w:eastAsiaTheme="majorEastAsia"/>
                <w:b/>
                <w:bCs w:val="0"/>
                <w:color w:val="auto"/>
                <w:sz w:val="24"/>
                <w:szCs w:val="24"/>
                <w:highlight w:val="none"/>
                <w:lang w:val="en-US" w:eastAsia="zh-CN"/>
              </w:rPr>
              <w:t xml:space="preserve">         《建筑施工场界环境噪声排放标准》</w:t>
            </w:r>
          </w:p>
          <w:tbl>
            <w:tblPr>
              <w:tblStyle w:val="28"/>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964"/>
              <w:gridCol w:w="45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020" w:type="dxa"/>
                  <w:noWrap w:val="0"/>
                  <w:vAlign w:val="center"/>
                </w:tcPr>
                <w:p>
                  <w:pPr>
                    <w:spacing w:line="27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昼间</w:t>
                  </w:r>
                </w:p>
              </w:tc>
              <w:tc>
                <w:tcPr>
                  <w:tcW w:w="4605" w:type="dxa"/>
                  <w:noWrap w:val="0"/>
                  <w:vAlign w:val="center"/>
                </w:tcPr>
                <w:p>
                  <w:pPr>
                    <w:spacing w:line="27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020" w:type="dxa"/>
                  <w:noWrap w:val="0"/>
                  <w:vAlign w:val="center"/>
                </w:tcPr>
                <w:p>
                  <w:pPr>
                    <w:spacing w:line="27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r>
                    <w:rPr>
                      <w:rFonts w:hint="default" w:ascii="Times New Roman" w:hAnsi="Times New Roman" w:cs="Times New Roman"/>
                      <w:bCs/>
                      <w:color w:val="auto"/>
                      <w:szCs w:val="21"/>
                      <w:highlight w:val="none"/>
                    </w:rPr>
                    <w:t>dB</w:t>
                  </w:r>
                </w:p>
              </w:tc>
              <w:tc>
                <w:tcPr>
                  <w:tcW w:w="4605" w:type="dxa"/>
                  <w:noWrap w:val="0"/>
                  <w:vAlign w:val="center"/>
                </w:tcPr>
                <w:p>
                  <w:pPr>
                    <w:spacing w:line="27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w:t>
                  </w:r>
                  <w:r>
                    <w:rPr>
                      <w:rFonts w:hint="default" w:ascii="Times New Roman" w:hAnsi="Times New Roman" w:cs="Times New Roman"/>
                      <w:bCs/>
                      <w:color w:val="auto"/>
                      <w:szCs w:val="21"/>
                      <w:highlight w:val="none"/>
                    </w:rPr>
                    <w:t>dB</w:t>
                  </w:r>
                </w:p>
              </w:tc>
            </w:tr>
          </w:tbl>
          <w:p>
            <w:pPr>
              <w:pStyle w:val="50"/>
              <w:bidi w:val="0"/>
              <w:spacing w:line="360" w:lineRule="auto"/>
              <w:ind w:left="0" w:leftChars="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所在区域属于1类声环境功能区，本期项目建设前后评价范围内噪声级增高量在3dB(A)-5dB(A)之间，受噪声影响人口数量变化不大。根据《环境影响评价技术导则-声环境》（HJ2.4-2009）评价工作等级划分依据，项目声环境评价等级为二级。</w:t>
            </w:r>
            <w:r>
              <w:rPr>
                <w:rFonts w:hint="eastAsia" w:ascii="Times New Roman" w:hAnsi="Times New Roman" w:cs="Times New Roman"/>
                <w:color w:val="auto"/>
                <w:highlight w:val="none"/>
                <w:lang w:val="en-US" w:eastAsia="zh-CN"/>
              </w:rPr>
              <w:t>本工程运营期噪声执行《工业企业厂界环境噪声排放标准》（GB12348-2008） 中的</w:t>
            </w:r>
            <w:r>
              <w:rPr>
                <w:rFonts w:hint="eastAsia" w:cs="Times New Roman"/>
                <w:color w:val="auto"/>
                <w:highlight w:val="none"/>
                <w:lang w:val="en-US" w:eastAsia="zh-CN"/>
              </w:rPr>
              <w:t>1</w:t>
            </w:r>
            <w:r>
              <w:rPr>
                <w:rFonts w:hint="eastAsia" w:ascii="Times New Roman" w:hAnsi="Times New Roman" w:cs="Times New Roman"/>
                <w:color w:val="auto"/>
                <w:highlight w:val="none"/>
                <w:lang w:val="en-US" w:eastAsia="zh-CN"/>
              </w:rPr>
              <w:t>类标准要求。</w:t>
            </w:r>
          </w:p>
          <w:p>
            <w:pPr>
              <w:pStyle w:val="50"/>
              <w:bidi w:val="0"/>
              <w:spacing w:line="240" w:lineRule="auto"/>
              <w:ind w:left="0" w:leftChars="0" w:firstLine="481" w:firstLineChars="200"/>
              <w:rPr>
                <w:rFonts w:hint="default" w:ascii="Times New Roman" w:hAnsi="Times New Roman" w:cs="Times New Roman" w:eastAsiaTheme="majorEastAsia"/>
                <w:b/>
                <w:bCs w:val="0"/>
                <w:color w:val="auto"/>
                <w:sz w:val="24"/>
                <w:szCs w:val="24"/>
                <w:highlight w:val="none"/>
                <w:lang w:val="en-US" w:eastAsia="zh-CN"/>
              </w:rPr>
            </w:pPr>
            <w:r>
              <w:rPr>
                <w:rFonts w:hint="default" w:ascii="Times New Roman" w:hAnsi="Times New Roman" w:cs="Times New Roman" w:eastAsiaTheme="majorEastAsia"/>
                <w:b/>
                <w:bCs w:val="0"/>
                <w:color w:val="auto"/>
                <w:sz w:val="24"/>
                <w:szCs w:val="24"/>
                <w:highlight w:val="none"/>
                <w:lang w:val="en-US" w:eastAsia="zh-CN"/>
              </w:rPr>
              <w:t>表</w:t>
            </w:r>
            <w:r>
              <w:rPr>
                <w:rFonts w:hint="eastAsia" w:cs="Times New Roman" w:eastAsiaTheme="majorEastAsia"/>
                <w:b/>
                <w:bCs w:val="0"/>
                <w:color w:val="auto"/>
                <w:sz w:val="24"/>
                <w:szCs w:val="24"/>
                <w:highlight w:val="none"/>
                <w:lang w:val="en-US" w:eastAsia="zh-CN"/>
              </w:rPr>
              <w:t>3-7</w:t>
            </w:r>
            <w:r>
              <w:rPr>
                <w:rFonts w:hint="default" w:ascii="Times New Roman" w:hAnsi="Times New Roman" w:cs="Times New Roman" w:eastAsiaTheme="majorEastAsia"/>
                <w:b/>
                <w:bCs w:val="0"/>
                <w:color w:val="auto"/>
                <w:sz w:val="24"/>
                <w:szCs w:val="24"/>
                <w:highlight w:val="none"/>
                <w:lang w:val="en-US" w:eastAsia="zh-CN"/>
              </w:rPr>
              <w:t xml:space="preserve">  《工业企业厂界环境噪声排放标准》（GB12348-2008） 单位：dB(A)</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1947"/>
              <w:gridCol w:w="2199"/>
              <w:gridCol w:w="2135"/>
              <w:gridCol w:w="2220"/>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45" w:type="pct"/>
                  <w:noWrap w:val="0"/>
                  <w:vAlign w:val="center"/>
                </w:tcPr>
                <w:p>
                  <w:pPr>
                    <w:spacing w:line="270" w:lineRule="exact"/>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类别</w:t>
                  </w:r>
                </w:p>
              </w:tc>
              <w:tc>
                <w:tcPr>
                  <w:tcW w:w="1293" w:type="pct"/>
                  <w:noWrap w:val="0"/>
                  <w:vAlign w:val="center"/>
                </w:tcPr>
                <w:p>
                  <w:pPr>
                    <w:spacing w:line="270" w:lineRule="exact"/>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昼间</w:t>
                  </w:r>
                </w:p>
              </w:tc>
              <w:tc>
                <w:tcPr>
                  <w:tcW w:w="1255" w:type="pct"/>
                  <w:noWrap w:val="0"/>
                  <w:vAlign w:val="center"/>
                </w:tcPr>
                <w:p>
                  <w:pPr>
                    <w:spacing w:line="270" w:lineRule="exact"/>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夜间</w:t>
                  </w:r>
                </w:p>
              </w:tc>
              <w:tc>
                <w:tcPr>
                  <w:tcW w:w="1305" w:type="pct"/>
                  <w:noWrap w:val="0"/>
                  <w:vAlign w:val="center"/>
                </w:tcPr>
                <w:p>
                  <w:pPr>
                    <w:spacing w:line="270" w:lineRule="exact"/>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等效声级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45" w:type="pct"/>
                  <w:noWrap w:val="0"/>
                  <w:vAlign w:val="center"/>
                </w:tcPr>
                <w:p>
                  <w:pPr>
                    <w:spacing w:line="270" w:lineRule="exact"/>
                    <w:jc w:val="center"/>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szCs w:val="21"/>
                      <w:highlight w:val="none"/>
                      <w:lang w:val="en-US" w:eastAsia="zh-CN"/>
                    </w:rPr>
                    <w:t>1</w:t>
                  </w:r>
                  <w:r>
                    <w:rPr>
                      <w:rFonts w:hint="default" w:ascii="Times New Roman" w:hAnsi="Times New Roman" w:eastAsia="宋体" w:cs="Times New Roman"/>
                      <w:b w:val="0"/>
                      <w:bCs/>
                      <w:color w:val="auto"/>
                      <w:szCs w:val="21"/>
                      <w:highlight w:val="none"/>
                      <w:lang w:val="en-US" w:eastAsia="zh-CN"/>
                    </w:rPr>
                    <w:t>类</w:t>
                  </w:r>
                </w:p>
              </w:tc>
              <w:tc>
                <w:tcPr>
                  <w:tcW w:w="1293" w:type="pct"/>
                  <w:noWrap w:val="0"/>
                  <w:vAlign w:val="center"/>
                </w:tcPr>
                <w:p>
                  <w:pPr>
                    <w:spacing w:line="270" w:lineRule="exact"/>
                    <w:jc w:val="center"/>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szCs w:val="21"/>
                      <w:highlight w:val="none"/>
                      <w:lang w:val="en-US" w:eastAsia="zh-CN"/>
                    </w:rPr>
                    <w:t>55</w:t>
                  </w:r>
                </w:p>
              </w:tc>
              <w:tc>
                <w:tcPr>
                  <w:tcW w:w="1255" w:type="pct"/>
                  <w:noWrap w:val="0"/>
                  <w:vAlign w:val="center"/>
                </w:tcPr>
                <w:p>
                  <w:pPr>
                    <w:spacing w:line="270" w:lineRule="exact"/>
                    <w:jc w:val="center"/>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szCs w:val="21"/>
                      <w:highlight w:val="none"/>
                      <w:lang w:val="en-US" w:eastAsia="zh-CN"/>
                    </w:rPr>
                    <w:t>45</w:t>
                  </w:r>
                </w:p>
              </w:tc>
              <w:tc>
                <w:tcPr>
                  <w:tcW w:w="1305" w:type="pct"/>
                  <w:noWrap w:val="0"/>
                  <w:vAlign w:val="center"/>
                </w:tcPr>
                <w:p>
                  <w:pPr>
                    <w:spacing w:line="270" w:lineRule="exact"/>
                    <w:jc w:val="center"/>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dB（A）</w:t>
                  </w:r>
                </w:p>
              </w:tc>
            </w:tr>
          </w:tbl>
          <w:p>
            <w:pPr>
              <w:pStyle w:val="50"/>
              <w:keepNext w:val="0"/>
              <w:keepLines w:val="0"/>
              <w:pageBreakBefore w:val="0"/>
              <w:widowControl w:val="0"/>
              <w:kinsoku/>
              <w:wordWrap/>
              <w:overflowPunct w:val="0"/>
              <w:topLinePunct w:val="0"/>
              <w:autoSpaceDE/>
              <w:autoSpaceDN/>
              <w:bidi w:val="0"/>
              <w:adjustRightInd w:val="0"/>
              <w:snapToGrid w:val="0"/>
              <w:spacing w:before="157" w:beforeLines="50"/>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（3）</w:t>
            </w:r>
            <w:r>
              <w:rPr>
                <w:rFonts w:hint="default" w:ascii="Times New Roman" w:hAnsi="Times New Roman" w:cs="Times New Roman"/>
                <w:b/>
                <w:bCs/>
                <w:color w:val="auto"/>
                <w:highlight w:val="none"/>
                <w:lang w:val="en-US" w:eastAsia="zh-CN"/>
              </w:rPr>
              <w:t>固体废物管理</w:t>
            </w:r>
          </w:p>
          <w:p>
            <w:pPr>
              <w:pStyle w:val="50"/>
              <w:bidi w:val="0"/>
              <w:ind w:firstLine="480"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color w:val="auto"/>
                <w:highlight w:val="none"/>
                <w:lang w:val="en-US" w:eastAsia="zh-CN"/>
              </w:rPr>
              <w:t>本工程施工期固体废物主要包括建筑垃圾</w:t>
            </w:r>
            <w:r>
              <w:rPr>
                <w:rFonts w:hint="eastAsia" w:cs="Times New Roman"/>
                <w:color w:val="auto"/>
                <w:highlight w:val="none"/>
                <w:lang w:val="en-US" w:eastAsia="zh-CN"/>
              </w:rPr>
              <w:t>、废包装袋等</w:t>
            </w:r>
            <w:r>
              <w:rPr>
                <w:rFonts w:hint="default" w:ascii="Times New Roman" w:hAnsi="Times New Roman" w:cs="Times New Roman"/>
                <w:color w:val="auto"/>
                <w:highlight w:val="none"/>
                <w:lang w:val="en-US" w:eastAsia="zh-CN"/>
              </w:rPr>
              <w:t>一般工业固废以及员工生活产生的生活垃圾。本项目施工期一般</w:t>
            </w:r>
            <w:r>
              <w:rPr>
                <w:rFonts w:hint="eastAsia" w:cs="Times New Roman"/>
                <w:color w:val="auto"/>
                <w:highlight w:val="none"/>
                <w:lang w:val="en-US" w:eastAsia="zh-CN"/>
              </w:rPr>
              <w:t>工业</w:t>
            </w:r>
            <w:r>
              <w:rPr>
                <w:rFonts w:hint="default" w:ascii="Times New Roman" w:hAnsi="Times New Roman" w:cs="Times New Roman"/>
                <w:color w:val="auto"/>
                <w:highlight w:val="none"/>
                <w:lang w:val="en-US" w:eastAsia="zh-CN"/>
              </w:rPr>
              <w:t>固体废物</w:t>
            </w:r>
            <w:r>
              <w:rPr>
                <w:rFonts w:hint="eastAsia" w:cs="Times New Roman"/>
                <w:color w:val="auto"/>
                <w:highlight w:val="none"/>
                <w:lang w:val="en-US" w:eastAsia="zh-CN"/>
              </w:rPr>
              <w:t>在施工营地</w:t>
            </w:r>
            <w:r>
              <w:rPr>
                <w:rFonts w:hint="default" w:ascii="Times New Roman" w:hAnsi="Times New Roman" w:cs="Times New Roman"/>
                <w:color w:val="auto"/>
                <w:highlight w:val="none"/>
                <w:lang w:val="en-US" w:eastAsia="zh-CN"/>
              </w:rPr>
              <w:t>暂存应满足防渗漏、防雨淋、防扬尘等环境保护要求</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建筑垃圾清运至</w:t>
            </w:r>
            <w:r>
              <w:rPr>
                <w:rFonts w:hint="eastAsia" w:cs="Times New Roman"/>
                <w:color w:val="auto"/>
                <w:highlight w:val="none"/>
                <w:lang w:val="en-US" w:eastAsia="zh-CN"/>
              </w:rPr>
              <w:t>沙坡头区</w:t>
            </w:r>
            <w:r>
              <w:rPr>
                <w:rFonts w:hint="default" w:ascii="Times New Roman" w:hAnsi="Times New Roman" w:cs="Times New Roman"/>
                <w:color w:val="auto"/>
                <w:highlight w:val="none"/>
                <w:lang w:val="en-US" w:eastAsia="zh-CN"/>
              </w:rPr>
              <w:t>市政规定的建筑垃圾堆放场地；</w:t>
            </w:r>
            <w:r>
              <w:rPr>
                <w:rFonts w:hint="eastAsia" w:cs="Times New Roman"/>
                <w:color w:val="auto"/>
                <w:highlight w:val="none"/>
                <w:lang w:val="en-US" w:eastAsia="zh-CN"/>
              </w:rPr>
              <w:t>生活垃圾集中收集后，由环卫部门统一处理。运营期固体废物主要为设备检修产生的废润滑油集中收集后，</w:t>
            </w:r>
            <w:r>
              <w:rPr>
                <w:rFonts w:hint="eastAsia"/>
                <w:color w:val="auto"/>
                <w:highlight w:val="none"/>
                <w:lang w:eastAsia="zh-CN"/>
              </w:rPr>
              <w:t>送</w:t>
            </w:r>
            <w:r>
              <w:rPr>
                <w:rFonts w:hint="eastAsia" w:ascii="Times New Roman" w:hAnsi="Times New Roman" w:cs="Times New Roman"/>
                <w:color w:val="auto"/>
                <w:highlight w:val="none"/>
                <w:lang w:eastAsia="zh-CN"/>
              </w:rPr>
              <w:t>至依托的</w:t>
            </w:r>
            <w:r>
              <w:rPr>
                <w:rFonts w:hint="eastAsia" w:ascii="Times New Roman" w:hAnsi="Times New Roman" w:cs="Times New Roman"/>
                <w:color w:val="auto"/>
                <w:highlight w:val="none"/>
                <w:lang w:val="en-US" w:eastAsia="zh-CN"/>
              </w:rPr>
              <w:t>“国家电投集团中卫香山风电场1-3期“以大代小”150MW增容项目”危废贮存点（本项目依托）暂存后</w:t>
            </w:r>
            <w:r>
              <w:rPr>
                <w:rFonts w:hint="eastAsia" w:cs="Times New Roman"/>
                <w:color w:val="auto"/>
                <w:highlight w:val="none"/>
                <w:lang w:val="en-US" w:eastAsia="zh-CN"/>
              </w:rPr>
              <w:t>直接交由有资质单位处置。</w:t>
            </w:r>
            <w:r>
              <w:rPr>
                <w:rFonts w:hint="eastAsia" w:ascii="Times New Roman" w:hAnsi="Times New Roman" w:cs="Times New Roman"/>
                <w:color w:val="auto"/>
                <w:highlight w:val="none"/>
                <w:lang w:val="en-US" w:eastAsia="zh-CN"/>
              </w:rPr>
              <w:t>项目生产中所涉及的危险废物的产生、收集、贮存、转移、处置等过程须按照《危险废物贮存污染控制标准》（GB18597-2023）和《危险废物收集、贮存、运输技术规范》（HJ2025-2012）的相关要求执行。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83" w:hRule="atLeast"/>
          <w:jc w:val="center"/>
        </w:trPr>
        <w:tc>
          <w:tcPr>
            <w:tcW w:w="604" w:type="dxa"/>
            <w:tcBorders>
              <w:tl2br w:val="nil"/>
              <w:tr2bl w:val="nil"/>
            </w:tcBorders>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其他</w:t>
            </w:r>
          </w:p>
        </w:tc>
        <w:tc>
          <w:tcPr>
            <w:tcW w:w="8750" w:type="dxa"/>
            <w:tcBorders>
              <w:tl2br w:val="nil"/>
              <w:tr2bl w:val="nil"/>
            </w:tcBorders>
            <w:vAlign w:val="center"/>
          </w:tcPr>
          <w:p>
            <w:pPr>
              <w:pStyle w:val="5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无</w:t>
            </w:r>
          </w:p>
        </w:tc>
      </w:tr>
    </w:tbl>
    <w:p>
      <w:pPr>
        <w:jc w:val="left"/>
        <w:rPr>
          <w:rFonts w:hint="default" w:ascii="Times New Roman" w:hAnsi="Times New Roman" w:eastAsia="黑体" w:cs="Times New Roman"/>
          <w:b/>
          <w:bCs/>
          <w:color w:val="auto"/>
          <w:sz w:val="30"/>
          <w:szCs w:val="30"/>
          <w:highlight w:val="none"/>
        </w:rPr>
        <w:sectPr>
          <w:pgSz w:w="11905" w:h="16838"/>
          <w:pgMar w:top="1803" w:right="1440" w:bottom="1803" w:left="1440" w:header="1247" w:footer="1247" w:gutter="0"/>
          <w:pgBorders>
            <w:top w:val="none" w:sz="0" w:space="0"/>
            <w:left w:val="none" w:sz="0" w:space="0"/>
            <w:bottom w:val="none" w:sz="0" w:space="0"/>
            <w:right w:val="none" w:sz="0" w:space="0"/>
          </w:pgBorders>
          <w:pgNumType w:fmt="decimal"/>
          <w:cols w:space="0" w:num="1"/>
          <w:rtlGutter w:val="0"/>
          <w:docGrid w:linePitch="312" w:charSpace="0"/>
        </w:sectPr>
      </w:pP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四、生态环境影响分析</w:t>
      </w:r>
    </w:p>
    <w:tbl>
      <w:tblPr>
        <w:tblStyle w:val="28"/>
        <w:tblW w:w="93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8"/>
        <w:gridCol w:w="86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52" w:hRule="atLeast"/>
          <w:jc w:val="center"/>
        </w:trPr>
        <w:tc>
          <w:tcPr>
            <w:tcW w:w="738" w:type="dxa"/>
            <w:vAlign w:val="center"/>
          </w:tcPr>
          <w:p>
            <w:pPr>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施工期生态环境影响分析</w:t>
            </w:r>
          </w:p>
        </w:tc>
        <w:tc>
          <w:tcPr>
            <w:tcW w:w="8616" w:type="dxa"/>
            <w:vMerge w:val="restart"/>
            <w:vAlign w:val="center"/>
          </w:tcPr>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w:t>
            </w:r>
            <w:r>
              <w:rPr>
                <w:rFonts w:hint="eastAsia" w:cs="Times New Roman"/>
                <w:color w:val="auto"/>
                <w:highlight w:val="none"/>
                <w:lang w:val="en-US" w:eastAsia="zh-CN"/>
              </w:rPr>
              <w:t>位于中卫市沙坡头区境内，风电机组</w:t>
            </w:r>
            <w:r>
              <w:rPr>
                <w:rFonts w:hint="default" w:ascii="Times New Roman" w:hAnsi="Times New Roman" w:cs="Times New Roman"/>
                <w:color w:val="auto"/>
                <w:highlight w:val="none"/>
                <w:lang w:val="en-US" w:eastAsia="zh-CN"/>
              </w:rPr>
              <w:t>和</w:t>
            </w:r>
            <w:r>
              <w:rPr>
                <w:rFonts w:hint="eastAsia" w:cs="Times New Roman"/>
                <w:color w:val="auto"/>
                <w:highlight w:val="none"/>
                <w:lang w:val="en-US" w:eastAsia="zh-CN"/>
              </w:rPr>
              <w:t>箱式变压器</w:t>
            </w:r>
            <w:r>
              <w:rPr>
                <w:rFonts w:hint="default" w:ascii="Times New Roman" w:hAnsi="Times New Roman" w:cs="Times New Roman"/>
                <w:color w:val="auto"/>
                <w:highlight w:val="none"/>
                <w:lang w:val="en-US" w:eastAsia="zh-CN"/>
              </w:rPr>
              <w:t>等施工活动，会带来永久</w:t>
            </w:r>
            <w:r>
              <w:rPr>
                <w:rFonts w:hint="eastAsia" w:cs="Times New Roman"/>
                <w:color w:val="auto"/>
                <w:highlight w:val="none"/>
                <w:lang w:val="en-US" w:eastAsia="zh-CN"/>
              </w:rPr>
              <w:t>占地</w:t>
            </w:r>
            <w:r>
              <w:rPr>
                <w:rFonts w:hint="default" w:ascii="Times New Roman" w:hAnsi="Times New Roman" w:cs="Times New Roman"/>
                <w:color w:val="auto"/>
                <w:highlight w:val="none"/>
                <w:lang w:val="en-US" w:eastAsia="zh-CN"/>
              </w:rPr>
              <w:t>与临时占地，使场地植被以及区域地表状态发生改变，对区域生态环境造成不同程度的影响。主要表现在以下方面：</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风机基础施工需进行挖方、填方、浇筑等活动，会产生临时堆土并对附近原生地貌和植被造成一定程度的破坏，降低植被的覆盖度，可能形成裸露疏松表土；施工弃土、弃渣及建筑垃圾等，如果不进行必要的防护，可能会影响当地植物生长，加剧土壤侵蚀，导致生产力下降和生物量损失。</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②风机组件运至现场进行组装，需要占用一定范围的临时用地；为施工和运行检修方便，还会新修</w:t>
            </w:r>
            <w:r>
              <w:rPr>
                <w:rFonts w:hint="eastAsia" w:cs="Times New Roman"/>
                <w:color w:val="auto"/>
                <w:highlight w:val="none"/>
                <w:lang w:val="en-US" w:eastAsia="zh-CN"/>
              </w:rPr>
              <w:t>及改建</w:t>
            </w:r>
            <w:r>
              <w:rPr>
                <w:rFonts w:hint="default" w:ascii="Times New Roman" w:hAnsi="Times New Roman" w:cs="Times New Roman"/>
                <w:color w:val="auto"/>
                <w:highlight w:val="none"/>
                <w:lang w:val="en-US" w:eastAsia="zh-CN"/>
              </w:rPr>
              <w:t>部分临时道路，土建施工弃渣的临时堆放也会占用一定场地。这些临时占地将改变原有土地利用方式，使部分植被和土壤遭受短期破坏，导致生产力下降和生物量损失，但这种破坏是可逆转的。</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施工人员出入、运输车辆的来往、施工机械运行会对施工场地周边动物觅食、迁徙、繁殖和发育等产生干扰，有可能限制其活动区域、觅食范围与栖息空间等。夜间运输车辆灯光也可能会对一些鸟类和夜间活动兽类产生干扰，影响其正常活动。</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（1）对土地利用的影响</w:t>
            </w:r>
          </w:p>
          <w:p>
            <w:pPr>
              <w:pStyle w:val="50"/>
              <w:bidi w:val="0"/>
              <w:rPr>
                <w:rFonts w:hint="eastAsia" w:cs="Times New Roman"/>
                <w:color w:val="auto"/>
                <w:highlight w:val="none"/>
                <w:lang w:val="en-US" w:eastAsia="zh-CN"/>
              </w:rPr>
            </w:pPr>
            <w:r>
              <w:rPr>
                <w:rFonts w:hint="eastAsia" w:cs="Times New Roman"/>
                <w:color w:val="auto"/>
                <w:highlight w:val="none"/>
                <w:lang w:val="en-US" w:eastAsia="zh-CN"/>
              </w:rPr>
              <w:t>①永久占地对土地利用的影响</w:t>
            </w:r>
          </w:p>
          <w:p>
            <w:pPr>
              <w:pStyle w:val="50"/>
              <w:bidi w:val="0"/>
              <w:rPr>
                <w:rFonts w:hint="eastAsia" w:ascii="Times New Roman" w:hAnsi="Times New Roman" w:eastAsia="仿宋" w:cs="Times New Roman"/>
                <w:b w:val="0"/>
                <w:bCs/>
                <w:color w:val="auto"/>
                <w:kern w:val="2"/>
                <w:sz w:val="24"/>
                <w:szCs w:val="24"/>
                <w:highlight w:val="none"/>
                <w:lang w:val="en-US" w:eastAsia="zh-CN" w:bidi="ar-SA"/>
              </w:rPr>
            </w:pPr>
            <w:r>
              <w:rPr>
                <w:rFonts w:hint="default" w:ascii="Times New Roman" w:hAnsi="Times New Roman" w:eastAsia="仿宋" w:cs="Times New Roman"/>
                <w:b w:val="0"/>
                <w:bCs/>
                <w:color w:val="auto"/>
                <w:kern w:val="2"/>
                <w:sz w:val="24"/>
                <w:szCs w:val="24"/>
                <w:highlight w:val="none"/>
                <w:lang w:val="en-US" w:eastAsia="zh-CN" w:bidi="ar-SA"/>
              </w:rPr>
              <w:t>本项目用地总面积</w:t>
            </w:r>
            <w:r>
              <w:rPr>
                <w:rFonts w:hint="eastAsia" w:eastAsia="仿宋" w:cs="Times New Roman"/>
                <w:b w:val="0"/>
                <w:bCs/>
                <w:color w:val="auto"/>
                <w:kern w:val="2"/>
                <w:sz w:val="24"/>
                <w:szCs w:val="24"/>
                <w:highlight w:val="none"/>
                <w:lang w:val="en-US" w:eastAsia="zh-CN" w:bidi="ar-SA"/>
              </w:rPr>
              <w:t>105449</w:t>
            </w:r>
            <w:r>
              <w:rPr>
                <w:rFonts w:hint="default" w:ascii="Times New Roman" w:hAnsi="Times New Roman" w:eastAsia="仿宋" w:cs="Times New Roman"/>
                <w:b w:val="0"/>
                <w:bCs/>
                <w:color w:val="auto"/>
                <w:kern w:val="2"/>
                <w:sz w:val="24"/>
                <w:szCs w:val="24"/>
                <w:highlight w:val="none"/>
                <w:lang w:val="en-US" w:eastAsia="zh-CN" w:bidi="ar-SA"/>
              </w:rPr>
              <w:t>m</w:t>
            </w:r>
            <w:r>
              <w:rPr>
                <w:rFonts w:hint="default" w:ascii="Times New Roman" w:hAnsi="Times New Roman" w:eastAsia="仿宋" w:cs="Times New Roman"/>
                <w:b w:val="0"/>
                <w:bCs/>
                <w:color w:val="auto"/>
                <w:kern w:val="2"/>
                <w:sz w:val="24"/>
                <w:szCs w:val="24"/>
                <w:highlight w:val="none"/>
                <w:vertAlign w:val="superscript"/>
                <w:lang w:val="en-US" w:eastAsia="zh-CN" w:bidi="ar-SA"/>
              </w:rPr>
              <w:t>2</w:t>
            </w:r>
            <w:r>
              <w:rPr>
                <w:rFonts w:hint="eastAsia" w:eastAsia="仿宋" w:cs="Times New Roman"/>
                <w:b w:val="0"/>
                <w:bCs/>
                <w:color w:val="auto"/>
                <w:kern w:val="2"/>
                <w:sz w:val="24"/>
                <w:szCs w:val="24"/>
                <w:highlight w:val="none"/>
                <w:lang w:val="en-US" w:eastAsia="zh-CN" w:bidi="ar-SA"/>
              </w:rPr>
              <w:t>，永久占地面积50196m</w:t>
            </w:r>
            <w:r>
              <w:rPr>
                <w:rFonts w:hint="eastAsia" w:eastAsia="仿宋" w:cs="Times New Roman"/>
                <w:b w:val="0"/>
                <w:bCs/>
                <w:color w:val="auto"/>
                <w:kern w:val="2"/>
                <w:sz w:val="24"/>
                <w:szCs w:val="24"/>
                <w:highlight w:val="none"/>
                <w:vertAlign w:val="superscript"/>
                <w:lang w:val="en-US" w:eastAsia="zh-CN" w:bidi="ar-SA"/>
              </w:rPr>
              <w:t>2</w:t>
            </w:r>
            <w:r>
              <w:rPr>
                <w:rFonts w:hint="eastAsia" w:eastAsia="仿宋" w:cs="Times New Roman"/>
                <w:b w:val="0"/>
                <w:bCs/>
                <w:color w:val="auto"/>
                <w:kern w:val="2"/>
                <w:sz w:val="24"/>
                <w:szCs w:val="24"/>
                <w:highlight w:val="none"/>
                <w:lang w:val="en-US" w:eastAsia="zh-CN" w:bidi="ar-SA"/>
              </w:rPr>
              <w:t>，永久占地改变了土地利用性质</w:t>
            </w:r>
            <w:r>
              <w:rPr>
                <w:rFonts w:hint="eastAsia" w:ascii="Times New Roman" w:hAnsi="Times New Roman" w:eastAsia="仿宋" w:cs="Times New Roman"/>
                <w:b w:val="0"/>
                <w:bCs/>
                <w:color w:val="auto"/>
                <w:kern w:val="2"/>
                <w:sz w:val="24"/>
                <w:szCs w:val="24"/>
                <w:highlight w:val="none"/>
                <w:lang w:val="en-US" w:eastAsia="zh-CN" w:bidi="ar-SA"/>
              </w:rPr>
              <w:t>，</w:t>
            </w:r>
            <w:r>
              <w:rPr>
                <w:rFonts w:hint="default" w:ascii="Times New Roman" w:hAnsi="Times New Roman" w:eastAsia="仿宋" w:cs="Times New Roman"/>
                <w:b w:val="0"/>
                <w:bCs/>
                <w:color w:val="auto"/>
                <w:kern w:val="2"/>
                <w:sz w:val="24"/>
                <w:szCs w:val="24"/>
                <w:highlight w:val="none"/>
                <w:lang w:val="en-US" w:eastAsia="zh-CN" w:bidi="ar-SA"/>
              </w:rPr>
              <w:t>本项目不占用基本农田。项目建设过程中不可避免的要扰动地表，对项目区的土地利用结构造成影响，土地使用功能的改变及植被破坏对生态系统结构及功能有一定的负效应，引起生态服务功能的下降，生物量减少，使生态系统的调节作用有一定削弱</w:t>
            </w:r>
            <w:r>
              <w:rPr>
                <w:rFonts w:hint="eastAsia" w:ascii="Times New Roman" w:hAnsi="Times New Roman" w:eastAsia="仿宋" w:cs="Times New Roman"/>
                <w:b w:val="0"/>
                <w:bCs/>
                <w:color w:val="auto"/>
                <w:kern w:val="2"/>
                <w:sz w:val="24"/>
                <w:szCs w:val="24"/>
                <w:highlight w:val="none"/>
                <w:lang w:val="en-US" w:eastAsia="zh-CN" w:bidi="ar-SA"/>
              </w:rPr>
              <w:t>，且本项目永久占地主要为风机、箱变及检修道路，土地利用性质由现状天然牧草地变更为建设用地，土地利用性质发生了改变。</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eastAsia="仿宋" w:cs="Times New Roman"/>
                <w:b w:val="0"/>
                <w:bCs/>
                <w:color w:val="auto"/>
                <w:kern w:val="2"/>
                <w:sz w:val="24"/>
                <w:szCs w:val="24"/>
                <w:highlight w:val="none"/>
                <w:lang w:val="en-US" w:eastAsia="zh-CN" w:bidi="ar-SA"/>
              </w:rPr>
              <w:t>根据现场踏勘，项目</w:t>
            </w:r>
            <w:r>
              <w:rPr>
                <w:rFonts w:hint="eastAsia" w:ascii="Times New Roman" w:hAnsi="Times New Roman" w:eastAsia="仿宋" w:cs="Times New Roman"/>
                <w:b w:val="0"/>
                <w:bCs/>
                <w:color w:val="auto"/>
                <w:kern w:val="2"/>
                <w:sz w:val="24"/>
                <w:szCs w:val="24"/>
                <w:highlight w:val="none"/>
                <w:lang w:val="en-US" w:eastAsia="zh-CN" w:bidi="ar-SA"/>
              </w:rPr>
              <w:t>永久占地</w:t>
            </w:r>
            <w:r>
              <w:rPr>
                <w:rFonts w:hint="default" w:ascii="Times New Roman" w:hAnsi="Times New Roman" w:eastAsia="仿宋" w:cs="Times New Roman"/>
                <w:b w:val="0"/>
                <w:bCs/>
                <w:color w:val="auto"/>
                <w:kern w:val="2"/>
                <w:sz w:val="24"/>
                <w:szCs w:val="24"/>
                <w:highlight w:val="none"/>
                <w:lang w:val="en-US" w:eastAsia="zh-CN" w:bidi="ar-SA"/>
              </w:rPr>
              <w:t>土地利用现状以</w:t>
            </w:r>
            <w:r>
              <w:rPr>
                <w:rFonts w:hint="eastAsia" w:ascii="Times New Roman" w:hAnsi="Times New Roman" w:eastAsia="仿宋" w:cs="Times New Roman"/>
                <w:b w:val="0"/>
                <w:bCs/>
                <w:color w:val="auto"/>
                <w:kern w:val="2"/>
                <w:sz w:val="24"/>
                <w:szCs w:val="24"/>
                <w:highlight w:val="none"/>
                <w:lang w:val="en-US" w:eastAsia="zh-CN" w:bidi="ar-SA"/>
              </w:rPr>
              <w:t>天然牧草地</w:t>
            </w:r>
            <w:r>
              <w:rPr>
                <w:rFonts w:hint="default" w:ascii="Times New Roman" w:hAnsi="Times New Roman" w:eastAsia="仿宋" w:cs="Times New Roman"/>
                <w:b w:val="0"/>
                <w:bCs/>
                <w:color w:val="auto"/>
                <w:kern w:val="2"/>
                <w:sz w:val="24"/>
                <w:szCs w:val="24"/>
                <w:highlight w:val="none"/>
                <w:lang w:val="en-US" w:eastAsia="zh-CN" w:bidi="ar-SA"/>
              </w:rPr>
              <w:t>为主，整体生态环境良好</w:t>
            </w:r>
            <w:r>
              <w:rPr>
                <w:rFonts w:hint="eastAsia" w:ascii="Times New Roman" w:hAnsi="Times New Roman" w:eastAsia="仿宋" w:cs="Times New Roman"/>
                <w:b w:val="0"/>
                <w:bCs/>
                <w:color w:val="auto"/>
                <w:kern w:val="2"/>
                <w:sz w:val="24"/>
                <w:szCs w:val="24"/>
                <w:highlight w:val="none"/>
                <w:lang w:val="en-US" w:eastAsia="zh-CN" w:bidi="ar-SA"/>
              </w:rPr>
              <w:t>，占地范围内</w:t>
            </w:r>
            <w:r>
              <w:rPr>
                <w:rFonts w:hint="default" w:ascii="Times New Roman" w:hAnsi="Times New Roman" w:cs="Times New Roman"/>
                <w:color w:val="auto"/>
                <w:highlight w:val="none"/>
                <w:lang w:val="en-US" w:eastAsia="zh-CN"/>
              </w:rPr>
              <w:t>区域原生生态较差，植被覆盖度较低，植被生物量少</w:t>
            </w:r>
            <w:r>
              <w:rPr>
                <w:rFonts w:hint="eastAsia" w:ascii="Times New Roman" w:hAnsi="Times New Roman" w:cs="Times New Roman"/>
                <w:color w:val="auto"/>
                <w:highlight w:val="none"/>
                <w:lang w:val="en-US" w:eastAsia="zh-CN"/>
              </w:rPr>
              <w:t>，</w:t>
            </w:r>
            <w:r>
              <w:rPr>
                <w:rFonts w:hint="default" w:ascii="Times New Roman" w:hAnsi="Times New Roman" w:eastAsia="仿宋" w:cs="Times New Roman"/>
                <w:b w:val="0"/>
                <w:bCs/>
                <w:color w:val="auto"/>
                <w:kern w:val="2"/>
                <w:sz w:val="24"/>
                <w:szCs w:val="24"/>
                <w:highlight w:val="none"/>
                <w:lang w:val="en-US" w:eastAsia="zh-CN" w:bidi="ar-SA"/>
              </w:rPr>
              <w:t>需采取措施予以减缓。但该项目建成后，通过景观绿化，提升了周边土地利用价值，</w:t>
            </w:r>
            <w:r>
              <w:rPr>
                <w:rFonts w:hint="eastAsia" w:ascii="Times New Roman" w:hAnsi="Times New Roman" w:eastAsia="仿宋" w:cs="Times New Roman"/>
                <w:b w:val="0"/>
                <w:bCs/>
                <w:color w:val="auto"/>
                <w:kern w:val="2"/>
                <w:sz w:val="24"/>
                <w:szCs w:val="24"/>
                <w:highlight w:val="none"/>
                <w:lang w:val="en-US" w:eastAsia="zh-CN" w:bidi="ar-SA"/>
              </w:rPr>
              <w:t>带来了新的人文景观</w:t>
            </w:r>
            <w:r>
              <w:rPr>
                <w:rFonts w:hint="default" w:ascii="Times New Roman" w:hAnsi="Times New Roman" w:eastAsia="仿宋" w:cs="Times New Roman"/>
                <w:b w:val="0"/>
                <w:bCs/>
                <w:color w:val="auto"/>
                <w:kern w:val="2"/>
                <w:sz w:val="24"/>
                <w:szCs w:val="24"/>
                <w:highlight w:val="none"/>
                <w:lang w:val="en-US" w:eastAsia="zh-CN" w:bidi="ar-SA"/>
              </w:rPr>
              <w:t>，将</w:t>
            </w:r>
            <w:r>
              <w:rPr>
                <w:rFonts w:hint="eastAsia" w:ascii="Times New Roman" w:hAnsi="Times New Roman" w:eastAsia="仿宋" w:cs="Times New Roman"/>
                <w:b w:val="0"/>
                <w:bCs/>
                <w:color w:val="auto"/>
                <w:kern w:val="2"/>
                <w:sz w:val="24"/>
                <w:szCs w:val="24"/>
                <w:highlight w:val="none"/>
                <w:lang w:val="en-US" w:eastAsia="zh-CN" w:bidi="ar-SA"/>
              </w:rPr>
              <w:t>产生</w:t>
            </w:r>
            <w:r>
              <w:rPr>
                <w:rFonts w:hint="default" w:ascii="Times New Roman" w:hAnsi="Times New Roman" w:eastAsia="仿宋" w:cs="Times New Roman"/>
                <w:b w:val="0"/>
                <w:bCs/>
                <w:color w:val="auto"/>
                <w:kern w:val="2"/>
                <w:sz w:val="24"/>
                <w:szCs w:val="24"/>
                <w:highlight w:val="none"/>
                <w:lang w:val="en-US" w:eastAsia="zh-CN" w:bidi="ar-SA"/>
              </w:rPr>
              <w:t>较大的社会生态效益。</w:t>
            </w:r>
            <w:r>
              <w:rPr>
                <w:rFonts w:hint="eastAsia" w:ascii="Times New Roman" w:hAnsi="Times New Roman" w:eastAsia="仿宋" w:cs="Times New Roman"/>
                <w:b w:val="0"/>
                <w:bCs/>
                <w:color w:val="auto"/>
                <w:kern w:val="2"/>
                <w:sz w:val="24"/>
                <w:szCs w:val="24"/>
                <w:highlight w:val="none"/>
                <w:lang w:val="en-US" w:eastAsia="zh-CN" w:bidi="ar-SA"/>
              </w:rPr>
              <w:t>因此，</w:t>
            </w:r>
            <w:r>
              <w:rPr>
                <w:rFonts w:hint="default" w:ascii="Times New Roman" w:hAnsi="Times New Roman" w:cs="Times New Roman"/>
                <w:color w:val="auto"/>
                <w:highlight w:val="none"/>
                <w:lang w:val="en-US" w:eastAsia="zh-CN"/>
              </w:rPr>
              <w:t>本项目建设不会对该地区植被造成较大影响。</w:t>
            </w:r>
          </w:p>
          <w:p>
            <w:pPr>
              <w:pStyle w:val="50"/>
              <w:bidi w:val="0"/>
              <w:rPr>
                <w:rFonts w:hint="eastAsia" w:ascii="Times New Roman" w:hAnsi="Times New Roman" w:eastAsia="仿宋" w:cs="Times New Roman"/>
                <w:b w:val="0"/>
                <w:bCs/>
                <w:color w:val="auto"/>
                <w:kern w:val="2"/>
                <w:sz w:val="24"/>
                <w:szCs w:val="24"/>
                <w:highlight w:val="none"/>
                <w:lang w:val="en-US" w:eastAsia="zh-CN" w:bidi="ar-SA"/>
              </w:rPr>
            </w:pPr>
            <w:r>
              <w:rPr>
                <w:rFonts w:hint="eastAsia" w:ascii="Times New Roman" w:hAnsi="Times New Roman" w:eastAsia="仿宋" w:cs="Times New Roman"/>
                <w:b w:val="0"/>
                <w:bCs/>
                <w:color w:val="auto"/>
                <w:kern w:val="2"/>
                <w:sz w:val="24"/>
                <w:szCs w:val="24"/>
                <w:highlight w:val="none"/>
                <w:lang w:val="en-US" w:eastAsia="zh-CN" w:bidi="ar-SA"/>
              </w:rPr>
              <w:t>②临时占地对土地利用的影响</w:t>
            </w:r>
          </w:p>
          <w:p>
            <w:pPr>
              <w:pStyle w:val="50"/>
              <w:bidi w:val="0"/>
              <w:rPr>
                <w:color w:val="auto"/>
                <w:highlight w:val="none"/>
              </w:rPr>
            </w:pPr>
            <w:r>
              <w:rPr>
                <w:rFonts w:hint="default" w:ascii="Times New Roman" w:hAnsi="Times New Roman" w:eastAsia="仿宋" w:cs="Times New Roman"/>
                <w:b w:val="0"/>
                <w:bCs/>
                <w:color w:val="auto"/>
                <w:kern w:val="2"/>
                <w:sz w:val="24"/>
                <w:szCs w:val="24"/>
                <w:highlight w:val="none"/>
                <w:lang w:val="en-US" w:eastAsia="zh-CN" w:bidi="ar-SA"/>
              </w:rPr>
              <w:t>临时占地包括施工临时道路占地和其它施工过程中所需临时性占地。工程临时占地面积为</w:t>
            </w:r>
            <w:r>
              <w:rPr>
                <w:rFonts w:hint="eastAsia" w:ascii="Times New Roman" w:hAnsi="Times New Roman" w:eastAsia="仿宋" w:cs="Times New Roman"/>
                <w:b w:val="0"/>
                <w:bCs/>
                <w:color w:val="auto"/>
                <w:kern w:val="2"/>
                <w:sz w:val="24"/>
                <w:szCs w:val="24"/>
                <w:highlight w:val="none"/>
                <w:lang w:val="en-US" w:eastAsia="zh-CN" w:bidi="ar-SA"/>
              </w:rPr>
              <w:t>55253</w:t>
            </w:r>
            <w:r>
              <w:rPr>
                <w:rFonts w:hint="default" w:ascii="Times New Roman" w:hAnsi="Times New Roman" w:eastAsia="仿宋" w:cs="Times New Roman"/>
                <w:b w:val="0"/>
                <w:bCs/>
                <w:color w:val="auto"/>
                <w:kern w:val="2"/>
                <w:sz w:val="24"/>
                <w:szCs w:val="24"/>
                <w:highlight w:val="none"/>
                <w:lang w:val="en-US" w:eastAsia="zh-CN" w:bidi="ar-SA"/>
              </w:rPr>
              <w:t>m</w:t>
            </w:r>
            <w:r>
              <w:rPr>
                <w:rFonts w:hint="default" w:ascii="Times New Roman" w:hAnsi="Times New Roman" w:eastAsia="仿宋" w:cs="Times New Roman"/>
                <w:b w:val="0"/>
                <w:bCs/>
                <w:color w:val="auto"/>
                <w:kern w:val="2"/>
                <w:sz w:val="24"/>
                <w:szCs w:val="24"/>
                <w:highlight w:val="none"/>
                <w:vertAlign w:val="superscript"/>
                <w:lang w:val="en-US" w:eastAsia="zh-CN" w:bidi="ar-SA"/>
              </w:rPr>
              <w:t>2</w:t>
            </w:r>
            <w:r>
              <w:rPr>
                <w:rFonts w:hint="default" w:ascii="Times New Roman" w:hAnsi="Times New Roman" w:eastAsia="仿宋" w:cs="Times New Roman"/>
                <w:b w:val="0"/>
                <w:bCs/>
                <w:color w:val="auto"/>
                <w:kern w:val="2"/>
                <w:sz w:val="24"/>
                <w:szCs w:val="24"/>
                <w:highlight w:val="none"/>
                <w:lang w:val="en-US" w:eastAsia="zh-CN" w:bidi="ar-SA"/>
              </w:rPr>
              <w:t>。临时占地</w:t>
            </w:r>
            <w:r>
              <w:rPr>
                <w:rFonts w:hint="eastAsia" w:ascii="Times New Roman" w:hAnsi="Times New Roman" w:eastAsia="仿宋" w:cs="Times New Roman"/>
                <w:b w:val="0"/>
                <w:bCs/>
                <w:color w:val="auto"/>
                <w:kern w:val="2"/>
                <w:sz w:val="24"/>
                <w:szCs w:val="24"/>
                <w:highlight w:val="none"/>
                <w:lang w:val="en-US" w:eastAsia="zh-CN" w:bidi="ar-SA"/>
              </w:rPr>
              <w:t>会暂时改变占地范围内土地利用类型，本项目临时占地均为天然牧草地，施工期</w:t>
            </w:r>
            <w:r>
              <w:rPr>
                <w:rFonts w:hint="default" w:ascii="Times New Roman" w:hAnsi="Times New Roman" w:eastAsia="仿宋" w:cs="Times New Roman"/>
                <w:b w:val="0"/>
                <w:bCs/>
                <w:color w:val="auto"/>
                <w:kern w:val="2"/>
                <w:sz w:val="24"/>
                <w:szCs w:val="24"/>
                <w:highlight w:val="none"/>
                <w:lang w:val="en-US" w:eastAsia="zh-CN" w:bidi="ar-SA"/>
              </w:rPr>
              <w:t>对土地利用类型影响是暂时的，随着施工结束和植被的恢复，临时占地将恢复土地利用类型。</w:t>
            </w:r>
            <w:bookmarkStart w:id="2" w:name="_Toc15991"/>
            <w:bookmarkStart w:id="3" w:name="_Toc15363633"/>
          </w:p>
          <w:p>
            <w:pPr>
              <w:pStyle w:val="50"/>
              <w:bidi w:val="0"/>
              <w:rPr>
                <w:rFonts w:hint="default" w:ascii="Times New Roman" w:hAnsi="Times New Roman" w:cs="Times New Roman"/>
                <w:b/>
                <w:bCs/>
                <w:color w:val="auto"/>
                <w:highlight w:val="none"/>
                <w:lang w:val="en-US" w:eastAsia="zh-CN"/>
              </w:rPr>
            </w:pPr>
            <w:r>
              <w:rPr>
                <w:rFonts w:hint="eastAsia"/>
                <w:b/>
                <w:bCs/>
                <w:color w:val="auto"/>
                <w:highlight w:val="none"/>
                <w:lang w:val="en-US" w:eastAsia="zh-CN"/>
              </w:rPr>
              <w:t>（2）</w:t>
            </w:r>
            <w:r>
              <w:rPr>
                <w:rFonts w:hint="default" w:ascii="Times New Roman" w:hAnsi="Times New Roman" w:cs="Times New Roman"/>
                <w:b/>
                <w:bCs/>
                <w:color w:val="auto"/>
                <w:highlight w:val="none"/>
                <w:lang w:val="en-US" w:eastAsia="zh-CN"/>
              </w:rPr>
              <w:t>对植被影响分析</w:t>
            </w:r>
            <w:bookmarkEnd w:id="2"/>
          </w:p>
          <w:bookmarkEnd w:id="3"/>
          <w:p>
            <w:pPr>
              <w:pStyle w:val="50"/>
              <w:bidi w:val="0"/>
              <w:rPr>
                <w:rFonts w:hint="default" w:ascii="Times New Roman" w:hAnsi="Times New Roman" w:cs="Times New Roman"/>
                <w:color w:val="auto"/>
                <w:highlight w:val="none"/>
                <w:lang w:val="en-US" w:eastAsia="zh-CN"/>
              </w:rPr>
            </w:pPr>
            <w:bookmarkStart w:id="4" w:name="_Toc23333"/>
            <w:bookmarkStart w:id="5" w:name="_Toc13377_WPSOffice_Level1"/>
            <w:bookmarkStart w:id="6" w:name="_Toc18993"/>
            <w:bookmarkStart w:id="7" w:name="_Toc15363634"/>
            <w:r>
              <w:rPr>
                <w:rFonts w:hint="eastAsia" w:cs="Times New Roman"/>
                <w:color w:val="auto"/>
                <w:highlight w:val="none"/>
                <w:lang w:val="en-US" w:eastAsia="zh-CN"/>
              </w:rPr>
              <w:t>①</w:t>
            </w:r>
            <w:r>
              <w:rPr>
                <w:rFonts w:hint="default" w:ascii="Times New Roman" w:hAnsi="Times New Roman" w:cs="Times New Roman"/>
                <w:color w:val="auto"/>
                <w:highlight w:val="none"/>
                <w:lang w:val="en-US" w:eastAsia="zh-CN"/>
              </w:rPr>
              <w:t>临时占地影响</w:t>
            </w:r>
            <w:r>
              <w:rPr>
                <w:rFonts w:hint="eastAsia" w:cs="Times New Roman"/>
                <w:color w:val="auto"/>
                <w:highlight w:val="none"/>
                <w:lang w:val="en-US" w:eastAsia="zh-CN"/>
              </w:rPr>
              <w:t>：</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风电场建设过程中的临时占地面积为</w:t>
            </w:r>
            <w:r>
              <w:rPr>
                <w:rFonts w:hint="eastAsia" w:ascii="Times New Roman" w:hAnsi="Times New Roman" w:eastAsia="仿宋" w:cs="Times New Roman"/>
                <w:b w:val="0"/>
                <w:bCs/>
                <w:color w:val="auto"/>
                <w:kern w:val="2"/>
                <w:sz w:val="24"/>
                <w:szCs w:val="24"/>
                <w:highlight w:val="none"/>
                <w:lang w:val="en-US" w:eastAsia="zh-CN" w:bidi="ar-SA"/>
              </w:rPr>
              <w:t>55253</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，包括施工吊装场地、电缆沟、施工道路等，临时占地会破坏地表植被，造成植株数量减少、植被覆盖度降低、植被生产力下降，从而使草原群落的生物多样性降低。</w:t>
            </w:r>
            <w:r>
              <w:rPr>
                <w:rFonts w:hint="eastAsia" w:ascii="Times New Roman" w:hAnsi="Times New Roman" w:eastAsia="仿宋" w:cs="Times New Roman"/>
                <w:b w:val="0"/>
                <w:bCs/>
                <w:color w:val="auto"/>
                <w:kern w:val="2"/>
                <w:sz w:val="24"/>
                <w:szCs w:val="24"/>
                <w:highlight w:val="none"/>
                <w:lang w:val="en-US" w:eastAsia="zh-CN" w:bidi="ar-SA"/>
              </w:rPr>
              <w:t>本项目占地范围内</w:t>
            </w:r>
            <w:r>
              <w:rPr>
                <w:rFonts w:hint="default" w:ascii="Times New Roman" w:hAnsi="Times New Roman" w:cs="Times New Roman"/>
                <w:color w:val="auto"/>
                <w:highlight w:val="none"/>
                <w:lang w:val="en-US" w:eastAsia="zh-CN"/>
              </w:rPr>
              <w:t>区域原生生态较差，植被覆盖度较低，植被生物量少</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临时占地区的自然植被通常可以有条件地进行恢复或重建，当外界破坏因素完全停止后，周围区域的植被将向着受破坏之前的类型恢复，一般竣工后</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年植被可基本恢复，临时占地虽然会破坏占地范围内的植被，但施工结束后可以通过植被恢复或重建措施再现其原有的使用功能。</w:t>
            </w:r>
            <w:r>
              <w:rPr>
                <w:rFonts w:hint="eastAsia" w:cs="Times New Roman"/>
                <w:color w:val="auto"/>
                <w:highlight w:val="none"/>
                <w:lang w:val="en-US" w:eastAsia="zh-CN"/>
              </w:rPr>
              <w:t>本项目</w:t>
            </w:r>
            <w:r>
              <w:rPr>
                <w:rFonts w:hint="default" w:ascii="Times New Roman" w:hAnsi="Times New Roman" w:cs="Times New Roman"/>
                <w:color w:val="auto"/>
                <w:position w:val="2"/>
                <w:highlight w:val="none"/>
              </w:rPr>
              <w:t>在保证施工的前提下，应尽量缩窄施工作业带宽度，减少对植被的破坏面积；其次施工结束后及时清理、松土、覆盖收集的耕作土，选择当地适宜植物及时恢复绿化。</w:t>
            </w:r>
            <w:r>
              <w:rPr>
                <w:rFonts w:hint="eastAsia" w:ascii="Times New Roman" w:hAnsi="Times New Roman" w:cs="Times New Roman"/>
                <w:color w:val="auto"/>
                <w:position w:val="2"/>
                <w:highlight w:val="none"/>
                <w:lang w:eastAsia="zh-CN"/>
              </w:rPr>
              <w:t>在采取以上措施后，</w:t>
            </w:r>
            <w:r>
              <w:rPr>
                <w:rFonts w:hint="default" w:ascii="Times New Roman" w:hAnsi="Times New Roman" w:cs="Times New Roman"/>
                <w:color w:val="auto"/>
                <w:highlight w:val="none"/>
                <w:lang w:val="en-US" w:eastAsia="zh-CN"/>
              </w:rPr>
              <w:t>临时占地对植被的影响相对较小。</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eastAsia="仿宋" w:cs="Times New Roman"/>
                <w:b w:val="0"/>
                <w:bCs/>
                <w:color w:val="auto"/>
                <w:kern w:val="2"/>
                <w:sz w:val="24"/>
                <w:szCs w:val="24"/>
                <w:highlight w:val="none"/>
                <w:lang w:val="en-US" w:eastAsia="zh-CN" w:bidi="ar-SA"/>
              </w:rPr>
              <w:t>②</w:t>
            </w:r>
            <w:r>
              <w:rPr>
                <w:rFonts w:hint="default" w:ascii="Times New Roman" w:hAnsi="Times New Roman" w:cs="Times New Roman"/>
                <w:color w:val="auto"/>
                <w:highlight w:val="none"/>
                <w:lang w:val="en-US" w:eastAsia="zh-CN"/>
              </w:rPr>
              <w:t>永久占地影响</w:t>
            </w:r>
            <w:r>
              <w:rPr>
                <w:rFonts w:hint="eastAsia" w:cs="Times New Roman"/>
                <w:color w:val="auto"/>
                <w:highlight w:val="none"/>
                <w:lang w:val="en-US" w:eastAsia="zh-CN"/>
              </w:rPr>
              <w:t>：</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风电场建设中的永久占地面积为</w:t>
            </w:r>
            <w:r>
              <w:rPr>
                <w:rFonts w:hint="eastAsia" w:cs="Times New Roman"/>
                <w:color w:val="auto"/>
                <w:highlight w:val="none"/>
                <w:lang w:val="en-US" w:eastAsia="zh-CN"/>
              </w:rPr>
              <w:t>50196</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，包括风机及箱变基础</w:t>
            </w:r>
            <w:r>
              <w:rPr>
                <w:rFonts w:hint="eastAsia" w:cs="Times New Roman"/>
                <w:color w:val="auto"/>
                <w:highlight w:val="none"/>
                <w:lang w:val="en-US" w:eastAsia="zh-CN"/>
              </w:rPr>
              <w:t>，检修道路等</w:t>
            </w:r>
            <w:r>
              <w:rPr>
                <w:rFonts w:hint="default" w:ascii="Times New Roman" w:hAnsi="Times New Roman" w:cs="Times New Roman"/>
                <w:color w:val="auto"/>
                <w:highlight w:val="none"/>
                <w:lang w:val="en-US" w:eastAsia="zh-CN"/>
              </w:rPr>
              <w:t>占地等，永久占地会长时间破坏地表植被，施工方式不同，对植被也有不同程度的破坏。由于施工机械、运输车辆碾压、施工人员践踏等，对植被的破坏是不可逆的。一般来说，项目建设永久占地区的自然植被不可恢复，只是其中少部分未建设区域的植被可以恢复，此外施工过程中产生的扬尘、弃渣等也会间接地对植被造成破坏。但本项目所在区域</w:t>
            </w:r>
            <w:r>
              <w:rPr>
                <w:rFonts w:hint="eastAsia" w:cs="Times New Roman"/>
                <w:color w:val="auto"/>
                <w:highlight w:val="none"/>
                <w:lang w:val="en-US" w:eastAsia="zh-CN"/>
              </w:rPr>
              <w:t>现状</w:t>
            </w:r>
            <w:r>
              <w:rPr>
                <w:rFonts w:hint="default" w:ascii="Times New Roman" w:hAnsi="Times New Roman" w:cs="Times New Roman"/>
                <w:color w:val="auto"/>
                <w:highlight w:val="none"/>
                <w:lang w:val="en-US" w:eastAsia="zh-CN"/>
              </w:rPr>
              <w:t>原生生态较差，植被覆盖度较低，植被生物量少，本项目建设不会对该地区植被造成较大影响。</w:t>
            </w:r>
          </w:p>
          <w:p>
            <w:pPr>
              <w:pStyle w:val="50"/>
              <w:bidi w:val="0"/>
              <w:rPr>
                <w:rFonts w:hint="eastAsia" w:ascii="宋体" w:hAnsi="宋体"/>
                <w:color w:val="auto"/>
                <w:sz w:val="24"/>
                <w:highlight w:val="none"/>
                <w:lang w:val="en-US" w:eastAsia="zh-CN"/>
              </w:rPr>
            </w:pPr>
            <w:r>
              <w:rPr>
                <w:rFonts w:hint="default" w:cs="Times New Roman"/>
                <w:color w:val="auto"/>
                <w:highlight w:val="none"/>
                <w:lang w:val="en-US" w:eastAsia="zh-CN"/>
              </w:rPr>
              <w:t>③</w:t>
            </w:r>
            <w:r>
              <w:rPr>
                <w:rFonts w:hint="eastAsia" w:ascii="宋体" w:hAnsi="宋体"/>
                <w:color w:val="auto"/>
                <w:sz w:val="24"/>
                <w:highlight w:val="none"/>
                <w:lang w:val="en-US" w:eastAsia="zh-CN"/>
              </w:rPr>
              <w:t>对国家二级保护野生植物蒙古扁桃影响</w:t>
            </w:r>
          </w:p>
          <w:p>
            <w:pPr>
              <w:pStyle w:val="50"/>
              <w:bidi w:val="0"/>
              <w:rPr>
                <w:rFonts w:hint="default" w:cs="Times New Roman"/>
                <w:color w:val="auto"/>
                <w:highlight w:val="none"/>
                <w:lang w:val="en-US" w:eastAsia="zh-CN"/>
              </w:rPr>
            </w:pPr>
            <w:r>
              <w:rPr>
                <w:rFonts w:hint="default" w:cs="Times New Roman"/>
                <w:color w:val="auto"/>
                <w:highlight w:val="none"/>
                <w:lang w:val="en-US" w:eastAsia="zh-CN"/>
              </w:rPr>
              <w:t>现场探查过程中发现国家重点保护野生植物</w:t>
            </w:r>
            <w:r>
              <w:rPr>
                <w:rFonts w:hint="eastAsia" w:cs="Times New Roman"/>
                <w:color w:val="auto"/>
                <w:highlight w:val="none"/>
                <w:lang w:val="en-US" w:eastAsia="zh-CN"/>
              </w:rPr>
              <w:t>蒙古扁桃</w:t>
            </w:r>
            <w:r>
              <w:rPr>
                <w:rFonts w:hint="default" w:cs="Times New Roman"/>
                <w:color w:val="auto"/>
                <w:highlight w:val="none"/>
                <w:lang w:val="en-US" w:eastAsia="zh-CN"/>
              </w:rPr>
              <w:t>，根据《国家重点保护野生植物名录》(国家林业和草原局农业农村部公告2021年第15号)文件可知，蔷薇科桃属植物</w:t>
            </w:r>
            <w:r>
              <w:rPr>
                <w:rFonts w:hint="eastAsia" w:cs="Times New Roman"/>
                <w:color w:val="auto"/>
                <w:highlight w:val="none"/>
                <w:lang w:val="en-US" w:eastAsia="zh-CN"/>
              </w:rPr>
              <w:t>蒙古扁桃</w:t>
            </w:r>
            <w:r>
              <w:rPr>
                <w:rFonts w:hint="default" w:cs="Times New Roman"/>
                <w:color w:val="auto"/>
                <w:highlight w:val="none"/>
                <w:lang w:val="en-US" w:eastAsia="zh-CN"/>
              </w:rPr>
              <w:t>属于国家二级保护野生植物，是具有水土保持、固沙、观赏和药用树种</w:t>
            </w:r>
            <w:r>
              <w:rPr>
                <w:rFonts w:hint="eastAsia" w:cs="Times New Roman"/>
                <w:color w:val="auto"/>
                <w:highlight w:val="none"/>
                <w:lang w:val="en-US" w:eastAsia="zh-CN"/>
              </w:rPr>
              <w:t>。经现场踏勘，本项目施工区域无蒙古扁桃植株分布，评价区域内有零星分布，项目在施工过程中，对有蒙古扁桃分布的区域设置隔离网及警示标识，并</w:t>
            </w:r>
            <w:r>
              <w:rPr>
                <w:rFonts w:hint="default" w:cs="Times New Roman"/>
                <w:color w:val="auto"/>
                <w:highlight w:val="none"/>
                <w:lang w:val="en-US" w:eastAsia="zh-CN"/>
              </w:rPr>
              <w:t>加应强施工人员培训，使其识得</w:t>
            </w:r>
            <w:r>
              <w:rPr>
                <w:rFonts w:hint="eastAsia" w:cs="Times New Roman"/>
                <w:color w:val="auto"/>
                <w:highlight w:val="none"/>
                <w:lang w:val="en-US" w:eastAsia="zh-CN"/>
              </w:rPr>
              <w:t>蒙古扁桃</w:t>
            </w:r>
            <w:r>
              <w:rPr>
                <w:rFonts w:hint="default" w:cs="Times New Roman"/>
                <w:color w:val="auto"/>
                <w:highlight w:val="none"/>
                <w:lang w:val="en-US" w:eastAsia="zh-CN"/>
              </w:rPr>
              <w:t>，见到</w:t>
            </w:r>
            <w:r>
              <w:rPr>
                <w:rFonts w:hint="eastAsia" w:cs="Times New Roman"/>
                <w:color w:val="auto"/>
                <w:highlight w:val="none"/>
                <w:lang w:val="en-US" w:eastAsia="zh-CN"/>
              </w:rPr>
              <w:t>蒙古扁桃</w:t>
            </w:r>
            <w:r>
              <w:rPr>
                <w:rFonts w:hint="default" w:cs="Times New Roman"/>
                <w:color w:val="auto"/>
                <w:highlight w:val="none"/>
                <w:lang w:val="en-US" w:eastAsia="zh-CN"/>
              </w:rPr>
              <w:t>不得随意破坏、踩踏，并安排专人核实</w:t>
            </w:r>
            <w:r>
              <w:rPr>
                <w:rFonts w:hint="eastAsia" w:cs="Times New Roman"/>
                <w:color w:val="auto"/>
                <w:highlight w:val="none"/>
                <w:lang w:val="en-US" w:eastAsia="zh-CN"/>
              </w:rPr>
              <w:t>评价</w:t>
            </w:r>
            <w:r>
              <w:rPr>
                <w:rFonts w:hint="default" w:cs="Times New Roman"/>
                <w:color w:val="auto"/>
                <w:highlight w:val="none"/>
                <w:lang w:val="en-US" w:eastAsia="zh-CN"/>
              </w:rPr>
              <w:t>区域内</w:t>
            </w:r>
            <w:r>
              <w:rPr>
                <w:rFonts w:hint="eastAsia" w:cs="Times New Roman"/>
                <w:color w:val="auto"/>
                <w:highlight w:val="none"/>
                <w:lang w:val="en-US" w:eastAsia="zh-CN"/>
              </w:rPr>
              <w:t>蒙古扁桃</w:t>
            </w:r>
            <w:r>
              <w:rPr>
                <w:rFonts w:hint="default" w:cs="Times New Roman"/>
                <w:color w:val="auto"/>
                <w:highlight w:val="none"/>
                <w:lang w:val="en-US" w:eastAsia="zh-CN"/>
              </w:rPr>
              <w:t>存在数量，可采用区域估测法，即核实一定区域面积内</w:t>
            </w:r>
            <w:r>
              <w:rPr>
                <w:rFonts w:hint="eastAsia" w:cs="Times New Roman"/>
                <w:color w:val="auto"/>
                <w:highlight w:val="none"/>
                <w:lang w:val="en-US" w:eastAsia="zh-CN"/>
              </w:rPr>
              <w:t>蒙古扁桃</w:t>
            </w:r>
            <w:r>
              <w:rPr>
                <w:rFonts w:hint="default" w:cs="Times New Roman"/>
                <w:color w:val="auto"/>
                <w:highlight w:val="none"/>
                <w:lang w:val="en-US" w:eastAsia="zh-CN"/>
              </w:rPr>
              <w:t>数量，在推算</w:t>
            </w:r>
            <w:r>
              <w:rPr>
                <w:rFonts w:hint="eastAsia" w:cs="Times New Roman"/>
                <w:color w:val="auto"/>
                <w:highlight w:val="none"/>
                <w:lang w:val="en-US" w:eastAsia="zh-CN"/>
              </w:rPr>
              <w:t>评价</w:t>
            </w:r>
            <w:r>
              <w:rPr>
                <w:rFonts w:hint="default" w:cs="Times New Roman"/>
                <w:color w:val="auto"/>
                <w:highlight w:val="none"/>
                <w:lang w:val="en-US" w:eastAsia="zh-CN"/>
              </w:rPr>
              <w:t>范围内</w:t>
            </w:r>
            <w:r>
              <w:rPr>
                <w:rFonts w:hint="eastAsia" w:cs="Times New Roman"/>
                <w:color w:val="auto"/>
                <w:highlight w:val="none"/>
                <w:lang w:val="en-US" w:eastAsia="zh-CN"/>
              </w:rPr>
              <w:t>蒙古扁桃</w:t>
            </w:r>
            <w:r>
              <w:rPr>
                <w:rFonts w:hint="default" w:cs="Times New Roman"/>
                <w:color w:val="auto"/>
                <w:highlight w:val="none"/>
                <w:lang w:val="en-US" w:eastAsia="zh-CN"/>
              </w:rPr>
              <w:t>大致数量，</w:t>
            </w:r>
            <w:r>
              <w:rPr>
                <w:rFonts w:hint="eastAsia" w:cs="Times New Roman"/>
                <w:color w:val="auto"/>
                <w:highlight w:val="none"/>
                <w:lang w:val="en-US" w:eastAsia="zh-CN"/>
              </w:rPr>
              <w:t>施工不得占用蒙古扁桃生长区，并对施工场地、道路等附近发现的蒙古扁桃植株采取设置围挡或隔离等措施，严格限制项目用地界限，避免施工对评价区域内的蒙古扁桃产生不良影响</w:t>
            </w:r>
            <w:r>
              <w:rPr>
                <w:rFonts w:hint="default" w:cs="Times New Roman"/>
                <w:color w:val="auto"/>
                <w:highlight w:val="none"/>
                <w:lang w:val="en-US" w:eastAsia="zh-CN"/>
              </w:rPr>
              <w:t>。</w:t>
            </w:r>
            <w:r>
              <w:rPr>
                <w:rFonts w:hint="eastAsia" w:cs="Times New Roman"/>
                <w:color w:val="auto"/>
                <w:highlight w:val="none"/>
                <w:lang w:val="en-US" w:eastAsia="zh-CN"/>
              </w:rPr>
              <w:t>为减轻项目施工期对评价区域内蒙古扁桃的影响，评价建议采取如下措施：</w:t>
            </w:r>
          </w:p>
          <w:p>
            <w:pPr>
              <w:spacing w:line="360" w:lineRule="auto"/>
              <w:ind w:firstLine="480"/>
              <w:rPr>
                <w:rFonts w:hint="default" w:ascii="Times New Roman" w:hAnsi="Times New Roman" w:cs="Times New Roman"/>
                <w:bCs/>
                <w:color w:val="auto"/>
                <w:sz w:val="24"/>
                <w:szCs w:val="24"/>
                <w:highlight w:val="none"/>
              </w:rPr>
            </w:pPr>
            <w:r>
              <w:rPr>
                <w:rFonts w:hint="eastAsia" w:ascii="Times New Roman" w:hAnsi="Times New Roman" w:cs="Times New Roman"/>
                <w:bCs/>
                <w:color w:val="auto"/>
                <w:sz w:val="24"/>
                <w:szCs w:val="24"/>
                <w:highlight w:val="none"/>
                <w:lang w:val="en-US" w:eastAsia="zh-CN"/>
              </w:rPr>
              <w:t>A.</w:t>
            </w:r>
            <w:r>
              <w:rPr>
                <w:rFonts w:hint="default" w:ascii="Times New Roman" w:hAnsi="Times New Roman" w:cs="Times New Roman"/>
                <w:bCs/>
                <w:color w:val="auto"/>
                <w:sz w:val="24"/>
                <w:szCs w:val="24"/>
                <w:highlight w:val="none"/>
              </w:rPr>
              <w:t>施工单位应严格遵守国家和地方相关法律法规，并在工程实施区域设立宣传警示牌。</w:t>
            </w:r>
          </w:p>
          <w:p>
            <w:pPr>
              <w:spacing w:line="360" w:lineRule="auto"/>
              <w:ind w:firstLine="480"/>
              <w:rPr>
                <w:rFonts w:hint="default" w:ascii="Times New Roman" w:hAnsi="Times New Roman" w:cs="Times New Roman"/>
                <w:bCs/>
                <w:color w:val="auto"/>
                <w:sz w:val="24"/>
                <w:szCs w:val="24"/>
                <w:highlight w:val="none"/>
              </w:rPr>
            </w:pPr>
            <w:r>
              <w:rPr>
                <w:rFonts w:hint="eastAsia" w:ascii="Times New Roman" w:hAnsi="Times New Roman" w:cs="Times New Roman"/>
                <w:bCs/>
                <w:color w:val="auto"/>
                <w:sz w:val="24"/>
                <w:szCs w:val="24"/>
                <w:highlight w:val="none"/>
                <w:lang w:val="en-US" w:eastAsia="zh-CN"/>
              </w:rPr>
              <w:t>B.</w:t>
            </w:r>
            <w:r>
              <w:rPr>
                <w:rFonts w:hint="default" w:ascii="Times New Roman" w:hAnsi="Times New Roman" w:cs="Times New Roman"/>
                <w:bCs/>
                <w:color w:val="auto"/>
                <w:sz w:val="24"/>
                <w:szCs w:val="24"/>
                <w:highlight w:val="none"/>
              </w:rPr>
              <w:t>严格限定施工范围，施工人员必须在界定的范围内作业，严禁施工人员、车辆以任何理由越界施工，并将不跨界施工条款及相应的惩罚措施写入施工合同，严重违规的可以取消其施工资格。</w:t>
            </w:r>
          </w:p>
          <w:p>
            <w:pPr>
              <w:spacing w:line="360" w:lineRule="auto"/>
              <w:ind w:firstLine="480"/>
              <w:rPr>
                <w:rFonts w:hint="default" w:ascii="Times New Roman" w:hAnsi="Times New Roman" w:cs="Times New Roman"/>
                <w:bCs/>
                <w:color w:val="auto"/>
                <w:sz w:val="24"/>
                <w:szCs w:val="24"/>
                <w:highlight w:val="none"/>
              </w:rPr>
            </w:pPr>
            <w:r>
              <w:rPr>
                <w:rFonts w:hint="eastAsia" w:ascii="Times New Roman" w:hAnsi="Times New Roman" w:cs="Times New Roman"/>
                <w:bCs/>
                <w:color w:val="auto"/>
                <w:sz w:val="24"/>
                <w:szCs w:val="24"/>
                <w:highlight w:val="none"/>
                <w:lang w:val="en-US" w:eastAsia="zh-CN"/>
              </w:rPr>
              <w:t>C.</w:t>
            </w:r>
            <w:r>
              <w:rPr>
                <w:rFonts w:hint="default" w:ascii="Times New Roman" w:hAnsi="Times New Roman" w:cs="Times New Roman"/>
                <w:bCs/>
                <w:color w:val="auto"/>
                <w:sz w:val="24"/>
                <w:szCs w:val="24"/>
                <w:highlight w:val="none"/>
              </w:rPr>
              <w:t>严格限定在施工便道路线内行驶，</w:t>
            </w:r>
            <w:r>
              <w:rPr>
                <w:rFonts w:hint="eastAsia" w:ascii="Times New Roman" w:hAnsi="Times New Roman" w:cs="Times New Roman"/>
                <w:bCs/>
                <w:color w:val="auto"/>
                <w:sz w:val="24"/>
                <w:szCs w:val="24"/>
                <w:highlight w:val="none"/>
                <w:lang w:eastAsia="zh-CN"/>
              </w:rPr>
              <w:t>杜绝</w:t>
            </w:r>
            <w:r>
              <w:rPr>
                <w:rFonts w:hint="default" w:ascii="Times New Roman" w:hAnsi="Times New Roman" w:cs="Times New Roman"/>
                <w:bCs/>
                <w:color w:val="auto"/>
                <w:sz w:val="24"/>
                <w:szCs w:val="24"/>
                <w:highlight w:val="none"/>
              </w:rPr>
              <w:t>破坏</w:t>
            </w:r>
            <w:r>
              <w:rPr>
                <w:rFonts w:hint="eastAsia" w:ascii="Times New Roman" w:hAnsi="Times New Roman" w:cs="Times New Roman"/>
                <w:bCs/>
                <w:color w:val="auto"/>
                <w:sz w:val="24"/>
                <w:szCs w:val="24"/>
                <w:highlight w:val="none"/>
                <w:lang w:eastAsia="zh-CN"/>
              </w:rPr>
              <w:t>评价区内的蒙古扁桃</w:t>
            </w:r>
            <w:r>
              <w:rPr>
                <w:rFonts w:hint="default" w:ascii="Times New Roman" w:hAnsi="Times New Roman" w:cs="Times New Roman"/>
                <w:bCs/>
                <w:color w:val="auto"/>
                <w:sz w:val="24"/>
                <w:szCs w:val="24"/>
                <w:highlight w:val="none"/>
              </w:rPr>
              <w:t>。</w:t>
            </w:r>
          </w:p>
          <w:p>
            <w:pPr>
              <w:spacing w:line="360" w:lineRule="auto"/>
              <w:ind w:firstLine="48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D.</w:t>
            </w:r>
            <w:r>
              <w:rPr>
                <w:rFonts w:hint="default" w:ascii="Times New Roman" w:hAnsi="Times New Roman" w:cs="Times New Roman"/>
                <w:color w:val="auto"/>
                <w:sz w:val="24"/>
                <w:szCs w:val="24"/>
                <w:highlight w:val="none"/>
              </w:rPr>
              <w:t>项目建设过程中要加强对施工人员的管理，杜绝因施工人员的不当行为而对</w:t>
            </w:r>
            <w:r>
              <w:rPr>
                <w:rFonts w:hint="eastAsia" w:ascii="Times New Roman" w:hAnsi="Times New Roman" w:cs="Times New Roman"/>
                <w:color w:val="auto"/>
                <w:sz w:val="24"/>
                <w:szCs w:val="24"/>
                <w:highlight w:val="none"/>
                <w:lang w:eastAsia="zh-CN"/>
              </w:rPr>
              <w:t>评价区内的蒙古扁桃</w:t>
            </w:r>
            <w:r>
              <w:rPr>
                <w:rFonts w:hint="default" w:ascii="Times New Roman" w:hAnsi="Times New Roman" w:cs="Times New Roman"/>
                <w:color w:val="auto"/>
                <w:sz w:val="24"/>
                <w:szCs w:val="24"/>
                <w:highlight w:val="none"/>
              </w:rPr>
              <w:t>造成破坏；增强工作人员的环境保护意识，杜绝因对工作人员的流动管理不善及作业方式不合理而产生对</w:t>
            </w:r>
            <w:r>
              <w:rPr>
                <w:rFonts w:hint="eastAsia" w:ascii="Times New Roman" w:hAnsi="Times New Roman" w:cs="Times New Roman"/>
                <w:color w:val="auto"/>
                <w:sz w:val="24"/>
                <w:szCs w:val="24"/>
                <w:highlight w:val="none"/>
                <w:lang w:eastAsia="zh-CN"/>
              </w:rPr>
              <w:t>评价区内的蒙古扁桃</w:t>
            </w:r>
            <w:r>
              <w:rPr>
                <w:rFonts w:hint="default" w:ascii="Times New Roman" w:hAnsi="Times New Roman" w:cs="Times New Roman"/>
                <w:color w:val="auto"/>
                <w:sz w:val="24"/>
                <w:szCs w:val="24"/>
                <w:highlight w:val="none"/>
              </w:rPr>
              <w:t>的人为影响和破坏</w:t>
            </w:r>
            <w:r>
              <w:rPr>
                <w:rFonts w:hint="eastAsia" w:ascii="Times New Roman" w:hAnsi="Times New Roman" w:cs="Times New Roman"/>
                <w:color w:val="auto"/>
                <w:sz w:val="24"/>
                <w:szCs w:val="24"/>
                <w:highlight w:val="none"/>
                <w:lang w:eastAsia="zh-CN"/>
              </w:rPr>
              <w:t>。</w:t>
            </w:r>
          </w:p>
          <w:p>
            <w:pPr>
              <w:spacing w:line="360" w:lineRule="auto"/>
              <w:ind w:firstLine="48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E.</w:t>
            </w:r>
            <w:r>
              <w:rPr>
                <w:rFonts w:hint="default" w:ascii="Times New Roman" w:hAnsi="Times New Roman" w:cs="Times New Roman"/>
                <w:color w:val="auto"/>
                <w:sz w:val="24"/>
                <w:szCs w:val="24"/>
                <w:highlight w:val="none"/>
              </w:rPr>
              <w:t>在施工过程中若发现有</w:t>
            </w:r>
            <w:r>
              <w:rPr>
                <w:rFonts w:hint="eastAsia" w:ascii="Times New Roman" w:hAnsi="Times New Roman" w:cs="Times New Roman"/>
                <w:color w:val="auto"/>
                <w:sz w:val="24"/>
                <w:szCs w:val="24"/>
                <w:highlight w:val="none"/>
                <w:lang w:eastAsia="zh-CN"/>
              </w:rPr>
              <w:t>蒙古扁桃</w:t>
            </w:r>
            <w:r>
              <w:rPr>
                <w:rFonts w:hint="default" w:ascii="Times New Roman" w:hAnsi="Times New Roman" w:cs="Times New Roman"/>
                <w:color w:val="auto"/>
                <w:sz w:val="24"/>
                <w:szCs w:val="24"/>
                <w:highlight w:val="none"/>
              </w:rPr>
              <w:t>，要注意避让，主动绕行，杜绝人为故意破坏</w:t>
            </w:r>
            <w:r>
              <w:rPr>
                <w:rFonts w:hint="eastAsia" w:ascii="Times New Roman" w:hAnsi="Times New Roman" w:cs="Times New Roman"/>
                <w:color w:val="auto"/>
                <w:sz w:val="24"/>
                <w:szCs w:val="24"/>
                <w:highlight w:val="none"/>
                <w:lang w:eastAsia="zh-CN"/>
              </w:rPr>
              <w:t>。</w:t>
            </w:r>
          </w:p>
          <w:p>
            <w:pPr>
              <w:spacing w:line="360" w:lineRule="auto"/>
              <w:ind w:firstLine="48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综上，采取以上措施后，本项目施工建设对评价区域内的蒙古扁桃造成的影响极小，施工期结束后可完全消失。</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w:t>
            </w:r>
            <w:r>
              <w:rPr>
                <w:rFonts w:hint="eastAsia" w:cs="Times New Roman"/>
                <w:b/>
                <w:bCs/>
                <w:color w:val="auto"/>
                <w:highlight w:val="none"/>
                <w:lang w:val="en-US" w:eastAsia="zh-CN"/>
              </w:rPr>
              <w:t>3</w:t>
            </w:r>
            <w:r>
              <w:rPr>
                <w:rFonts w:hint="default" w:ascii="Times New Roman" w:hAnsi="Times New Roman" w:cs="Times New Roman"/>
                <w:b/>
                <w:bCs/>
                <w:color w:val="auto"/>
                <w:highlight w:val="none"/>
                <w:lang w:val="en-US" w:eastAsia="zh-CN"/>
              </w:rPr>
              <w:t>）对野生动物影响</w:t>
            </w:r>
            <w:bookmarkEnd w:id="4"/>
          </w:p>
          <w:bookmarkEnd w:id="5"/>
          <w:bookmarkEnd w:id="6"/>
          <w:bookmarkEnd w:id="7"/>
          <w:p>
            <w:pPr>
              <w:pStyle w:val="50"/>
              <w:bidi w:val="0"/>
              <w:rPr>
                <w:rFonts w:hint="default" w:ascii="Times New Roman" w:hAnsi="Times New Roman" w:cs="Times New Roman"/>
                <w:color w:val="auto"/>
                <w:highlight w:val="none"/>
                <w:lang w:val="en-US" w:eastAsia="zh-CN"/>
              </w:rPr>
            </w:pPr>
            <w:bookmarkStart w:id="8" w:name="_Toc405288419"/>
            <w:r>
              <w:rPr>
                <w:rFonts w:hint="default" w:ascii="Times New Roman" w:hAnsi="Times New Roman" w:cs="Times New Roman"/>
                <w:color w:val="auto"/>
                <w:highlight w:val="none"/>
                <w:lang w:val="en-US" w:eastAsia="zh-CN"/>
              </w:rPr>
              <w:t>施工活动将可能导致动物生境切割，以及动物栖息地的扰动，对施工范围内野生动物产生一定的影响；根据现场调查，工程区不涉及野生动物的集中栖息地；本工</w:t>
            </w:r>
            <w:r>
              <w:rPr>
                <w:rFonts w:hint="eastAsia" w:cs="Times New Roman"/>
                <w:color w:val="auto"/>
                <w:highlight w:val="none"/>
                <w:lang w:val="en-US" w:eastAsia="zh-CN"/>
              </w:rPr>
              <w:t>程涉及的</w:t>
            </w:r>
            <w:r>
              <w:rPr>
                <w:rFonts w:hint="default" w:ascii="Times New Roman" w:hAnsi="Times New Roman" w:cs="Times New Roman"/>
                <w:color w:val="auto"/>
                <w:highlight w:val="none"/>
                <w:lang w:val="en-US" w:eastAsia="zh-CN"/>
              </w:rPr>
              <w:t>野生动物主要为鸟类、鼠类等常见野生动物。</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在施工过程中，影响到野生动物的迁移与觅食，施工的噪音影响野生动物的栖息，对栖息在附近的鸟类、鼠类等常见野生动物造成一定程度的惊吓，如在夜晚施工，灯光也会影响到</w:t>
            </w:r>
            <w:r>
              <w:rPr>
                <w:rFonts w:hint="eastAsia" w:cs="Times New Roman"/>
                <w:color w:val="auto"/>
                <w:highlight w:val="none"/>
                <w:lang w:val="en-US" w:eastAsia="zh-CN"/>
              </w:rPr>
              <w:t>动物</w:t>
            </w:r>
            <w:r>
              <w:rPr>
                <w:rFonts w:hint="default" w:ascii="Times New Roman" w:hAnsi="Times New Roman" w:cs="Times New Roman"/>
                <w:color w:val="auto"/>
                <w:highlight w:val="none"/>
                <w:lang w:val="en-US" w:eastAsia="zh-CN"/>
              </w:rPr>
              <w:t>的栖息。</w:t>
            </w:r>
            <w:r>
              <w:rPr>
                <w:rFonts w:hint="eastAsia" w:cs="Times New Roman"/>
                <w:color w:val="auto"/>
                <w:highlight w:val="none"/>
                <w:lang w:val="en-US" w:eastAsia="zh-CN"/>
              </w:rPr>
              <w:t>但</w:t>
            </w:r>
            <w:r>
              <w:rPr>
                <w:rFonts w:hint="default" w:ascii="Times New Roman" w:hAnsi="Times New Roman" w:cs="Times New Roman"/>
                <w:color w:val="auto"/>
                <w:highlight w:val="none"/>
                <w:lang w:val="en-US" w:eastAsia="zh-CN"/>
              </w:rPr>
              <w:t>评价区的鸟类、鼠类等常见野生动物生境广泛，它们受工程影响时可以顺利转移到评价区内其他生境</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施工期噪声及施工人为活动带来的驱逐影响较小，因此本项目建设不会造成沿线兽类生境的割裂，影响有限。</w:t>
            </w:r>
          </w:p>
          <w:bookmarkEnd w:id="8"/>
          <w:p>
            <w:pPr>
              <w:pStyle w:val="50"/>
              <w:bidi w:val="0"/>
              <w:rPr>
                <w:rFonts w:hint="default" w:ascii="Times New Roman" w:hAnsi="Times New Roman" w:cs="Times New Roman"/>
                <w:b/>
                <w:bCs/>
                <w:color w:val="auto"/>
                <w:highlight w:val="none"/>
                <w:lang w:val="en-US" w:eastAsia="zh-CN"/>
              </w:rPr>
            </w:pPr>
            <w:bookmarkStart w:id="9" w:name="_Toc5689"/>
            <w:bookmarkStart w:id="10" w:name="_Toc15363635"/>
            <w:r>
              <w:rPr>
                <w:rFonts w:hint="default" w:ascii="Times New Roman" w:hAnsi="Times New Roman" w:cs="Times New Roman"/>
                <w:b/>
                <w:bCs/>
                <w:color w:val="auto"/>
                <w:highlight w:val="none"/>
                <w:lang w:val="en-US" w:eastAsia="zh-CN"/>
              </w:rPr>
              <w:t>（</w:t>
            </w:r>
            <w:r>
              <w:rPr>
                <w:rFonts w:hint="eastAsia" w:cs="Times New Roman"/>
                <w:b/>
                <w:bCs/>
                <w:color w:val="auto"/>
                <w:highlight w:val="none"/>
                <w:lang w:val="en-US" w:eastAsia="zh-CN"/>
              </w:rPr>
              <w:t>4</w:t>
            </w:r>
            <w:r>
              <w:rPr>
                <w:rFonts w:hint="default" w:ascii="Times New Roman" w:hAnsi="Times New Roman" w:cs="Times New Roman"/>
                <w:b/>
                <w:bCs/>
                <w:color w:val="auto"/>
                <w:highlight w:val="none"/>
                <w:lang w:val="en-US" w:eastAsia="zh-CN"/>
              </w:rPr>
              <w:t>）土壤影响分析</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土壤是由矿物质和有机质混合组成的，是生物圈的重要组成部分，也是各种动植物和微生物生存的基质，对生物的生产有直接影响。</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的建设，会进一步人为的加强土壤侵蚀的强度和速度，使其在原来的侵蚀基础上加速发展。风机及箱变基础开挖等工程，这些施工活动要进行开挖地表和地面建设，造成施工区域内地表植被的完全破坏，从而新增土壤侵蚀。基础设施的建设过程中，原本具有水土保持能力的地表植被被侵占、破坏后，导致地表裸露，加剧了表土被冲刷的风险和湿度变幅的增加，土壤理化性质劣化。另外，由于施工破坏和机械挖运，使土壤富集过程受阻，影响生物与土壤间的物质交换，但这种影响是短暂的，在新的平衡建立后与复垦措施共同生效后即会减弱。</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w:t>
            </w:r>
            <w:r>
              <w:rPr>
                <w:rFonts w:hint="eastAsia" w:cs="Times New Roman"/>
                <w:b/>
                <w:bCs/>
                <w:color w:val="auto"/>
                <w:highlight w:val="none"/>
                <w:lang w:val="en-US" w:eastAsia="zh-CN"/>
              </w:rPr>
              <w:t>5</w:t>
            </w:r>
            <w:r>
              <w:rPr>
                <w:rFonts w:hint="default" w:ascii="Times New Roman" w:hAnsi="Times New Roman" w:cs="Times New Roman"/>
                <w:b/>
                <w:bCs/>
                <w:color w:val="auto"/>
                <w:highlight w:val="none"/>
                <w:lang w:val="en-US" w:eastAsia="zh-CN"/>
              </w:rPr>
              <w:t>）生物多样性影响分析</w:t>
            </w:r>
            <w:bookmarkEnd w:id="9"/>
          </w:p>
          <w:bookmarkEnd w:id="10"/>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w:t>
            </w:r>
            <w:r>
              <w:rPr>
                <w:rFonts w:hint="eastAsia" w:cs="Times New Roman"/>
                <w:color w:val="auto"/>
                <w:highlight w:val="none"/>
                <w:lang w:val="en-US" w:eastAsia="zh-CN"/>
              </w:rPr>
              <w:t>风电场</w:t>
            </w:r>
            <w:r>
              <w:rPr>
                <w:rFonts w:hint="default" w:ascii="Times New Roman" w:hAnsi="Times New Roman" w:cs="Times New Roman"/>
                <w:color w:val="auto"/>
                <w:highlight w:val="none"/>
                <w:lang w:val="en-US" w:eastAsia="zh-CN"/>
              </w:rPr>
              <w:t>范围内，动植物都是常见的类型。在占用土地时，要清除地表的所有植物，会造成植被破坏。施工活动对地表土壤结构会造成一定的破坏，如尘土、碎石或废物的堆放，人员的践踏都会破坏原来的土壤结构，造成植物生长地的环境改变。</w:t>
            </w:r>
            <w:r>
              <w:rPr>
                <w:rFonts w:hint="eastAsia" w:cs="Times New Roman"/>
                <w:color w:val="auto"/>
                <w:highlight w:val="none"/>
                <w:lang w:val="en-US" w:eastAsia="zh-CN"/>
              </w:rPr>
              <w:t>本项目涉及</w:t>
            </w:r>
            <w:r>
              <w:rPr>
                <w:rFonts w:hint="default" w:ascii="Times New Roman" w:hAnsi="Times New Roman" w:cs="Times New Roman"/>
                <w:color w:val="auto"/>
                <w:highlight w:val="none"/>
                <w:lang w:val="en-US" w:eastAsia="zh-CN"/>
              </w:rPr>
              <w:t>清除的植被及影响的植物种类数量极微，对本工程经过地区的生态多样性不会造成影响。</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本工程评价区域内</w:t>
            </w:r>
            <w:r>
              <w:rPr>
                <w:rFonts w:hint="default" w:cs="Times New Roman"/>
                <w:color w:val="auto"/>
                <w:highlight w:val="none"/>
                <w:lang w:val="en-US" w:eastAsia="zh-CN"/>
              </w:rPr>
              <w:t>发现国家重点保护野生植物</w:t>
            </w:r>
            <w:r>
              <w:rPr>
                <w:rFonts w:hint="eastAsia" w:cs="Times New Roman"/>
                <w:color w:val="auto"/>
                <w:highlight w:val="none"/>
                <w:lang w:val="en-US" w:eastAsia="zh-CN"/>
              </w:rPr>
              <w:t>蒙古扁桃</w:t>
            </w:r>
            <w:r>
              <w:rPr>
                <w:rFonts w:hint="default" w:cs="Times New Roman"/>
                <w:color w:val="auto"/>
                <w:highlight w:val="none"/>
                <w:lang w:val="en-US" w:eastAsia="zh-CN"/>
              </w:rPr>
              <w:t>，根据《国家重点保护野生植物名录》(国家林业和草原局农业农村部公告2021年第15号)文件可知，蔷薇科桃属植物</w:t>
            </w:r>
            <w:r>
              <w:rPr>
                <w:rFonts w:hint="eastAsia" w:cs="Times New Roman"/>
                <w:color w:val="auto"/>
                <w:highlight w:val="none"/>
                <w:lang w:val="en-US" w:eastAsia="zh-CN"/>
              </w:rPr>
              <w:t>蒙古扁桃</w:t>
            </w:r>
            <w:r>
              <w:rPr>
                <w:rFonts w:hint="default" w:cs="Times New Roman"/>
                <w:color w:val="auto"/>
                <w:highlight w:val="none"/>
                <w:lang w:val="en-US" w:eastAsia="zh-CN"/>
              </w:rPr>
              <w:t>属于国家二级保护野生植物，是具有水土保持、固沙、观赏和药用树种</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经现场踏勘调查，本项目施工区内未发现蒙古扁桃植株存在，评价区域内有零星分布</w:t>
            </w:r>
            <w:r>
              <w:rPr>
                <w:rFonts w:hint="default" w:ascii="Times New Roman" w:hAnsi="Times New Roman" w:cs="Times New Roman"/>
                <w:color w:val="auto"/>
                <w:highlight w:val="none"/>
                <w:lang w:val="en-US" w:eastAsia="zh-CN"/>
              </w:rPr>
              <w:t>，因此</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本工程</w:t>
            </w:r>
            <w:r>
              <w:rPr>
                <w:rFonts w:hint="eastAsia" w:cs="Times New Roman"/>
                <w:color w:val="auto"/>
                <w:highlight w:val="none"/>
                <w:lang w:val="en-US" w:eastAsia="zh-CN"/>
              </w:rPr>
              <w:t>施工期在采取对有蒙古扁桃分布的区域设置隔离网及警示标识，并</w:t>
            </w:r>
            <w:r>
              <w:rPr>
                <w:rFonts w:hint="default" w:cs="Times New Roman"/>
                <w:color w:val="auto"/>
                <w:highlight w:val="none"/>
                <w:lang w:val="en-US" w:eastAsia="zh-CN"/>
              </w:rPr>
              <w:t>加应强施工人员培训，使其识得</w:t>
            </w:r>
            <w:r>
              <w:rPr>
                <w:rFonts w:hint="eastAsia" w:cs="Times New Roman"/>
                <w:color w:val="auto"/>
                <w:highlight w:val="none"/>
                <w:lang w:val="en-US" w:eastAsia="zh-CN"/>
              </w:rPr>
              <w:t>蒙古扁桃</w:t>
            </w:r>
            <w:r>
              <w:rPr>
                <w:rFonts w:hint="default" w:cs="Times New Roman"/>
                <w:color w:val="auto"/>
                <w:highlight w:val="none"/>
                <w:lang w:val="en-US" w:eastAsia="zh-CN"/>
              </w:rPr>
              <w:t>，见到</w:t>
            </w:r>
            <w:r>
              <w:rPr>
                <w:rFonts w:hint="eastAsia" w:cs="Times New Roman"/>
                <w:color w:val="auto"/>
                <w:highlight w:val="none"/>
                <w:lang w:val="en-US" w:eastAsia="zh-CN"/>
              </w:rPr>
              <w:t>蒙古扁桃</w:t>
            </w:r>
            <w:r>
              <w:rPr>
                <w:rFonts w:hint="default" w:cs="Times New Roman"/>
                <w:color w:val="auto"/>
                <w:highlight w:val="none"/>
                <w:lang w:val="en-US" w:eastAsia="zh-CN"/>
              </w:rPr>
              <w:t>不得随意破坏、踩踏，并安排专人核实</w:t>
            </w:r>
            <w:r>
              <w:rPr>
                <w:rFonts w:hint="eastAsia" w:cs="Times New Roman"/>
                <w:color w:val="auto"/>
                <w:highlight w:val="none"/>
                <w:lang w:val="en-US" w:eastAsia="zh-CN"/>
              </w:rPr>
              <w:t>评价</w:t>
            </w:r>
            <w:r>
              <w:rPr>
                <w:rFonts w:hint="default" w:cs="Times New Roman"/>
                <w:color w:val="auto"/>
                <w:highlight w:val="none"/>
                <w:lang w:val="en-US" w:eastAsia="zh-CN"/>
              </w:rPr>
              <w:t>区域内</w:t>
            </w:r>
            <w:r>
              <w:rPr>
                <w:rFonts w:hint="eastAsia" w:cs="Times New Roman"/>
                <w:color w:val="auto"/>
                <w:highlight w:val="none"/>
                <w:lang w:val="en-US" w:eastAsia="zh-CN"/>
              </w:rPr>
              <w:t>蒙古扁桃</w:t>
            </w:r>
            <w:r>
              <w:rPr>
                <w:rFonts w:hint="default" w:cs="Times New Roman"/>
                <w:color w:val="auto"/>
                <w:highlight w:val="none"/>
                <w:lang w:val="en-US" w:eastAsia="zh-CN"/>
              </w:rPr>
              <w:t>存在数量，可采用区域估测法，即核实一定区域面积内</w:t>
            </w:r>
            <w:r>
              <w:rPr>
                <w:rFonts w:hint="eastAsia" w:cs="Times New Roman"/>
                <w:color w:val="auto"/>
                <w:highlight w:val="none"/>
                <w:lang w:val="en-US" w:eastAsia="zh-CN"/>
              </w:rPr>
              <w:t>蒙古扁桃</w:t>
            </w:r>
            <w:r>
              <w:rPr>
                <w:rFonts w:hint="default" w:cs="Times New Roman"/>
                <w:color w:val="auto"/>
                <w:highlight w:val="none"/>
                <w:lang w:val="en-US" w:eastAsia="zh-CN"/>
              </w:rPr>
              <w:t>数量，在推算</w:t>
            </w:r>
            <w:r>
              <w:rPr>
                <w:rFonts w:hint="eastAsia" w:cs="Times New Roman"/>
                <w:color w:val="auto"/>
                <w:highlight w:val="none"/>
                <w:lang w:val="en-US" w:eastAsia="zh-CN"/>
              </w:rPr>
              <w:t>评价</w:t>
            </w:r>
            <w:r>
              <w:rPr>
                <w:rFonts w:hint="default" w:cs="Times New Roman"/>
                <w:color w:val="auto"/>
                <w:highlight w:val="none"/>
                <w:lang w:val="en-US" w:eastAsia="zh-CN"/>
              </w:rPr>
              <w:t>范围内</w:t>
            </w:r>
            <w:r>
              <w:rPr>
                <w:rFonts w:hint="eastAsia" w:cs="Times New Roman"/>
                <w:color w:val="auto"/>
                <w:highlight w:val="none"/>
                <w:lang w:val="en-US" w:eastAsia="zh-CN"/>
              </w:rPr>
              <w:t>蒙古扁桃</w:t>
            </w:r>
            <w:r>
              <w:rPr>
                <w:rFonts w:hint="default" w:cs="Times New Roman"/>
                <w:color w:val="auto"/>
                <w:highlight w:val="none"/>
                <w:lang w:val="en-US" w:eastAsia="zh-CN"/>
              </w:rPr>
              <w:t>大致数量，</w:t>
            </w:r>
            <w:r>
              <w:rPr>
                <w:rFonts w:hint="eastAsia" w:cs="Times New Roman"/>
                <w:color w:val="auto"/>
                <w:highlight w:val="none"/>
                <w:lang w:val="en-US" w:eastAsia="zh-CN"/>
              </w:rPr>
              <w:t>并对施工场地、道路等附近发现的蒙古扁桃植株采取设置围挡或隔离等措施，严格限制项目用地界限，不得超出本项目占地界限占用蒙古扁桃生长区，在采取以上措施后，本项目建设不会对评价区域内蒙古扁桃造成影响。项目施工区域现有物种均为本地常见物种，本项目建设</w:t>
            </w:r>
            <w:r>
              <w:rPr>
                <w:rFonts w:hint="default" w:ascii="Times New Roman" w:hAnsi="Times New Roman" w:cs="Times New Roman"/>
                <w:color w:val="auto"/>
                <w:highlight w:val="none"/>
                <w:lang w:val="en-US" w:eastAsia="zh-CN"/>
              </w:rPr>
              <w:t>不会威胁物种群落多样性。</w:t>
            </w:r>
          </w:p>
          <w:p>
            <w:pPr>
              <w:pStyle w:val="50"/>
              <w:bidi w:val="0"/>
              <w:spacing w:line="360" w:lineRule="auto"/>
              <w:rPr>
                <w:rFonts w:hint="eastAsia" w:cs="Times New Roman"/>
                <w:b/>
                <w:bCs/>
                <w:color w:val="auto"/>
                <w:highlight w:val="none"/>
                <w:lang w:val="en-US" w:eastAsia="zh-CN"/>
              </w:rPr>
            </w:pPr>
            <w:r>
              <w:rPr>
                <w:rFonts w:hint="eastAsia" w:cs="Times New Roman"/>
                <w:b/>
                <w:bCs/>
                <w:color w:val="auto"/>
                <w:highlight w:val="none"/>
                <w:lang w:val="en-US" w:eastAsia="zh-CN"/>
              </w:rPr>
              <w:t>（6）水土流失影响分析</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项目主体工程在施工中一方面破坏了原地貌，另一方面破坏了土体结构，使土壤变得疏松，施工、运行期如防护措施不到位，极易产生水力侵蚀，从而加速工程所在区域及周边地区土壤流失进程。</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本工程施工过程</w:t>
            </w:r>
            <w:r>
              <w:rPr>
                <w:rFonts w:hint="eastAsia" w:ascii="Times New Roman" w:hAnsi="Times New Roman" w:cs="Times New Roman"/>
                <w:color w:val="auto"/>
                <w:highlight w:val="none"/>
                <w:lang w:val="en-US" w:eastAsia="zh-CN"/>
              </w:rPr>
              <w:t>风机机组</w:t>
            </w:r>
            <w:r>
              <w:rPr>
                <w:rFonts w:hint="default" w:ascii="Times New Roman" w:hAnsi="Times New Roman" w:cs="Times New Roman"/>
                <w:color w:val="auto"/>
                <w:highlight w:val="none"/>
                <w:lang w:val="en-US" w:eastAsia="zh-CN"/>
              </w:rPr>
              <w:t>及箱变、</w:t>
            </w:r>
            <w:r>
              <w:rPr>
                <w:rFonts w:hint="eastAsia" w:ascii="Times New Roman" w:hAnsi="Times New Roman" w:cs="Times New Roman"/>
                <w:color w:val="auto"/>
                <w:highlight w:val="none"/>
                <w:lang w:val="en-US" w:eastAsia="zh-CN"/>
              </w:rPr>
              <w:t>线路</w:t>
            </w:r>
            <w:r>
              <w:rPr>
                <w:rFonts w:hint="default" w:ascii="Times New Roman" w:hAnsi="Times New Roman" w:cs="Times New Roman"/>
                <w:color w:val="auto"/>
                <w:highlight w:val="none"/>
                <w:lang w:val="en-US" w:eastAsia="zh-CN"/>
              </w:rPr>
              <w:t>施工等，一方面要铲除地表植被，进行基础挖掘和混凝土浇筑;另一方面各种机械和人员的活动也会对地表植被造成破坏，引起土壤侵蚀及水土流失，可能带来表层肥沃土壤流失，进而影响植被的生长。</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根据水土保持方案对本项目水土流失类型、分布及水土流失量进行综合分析和预测的结论:①工程建设扰动原地貌、损坏土地和植被面积为</w:t>
            </w:r>
            <w:r>
              <w:rPr>
                <w:rFonts w:hint="eastAsia" w:ascii="Times New Roman" w:hAnsi="Times New Roman" w:cs="Times New Roman"/>
                <w:color w:val="auto"/>
                <w:highlight w:val="none"/>
                <w:lang w:val="en-US" w:eastAsia="zh-CN"/>
              </w:rPr>
              <w:t>55253</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工程建设挖填平衡，项目建设不产生弃土弃渣;③新增侵蚀量主要发生在施工期，历时短，因此要注重建设过程中的临时防护措施;④根据预测结果，水土保持监测的重点时段应在施工期，施工期监测重点区段在厂区。</w:t>
            </w:r>
          </w:p>
          <w:p>
            <w:pPr>
              <w:pStyle w:val="50"/>
              <w:bidi w:val="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本项目用地总面</w:t>
            </w:r>
            <w:r>
              <w:rPr>
                <w:rFonts w:hint="eastAsia" w:ascii="Times New Roman" w:hAnsi="Times New Roman" w:cs="Times New Roman"/>
                <w:color w:val="auto"/>
                <w:highlight w:val="none"/>
                <w:lang w:val="en-US" w:eastAsia="zh-CN"/>
              </w:rPr>
              <w:t>临时占地面积55253m</w:t>
            </w:r>
            <w:r>
              <w:rPr>
                <w:rFonts w:hint="eastAsia"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为风机吊装用地、施工道路及35kV地埋线路区域，占地均为天然牧草地，项目复垦面积为本项目临时占地面积，根据本项目土地复垦方案报告书，对占用的天然牧草地撒播沙打旺、扁穗冰草、沙蒿，按</w:t>
            </w:r>
            <w:r>
              <w:rPr>
                <w:rFonts w:hint="default" w:ascii="Times New Roman" w:hAnsi="Times New Roman" w:cs="Times New Roman"/>
                <w:color w:val="auto"/>
                <w:highlight w:val="none"/>
                <w:lang w:val="en-US" w:eastAsia="zh-CN"/>
              </w:rPr>
              <w:t>1:1:1</w:t>
            </w:r>
            <w:r>
              <w:rPr>
                <w:rFonts w:hint="eastAsia" w:ascii="Times New Roman" w:hAnsi="Times New Roman" w:cs="Times New Roman"/>
                <w:color w:val="auto"/>
                <w:highlight w:val="none"/>
                <w:lang w:val="en-US" w:eastAsia="zh-CN"/>
              </w:rPr>
              <w:t>的比例进行混播种植，采取人工撒播，人工覆土的方式，依据《人工草地建设规程》（</w:t>
            </w:r>
            <w:r>
              <w:rPr>
                <w:rFonts w:hint="default" w:ascii="Times New Roman" w:hAnsi="Times New Roman" w:cs="Times New Roman"/>
                <w:color w:val="auto"/>
                <w:highlight w:val="none"/>
                <w:lang w:val="en-US" w:eastAsia="zh-CN"/>
              </w:rPr>
              <w:t>NY/T1342-2007</w:t>
            </w:r>
            <w:r>
              <w:rPr>
                <w:rFonts w:hint="eastAsia" w:ascii="Times New Roman" w:hAnsi="Times New Roman" w:cs="Times New Roman"/>
                <w:color w:val="auto"/>
                <w:highlight w:val="none"/>
                <w:lang w:val="en-US" w:eastAsia="zh-CN"/>
              </w:rPr>
              <w:t>）以及当地植物种植经验，本方案设计沙打旺撒播量为</w:t>
            </w:r>
            <w:r>
              <w:rPr>
                <w:rFonts w:hint="default" w:ascii="Times New Roman" w:hAnsi="Times New Roman" w:cs="Times New Roman"/>
                <w:color w:val="auto"/>
                <w:highlight w:val="none"/>
                <w:lang w:val="en-US" w:eastAsia="zh-CN"/>
              </w:rPr>
              <w:t>30kg/hm</w:t>
            </w:r>
            <w:r>
              <w:rPr>
                <w:rFonts w:hint="default"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、扁穗冰草撒播量为</w:t>
            </w:r>
            <w:r>
              <w:rPr>
                <w:rFonts w:hint="default" w:ascii="Times New Roman" w:hAnsi="Times New Roman" w:cs="Times New Roman"/>
                <w:color w:val="auto"/>
                <w:highlight w:val="none"/>
                <w:lang w:val="en-US" w:eastAsia="zh-CN"/>
              </w:rPr>
              <w:t>45kg/hm</w:t>
            </w:r>
            <w:r>
              <w:rPr>
                <w:rFonts w:hint="default"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、沙蒿撒播量为</w:t>
            </w:r>
            <w:r>
              <w:rPr>
                <w:rFonts w:hint="default" w:ascii="Times New Roman" w:hAnsi="Times New Roman" w:cs="Times New Roman"/>
                <w:color w:val="auto"/>
                <w:highlight w:val="none"/>
                <w:lang w:val="en-US" w:eastAsia="zh-CN"/>
              </w:rPr>
              <w:t>30kg/hm</w:t>
            </w:r>
            <w:r>
              <w:rPr>
                <w:rFonts w:hint="default"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，草籽补植率按</w:t>
            </w:r>
            <w:r>
              <w:rPr>
                <w:rFonts w:hint="default" w:ascii="Times New Roman" w:hAnsi="Times New Roman" w:cs="Times New Roman"/>
                <w:color w:val="auto"/>
                <w:highlight w:val="none"/>
                <w:lang w:val="en-US" w:eastAsia="zh-CN"/>
              </w:rPr>
              <w:t>20%</w:t>
            </w:r>
            <w:r>
              <w:rPr>
                <w:rFonts w:hint="eastAsia" w:ascii="Times New Roman" w:hAnsi="Times New Roman" w:cs="Times New Roman"/>
                <w:color w:val="auto"/>
                <w:highlight w:val="none"/>
                <w:lang w:val="en-US" w:eastAsia="zh-CN"/>
              </w:rPr>
              <w:t>计，最终确定沙打旺种植量为</w:t>
            </w:r>
            <w:r>
              <w:rPr>
                <w:rFonts w:hint="default" w:ascii="Times New Roman" w:hAnsi="Times New Roman" w:cs="Times New Roman"/>
                <w:color w:val="auto"/>
                <w:highlight w:val="none"/>
                <w:lang w:val="en-US" w:eastAsia="zh-CN"/>
              </w:rPr>
              <w:t>36kg/hm</w:t>
            </w:r>
            <w:r>
              <w:rPr>
                <w:rFonts w:hint="default"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、扁穗冰草种植量为</w:t>
            </w:r>
            <w:r>
              <w:rPr>
                <w:rFonts w:hint="default" w:ascii="Times New Roman" w:hAnsi="Times New Roman" w:cs="Times New Roman"/>
                <w:color w:val="auto"/>
                <w:highlight w:val="none"/>
                <w:lang w:val="en-US" w:eastAsia="zh-CN"/>
              </w:rPr>
              <w:t>54kg/hm</w:t>
            </w:r>
            <w:r>
              <w:rPr>
                <w:rFonts w:hint="default"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、沙蒿撒播量为</w:t>
            </w:r>
            <w:r>
              <w:rPr>
                <w:rFonts w:hint="default" w:ascii="Times New Roman" w:hAnsi="Times New Roman" w:cs="Times New Roman"/>
                <w:color w:val="auto"/>
                <w:highlight w:val="none"/>
                <w:lang w:val="en-US" w:eastAsia="zh-CN"/>
              </w:rPr>
              <w:t>36kg/hm</w:t>
            </w:r>
            <w:r>
              <w:rPr>
                <w:rFonts w:hint="default"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。种植时间选择在有效降雨后进行，以提高成活率。</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采取以上措施后，项目建设对水土流失的影响可接受。</w:t>
            </w:r>
          </w:p>
          <w:p>
            <w:pPr>
              <w:pStyle w:val="50"/>
              <w:bidi w:val="0"/>
              <w:spacing w:line="360" w:lineRule="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2.其他环境影响分析</w:t>
            </w:r>
          </w:p>
          <w:p>
            <w:pPr>
              <w:pStyle w:val="50"/>
              <w:bidi w:val="0"/>
              <w:spacing w:line="360" w:lineRule="auto"/>
              <w:rPr>
                <w:rFonts w:hint="default" w:ascii="Times New Roman" w:hAnsi="Times New Roman" w:eastAsia="仿宋_GB2312" w:cs="Times New Roman"/>
                <w:b/>
                <w:bCs/>
                <w:color w:val="auto"/>
                <w:highlight w:val="none"/>
                <w:lang w:val="en-US" w:eastAsia="zh-CN"/>
              </w:rPr>
            </w:pPr>
            <w:r>
              <w:rPr>
                <w:rFonts w:hint="default" w:ascii="Times New Roman" w:hAnsi="Times New Roman" w:eastAsia="仿宋_GB2312" w:cs="Times New Roman"/>
                <w:b/>
                <w:bCs/>
                <w:color w:val="auto"/>
                <w:highlight w:val="none"/>
                <w:lang w:val="en-US" w:eastAsia="zh-CN"/>
              </w:rPr>
              <w:t>2.1 大气环境影响分析</w:t>
            </w:r>
          </w:p>
          <w:p>
            <w:pPr>
              <w:pStyle w:val="50"/>
              <w:keepNext w:val="0"/>
              <w:keepLines w:val="0"/>
              <w:pageBreakBefore w:val="0"/>
              <w:widowControl w:val="0"/>
              <w:kinsoku/>
              <w:wordWrap/>
              <w:overflowPunct w:val="0"/>
              <w:topLinePunct w:val="0"/>
              <w:autoSpaceDE/>
              <w:autoSpaceDN/>
              <w:bidi w:val="0"/>
              <w:adjustRightInd w:val="0"/>
              <w:snapToGrid w:val="0"/>
              <w:spacing w:line="360" w:lineRule="auto"/>
              <w:textAlignment w:val="auto"/>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highlight w:val="none"/>
                <w:lang w:val="en-US" w:eastAsia="zh-CN"/>
              </w:rPr>
              <w:t>本项目施工期大气污染物主要来源于施工扬尘</w:t>
            </w:r>
            <w:r>
              <w:rPr>
                <w:rFonts w:hint="eastAsia" w:cs="Times New Roman"/>
                <w:b w:val="0"/>
                <w:bCs w:val="0"/>
                <w:color w:val="auto"/>
                <w:highlight w:val="none"/>
                <w:lang w:val="en-US" w:eastAsia="zh-CN"/>
              </w:rPr>
              <w:t>、车辆、施工机械和</w:t>
            </w:r>
            <w:r>
              <w:rPr>
                <w:rFonts w:hint="default" w:ascii="Times New Roman" w:hAnsi="Times New Roman" w:eastAsia="仿宋_GB2312" w:cs="Times New Roman"/>
                <w:b w:val="0"/>
                <w:bCs w:val="0"/>
                <w:color w:val="auto"/>
                <w:highlight w:val="none"/>
                <w:lang w:val="en-US" w:eastAsia="zh-CN"/>
              </w:rPr>
              <w:t>柴油发电机工作时产生的燃油废气、道路扬尘等，主要污染物为TSP、CO、NO</w:t>
            </w:r>
            <w:r>
              <w:rPr>
                <w:rFonts w:hint="default" w:ascii="Times New Roman" w:hAnsi="Times New Roman" w:eastAsia="仿宋_GB2312" w:cs="Times New Roman"/>
                <w:b w:val="0"/>
                <w:bCs w:val="0"/>
                <w:color w:val="auto"/>
                <w:highlight w:val="none"/>
                <w:vertAlign w:val="subscript"/>
                <w:lang w:val="en-US" w:eastAsia="zh-CN"/>
              </w:rPr>
              <w:t>X</w:t>
            </w:r>
            <w:r>
              <w:rPr>
                <w:rFonts w:hint="default" w:ascii="Times New Roman" w:hAnsi="Times New Roman" w:eastAsia="仿宋_GB2312" w:cs="Times New Roman"/>
                <w:b w:val="0"/>
                <w:bCs w:val="0"/>
                <w:color w:val="auto"/>
                <w:highlight w:val="none"/>
                <w:lang w:val="en-US" w:eastAsia="zh-CN"/>
              </w:rPr>
              <w:t>。</w:t>
            </w:r>
          </w:p>
          <w:p>
            <w:pPr>
              <w:pStyle w:val="50"/>
              <w:keepNext w:val="0"/>
              <w:keepLines w:val="0"/>
              <w:pageBreakBefore w:val="0"/>
              <w:widowControl w:val="0"/>
              <w:kinsoku/>
              <w:wordWrap/>
              <w:overflowPunct w:val="0"/>
              <w:topLinePunct w:val="0"/>
              <w:autoSpaceDE/>
              <w:autoSpaceDN/>
              <w:bidi w:val="0"/>
              <w:adjustRightInd w:val="0"/>
              <w:snapToGrid w:val="0"/>
              <w:spacing w:line="344" w:lineRule="auto"/>
              <w:textAlignment w:val="auto"/>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highlight w:val="none"/>
                <w:lang w:val="en-US" w:eastAsia="zh-CN"/>
              </w:rPr>
              <w:t>（1）土方工程、开挖扬尘</w:t>
            </w:r>
          </w:p>
          <w:p>
            <w:pPr>
              <w:pStyle w:val="50"/>
              <w:keepNext w:val="0"/>
              <w:keepLines w:val="0"/>
              <w:pageBreakBefore w:val="0"/>
              <w:widowControl w:val="0"/>
              <w:kinsoku/>
              <w:wordWrap/>
              <w:overflowPunct w:val="0"/>
              <w:topLinePunct w:val="0"/>
              <w:autoSpaceDE/>
              <w:autoSpaceDN/>
              <w:bidi w:val="0"/>
              <w:adjustRightInd w:val="0"/>
              <w:snapToGrid w:val="0"/>
              <w:spacing w:line="344" w:lineRule="auto"/>
              <w:textAlignment w:val="auto"/>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highlight w:val="none"/>
                <w:lang w:val="en-US" w:eastAsia="zh-CN"/>
              </w:rPr>
              <w:t>本工程施工期对大气环境的影响主要来源于土方工程开挖等一次扬尘和建筑材料、土方的汽车运输及施工车辆行驶产生的二次扬尘，主要污染物为 TSP；这些大气污染物会对周围环境空气质量产生一定影响。</w:t>
            </w:r>
          </w:p>
          <w:p>
            <w:pPr>
              <w:pStyle w:val="50"/>
              <w:keepNext w:val="0"/>
              <w:keepLines w:val="0"/>
              <w:pageBreakBefore w:val="0"/>
              <w:widowControl w:val="0"/>
              <w:kinsoku/>
              <w:wordWrap/>
              <w:overflowPunct w:val="0"/>
              <w:topLinePunct w:val="0"/>
              <w:autoSpaceDE/>
              <w:autoSpaceDN/>
              <w:bidi w:val="0"/>
              <w:adjustRightInd w:val="0"/>
              <w:snapToGrid w:val="0"/>
              <w:spacing w:line="344" w:lineRule="auto"/>
              <w:textAlignment w:val="auto"/>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highlight w:val="none"/>
                <w:lang w:val="en-US" w:eastAsia="zh-CN"/>
              </w:rPr>
              <w:t>（2）临时弃土堆存扬尘</w:t>
            </w:r>
          </w:p>
          <w:p>
            <w:pPr>
              <w:pStyle w:val="50"/>
              <w:keepNext w:val="0"/>
              <w:keepLines w:val="0"/>
              <w:pageBreakBefore w:val="0"/>
              <w:widowControl w:val="0"/>
              <w:kinsoku/>
              <w:wordWrap/>
              <w:overflowPunct w:val="0"/>
              <w:topLinePunct w:val="0"/>
              <w:autoSpaceDE/>
              <w:autoSpaceDN/>
              <w:bidi w:val="0"/>
              <w:adjustRightInd w:val="0"/>
              <w:snapToGrid w:val="0"/>
              <w:spacing w:line="344" w:lineRule="auto"/>
              <w:textAlignment w:val="auto"/>
              <w:rPr>
                <w:rFonts w:hint="default" w:ascii="Times New Roman" w:hAnsi="Times New Roman" w:eastAsia="仿宋_GB2312" w:cs="Times New Roman"/>
                <w:b w:val="0"/>
                <w:bCs w:val="0"/>
                <w:color w:val="auto"/>
                <w:highlight w:val="none"/>
                <w:lang w:val="en-US" w:eastAsia="zh-CN"/>
              </w:rPr>
            </w:pPr>
            <w:r>
              <w:rPr>
                <w:rFonts w:hint="eastAsia" w:cs="Times New Roman"/>
                <w:b w:val="0"/>
                <w:bCs w:val="0"/>
                <w:color w:val="auto"/>
                <w:highlight w:val="none"/>
                <w:lang w:val="en-US" w:eastAsia="zh-CN"/>
              </w:rPr>
              <w:t>基础</w:t>
            </w:r>
            <w:r>
              <w:rPr>
                <w:rFonts w:hint="default" w:ascii="Times New Roman" w:hAnsi="Times New Roman" w:eastAsia="仿宋_GB2312" w:cs="Times New Roman"/>
                <w:b w:val="0"/>
                <w:bCs w:val="0"/>
                <w:color w:val="auto"/>
                <w:highlight w:val="none"/>
                <w:lang w:val="en-US" w:eastAsia="zh-CN"/>
              </w:rPr>
              <w:t>开挖挖出的土在临时堆存过程中，遇大风天气时将会产生一定扬尘，对周围环境和道路产生一定的影响。本项目施工期较短，挖出的土湿度较大，</w:t>
            </w:r>
            <w:r>
              <w:rPr>
                <w:rFonts w:hint="eastAsia" w:cs="Times New Roman"/>
                <w:b w:val="0"/>
                <w:bCs w:val="0"/>
                <w:color w:val="auto"/>
                <w:highlight w:val="none"/>
                <w:lang w:val="en-US" w:eastAsia="zh-CN"/>
              </w:rPr>
              <w:t>且开挖出的土方采用篷布进行遮盖</w:t>
            </w:r>
            <w:r>
              <w:rPr>
                <w:rFonts w:hint="default" w:ascii="Times New Roman" w:hAnsi="Times New Roman" w:eastAsia="仿宋_GB2312" w:cs="Times New Roman"/>
                <w:b w:val="0"/>
                <w:bCs w:val="0"/>
                <w:color w:val="auto"/>
                <w:highlight w:val="none"/>
                <w:lang w:val="en-US" w:eastAsia="zh-CN"/>
              </w:rPr>
              <w:t>，一般不会对周围环境产生明显影响。</w:t>
            </w:r>
          </w:p>
          <w:p>
            <w:pPr>
              <w:pStyle w:val="50"/>
              <w:keepNext w:val="0"/>
              <w:keepLines w:val="0"/>
              <w:pageBreakBefore w:val="0"/>
              <w:widowControl w:val="0"/>
              <w:kinsoku/>
              <w:wordWrap/>
              <w:overflowPunct w:val="0"/>
              <w:topLinePunct w:val="0"/>
              <w:autoSpaceDE/>
              <w:autoSpaceDN/>
              <w:bidi w:val="0"/>
              <w:adjustRightInd w:val="0"/>
              <w:snapToGrid w:val="0"/>
              <w:spacing w:line="344" w:lineRule="auto"/>
              <w:textAlignment w:val="auto"/>
              <w:rPr>
                <w:rFonts w:hint="default" w:ascii="Times New Roman" w:hAnsi="Times New Roman" w:eastAsia="仿宋_GB2312" w:cs="Times New Roman"/>
                <w:b w:val="0"/>
                <w:bCs w:val="0"/>
                <w:color w:val="auto"/>
                <w:highlight w:val="none"/>
                <w:lang w:val="en-US" w:eastAsia="zh-CN"/>
              </w:rPr>
            </w:pPr>
            <w:r>
              <w:rPr>
                <w:rFonts w:hint="default" w:ascii="Times New Roman" w:hAnsi="Times New Roman" w:eastAsia="仿宋_GB2312" w:cs="Times New Roman"/>
                <w:b w:val="0"/>
                <w:bCs w:val="0"/>
                <w:color w:val="auto"/>
                <w:highlight w:val="none"/>
                <w:lang w:val="en-US" w:eastAsia="zh-CN"/>
              </w:rPr>
              <w:t>（3）运输扬尘</w:t>
            </w:r>
          </w:p>
          <w:p>
            <w:pPr>
              <w:pStyle w:val="50"/>
              <w:keepNext w:val="0"/>
              <w:keepLines w:val="0"/>
              <w:pageBreakBefore w:val="0"/>
              <w:widowControl w:val="0"/>
              <w:kinsoku/>
              <w:wordWrap/>
              <w:overflowPunct w:val="0"/>
              <w:topLinePunct w:val="0"/>
              <w:autoSpaceDE/>
              <w:autoSpaceDN/>
              <w:bidi w:val="0"/>
              <w:adjustRightInd w:val="0"/>
              <w:snapToGrid w:val="0"/>
              <w:spacing w:line="344" w:lineRule="auto"/>
              <w:textAlignment w:val="auto"/>
              <w:rPr>
                <w:rFonts w:hint="default" w:ascii="Times New Roman" w:hAnsi="Times New Roman" w:cs="Times New Roman"/>
                <w:b w:val="0"/>
                <w:bCs w:val="0"/>
                <w:color w:val="auto"/>
                <w:highlight w:val="none"/>
              </w:rPr>
            </w:pPr>
            <w:r>
              <w:rPr>
                <w:rFonts w:hint="default" w:ascii="Times New Roman" w:hAnsi="Times New Roman" w:eastAsia="仿宋_GB2312" w:cs="Times New Roman"/>
                <w:b w:val="0"/>
                <w:bCs w:val="0"/>
                <w:color w:val="auto"/>
                <w:highlight w:val="none"/>
                <w:lang w:val="en-US" w:eastAsia="zh-CN"/>
              </w:rPr>
              <w:t>物料的运输过程中会产生道路扬尘，严格控制汽车的装载量，严禁超载，对于运输过程应使用篷布遮盖物料，避免物料沿途遗洒，减少运输二次扬尘对周围环境的影响。运输车辆将产生道路二次扬尘污染。根据类似施工现场汽车运输引起的扬尘现场监测结果，灰土运输车辆下风向50m处浓度为11.625mg/m</w:t>
            </w:r>
            <w:r>
              <w:rPr>
                <w:rFonts w:hint="default" w:ascii="Times New Roman" w:hAnsi="Times New Roman" w:eastAsia="仿宋_GB2312" w:cs="Times New Roman"/>
                <w:b w:val="0"/>
                <w:bCs w:val="0"/>
                <w:color w:val="auto"/>
                <w:highlight w:val="none"/>
                <w:vertAlign w:val="superscript"/>
                <w:lang w:val="en-US" w:eastAsia="zh-CN"/>
              </w:rPr>
              <w:t>3</w:t>
            </w:r>
            <w:r>
              <w:rPr>
                <w:rFonts w:hint="default" w:ascii="Times New Roman" w:hAnsi="Times New Roman" w:eastAsia="仿宋_GB2312" w:cs="Times New Roman"/>
                <w:b w:val="0"/>
                <w:bCs w:val="0"/>
                <w:color w:val="auto"/>
                <w:highlight w:val="none"/>
                <w:lang w:val="en-US" w:eastAsia="zh-CN"/>
              </w:rPr>
              <w:t>；下风向100m处为9.694mg/m</w:t>
            </w:r>
            <w:r>
              <w:rPr>
                <w:rFonts w:hint="default" w:ascii="Times New Roman" w:hAnsi="Times New Roman" w:eastAsia="仿宋_GB2312" w:cs="Times New Roman"/>
                <w:b w:val="0"/>
                <w:bCs w:val="0"/>
                <w:color w:val="auto"/>
                <w:highlight w:val="none"/>
                <w:vertAlign w:val="superscript"/>
                <w:lang w:val="en-US" w:eastAsia="zh-CN"/>
              </w:rPr>
              <w:t>3</w:t>
            </w:r>
            <w:r>
              <w:rPr>
                <w:rFonts w:hint="default" w:ascii="Times New Roman" w:hAnsi="Times New Roman" w:eastAsia="仿宋_GB2312" w:cs="Times New Roman"/>
                <w:b w:val="0"/>
                <w:bCs w:val="0"/>
                <w:color w:val="auto"/>
                <w:highlight w:val="none"/>
                <w:lang w:val="en-US" w:eastAsia="zh-CN"/>
              </w:rPr>
              <w:t>；下风向150m处浓度为5.093mg/m</w:t>
            </w:r>
            <w:r>
              <w:rPr>
                <w:rFonts w:hint="default" w:ascii="Times New Roman" w:hAnsi="Times New Roman" w:eastAsia="仿宋_GB2312" w:cs="Times New Roman"/>
                <w:b w:val="0"/>
                <w:bCs w:val="0"/>
                <w:color w:val="auto"/>
                <w:highlight w:val="none"/>
                <w:vertAlign w:val="superscript"/>
                <w:lang w:val="en-US" w:eastAsia="zh-CN"/>
              </w:rPr>
              <w:t>3</w:t>
            </w:r>
            <w:r>
              <w:rPr>
                <w:rFonts w:hint="default" w:ascii="Times New Roman" w:hAnsi="Times New Roman" w:eastAsia="仿宋_GB2312" w:cs="Times New Roman"/>
                <w:b w:val="0"/>
                <w:bCs w:val="0"/>
                <w:color w:val="auto"/>
                <w:highlight w:val="none"/>
                <w:lang w:val="en-US" w:eastAsia="zh-CN"/>
              </w:rPr>
              <w:t>，超过环境空气质量二级标准。抑制扬尘的一个简洁有效的措施是洒水。如果在施工期内对车辆行驶的路面实施洒水抑尘，每天洒水4-5次，可使扬尘减少70%左右，可有效地控制施工扬尘，并可将TSP污染距离缩小到20-50m范围</w:t>
            </w:r>
            <w:r>
              <w:rPr>
                <w:rFonts w:hint="default" w:ascii="Times New Roman" w:hAnsi="Times New Roman" w:cs="Times New Roman"/>
                <w:b w:val="0"/>
                <w:bCs w:val="0"/>
                <w:color w:val="auto"/>
                <w:highlight w:val="none"/>
              </w:rPr>
              <w:t>。</w:t>
            </w:r>
          </w:p>
          <w:p>
            <w:pPr>
              <w:pStyle w:val="50"/>
              <w:keepNext w:val="0"/>
              <w:keepLines w:val="0"/>
              <w:pageBreakBefore w:val="0"/>
              <w:widowControl w:val="0"/>
              <w:kinsoku/>
              <w:wordWrap/>
              <w:overflowPunct w:val="0"/>
              <w:topLinePunct w:val="0"/>
              <w:autoSpaceDE/>
              <w:autoSpaceDN/>
              <w:bidi w:val="0"/>
              <w:adjustRightInd w:val="0"/>
              <w:snapToGrid w:val="0"/>
              <w:spacing w:line="344" w:lineRule="auto"/>
              <w:textAlignment w:val="auto"/>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（4）施工机械、车辆及</w:t>
            </w:r>
            <w:r>
              <w:rPr>
                <w:rFonts w:hint="default" w:ascii="Times New Roman" w:hAnsi="Times New Roman" w:cs="Times New Roman"/>
                <w:b w:val="0"/>
                <w:bCs w:val="0"/>
                <w:color w:val="auto"/>
                <w:highlight w:val="none"/>
                <w:lang w:val="en-US" w:eastAsia="zh-CN"/>
              </w:rPr>
              <w:t>柴油发电机工作产生燃油废气</w:t>
            </w:r>
          </w:p>
          <w:p>
            <w:pPr>
              <w:pStyle w:val="50"/>
              <w:keepNext w:val="0"/>
              <w:keepLines w:val="0"/>
              <w:pageBreakBefore w:val="0"/>
              <w:widowControl w:val="0"/>
              <w:kinsoku/>
              <w:wordWrap/>
              <w:overflowPunct w:val="0"/>
              <w:topLinePunct w:val="0"/>
              <w:autoSpaceDE/>
              <w:autoSpaceDN/>
              <w:bidi w:val="0"/>
              <w:adjustRightInd w:val="0"/>
              <w:snapToGrid w:val="0"/>
              <w:spacing w:line="344" w:lineRule="auto"/>
              <w:textAlignment w:val="auto"/>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施工机械、车辆及柴油发电机大多以柴油作为燃料，燃料燃烧过程中会产生CO、SO</w:t>
            </w:r>
            <w:r>
              <w:rPr>
                <w:rFonts w:hint="default" w:ascii="Times New Roman" w:hAnsi="Times New Roman" w:cs="Times New Roman"/>
                <w:b w:val="0"/>
                <w:bCs w:val="0"/>
                <w:color w:val="auto"/>
                <w:highlight w:val="none"/>
                <w:vertAlign w:val="subscript"/>
              </w:rPr>
              <w:t>2</w:t>
            </w:r>
            <w:r>
              <w:rPr>
                <w:rFonts w:hint="default" w:ascii="Times New Roman" w:hAnsi="Times New Roman" w:cs="Times New Roman"/>
                <w:b w:val="0"/>
                <w:bCs w:val="0"/>
                <w:color w:val="auto"/>
                <w:highlight w:val="none"/>
              </w:rPr>
              <w:t>、NOx、碳氢化合物、烟尘等，产生情况主要决定因素为燃料油种类、机械性能、作业方式和风力等，其中属机械性能、作业方式的影响最大，如运输车辆和部分施工机械在怠速、减速和加速时产生的污染较为严重。各类施工机械、车辆流动性较强，所产生的废气少且较为分散，在易于扩散的气象条件下，燃烧废气对周围环境的影响不大。</w:t>
            </w:r>
          </w:p>
          <w:p>
            <w:pPr>
              <w:pStyle w:val="50"/>
              <w:keepNext w:val="0"/>
              <w:keepLines w:val="0"/>
              <w:pageBreakBefore w:val="0"/>
              <w:widowControl w:val="0"/>
              <w:kinsoku/>
              <w:wordWrap/>
              <w:overflowPunct w:val="0"/>
              <w:topLinePunct w:val="0"/>
              <w:autoSpaceDE/>
              <w:autoSpaceDN/>
              <w:bidi w:val="0"/>
              <w:adjustRightInd w:val="0"/>
              <w:snapToGrid w:val="0"/>
              <w:spacing w:line="336" w:lineRule="auto"/>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2.2 水环境影响分析</w:t>
            </w:r>
          </w:p>
          <w:p>
            <w:pPr>
              <w:pStyle w:val="50"/>
              <w:keepNext w:val="0"/>
              <w:keepLines w:val="0"/>
              <w:pageBreakBefore w:val="0"/>
              <w:widowControl w:val="0"/>
              <w:kinsoku/>
              <w:wordWrap/>
              <w:overflowPunct w:val="0"/>
              <w:topLinePunct w:val="0"/>
              <w:autoSpaceDE/>
              <w:autoSpaceDN/>
              <w:bidi w:val="0"/>
              <w:adjustRightInd w:val="0"/>
              <w:snapToGrid w:val="0"/>
              <w:spacing w:line="336" w:lineRule="auto"/>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2.2.1 地表水影响分析</w:t>
            </w:r>
          </w:p>
          <w:p>
            <w:pPr>
              <w:pStyle w:val="50"/>
              <w:keepNext w:val="0"/>
              <w:keepLines w:val="0"/>
              <w:pageBreakBefore w:val="0"/>
              <w:widowControl w:val="0"/>
              <w:kinsoku/>
              <w:wordWrap/>
              <w:overflowPunct w:val="0"/>
              <w:topLinePunct w:val="0"/>
              <w:autoSpaceDE/>
              <w:autoSpaceDN/>
              <w:bidi w:val="0"/>
              <w:adjustRightInd w:val="0"/>
              <w:snapToGrid w:val="0"/>
              <w:spacing w:line="336" w:lineRule="auto"/>
              <w:textAlignment w:val="auto"/>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eastAsia="zh-CN"/>
              </w:rPr>
              <w:t>本工程施工期间产生的废水主要为施工过程产生的施工废水和施工人员的生活污水。</w:t>
            </w:r>
          </w:p>
          <w:p>
            <w:pPr>
              <w:pStyle w:val="5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①施工生活污水：施工期生活污水产生量较少，废水中主要污染物为COD、BOD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、SS，生活污水主要为洗漱废水，用于施工场地洒水降尘，</w:t>
            </w:r>
            <w:r>
              <w:rPr>
                <w:rFonts w:hint="eastAsia" w:cs="Times New Roman"/>
                <w:color w:val="auto"/>
                <w:highlight w:val="none"/>
                <w:lang w:eastAsia="zh-CN"/>
              </w:rPr>
              <w:t>施工人员设置旱厕</w:t>
            </w:r>
            <w:r>
              <w:rPr>
                <w:rFonts w:hint="default" w:ascii="Times New Roman" w:hAnsi="Times New Roman" w:cs="Times New Roman"/>
                <w:color w:val="auto"/>
                <w:highlight w:val="none"/>
              </w:rPr>
              <w:t>如厕，</w:t>
            </w:r>
            <w:r>
              <w:rPr>
                <w:rFonts w:hint="eastAsia" w:cs="Times New Roman"/>
                <w:color w:val="auto"/>
                <w:highlight w:val="none"/>
                <w:lang w:eastAsia="zh-CN"/>
              </w:rPr>
              <w:t>粪便</w:t>
            </w:r>
            <w:r>
              <w:rPr>
                <w:rFonts w:hint="default" w:ascii="Times New Roman" w:hAnsi="Times New Roman" w:cs="Times New Roman"/>
                <w:color w:val="auto"/>
                <w:highlight w:val="none"/>
                <w:lang w:val="en-US" w:eastAsia="zh-CN"/>
              </w:rPr>
              <w:t>及时清运</w:t>
            </w:r>
            <w:r>
              <w:rPr>
                <w:rFonts w:hint="default" w:ascii="Times New Roman" w:hAnsi="Times New Roman" w:cs="Times New Roman"/>
                <w:color w:val="auto"/>
                <w:highlight w:val="none"/>
              </w:rPr>
              <w:t>，对水环境影响较小。</w:t>
            </w:r>
          </w:p>
          <w:p>
            <w:pPr>
              <w:pStyle w:val="5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②施工机械冲洗废水：</w:t>
            </w:r>
            <w:r>
              <w:rPr>
                <w:rFonts w:hint="default" w:ascii="Times New Roman" w:hAnsi="Times New Roman" w:cs="Times New Roman"/>
                <w:color w:val="auto"/>
                <w:highlight w:val="none"/>
                <w:lang w:val="en-US" w:eastAsia="zh-CN"/>
              </w:rPr>
              <w:t>施工场地</w:t>
            </w:r>
            <w:r>
              <w:rPr>
                <w:rFonts w:hint="default" w:ascii="Times New Roman" w:hAnsi="Times New Roman" w:cs="Times New Roman"/>
                <w:color w:val="auto"/>
                <w:highlight w:val="none"/>
              </w:rPr>
              <w:t>出口洗车平台</w:t>
            </w:r>
            <w:r>
              <w:rPr>
                <w:rFonts w:hint="default" w:ascii="Times New Roman" w:hAnsi="Times New Roman" w:cs="Times New Roman"/>
                <w:color w:val="auto"/>
                <w:highlight w:val="none"/>
                <w:lang w:val="en-US" w:eastAsia="zh-CN"/>
              </w:rPr>
              <w:t>配备沉淀池</w:t>
            </w:r>
            <w:r>
              <w:rPr>
                <w:rFonts w:hint="default" w:ascii="Times New Roman" w:hAnsi="Times New Roman" w:cs="Times New Roman"/>
                <w:color w:val="auto"/>
                <w:highlight w:val="none"/>
              </w:rPr>
              <w:t>，清洗轮胎</w:t>
            </w:r>
            <w:r>
              <w:rPr>
                <w:rFonts w:hint="default" w:ascii="Times New Roman" w:hAnsi="Times New Roman" w:cs="Times New Roman"/>
                <w:color w:val="auto"/>
                <w:highlight w:val="none"/>
                <w:lang w:val="en-US" w:eastAsia="zh-CN"/>
              </w:rPr>
              <w:t>废水经</w:t>
            </w:r>
            <w:r>
              <w:rPr>
                <w:rFonts w:hint="default" w:ascii="Times New Roman" w:hAnsi="Times New Roman" w:cs="Times New Roman"/>
                <w:color w:val="auto"/>
                <w:highlight w:val="none"/>
              </w:rPr>
              <w:t>沉淀池</w:t>
            </w:r>
            <w:r>
              <w:rPr>
                <w:rFonts w:hint="default" w:ascii="Times New Roman" w:hAnsi="Times New Roman" w:cs="Times New Roman"/>
                <w:color w:val="auto"/>
                <w:highlight w:val="none"/>
                <w:lang w:val="en-US" w:eastAsia="zh-CN"/>
              </w:rPr>
              <w:t>沉淀后</w:t>
            </w:r>
            <w:r>
              <w:rPr>
                <w:rFonts w:hint="default" w:ascii="Times New Roman" w:hAnsi="Times New Roman" w:cs="Times New Roman"/>
                <w:color w:val="auto"/>
                <w:highlight w:val="none"/>
              </w:rPr>
              <w:t>回用</w:t>
            </w:r>
            <w:r>
              <w:rPr>
                <w:rFonts w:hint="default" w:ascii="Times New Roman" w:hAnsi="Times New Roman" w:cs="Times New Roman"/>
                <w:color w:val="auto"/>
                <w:highlight w:val="none"/>
                <w:lang w:val="en-US" w:eastAsia="zh-CN"/>
              </w:rPr>
              <w:t>或用于</w:t>
            </w:r>
            <w:r>
              <w:rPr>
                <w:rFonts w:hint="default" w:ascii="Times New Roman" w:hAnsi="Times New Roman" w:cs="Times New Roman"/>
                <w:color w:val="auto"/>
                <w:highlight w:val="none"/>
              </w:rPr>
              <w:t>洒水降尘，无废水排放，不会对水环境产生影响。</w:t>
            </w:r>
          </w:p>
          <w:p>
            <w:pPr>
              <w:pStyle w:val="50"/>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2.2.3地下水影响分析</w:t>
            </w:r>
          </w:p>
          <w:p>
            <w:pPr>
              <w:pStyle w:val="5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eastAsia" w:cs="Times New Roman"/>
                <w:color w:val="auto"/>
                <w:highlight w:val="none"/>
                <w:lang w:val="en-US" w:eastAsia="zh-CN"/>
              </w:rPr>
              <w:t>建成后为风电场</w:t>
            </w:r>
            <w:r>
              <w:rPr>
                <w:rFonts w:hint="default" w:ascii="Times New Roman" w:hAnsi="Times New Roman" w:cs="Times New Roman"/>
                <w:color w:val="auto"/>
                <w:highlight w:val="none"/>
                <w:lang w:val="en-US" w:eastAsia="zh-CN"/>
              </w:rPr>
              <w:t>运行</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不会改变区域地下水资源利用状况，不对地下水径流流场产生影响；</w:t>
            </w:r>
            <w:r>
              <w:rPr>
                <w:rFonts w:hint="eastAsia" w:cs="Times New Roman"/>
                <w:color w:val="auto"/>
                <w:highlight w:val="none"/>
                <w:lang w:val="en-US" w:eastAsia="zh-CN"/>
              </w:rPr>
              <w:t>项目最深开挖深度为4.0m ，区域地下水埋深较深，故不会对地下水造成影响</w:t>
            </w:r>
            <w:r>
              <w:rPr>
                <w:rFonts w:hint="default" w:ascii="Times New Roman" w:hAnsi="Times New Roman" w:cs="Times New Roman"/>
                <w:color w:val="auto"/>
                <w:highlight w:val="none"/>
                <w:lang w:val="en-US" w:eastAsia="zh-CN"/>
              </w:rPr>
              <w:t>。项目评价范围内无水源地保护区、农村集中供水工程等分布。施工营地施工废水及生活污水得到妥善处置。因此，项目的实施不会对区域地下水环境产生不利影响。</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2.3 声环境影响分析</w:t>
            </w:r>
          </w:p>
          <w:p>
            <w:pPr>
              <w:snapToGrid w:val="0"/>
              <w:spacing w:line="360" w:lineRule="auto"/>
              <w:ind w:firstLine="480" w:firstLineChars="200"/>
              <w:rPr>
                <w:rFonts w:hint="default" w:ascii="Times New Roman" w:hAnsi="Times New Roman" w:eastAsia="仿宋_GB2312" w:cs="Times New Roman"/>
                <w:bCs/>
                <w:color w:val="auto"/>
                <w:sz w:val="24"/>
                <w:szCs w:val="24"/>
                <w:highlight w:val="none"/>
              </w:rPr>
            </w:pPr>
            <w:r>
              <w:rPr>
                <w:rFonts w:hint="default" w:ascii="Times New Roman" w:hAnsi="Times New Roman" w:eastAsia="仿宋_GB2312" w:cs="Times New Roman"/>
                <w:bCs/>
                <w:color w:val="auto"/>
                <w:sz w:val="24"/>
                <w:szCs w:val="24"/>
                <w:highlight w:val="none"/>
              </w:rPr>
              <w:t>施工期主要噪声源为载重汽车、推土机</w:t>
            </w:r>
            <w:r>
              <w:rPr>
                <w:rFonts w:hint="eastAsia" w:eastAsia="仿宋_GB2312" w:cs="Times New Roman"/>
                <w:bCs/>
                <w:color w:val="auto"/>
                <w:sz w:val="24"/>
                <w:szCs w:val="24"/>
                <w:highlight w:val="none"/>
                <w:lang w:eastAsia="zh-CN"/>
              </w:rPr>
              <w:t>、挖掘机</w:t>
            </w:r>
            <w:r>
              <w:rPr>
                <w:rFonts w:hint="default" w:ascii="Times New Roman" w:hAnsi="Times New Roman" w:eastAsia="仿宋_GB2312" w:cs="Times New Roman"/>
                <w:bCs/>
                <w:color w:val="auto"/>
                <w:sz w:val="24"/>
                <w:szCs w:val="24"/>
                <w:highlight w:val="none"/>
              </w:rPr>
              <w:t>等，声值在</w:t>
            </w:r>
            <w:r>
              <w:rPr>
                <w:rFonts w:hint="eastAsia" w:ascii="Times New Roman" w:hAnsi="Times New Roman" w:eastAsia="仿宋_GB2312" w:cs="Times New Roman"/>
                <w:bCs/>
                <w:color w:val="auto"/>
                <w:sz w:val="24"/>
                <w:szCs w:val="24"/>
                <w:highlight w:val="none"/>
                <w:lang w:val="en-US" w:eastAsia="zh-CN"/>
              </w:rPr>
              <w:t>70</w:t>
            </w:r>
            <w:r>
              <w:rPr>
                <w:rFonts w:hint="default" w:ascii="Times New Roman" w:hAnsi="Times New Roman" w:eastAsia="仿宋_GB2312" w:cs="Times New Roman"/>
                <w:bCs/>
                <w:color w:val="auto"/>
                <w:sz w:val="24"/>
                <w:szCs w:val="24"/>
                <w:highlight w:val="none"/>
              </w:rPr>
              <w:t>～</w:t>
            </w:r>
            <w:r>
              <w:rPr>
                <w:rFonts w:hint="eastAsia" w:ascii="Times New Roman" w:hAnsi="Times New Roman" w:eastAsia="仿宋_GB2312" w:cs="Times New Roman"/>
                <w:bCs/>
                <w:color w:val="auto"/>
                <w:sz w:val="24"/>
                <w:szCs w:val="24"/>
                <w:highlight w:val="none"/>
                <w:lang w:val="en-US" w:eastAsia="zh-CN"/>
              </w:rPr>
              <w:t>85</w:t>
            </w:r>
            <w:r>
              <w:rPr>
                <w:rFonts w:hint="default" w:ascii="Times New Roman" w:hAnsi="Times New Roman" w:eastAsia="仿宋_GB2312" w:cs="Times New Roman"/>
                <w:bCs/>
                <w:color w:val="auto"/>
                <w:sz w:val="24"/>
                <w:szCs w:val="24"/>
                <w:highlight w:val="none"/>
              </w:rPr>
              <w:t>dB</w:t>
            </w:r>
            <w:r>
              <w:rPr>
                <w:rFonts w:hint="eastAsia" w:eastAsia="仿宋_GB2312" w:cs="Times New Roman"/>
                <w:bCs/>
                <w:color w:val="auto"/>
                <w:sz w:val="24"/>
                <w:szCs w:val="24"/>
                <w:highlight w:val="none"/>
                <w:lang w:val="en-US" w:eastAsia="zh-CN"/>
              </w:rPr>
              <w:t>(A)</w:t>
            </w:r>
            <w:r>
              <w:rPr>
                <w:rFonts w:hint="default" w:ascii="Times New Roman" w:hAnsi="Times New Roman" w:eastAsia="仿宋_GB2312" w:cs="Times New Roman"/>
                <w:bCs/>
                <w:color w:val="auto"/>
                <w:sz w:val="24"/>
                <w:szCs w:val="24"/>
                <w:highlight w:val="none"/>
              </w:rPr>
              <w:t>之间。由于机械设备种类多，噪声值高，施工的露天特征且难以采取吸声、隔声等措施控制其对环境的影响，易对施工现场附近造成较大的影响。</w:t>
            </w:r>
          </w:p>
          <w:p>
            <w:pPr>
              <w:snapToGrid w:val="0"/>
              <w:spacing w:line="360" w:lineRule="auto"/>
              <w:ind w:firstLine="480" w:firstLineChars="200"/>
              <w:rPr>
                <w:rFonts w:hint="default" w:ascii="Times New Roman" w:hAnsi="Times New Roman" w:eastAsia="仿宋_GB2312" w:cs="Times New Roman"/>
                <w:bCs/>
                <w:color w:val="auto"/>
                <w:sz w:val="24"/>
                <w:szCs w:val="24"/>
                <w:highlight w:val="none"/>
              </w:rPr>
            </w:pPr>
            <w:r>
              <w:rPr>
                <w:rFonts w:hint="default" w:ascii="Times New Roman" w:hAnsi="Times New Roman" w:eastAsia="仿宋_GB2312" w:cs="Times New Roman"/>
                <w:bCs/>
                <w:color w:val="auto"/>
                <w:sz w:val="24"/>
                <w:szCs w:val="24"/>
                <w:highlight w:val="none"/>
              </w:rPr>
              <w:t>根据有关环境监测站多年对各类建筑施工工地场界外5m噪声监测结果统计，一般情况声级为</w:t>
            </w:r>
            <w:r>
              <w:rPr>
                <w:rFonts w:hint="eastAsia" w:ascii="Times New Roman" w:hAnsi="Times New Roman" w:eastAsia="仿宋_GB2312" w:cs="Times New Roman"/>
                <w:bCs/>
                <w:color w:val="auto"/>
                <w:sz w:val="24"/>
                <w:szCs w:val="24"/>
                <w:highlight w:val="none"/>
                <w:lang w:val="en-US" w:eastAsia="zh-CN"/>
              </w:rPr>
              <w:t>80</w:t>
            </w:r>
            <w:r>
              <w:rPr>
                <w:rFonts w:hint="default" w:ascii="Times New Roman" w:hAnsi="Times New Roman" w:eastAsia="仿宋_GB2312" w:cs="Times New Roman"/>
                <w:bCs/>
                <w:color w:val="auto"/>
                <w:sz w:val="24"/>
                <w:szCs w:val="24"/>
                <w:highlight w:val="none"/>
              </w:rPr>
              <w:t>dB</w:t>
            </w:r>
            <w:r>
              <w:rPr>
                <w:rFonts w:hint="eastAsia" w:eastAsia="仿宋_GB2312" w:cs="Times New Roman"/>
                <w:bCs/>
                <w:color w:val="auto"/>
                <w:sz w:val="24"/>
                <w:szCs w:val="24"/>
                <w:highlight w:val="none"/>
                <w:lang w:val="en-US" w:eastAsia="zh-CN"/>
              </w:rPr>
              <w:t>(A)</w:t>
            </w:r>
            <w:r>
              <w:rPr>
                <w:rFonts w:hint="default" w:ascii="Times New Roman" w:hAnsi="Times New Roman" w:eastAsia="仿宋_GB2312" w:cs="Times New Roman"/>
                <w:bCs/>
                <w:color w:val="auto"/>
                <w:sz w:val="24"/>
                <w:szCs w:val="24"/>
                <w:highlight w:val="none"/>
              </w:rPr>
              <w:t>。为了反映施工噪声对环境的影响，利用距离传播衰减模式预测分析施工机械噪声的影响范围、程度，预测时不考虑障碍物如场界围墙、树木等造成的噪声衰减量。</w:t>
            </w:r>
          </w:p>
          <w:p>
            <w:pPr>
              <w:snapToGrid w:val="0"/>
              <w:spacing w:line="360" w:lineRule="auto"/>
              <w:ind w:firstLine="480" w:firstLineChars="200"/>
              <w:rPr>
                <w:rFonts w:hint="default" w:ascii="Times New Roman" w:hAnsi="Times New Roman" w:eastAsia="仿宋_GB2312" w:cs="Times New Roman"/>
                <w:bCs/>
                <w:color w:val="auto"/>
                <w:sz w:val="24"/>
                <w:szCs w:val="24"/>
                <w:highlight w:val="none"/>
              </w:rPr>
            </w:pPr>
            <w:r>
              <w:rPr>
                <w:rFonts w:hint="default" w:ascii="Times New Roman" w:hAnsi="Times New Roman" w:eastAsia="仿宋_GB2312" w:cs="Times New Roman"/>
                <w:bCs/>
                <w:color w:val="auto"/>
                <w:sz w:val="24"/>
                <w:szCs w:val="24"/>
                <w:highlight w:val="none"/>
              </w:rPr>
              <w:t>距离传播衰减模式：</w:t>
            </w:r>
          </w:p>
          <w:p>
            <w:pPr>
              <w:snapToGrid w:val="0"/>
              <w:spacing w:line="360" w:lineRule="auto"/>
              <w:ind w:firstLine="1200" w:firstLineChars="500"/>
              <w:rPr>
                <w:rFonts w:hint="default" w:ascii="Times New Roman" w:hAnsi="Times New Roman" w:eastAsia="仿宋_GB2312" w:cs="Times New Roman"/>
                <w:bCs/>
                <w:color w:val="auto"/>
                <w:sz w:val="24"/>
                <w:szCs w:val="24"/>
                <w:highlight w:val="none"/>
              </w:rPr>
            </w:pPr>
            <w:r>
              <w:rPr>
                <w:rFonts w:hint="default" w:ascii="Times New Roman" w:hAnsi="Times New Roman" w:eastAsia="仿宋_GB2312" w:cs="Times New Roman"/>
                <w:bCs/>
                <w:color w:val="auto"/>
                <w:sz w:val="24"/>
                <w:szCs w:val="24"/>
                <w:highlight w:val="none"/>
              </w:rPr>
              <w:t>L</w:t>
            </w:r>
            <w:r>
              <w:rPr>
                <w:rFonts w:hint="default" w:ascii="Times New Roman" w:hAnsi="Times New Roman" w:eastAsia="仿宋_GB2312" w:cs="Times New Roman"/>
                <w:bCs/>
                <w:color w:val="auto"/>
                <w:sz w:val="24"/>
                <w:szCs w:val="24"/>
                <w:highlight w:val="none"/>
                <w:vertAlign w:val="subscript"/>
              </w:rPr>
              <w:t>p2</w:t>
            </w:r>
            <w:r>
              <w:rPr>
                <w:rFonts w:hint="default" w:ascii="Times New Roman" w:hAnsi="Times New Roman" w:eastAsia="仿宋_GB2312" w:cs="Times New Roman"/>
                <w:bCs/>
                <w:color w:val="auto"/>
                <w:sz w:val="24"/>
                <w:szCs w:val="24"/>
                <w:highlight w:val="none"/>
              </w:rPr>
              <w:t>=L</w:t>
            </w:r>
            <w:r>
              <w:rPr>
                <w:rFonts w:hint="default" w:ascii="Times New Roman" w:hAnsi="Times New Roman" w:eastAsia="仿宋_GB2312" w:cs="Times New Roman"/>
                <w:bCs/>
                <w:color w:val="auto"/>
                <w:sz w:val="24"/>
                <w:szCs w:val="24"/>
                <w:highlight w:val="none"/>
                <w:vertAlign w:val="subscript"/>
              </w:rPr>
              <w:t>p1</w:t>
            </w:r>
            <w:r>
              <w:rPr>
                <w:rFonts w:hint="default" w:ascii="Times New Roman" w:hAnsi="Times New Roman" w:eastAsia="仿宋_GB2312" w:cs="Times New Roman"/>
                <w:bCs/>
                <w:color w:val="auto"/>
                <w:sz w:val="24"/>
                <w:szCs w:val="24"/>
                <w:highlight w:val="none"/>
              </w:rPr>
              <w:t>－20lg(r</w:t>
            </w:r>
            <w:r>
              <w:rPr>
                <w:rFonts w:hint="default" w:ascii="Times New Roman" w:hAnsi="Times New Roman" w:eastAsia="仿宋_GB2312" w:cs="Times New Roman"/>
                <w:bCs/>
                <w:color w:val="auto"/>
                <w:sz w:val="24"/>
                <w:szCs w:val="24"/>
                <w:highlight w:val="none"/>
                <w:vertAlign w:val="subscript"/>
              </w:rPr>
              <w:t>2</w:t>
            </w:r>
            <w:r>
              <w:rPr>
                <w:rFonts w:hint="default" w:ascii="Times New Roman" w:hAnsi="Times New Roman" w:eastAsia="仿宋_GB2312" w:cs="Times New Roman"/>
                <w:bCs/>
                <w:color w:val="auto"/>
                <w:sz w:val="24"/>
                <w:szCs w:val="24"/>
                <w:highlight w:val="none"/>
              </w:rPr>
              <w:t>/r</w:t>
            </w:r>
            <w:r>
              <w:rPr>
                <w:rFonts w:hint="default" w:ascii="Times New Roman" w:hAnsi="Times New Roman" w:eastAsia="仿宋_GB2312" w:cs="Times New Roman"/>
                <w:bCs/>
                <w:color w:val="auto"/>
                <w:sz w:val="24"/>
                <w:szCs w:val="24"/>
                <w:highlight w:val="none"/>
                <w:vertAlign w:val="subscript"/>
              </w:rPr>
              <w:t>1</w:t>
            </w:r>
            <w:r>
              <w:rPr>
                <w:rFonts w:hint="default" w:ascii="Times New Roman" w:hAnsi="Times New Roman" w:eastAsia="仿宋_GB2312" w:cs="Times New Roman"/>
                <w:bCs/>
                <w:color w:val="auto"/>
                <w:sz w:val="24"/>
                <w:szCs w:val="24"/>
                <w:highlight w:val="none"/>
              </w:rPr>
              <w:t>)</w:t>
            </w:r>
          </w:p>
          <w:p>
            <w:pPr>
              <w:snapToGrid w:val="0"/>
              <w:spacing w:line="360" w:lineRule="auto"/>
              <w:ind w:firstLine="480" w:firstLineChars="200"/>
              <w:rPr>
                <w:rFonts w:hint="default" w:ascii="Times New Roman" w:hAnsi="Times New Roman" w:eastAsia="仿宋_GB2312" w:cs="Times New Roman"/>
                <w:bCs/>
                <w:color w:val="auto"/>
                <w:sz w:val="24"/>
                <w:szCs w:val="24"/>
                <w:highlight w:val="none"/>
              </w:rPr>
            </w:pPr>
            <w:r>
              <w:rPr>
                <w:rFonts w:hint="default" w:ascii="Times New Roman" w:hAnsi="Times New Roman" w:eastAsia="仿宋_GB2312" w:cs="Times New Roman"/>
                <w:bCs/>
                <w:color w:val="auto"/>
                <w:sz w:val="24"/>
                <w:szCs w:val="24"/>
                <w:highlight w:val="none"/>
              </w:rPr>
              <w:t>式中：L</w:t>
            </w:r>
            <w:r>
              <w:rPr>
                <w:rFonts w:hint="default" w:ascii="Times New Roman" w:hAnsi="Times New Roman" w:eastAsia="仿宋_GB2312" w:cs="Times New Roman"/>
                <w:bCs/>
                <w:color w:val="auto"/>
                <w:sz w:val="24"/>
                <w:szCs w:val="24"/>
                <w:highlight w:val="none"/>
                <w:vertAlign w:val="subscript"/>
              </w:rPr>
              <w:t>p1</w:t>
            </w:r>
            <w:r>
              <w:rPr>
                <w:rFonts w:hint="default" w:ascii="Times New Roman" w:hAnsi="Times New Roman" w:eastAsia="仿宋_GB2312" w:cs="Times New Roman"/>
                <w:bCs/>
                <w:color w:val="auto"/>
                <w:sz w:val="24"/>
                <w:szCs w:val="24"/>
                <w:highlight w:val="none"/>
              </w:rPr>
              <w:t>—受声点P</w:t>
            </w:r>
            <w:r>
              <w:rPr>
                <w:rFonts w:hint="default" w:ascii="Times New Roman" w:hAnsi="Times New Roman" w:eastAsia="仿宋_GB2312" w:cs="Times New Roman"/>
                <w:bCs/>
                <w:color w:val="auto"/>
                <w:sz w:val="24"/>
                <w:szCs w:val="24"/>
                <w:highlight w:val="none"/>
                <w:vertAlign w:val="subscript"/>
              </w:rPr>
              <w:t>1</w:t>
            </w:r>
            <w:r>
              <w:rPr>
                <w:rFonts w:hint="default" w:ascii="Times New Roman" w:hAnsi="Times New Roman" w:eastAsia="仿宋_GB2312" w:cs="Times New Roman"/>
                <w:bCs/>
                <w:color w:val="auto"/>
                <w:sz w:val="24"/>
                <w:szCs w:val="24"/>
                <w:highlight w:val="none"/>
              </w:rPr>
              <w:t>处的声级；</w:t>
            </w:r>
          </w:p>
          <w:p>
            <w:pPr>
              <w:snapToGrid w:val="0"/>
              <w:spacing w:line="360" w:lineRule="auto"/>
              <w:ind w:firstLine="1200" w:firstLineChars="500"/>
              <w:rPr>
                <w:rFonts w:hint="default" w:ascii="Times New Roman" w:hAnsi="Times New Roman" w:eastAsia="仿宋_GB2312" w:cs="Times New Roman"/>
                <w:bCs/>
                <w:color w:val="auto"/>
                <w:sz w:val="24"/>
                <w:szCs w:val="24"/>
                <w:highlight w:val="none"/>
              </w:rPr>
            </w:pPr>
            <w:r>
              <w:rPr>
                <w:rFonts w:hint="default" w:ascii="Times New Roman" w:hAnsi="Times New Roman" w:eastAsia="仿宋_GB2312" w:cs="Times New Roman"/>
                <w:bCs/>
                <w:color w:val="auto"/>
                <w:sz w:val="24"/>
                <w:szCs w:val="24"/>
                <w:highlight w:val="none"/>
              </w:rPr>
              <w:t>L</w:t>
            </w:r>
            <w:r>
              <w:rPr>
                <w:rFonts w:hint="default" w:ascii="Times New Roman" w:hAnsi="Times New Roman" w:eastAsia="仿宋_GB2312" w:cs="Times New Roman"/>
                <w:bCs/>
                <w:color w:val="auto"/>
                <w:sz w:val="24"/>
                <w:szCs w:val="24"/>
                <w:highlight w:val="none"/>
                <w:vertAlign w:val="subscript"/>
              </w:rPr>
              <w:t>p2</w:t>
            </w:r>
            <w:r>
              <w:rPr>
                <w:rFonts w:hint="default" w:ascii="Times New Roman" w:hAnsi="Times New Roman" w:eastAsia="仿宋_GB2312" w:cs="Times New Roman"/>
                <w:bCs/>
                <w:color w:val="auto"/>
                <w:sz w:val="24"/>
                <w:szCs w:val="24"/>
                <w:highlight w:val="none"/>
              </w:rPr>
              <w:t>—受声点P</w:t>
            </w:r>
            <w:r>
              <w:rPr>
                <w:rFonts w:hint="default" w:ascii="Times New Roman" w:hAnsi="Times New Roman" w:eastAsia="仿宋_GB2312" w:cs="Times New Roman"/>
                <w:bCs/>
                <w:color w:val="auto"/>
                <w:sz w:val="24"/>
                <w:szCs w:val="24"/>
                <w:highlight w:val="none"/>
                <w:vertAlign w:val="subscript"/>
              </w:rPr>
              <w:t>2</w:t>
            </w:r>
            <w:r>
              <w:rPr>
                <w:rFonts w:hint="default" w:ascii="Times New Roman" w:hAnsi="Times New Roman" w:eastAsia="仿宋_GB2312" w:cs="Times New Roman"/>
                <w:bCs/>
                <w:color w:val="auto"/>
                <w:sz w:val="24"/>
                <w:szCs w:val="24"/>
                <w:highlight w:val="none"/>
              </w:rPr>
              <w:t>处的声级；</w:t>
            </w:r>
          </w:p>
          <w:p>
            <w:pPr>
              <w:snapToGrid w:val="0"/>
              <w:spacing w:line="360" w:lineRule="auto"/>
              <w:ind w:firstLine="1200" w:firstLineChars="500"/>
              <w:rPr>
                <w:rFonts w:hint="default" w:ascii="Times New Roman" w:hAnsi="Times New Roman" w:eastAsia="仿宋_GB2312" w:cs="Times New Roman"/>
                <w:bCs/>
                <w:color w:val="auto"/>
                <w:sz w:val="24"/>
                <w:szCs w:val="24"/>
                <w:highlight w:val="none"/>
              </w:rPr>
            </w:pPr>
            <w:r>
              <w:rPr>
                <w:rFonts w:hint="default" w:ascii="Times New Roman" w:hAnsi="Times New Roman" w:eastAsia="仿宋_GB2312" w:cs="Times New Roman"/>
                <w:bCs/>
                <w:color w:val="auto"/>
                <w:sz w:val="24"/>
                <w:szCs w:val="24"/>
                <w:highlight w:val="none"/>
              </w:rPr>
              <w:t>r</w:t>
            </w:r>
            <w:r>
              <w:rPr>
                <w:rFonts w:hint="default" w:ascii="Times New Roman" w:hAnsi="Times New Roman" w:eastAsia="仿宋_GB2312" w:cs="Times New Roman"/>
                <w:bCs/>
                <w:color w:val="auto"/>
                <w:sz w:val="24"/>
                <w:szCs w:val="24"/>
                <w:highlight w:val="none"/>
                <w:vertAlign w:val="subscript"/>
              </w:rPr>
              <w:t>1</w:t>
            </w:r>
            <w:r>
              <w:rPr>
                <w:rFonts w:hint="default" w:ascii="Times New Roman" w:hAnsi="Times New Roman" w:eastAsia="仿宋_GB2312" w:cs="Times New Roman"/>
                <w:bCs/>
                <w:color w:val="auto"/>
                <w:sz w:val="24"/>
                <w:szCs w:val="24"/>
                <w:highlight w:val="none"/>
              </w:rPr>
              <w:t>—声源至P</w:t>
            </w:r>
            <w:r>
              <w:rPr>
                <w:rFonts w:hint="default" w:ascii="Times New Roman" w:hAnsi="Times New Roman" w:eastAsia="仿宋_GB2312" w:cs="Times New Roman"/>
                <w:bCs/>
                <w:color w:val="auto"/>
                <w:sz w:val="24"/>
                <w:szCs w:val="24"/>
                <w:highlight w:val="none"/>
                <w:vertAlign w:val="subscript"/>
              </w:rPr>
              <w:t>1</w:t>
            </w:r>
            <w:r>
              <w:rPr>
                <w:rFonts w:hint="default" w:ascii="Times New Roman" w:hAnsi="Times New Roman" w:eastAsia="仿宋_GB2312" w:cs="Times New Roman"/>
                <w:bCs/>
                <w:color w:val="auto"/>
                <w:sz w:val="24"/>
                <w:szCs w:val="24"/>
                <w:highlight w:val="none"/>
              </w:rPr>
              <w:t>的距离（m）；</w:t>
            </w:r>
          </w:p>
          <w:p>
            <w:pPr>
              <w:snapToGrid w:val="0"/>
              <w:spacing w:line="360" w:lineRule="auto"/>
              <w:ind w:firstLine="1200" w:firstLineChars="500"/>
              <w:rPr>
                <w:rFonts w:hint="default" w:ascii="Times New Roman" w:hAnsi="Times New Roman" w:eastAsia="仿宋_GB2312" w:cs="Times New Roman"/>
                <w:bCs/>
                <w:color w:val="auto"/>
                <w:sz w:val="24"/>
                <w:szCs w:val="24"/>
                <w:highlight w:val="none"/>
              </w:rPr>
            </w:pPr>
            <w:r>
              <w:rPr>
                <w:rFonts w:hint="default" w:ascii="Times New Roman" w:hAnsi="Times New Roman" w:eastAsia="仿宋_GB2312" w:cs="Times New Roman"/>
                <w:bCs/>
                <w:color w:val="auto"/>
                <w:sz w:val="24"/>
                <w:szCs w:val="24"/>
                <w:highlight w:val="none"/>
              </w:rPr>
              <w:t>r</w:t>
            </w:r>
            <w:r>
              <w:rPr>
                <w:rFonts w:hint="default" w:ascii="Times New Roman" w:hAnsi="Times New Roman" w:eastAsia="仿宋_GB2312" w:cs="Times New Roman"/>
                <w:bCs/>
                <w:color w:val="auto"/>
                <w:sz w:val="24"/>
                <w:szCs w:val="24"/>
                <w:highlight w:val="none"/>
                <w:vertAlign w:val="subscript"/>
              </w:rPr>
              <w:t>2</w:t>
            </w:r>
            <w:r>
              <w:rPr>
                <w:rFonts w:hint="default" w:ascii="Times New Roman" w:hAnsi="Times New Roman" w:eastAsia="仿宋_GB2312" w:cs="Times New Roman"/>
                <w:bCs/>
                <w:color w:val="auto"/>
                <w:sz w:val="24"/>
                <w:szCs w:val="24"/>
                <w:highlight w:val="none"/>
              </w:rPr>
              <w:t>—声源至P</w:t>
            </w:r>
            <w:r>
              <w:rPr>
                <w:rFonts w:hint="default" w:ascii="Times New Roman" w:hAnsi="Times New Roman" w:eastAsia="仿宋_GB2312" w:cs="Times New Roman"/>
                <w:bCs/>
                <w:color w:val="auto"/>
                <w:sz w:val="24"/>
                <w:szCs w:val="24"/>
                <w:highlight w:val="none"/>
                <w:vertAlign w:val="subscript"/>
              </w:rPr>
              <w:t>2</w:t>
            </w:r>
            <w:r>
              <w:rPr>
                <w:rFonts w:hint="default" w:ascii="Times New Roman" w:hAnsi="Times New Roman" w:eastAsia="仿宋_GB2312" w:cs="Times New Roman"/>
                <w:bCs/>
                <w:color w:val="auto"/>
                <w:sz w:val="24"/>
                <w:szCs w:val="24"/>
                <w:highlight w:val="none"/>
              </w:rPr>
              <w:t>的距离（m）。</w:t>
            </w:r>
          </w:p>
          <w:p>
            <w:pPr>
              <w:snapToGrid w:val="0"/>
              <w:spacing w:line="360" w:lineRule="auto"/>
              <w:ind w:firstLine="480" w:firstLineChars="200"/>
              <w:rPr>
                <w:rFonts w:hint="default" w:ascii="Times New Roman" w:hAnsi="Times New Roman" w:eastAsia="仿宋_GB2312" w:cs="Times New Roman"/>
                <w:bCs/>
                <w:color w:val="auto"/>
                <w:sz w:val="24"/>
                <w:szCs w:val="24"/>
                <w:highlight w:val="none"/>
              </w:rPr>
            </w:pPr>
            <w:r>
              <w:rPr>
                <w:rFonts w:hint="default" w:ascii="Times New Roman" w:hAnsi="Times New Roman" w:eastAsia="仿宋_GB2312" w:cs="Times New Roman"/>
                <w:bCs/>
                <w:color w:val="auto"/>
                <w:sz w:val="24"/>
                <w:szCs w:val="24"/>
                <w:highlight w:val="none"/>
              </w:rPr>
              <w:t>利用距离传播衰减模式预测施工场区周围噪声等值线分布情况（不考虑任何隔声措施），结果见表</w:t>
            </w:r>
            <w:r>
              <w:rPr>
                <w:rFonts w:hint="eastAsia" w:eastAsia="仿宋_GB2312" w:cs="Times New Roman"/>
                <w:bCs/>
                <w:color w:val="auto"/>
                <w:sz w:val="24"/>
                <w:szCs w:val="24"/>
                <w:highlight w:val="none"/>
                <w:lang w:val="en-US" w:eastAsia="zh-CN"/>
              </w:rPr>
              <w:t>4-1</w:t>
            </w:r>
            <w:r>
              <w:rPr>
                <w:rFonts w:hint="default" w:ascii="Times New Roman" w:hAnsi="Times New Roman" w:eastAsia="仿宋_GB2312" w:cs="Times New Roman"/>
                <w:bCs/>
                <w:color w:val="auto"/>
                <w:sz w:val="24"/>
                <w:szCs w:val="24"/>
                <w:highlight w:val="none"/>
              </w:rPr>
              <w:t>。</w:t>
            </w:r>
          </w:p>
          <w:p>
            <w:pPr>
              <w:pStyle w:val="102"/>
              <w:keepNext w:val="0"/>
              <w:keepLines w:val="0"/>
              <w:pageBreakBefore w:val="0"/>
              <w:widowControl w:val="0"/>
              <w:kinsoku/>
              <w:wordWrap/>
              <w:overflowPunct/>
              <w:topLinePunct w:val="0"/>
              <w:autoSpaceDE/>
              <w:autoSpaceDN/>
              <w:bidi w:val="0"/>
              <w:adjustRightInd/>
              <w:snapToGrid/>
              <w:spacing w:before="157" w:beforeLines="50"/>
              <w:ind w:firstLine="481"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cs="Times New Roman"/>
                <w:b/>
                <w:bCs/>
                <w:color w:val="auto"/>
                <w:kern w:val="2"/>
                <w:sz w:val="24"/>
                <w:szCs w:val="24"/>
                <w:highlight w:val="none"/>
                <w:lang w:val="en-US" w:eastAsia="zh-CN" w:bidi="ar-SA"/>
              </w:rPr>
              <w:t>4-1</w:t>
            </w:r>
            <w:r>
              <w:rPr>
                <w:rFonts w:hint="default" w:ascii="Times New Roman" w:hAnsi="Times New Roman" w:eastAsia="宋体" w:cs="Times New Roman"/>
                <w:b/>
                <w:bCs/>
                <w:color w:val="auto"/>
                <w:kern w:val="2"/>
                <w:sz w:val="24"/>
                <w:szCs w:val="24"/>
                <w:highlight w:val="none"/>
                <w:lang w:val="en-US" w:eastAsia="zh-CN" w:bidi="ar-SA"/>
              </w:rPr>
              <w:t xml:space="preserve">               施工噪声影响预测结果          单位：dB(A)</w:t>
            </w:r>
          </w:p>
          <w:tbl>
            <w:tblPr>
              <w:tblStyle w:val="28"/>
              <w:tblW w:w="82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48"/>
              <w:gridCol w:w="584"/>
              <w:gridCol w:w="673"/>
              <w:gridCol w:w="675"/>
              <w:gridCol w:w="673"/>
              <w:gridCol w:w="673"/>
              <w:gridCol w:w="675"/>
              <w:gridCol w:w="673"/>
              <w:gridCol w:w="728"/>
              <w:gridCol w:w="728"/>
              <w:gridCol w:w="7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83"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距离(m)</w:t>
                  </w:r>
                </w:p>
              </w:tc>
              <w:tc>
                <w:tcPr>
                  <w:tcW w:w="424"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491"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492"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20</w:t>
                  </w:r>
                </w:p>
              </w:tc>
              <w:tc>
                <w:tcPr>
                  <w:tcW w:w="491"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30</w:t>
                  </w:r>
                </w:p>
              </w:tc>
              <w:tc>
                <w:tcPr>
                  <w:tcW w:w="491"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40</w:t>
                  </w:r>
                </w:p>
              </w:tc>
              <w:tc>
                <w:tcPr>
                  <w:tcW w:w="492"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50</w:t>
                  </w:r>
                </w:p>
              </w:tc>
              <w:tc>
                <w:tcPr>
                  <w:tcW w:w="491"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80</w:t>
                  </w:r>
                </w:p>
              </w:tc>
              <w:tc>
                <w:tcPr>
                  <w:tcW w:w="491"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100</w:t>
                  </w:r>
                </w:p>
              </w:tc>
              <w:tc>
                <w:tcPr>
                  <w:tcW w:w="492"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150</w:t>
                  </w:r>
                </w:p>
              </w:tc>
              <w:tc>
                <w:tcPr>
                  <w:tcW w:w="576"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83"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一般情况</w:t>
                  </w:r>
                </w:p>
              </w:tc>
              <w:tc>
                <w:tcPr>
                  <w:tcW w:w="424"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66</w:t>
                  </w:r>
                </w:p>
              </w:tc>
              <w:tc>
                <w:tcPr>
                  <w:tcW w:w="491"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60</w:t>
                  </w:r>
                </w:p>
              </w:tc>
              <w:tc>
                <w:tcPr>
                  <w:tcW w:w="492"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53</w:t>
                  </w:r>
                </w:p>
              </w:tc>
              <w:tc>
                <w:tcPr>
                  <w:tcW w:w="491"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50</w:t>
                  </w:r>
                </w:p>
              </w:tc>
              <w:tc>
                <w:tcPr>
                  <w:tcW w:w="491"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48</w:t>
                  </w:r>
                </w:p>
              </w:tc>
              <w:tc>
                <w:tcPr>
                  <w:tcW w:w="492"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46</w:t>
                  </w:r>
                </w:p>
              </w:tc>
              <w:tc>
                <w:tcPr>
                  <w:tcW w:w="491"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41</w:t>
                  </w:r>
                </w:p>
              </w:tc>
              <w:tc>
                <w:tcPr>
                  <w:tcW w:w="491"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40</w:t>
                  </w:r>
                </w:p>
              </w:tc>
              <w:tc>
                <w:tcPr>
                  <w:tcW w:w="492"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36</w:t>
                  </w:r>
                </w:p>
              </w:tc>
              <w:tc>
                <w:tcPr>
                  <w:tcW w:w="576" w:type="dxa"/>
                  <w:noWrap w:val="0"/>
                  <w:vAlign w:val="center"/>
                </w:tcPr>
                <w:p>
                  <w:pPr>
                    <w:adjustRightInd w:val="0"/>
                    <w:snapToGrid w:val="0"/>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33</w:t>
                  </w: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eastAsia" w:ascii="Times New Roman" w:hAnsi="Times New Roman" w:eastAsia="仿宋_GB2312" w:cs="Times New Roman"/>
                <w:bCs/>
                <w:color w:val="auto"/>
                <w:sz w:val="24"/>
                <w:szCs w:val="24"/>
                <w:highlight w:val="none"/>
              </w:rPr>
            </w:pPr>
            <w:r>
              <w:rPr>
                <w:rFonts w:hint="eastAsia" w:ascii="Times New Roman" w:hAnsi="Times New Roman" w:eastAsia="仿宋_GB2312" w:cs="Times New Roman"/>
                <w:bCs/>
                <w:color w:val="auto"/>
                <w:sz w:val="24"/>
                <w:szCs w:val="24"/>
                <w:highlight w:val="none"/>
              </w:rPr>
              <w:t>由</w:t>
            </w:r>
            <w:r>
              <w:rPr>
                <w:rFonts w:hint="eastAsia" w:ascii="Times New Roman" w:hAnsi="Times New Roman" w:eastAsia="仿宋_GB2312" w:cs="Times New Roman"/>
                <w:bCs/>
                <w:color w:val="auto"/>
                <w:sz w:val="24"/>
                <w:szCs w:val="24"/>
                <w:highlight w:val="none"/>
                <w:lang w:eastAsia="zh-CN"/>
              </w:rPr>
              <w:t>上</w:t>
            </w:r>
            <w:r>
              <w:rPr>
                <w:rFonts w:hint="eastAsia" w:ascii="Times New Roman" w:hAnsi="Times New Roman" w:eastAsia="仿宋_GB2312" w:cs="Times New Roman"/>
                <w:bCs/>
                <w:color w:val="auto"/>
                <w:sz w:val="24"/>
                <w:szCs w:val="24"/>
                <w:highlight w:val="none"/>
              </w:rPr>
              <w:t>表可知：</w:t>
            </w:r>
            <w:r>
              <w:rPr>
                <w:rFonts w:hint="eastAsia" w:eastAsia="仿宋_GB2312" w:cs="Times New Roman"/>
                <w:bCs/>
                <w:color w:val="auto"/>
                <w:sz w:val="24"/>
                <w:szCs w:val="24"/>
                <w:highlight w:val="none"/>
                <w:lang w:eastAsia="zh-CN"/>
              </w:rPr>
              <w:t>根据</w:t>
            </w:r>
            <w:r>
              <w:rPr>
                <w:rFonts w:hint="eastAsia" w:ascii="Times New Roman" w:hAnsi="Times New Roman" w:eastAsia="仿宋_GB2312" w:cs="Times New Roman"/>
                <w:bCs/>
                <w:color w:val="auto"/>
                <w:sz w:val="24"/>
                <w:szCs w:val="24"/>
                <w:highlight w:val="none"/>
                <w:lang w:val="en-US" w:eastAsia="zh-CN"/>
              </w:rPr>
              <w:t>《建筑施工场界环境噪声排放标准》（GB12523-2011）排放限值（昼间：70dB，夜间：55dB）</w:t>
            </w:r>
            <w:r>
              <w:rPr>
                <w:rFonts w:hint="eastAsia" w:eastAsia="仿宋_GB2312" w:cs="Times New Roman"/>
                <w:bCs/>
                <w:color w:val="auto"/>
                <w:sz w:val="24"/>
                <w:szCs w:val="24"/>
                <w:highlight w:val="none"/>
                <w:lang w:val="en-US" w:eastAsia="zh-CN"/>
              </w:rPr>
              <w:t>要求，</w:t>
            </w:r>
            <w:r>
              <w:rPr>
                <w:rFonts w:hint="eastAsia" w:ascii="Times New Roman" w:hAnsi="Times New Roman" w:eastAsia="仿宋_GB2312" w:cs="Times New Roman"/>
                <w:bCs/>
                <w:color w:val="auto"/>
                <w:sz w:val="24"/>
                <w:szCs w:val="24"/>
                <w:highlight w:val="none"/>
              </w:rPr>
              <w:t>一般情况下工地施工噪声昼间在</w:t>
            </w:r>
            <w:r>
              <w:rPr>
                <w:rFonts w:hint="eastAsia" w:ascii="Times New Roman" w:hAnsi="Times New Roman" w:eastAsia="仿宋_GB2312" w:cs="Times New Roman"/>
                <w:bCs/>
                <w:color w:val="auto"/>
                <w:sz w:val="24"/>
                <w:szCs w:val="24"/>
                <w:highlight w:val="none"/>
                <w:lang w:val="en-US" w:eastAsia="zh-CN"/>
              </w:rPr>
              <w:t>2</w:t>
            </w:r>
            <w:r>
              <w:rPr>
                <w:rFonts w:hint="eastAsia" w:ascii="Times New Roman" w:hAnsi="Times New Roman" w:eastAsia="仿宋_GB2312" w:cs="Times New Roman"/>
                <w:bCs/>
                <w:color w:val="auto"/>
                <w:sz w:val="24"/>
                <w:szCs w:val="24"/>
                <w:highlight w:val="none"/>
              </w:rPr>
              <w:t>0</w:t>
            </w:r>
            <w:r>
              <w:rPr>
                <w:rFonts w:hint="default" w:ascii="Times New Roman" w:hAnsi="Times New Roman" w:eastAsia="仿宋_GB2312" w:cs="Times New Roman"/>
                <w:bCs/>
                <w:color w:val="auto"/>
                <w:sz w:val="24"/>
                <w:szCs w:val="24"/>
                <w:highlight w:val="none"/>
              </w:rPr>
              <w:t>m</w:t>
            </w:r>
            <w:r>
              <w:rPr>
                <w:rFonts w:hint="eastAsia" w:ascii="Times New Roman" w:hAnsi="Times New Roman" w:eastAsia="仿宋_GB2312" w:cs="Times New Roman"/>
                <w:bCs/>
                <w:color w:val="auto"/>
                <w:sz w:val="24"/>
                <w:szCs w:val="24"/>
                <w:highlight w:val="none"/>
              </w:rPr>
              <w:t>可达标</w:t>
            </w:r>
            <w:r>
              <w:rPr>
                <w:rFonts w:hint="eastAsia" w:ascii="Times New Roman" w:hAnsi="Times New Roman" w:eastAsia="仿宋_GB2312" w:cs="Times New Roman"/>
                <w:bCs/>
                <w:color w:val="auto"/>
                <w:sz w:val="24"/>
                <w:szCs w:val="24"/>
                <w:highlight w:val="none"/>
                <w:lang w:eastAsia="zh-CN"/>
              </w:rPr>
              <w:t>，</w:t>
            </w:r>
            <w:r>
              <w:rPr>
                <w:rFonts w:hint="eastAsia" w:eastAsia="仿宋_GB2312" w:cs="Times New Roman"/>
                <w:bCs/>
                <w:color w:val="auto"/>
                <w:sz w:val="24"/>
                <w:szCs w:val="24"/>
                <w:highlight w:val="none"/>
                <w:lang w:eastAsia="zh-CN"/>
              </w:rPr>
              <w:t>且本项目</w:t>
            </w:r>
            <w:r>
              <w:rPr>
                <w:rFonts w:hint="eastAsia" w:eastAsia="仿宋_GB2312" w:cs="Times New Roman"/>
                <w:bCs/>
                <w:color w:val="auto"/>
                <w:sz w:val="24"/>
                <w:szCs w:val="24"/>
                <w:highlight w:val="none"/>
                <w:lang w:val="en-US" w:eastAsia="zh-CN"/>
              </w:rPr>
              <w:t>施工边界外50m范围内没有声环境保护目标</w:t>
            </w:r>
            <w:r>
              <w:rPr>
                <w:rFonts w:hint="eastAsia" w:ascii="Times New Roman" w:hAnsi="Times New Roman" w:eastAsia="仿宋_GB2312" w:cs="Times New Roman"/>
                <w:bCs/>
                <w:color w:val="auto"/>
                <w:sz w:val="24"/>
                <w:szCs w:val="24"/>
                <w:highlight w:val="none"/>
              </w:rPr>
              <w:t>。</w:t>
            </w:r>
            <w:r>
              <w:rPr>
                <w:rFonts w:hint="eastAsia" w:ascii="Times New Roman" w:hAnsi="Times New Roman" w:eastAsia="仿宋_GB2312" w:cs="Times New Roman"/>
                <w:bCs/>
                <w:color w:val="auto"/>
                <w:sz w:val="24"/>
                <w:szCs w:val="24"/>
                <w:highlight w:val="none"/>
                <w:lang w:val="en-US" w:eastAsia="zh-CN"/>
              </w:rPr>
              <w:t>建议本项目在施工期间通过采取合理安排施工时间、合理布置施工现场、采用低噪声设备等严格的降噪措施后，可最大限度的降低噪声对周围声环境的影响。</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2.4固体废物影响分析</w:t>
            </w:r>
          </w:p>
          <w:p>
            <w:pPr>
              <w:pStyle w:val="5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施工期的固体废物主要有三类，一是</w:t>
            </w:r>
            <w:r>
              <w:rPr>
                <w:rFonts w:hint="eastAsia" w:cs="Times New Roman"/>
                <w:color w:val="auto"/>
                <w:highlight w:val="none"/>
                <w:lang w:eastAsia="zh-CN"/>
              </w:rPr>
              <w:t>土石方开挖产生的弃土</w:t>
            </w:r>
            <w:r>
              <w:rPr>
                <w:rFonts w:hint="default" w:ascii="Times New Roman" w:hAnsi="Times New Roman" w:cs="Times New Roman"/>
                <w:color w:val="auto"/>
                <w:highlight w:val="none"/>
              </w:rPr>
              <w:t>，二是施工过程产生的建筑垃圾，三是施工人员生活垃圾。</w:t>
            </w:r>
          </w:p>
          <w:p>
            <w:pPr>
              <w:pStyle w:val="50"/>
              <w:bidi w:val="0"/>
              <w:rPr>
                <w:rFonts w:hint="default" w:ascii="Times New Roman" w:hAnsi="Times New Roman" w:cs="Times New Roman"/>
                <w:b/>
                <w:bCs/>
                <w:color w:val="auto"/>
                <w:highlight w:val="none"/>
              </w:rPr>
            </w:pPr>
            <w:r>
              <w:rPr>
                <w:rFonts w:hint="eastAsia" w:cs="Times New Roman"/>
                <w:b/>
                <w:bCs/>
                <w:color w:val="auto"/>
                <w:highlight w:val="none"/>
                <w:lang w:eastAsia="zh-CN"/>
              </w:rPr>
              <w:t>（</w:t>
            </w:r>
            <w:r>
              <w:rPr>
                <w:rFonts w:hint="eastAsia" w:cs="Times New Roman"/>
                <w:b/>
                <w:bCs/>
                <w:color w:val="auto"/>
                <w:highlight w:val="none"/>
                <w:lang w:val="en-US" w:eastAsia="zh-CN"/>
              </w:rPr>
              <w:t>1</w:t>
            </w:r>
            <w:r>
              <w:rPr>
                <w:rFonts w:hint="eastAsia" w:cs="Times New Roman"/>
                <w:b/>
                <w:bCs/>
                <w:color w:val="auto"/>
                <w:highlight w:val="none"/>
                <w:lang w:eastAsia="zh-CN"/>
              </w:rPr>
              <w:t>）</w:t>
            </w:r>
            <w:r>
              <w:rPr>
                <w:rFonts w:hint="default" w:ascii="Times New Roman" w:hAnsi="Times New Roman" w:cs="Times New Roman"/>
                <w:b/>
                <w:bCs/>
                <w:color w:val="auto"/>
                <w:highlight w:val="none"/>
              </w:rPr>
              <w:t>弃土</w:t>
            </w:r>
          </w:p>
          <w:p>
            <w:pPr>
              <w:pStyle w:val="50"/>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根据工程建设土方平衡表</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lang w:val="en-US" w:eastAsia="zh-CN"/>
              </w:rPr>
              <w:t>施工过程中产生的挖方，部分用于基础填筑，剩余土方全部用于场地平整，无弃方，不设置弃土场</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eastAsia="zh-CN"/>
              </w:rPr>
              <w:t>对生态环境影响较小</w:t>
            </w:r>
            <w:r>
              <w:rPr>
                <w:rFonts w:hint="default" w:ascii="Times New Roman" w:hAnsi="Times New Roman" w:cs="Times New Roman"/>
                <w:color w:val="auto"/>
                <w:highlight w:val="none"/>
                <w:lang w:eastAsia="zh-CN"/>
              </w:rPr>
              <w:t>。</w:t>
            </w:r>
          </w:p>
          <w:p>
            <w:pPr>
              <w:pStyle w:val="50"/>
              <w:bidi w:val="0"/>
              <w:rPr>
                <w:rFonts w:hint="default" w:ascii="Times New Roman" w:hAnsi="Times New Roman" w:eastAsia="仿宋_GB2312" w:cs="Times New Roman"/>
                <w:b/>
                <w:bCs/>
                <w:color w:val="auto"/>
                <w:highlight w:val="none"/>
                <w:lang w:eastAsia="zh-CN"/>
              </w:rPr>
            </w:pPr>
            <w:r>
              <w:rPr>
                <w:rFonts w:hint="eastAsia" w:cs="Times New Roman"/>
                <w:b/>
                <w:bCs/>
                <w:color w:val="auto"/>
                <w:highlight w:val="none"/>
                <w:lang w:eastAsia="zh-CN"/>
              </w:rPr>
              <w:t>（</w:t>
            </w:r>
            <w:r>
              <w:rPr>
                <w:rFonts w:hint="eastAsia" w:cs="Times New Roman"/>
                <w:b/>
                <w:bCs/>
                <w:color w:val="auto"/>
                <w:highlight w:val="none"/>
                <w:lang w:val="en-US" w:eastAsia="zh-CN"/>
              </w:rPr>
              <w:t>2</w:t>
            </w:r>
            <w:r>
              <w:rPr>
                <w:rFonts w:hint="eastAsia" w:cs="Times New Roman"/>
                <w:b/>
                <w:bCs/>
                <w:color w:val="auto"/>
                <w:highlight w:val="none"/>
                <w:lang w:eastAsia="zh-CN"/>
              </w:rPr>
              <w:t>）</w:t>
            </w:r>
            <w:r>
              <w:rPr>
                <w:rFonts w:hint="default" w:ascii="Times New Roman" w:hAnsi="Times New Roman" w:cs="Times New Roman"/>
                <w:b/>
                <w:bCs/>
                <w:color w:val="auto"/>
                <w:highlight w:val="none"/>
                <w:lang w:eastAsia="zh-CN"/>
              </w:rPr>
              <w:t>建筑垃圾</w:t>
            </w:r>
          </w:p>
          <w:p>
            <w:pPr>
              <w:pStyle w:val="50"/>
              <w:bidi w:val="0"/>
              <w:rPr>
                <w:rFonts w:hint="eastAsia"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rPr>
              <w:t>建筑垃圾包括地基开挖时产生的废弃砂浆、建材废包装、建材的废边角料等。本</w:t>
            </w:r>
            <w:r>
              <w:rPr>
                <w:rFonts w:hint="default" w:ascii="Times New Roman" w:hAnsi="Times New Roman" w:cs="Times New Roman"/>
                <w:color w:val="auto"/>
                <w:highlight w:val="none"/>
                <w:lang w:eastAsia="zh-CN"/>
              </w:rPr>
              <w:t>工程</w:t>
            </w:r>
            <w:r>
              <w:rPr>
                <w:rFonts w:hint="default" w:ascii="Times New Roman" w:hAnsi="Times New Roman" w:cs="Times New Roman"/>
                <w:color w:val="auto"/>
                <w:highlight w:val="none"/>
              </w:rPr>
              <w:t>施工期必须将废弃砂浆、建材废包装、建材的废边角料运至政府指定位置堆放，并及时采取相应的</w:t>
            </w:r>
            <w:r>
              <w:rPr>
                <w:rFonts w:hint="default" w:ascii="Times New Roman" w:hAnsi="Times New Roman" w:cs="Times New Roman"/>
                <w:color w:val="auto"/>
                <w:highlight w:val="none"/>
                <w:lang w:val="en-US" w:eastAsia="zh-CN"/>
              </w:rPr>
              <w:t>防护</w:t>
            </w:r>
            <w:r>
              <w:rPr>
                <w:rFonts w:hint="default" w:ascii="Times New Roman" w:hAnsi="Times New Roman" w:cs="Times New Roman"/>
                <w:color w:val="auto"/>
                <w:highlight w:val="none"/>
              </w:rPr>
              <w:t>措施，避免因长期堆放对水体或空气质量造成影响。</w:t>
            </w:r>
          </w:p>
          <w:p>
            <w:pPr>
              <w:pStyle w:val="50"/>
              <w:bidi w:val="0"/>
              <w:rPr>
                <w:rFonts w:hint="default" w:ascii="Times New Roman" w:hAnsi="Times New Roman" w:cs="Times New Roman"/>
                <w:b/>
                <w:bCs/>
                <w:color w:val="auto"/>
                <w:highlight w:val="none"/>
              </w:rPr>
            </w:pPr>
            <w:r>
              <w:rPr>
                <w:rFonts w:hint="eastAsia" w:cs="Times New Roman"/>
                <w:b/>
                <w:bCs/>
                <w:color w:val="auto"/>
                <w:highlight w:val="none"/>
                <w:lang w:eastAsia="zh-CN"/>
              </w:rPr>
              <w:t>（</w:t>
            </w:r>
            <w:r>
              <w:rPr>
                <w:rFonts w:hint="eastAsia" w:cs="Times New Roman"/>
                <w:b/>
                <w:bCs/>
                <w:color w:val="auto"/>
                <w:highlight w:val="none"/>
                <w:lang w:val="en-US" w:eastAsia="zh-CN"/>
              </w:rPr>
              <w:t>3</w:t>
            </w:r>
            <w:r>
              <w:rPr>
                <w:rFonts w:hint="eastAsia" w:cs="Times New Roman"/>
                <w:b/>
                <w:bCs/>
                <w:color w:val="auto"/>
                <w:highlight w:val="none"/>
                <w:lang w:eastAsia="zh-CN"/>
              </w:rPr>
              <w:t>）</w:t>
            </w:r>
            <w:r>
              <w:rPr>
                <w:rFonts w:hint="default" w:ascii="Times New Roman" w:hAnsi="Times New Roman" w:cs="Times New Roman"/>
                <w:b/>
                <w:bCs/>
                <w:color w:val="auto"/>
                <w:highlight w:val="none"/>
              </w:rPr>
              <w:t>生活垃圾</w:t>
            </w:r>
          </w:p>
          <w:p>
            <w:pPr>
              <w:pStyle w:val="5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本项目施工平均人数估算为</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0人，人均每天生活垃圾产生量按0.5kg计算，则高峰期总产生量为0.0</w:t>
            </w:r>
            <w:r>
              <w:rPr>
                <w:rFonts w:hint="eastAsia" w:cs="Times New Roman"/>
                <w:color w:val="auto"/>
                <w:highlight w:val="none"/>
                <w:lang w:val="en-US" w:eastAsia="zh-CN"/>
              </w:rPr>
              <w:t>15</w:t>
            </w:r>
            <w:r>
              <w:rPr>
                <w:rFonts w:hint="default" w:ascii="Times New Roman" w:hAnsi="Times New Roman" w:cs="Times New Roman"/>
                <w:color w:val="auto"/>
                <w:highlight w:val="none"/>
                <w:lang w:val="en-US" w:eastAsia="zh-CN"/>
              </w:rPr>
              <w:t>t/d，主要污染物为垃圾袋和矿泉水瓶等。施工中将定点集中收集，由施工单位组织收集统一外运至环卫部门指定地点</w:t>
            </w:r>
            <w:r>
              <w:rPr>
                <w:rFonts w:hint="default" w:ascii="Times New Roman" w:hAnsi="Times New Roman" w:cs="Times New Roman"/>
                <w:color w:val="auto"/>
                <w:highlight w:val="none"/>
              </w:rPr>
              <w:t>。</w:t>
            </w:r>
          </w:p>
          <w:p>
            <w:pPr>
              <w:pStyle w:val="50"/>
              <w:bidi w:val="0"/>
              <w:rPr>
                <w:rFonts w:hint="eastAsia" w:ascii="Times New Roman" w:hAnsi="Times New Roman" w:eastAsia="仿宋_GB2312" w:cs="Times New Roman"/>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92" w:hRule="atLeast"/>
          <w:jc w:val="center"/>
        </w:trPr>
        <w:tc>
          <w:tcPr>
            <w:tcW w:w="738" w:type="dxa"/>
            <w:vAlign w:val="center"/>
          </w:tcPr>
          <w:p>
            <w:pPr>
              <w:jc w:val="center"/>
              <w:rPr>
                <w:rFonts w:hint="default" w:ascii="Times New Roman" w:hAnsi="Times New Roman"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施工期生态环境影响分析</w:t>
            </w:r>
          </w:p>
        </w:tc>
        <w:tc>
          <w:tcPr>
            <w:tcW w:w="8616" w:type="dxa"/>
            <w:vMerge w:val="continue"/>
            <w:vAlign w:val="center"/>
          </w:tcPr>
          <w:p>
            <w:pPr>
              <w:jc w:val="center"/>
              <w:rPr>
                <w:rFonts w:hint="default" w:ascii="Times New Roman" w:hAnsi="Times New Roman" w:cs="Times New Roman"/>
                <w:b/>
                <w:bCs/>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17" w:hRule="atLeast"/>
          <w:jc w:val="center"/>
        </w:trPr>
        <w:tc>
          <w:tcPr>
            <w:tcW w:w="738" w:type="dxa"/>
            <w:vAlign w:val="center"/>
          </w:tcPr>
          <w:p>
            <w:pPr>
              <w:jc w:val="center"/>
              <w:rPr>
                <w:rFonts w:hint="default" w:ascii="Times New Roman" w:hAnsi="Times New Roman"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施工期生态环境影响分析</w:t>
            </w:r>
          </w:p>
        </w:tc>
        <w:tc>
          <w:tcPr>
            <w:tcW w:w="8616" w:type="dxa"/>
            <w:vMerge w:val="continue"/>
            <w:vAlign w:val="center"/>
          </w:tcPr>
          <w:p>
            <w:pPr>
              <w:jc w:val="center"/>
              <w:rPr>
                <w:rFonts w:hint="default" w:ascii="Times New Roman" w:hAnsi="Times New Roman" w:cs="Times New Roman"/>
                <w:b/>
                <w:bCs/>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72" w:hRule="atLeast"/>
          <w:jc w:val="center"/>
        </w:trPr>
        <w:tc>
          <w:tcPr>
            <w:tcW w:w="738" w:type="dxa"/>
            <w:vAlign w:val="center"/>
          </w:tcPr>
          <w:p>
            <w:pPr>
              <w:jc w:val="center"/>
              <w:rPr>
                <w:rFonts w:hint="default" w:ascii="Times New Roman" w:hAnsi="Times New Roman"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施工期生态环境影响分析</w:t>
            </w:r>
          </w:p>
        </w:tc>
        <w:tc>
          <w:tcPr>
            <w:tcW w:w="8616" w:type="dxa"/>
            <w:vMerge w:val="continue"/>
            <w:vAlign w:val="center"/>
          </w:tcPr>
          <w:p>
            <w:pPr>
              <w:jc w:val="center"/>
              <w:rPr>
                <w:rFonts w:hint="default" w:ascii="Times New Roman" w:hAnsi="Times New Roman" w:cs="Times New Roman"/>
                <w:b/>
                <w:bCs/>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32" w:hRule="atLeast"/>
          <w:jc w:val="center"/>
        </w:trPr>
        <w:tc>
          <w:tcPr>
            <w:tcW w:w="738" w:type="dxa"/>
            <w:vAlign w:val="center"/>
          </w:tcPr>
          <w:p>
            <w:pPr>
              <w:jc w:val="center"/>
              <w:rPr>
                <w:rFonts w:hint="default" w:ascii="Times New Roman" w:hAnsi="Times New Roman"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施工期生态环境影响分析</w:t>
            </w:r>
          </w:p>
        </w:tc>
        <w:tc>
          <w:tcPr>
            <w:tcW w:w="8616" w:type="dxa"/>
            <w:vMerge w:val="continue"/>
            <w:vAlign w:val="center"/>
          </w:tcPr>
          <w:p>
            <w:pPr>
              <w:jc w:val="center"/>
              <w:rPr>
                <w:rFonts w:hint="default" w:ascii="Times New Roman" w:hAnsi="Times New Roman" w:cs="Times New Roman"/>
                <w:b/>
                <w:bCs/>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738" w:type="dxa"/>
            <w:vAlign w:val="center"/>
          </w:tcPr>
          <w:p>
            <w:pPr>
              <w:jc w:val="center"/>
              <w:rPr>
                <w:rFonts w:hint="default" w:ascii="Times New Roman" w:hAnsi="Times New Roman"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施工期生态环境影响分析</w:t>
            </w:r>
          </w:p>
        </w:tc>
        <w:tc>
          <w:tcPr>
            <w:tcW w:w="8616" w:type="dxa"/>
            <w:vMerge w:val="continue"/>
            <w:vAlign w:val="center"/>
          </w:tcPr>
          <w:p>
            <w:pPr>
              <w:jc w:val="center"/>
              <w:rPr>
                <w:rFonts w:hint="default" w:ascii="Times New Roman" w:hAnsi="Times New Roman" w:cs="Times New Roman"/>
                <w:b/>
                <w:bCs/>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8" w:type="dxa"/>
            <w:vAlign w:val="center"/>
          </w:tcPr>
          <w:p>
            <w:pPr>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运营期生态环境影响分析</w:t>
            </w:r>
          </w:p>
        </w:tc>
        <w:tc>
          <w:tcPr>
            <w:tcW w:w="8616" w:type="dxa"/>
            <w:vAlign w:val="center"/>
          </w:tcPr>
          <w:p>
            <w:pPr>
              <w:pStyle w:val="50"/>
              <w:bidi w:val="0"/>
              <w:rPr>
                <w:rFonts w:hint="eastAsia" w:cs="Times New Roman"/>
                <w:b/>
                <w:bCs/>
                <w:color w:val="auto"/>
                <w:highlight w:val="none"/>
                <w:lang w:val="en-US" w:eastAsia="zh-CN"/>
              </w:rPr>
            </w:pPr>
            <w:r>
              <w:rPr>
                <w:rFonts w:hint="eastAsia" w:cs="Times New Roman"/>
                <w:b/>
                <w:bCs/>
                <w:color w:val="auto"/>
                <w:highlight w:val="none"/>
                <w:lang w:val="en-US" w:eastAsia="zh-CN"/>
              </w:rPr>
              <w:t>一、运营期产污环节及环境影响分析：</w:t>
            </w:r>
          </w:p>
          <w:p>
            <w:pPr>
              <w:pStyle w:val="50"/>
              <w:bidi w:val="0"/>
              <w:rPr>
                <w:rFonts w:hint="eastAsia" w:ascii="Times New Roman" w:hAnsi="Times New Roman" w:cs="Times New Roman"/>
                <w:color w:val="auto"/>
                <w:highlight w:val="none"/>
                <w:lang w:val="en-US" w:eastAsia="zh-CN"/>
              </w:rPr>
            </w:pPr>
            <w:r>
              <w:rPr>
                <w:rFonts w:hint="eastAsia" w:cs="Times New Roman"/>
                <w:b/>
                <w:bCs/>
                <w:color w:val="auto"/>
                <w:highlight w:val="none"/>
                <w:lang w:val="en-US" w:eastAsia="zh-CN"/>
              </w:rPr>
              <w:t>1.噪声：</w:t>
            </w:r>
            <w:r>
              <w:rPr>
                <w:rFonts w:hint="eastAsia" w:cs="Times New Roman"/>
                <w:color w:val="auto"/>
                <w:highlight w:val="none"/>
                <w:lang w:val="en-US" w:eastAsia="zh-CN"/>
              </w:rPr>
              <w:t xml:space="preserve">运营期，风力发电机组在运转过程中产生的噪声来自于风轮叶片旋转时产生的空气动力噪声、齿轮箱和发电机等部件发出的机械噪声，其中以机组内部的机械噪声为主。本风电场采用单机容量为6.25MW的风电机组，在 10m 高度的风速为 </w:t>
            </w:r>
            <w:r>
              <w:rPr>
                <w:rFonts w:hint="eastAsia" w:ascii="Times New Roman" w:hAnsi="Times New Roman" w:cs="Times New Roman"/>
                <w:color w:val="auto"/>
                <w:highlight w:val="none"/>
                <w:lang w:val="en-US" w:eastAsia="zh-CN"/>
              </w:rPr>
              <w:t>10m/s 时的标准状态下，机组运行时轮毂处噪声约 101.3dB(A)～110.0dB(A)。</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由于各风力发电机组相距较远，本项目只考虑单机噪声影响，故每个风机可视为一个点声源，采用处于完全自由空间的点声源几何发散衰减公式和多声源叠加公式对风机噪声影响进行预测，具体计算公式如下：</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①计算单个声源单独作用到预测点的A声级，按下式：</w:t>
            </w:r>
          </w:p>
          <w:p>
            <w:pPr>
              <w:pStyle w:val="5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1734820" cy="497840"/>
                  <wp:effectExtent l="0" t="0" r="0" b="17145"/>
                  <wp:docPr id="72"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true"/>
                          </pic:cNvPicPr>
                        </pic:nvPicPr>
                        <pic:blipFill>
                          <a:blip r:embed="rId34"/>
                          <a:stretch>
                            <a:fillRect/>
                          </a:stretch>
                        </pic:blipFill>
                        <pic:spPr>
                          <a:xfrm>
                            <a:off x="0" y="0"/>
                            <a:ext cx="1734820" cy="497840"/>
                          </a:xfrm>
                          <a:prstGeom prst="rect">
                            <a:avLst/>
                          </a:prstGeom>
                          <a:noFill/>
                          <a:ln>
                            <a:noFill/>
                          </a:ln>
                        </pic:spPr>
                      </pic:pic>
                    </a:graphicData>
                  </a:graphic>
                </wp:inline>
              </w:drawing>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式中，</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Lp</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 距声源 r</w:t>
            </w:r>
            <w:r>
              <w:rPr>
                <w:rFonts w:hint="default" w:ascii="Times New Roman" w:hAnsi="Times New Roman" w:cs="Times New Roman"/>
                <w:color w:val="auto"/>
                <w:highlight w:val="none"/>
                <w:vertAlign w:val="subscript"/>
                <w:lang w:val="en-US" w:eastAsia="zh-CN"/>
              </w:rPr>
              <w:t xml:space="preserve">2 </w:t>
            </w:r>
            <w:r>
              <w:rPr>
                <w:rFonts w:hint="default" w:ascii="Times New Roman" w:hAnsi="Times New Roman" w:cs="Times New Roman"/>
                <w:color w:val="auto"/>
                <w:highlight w:val="none"/>
                <w:lang w:val="en-US" w:eastAsia="zh-CN"/>
              </w:rPr>
              <w:t>处的声压级，dB；</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Lp</w:t>
            </w:r>
            <w:r>
              <w:rPr>
                <w:rFonts w:hint="default" w:ascii="Times New Roman" w:hAnsi="Times New Roman" w:cs="Times New Roman"/>
                <w:color w:val="auto"/>
                <w:highlight w:val="none"/>
                <w:vertAlign w:val="subscript"/>
                <w:lang w:val="en-US" w:eastAsia="zh-CN"/>
              </w:rPr>
              <w:t>1</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 距声源 r</w:t>
            </w:r>
            <w:r>
              <w:rPr>
                <w:rFonts w:hint="default" w:ascii="Times New Roman" w:hAnsi="Times New Roman" w:cs="Times New Roman"/>
                <w:color w:val="auto"/>
                <w:highlight w:val="none"/>
                <w:vertAlign w:val="subscript"/>
                <w:lang w:val="en-US" w:eastAsia="zh-CN"/>
              </w:rPr>
              <w:t>1</w:t>
            </w:r>
            <w:r>
              <w:rPr>
                <w:rFonts w:hint="default" w:ascii="Times New Roman" w:hAnsi="Times New Roman" w:cs="Times New Roman"/>
                <w:color w:val="auto"/>
                <w:highlight w:val="none"/>
                <w:lang w:val="en-US" w:eastAsia="zh-CN"/>
              </w:rPr>
              <w:t xml:space="preserve"> 处的声压级，dB；</w:t>
            </w:r>
          </w:p>
          <w:p>
            <w:pPr>
              <w:pStyle w:val="50"/>
              <w:bidi w:val="0"/>
              <w:rPr>
                <w:rFonts w:hint="default" w:ascii="Times New Roman" w:hAnsi="Times New Roman" w:cs="Times New Roman"/>
                <w:color w:val="auto"/>
                <w:highlight w:val="none"/>
                <w:lang w:val="fr-FR" w:eastAsia="zh-CN"/>
              </w:rPr>
            </w:pPr>
            <w:r>
              <w:rPr>
                <w:rFonts w:hint="default" w:ascii="Times New Roman" w:hAnsi="Times New Roman" w:cs="Times New Roman"/>
                <w:color w:val="auto"/>
                <w:highlight w:val="none"/>
                <w:lang w:val="en-US" w:eastAsia="zh-CN"/>
              </w:rPr>
              <w:t>L</w:t>
            </w:r>
            <w:r>
              <w:rPr>
                <w:rFonts w:hint="default" w:ascii="Times New Roman" w:hAnsi="Times New Roman" w:cs="Times New Roman"/>
                <w:color w:val="auto"/>
                <w:highlight w:val="none"/>
                <w:vertAlign w:val="subscript"/>
                <w:lang w:val="en-US" w:eastAsia="zh-CN"/>
              </w:rPr>
              <w:t>r</w:t>
            </w:r>
            <w:r>
              <w:rPr>
                <w:rFonts w:hint="default" w:ascii="Times New Roman" w:hAnsi="Times New Roman" w:cs="Times New Roman"/>
                <w:color w:val="auto"/>
                <w:highlight w:val="none"/>
                <w:lang w:val="en-US" w:eastAsia="zh-CN"/>
              </w:rPr>
              <w:t xml:space="preserve"> — 屏障降噪量，dB。</w:t>
            </w:r>
          </w:p>
          <w:p>
            <w:pPr>
              <w:pStyle w:val="50"/>
              <w:bidi w:val="0"/>
              <w:rPr>
                <w:rFonts w:hint="default" w:ascii="Times New Roman" w:hAnsi="Times New Roman" w:cs="Times New Roman"/>
                <w:color w:val="auto"/>
                <w:highlight w:val="none"/>
                <w:lang w:val="fr-FR" w:eastAsia="zh-CN"/>
              </w:rPr>
            </w:pPr>
            <w:r>
              <w:rPr>
                <w:rFonts w:hint="default" w:ascii="Times New Roman" w:hAnsi="Times New Roman" w:cs="Times New Roman"/>
                <w:color w:val="auto"/>
                <w:highlight w:val="none"/>
                <w:lang w:val="fr-FR" w:eastAsia="zh-CN"/>
              </w:rPr>
              <w:t>②多声源在某一点声压级的叠加公式</w:t>
            </w:r>
          </w:p>
          <w:p>
            <w:pPr>
              <w:pStyle w:val="50"/>
              <w:bidi w:val="0"/>
              <w:rPr>
                <w:rFonts w:hint="default" w:ascii="Times New Roman" w:hAnsi="Times New Roman" w:cs="Times New Roman"/>
                <w:color w:val="auto"/>
                <w:highlight w:val="none"/>
                <w:lang w:val="fr-FR" w:eastAsia="zh-CN"/>
              </w:rPr>
            </w:pPr>
            <w:r>
              <w:rPr>
                <w:rFonts w:hint="default" w:ascii="Times New Roman" w:hAnsi="Times New Roman" w:cs="Times New Roman"/>
                <w:color w:val="auto"/>
                <w:highlight w:val="none"/>
                <w:lang w:val="fr-FR" w:eastAsia="zh-CN"/>
              </w:rPr>
              <w:object>
                <v:shape id="_x0000_i1025" o:spt="75" type="#_x0000_t75" style="height:36.2pt;width:165.2pt;" o:ole="t" fillcolor="#6D6D6D" filled="f" o:preferrelative="t" stroked="f" coordsize="21600,21600">
                  <v:path/>
                  <v:fill on="f" focussize="0,0"/>
                  <v:stroke on="f" joinstyle="miter"/>
                  <v:imagedata r:id="rId36" o:title=""/>
                  <o:lock v:ext="edit" aspectratio="t"/>
                  <w10:wrap type="none"/>
                  <w10:anchorlock/>
                </v:shape>
                <o:OLEObject Type="Embed" ProgID="Equation.3" ShapeID="_x0000_i1025" DrawAspect="Content" ObjectID="_1468075725" r:id="rId35">
                  <o:LockedField>false</o:LockedField>
                </o:OLEObject>
              </w:object>
            </w:r>
          </w:p>
          <w:p>
            <w:pPr>
              <w:pStyle w:val="50"/>
              <w:bidi w:val="0"/>
              <w:rPr>
                <w:rFonts w:hint="default" w:ascii="Times New Roman" w:hAnsi="Times New Roman" w:cs="Times New Roman"/>
                <w:color w:val="auto"/>
                <w:highlight w:val="none"/>
                <w:lang w:val="fr-FR" w:eastAsia="zh-CN"/>
              </w:rPr>
            </w:pPr>
            <w:r>
              <w:rPr>
                <w:rFonts w:hint="default" w:ascii="Times New Roman" w:hAnsi="Times New Roman" w:cs="Times New Roman"/>
                <w:color w:val="auto"/>
                <w:highlight w:val="none"/>
                <w:lang w:val="fr-FR" w:eastAsia="zh-CN"/>
              </w:rPr>
              <w:t>式中：</w:t>
            </w:r>
            <w:r>
              <w:rPr>
                <w:rFonts w:hint="default" w:ascii="Times New Roman" w:hAnsi="Times New Roman" w:cs="Times New Roman"/>
                <w:color w:val="auto"/>
                <w:highlight w:val="none"/>
                <w:lang w:val="fr-FR" w:eastAsia="zh-CN"/>
              </w:rPr>
              <w:object>
                <v:shape id="_x0000_i1026" o:spt="75" type="#_x0000_t75" style="height:21.2pt;width:21.2pt;" o:ole="t" fillcolor="#6D6D6D" filled="f" o:preferrelative="t" stroked="f" coordsize="21600,21600">
                  <v:path/>
                  <v:fill on="f" focussize="0,0"/>
                  <v:stroke on="f" joinstyle="miter"/>
                  <v:imagedata r:id="rId38" o:title=""/>
                  <o:lock v:ext="edit" aspectratio="t"/>
                  <w10:wrap type="none"/>
                  <w10:anchorlock/>
                </v:shape>
                <o:OLEObject Type="Embed" ProgID="Equation.3" ShapeID="_x0000_i1026" DrawAspect="Content" ObjectID="_1468075726" r:id="rId37">
                  <o:LockedField>false</o:LockedField>
                </o:OLEObject>
              </w:object>
            </w:r>
            <w:r>
              <w:rPr>
                <w:rFonts w:hint="default" w:ascii="Times New Roman" w:hAnsi="Times New Roman" w:cs="Times New Roman"/>
                <w:color w:val="auto"/>
                <w:highlight w:val="none"/>
                <w:lang w:val="fr-FR" w:eastAsia="zh-CN"/>
              </w:rPr>
              <w:t>——n个噪声源叠加后的总声压级，dB(A)；</w:t>
            </w:r>
          </w:p>
          <w:p>
            <w:pPr>
              <w:pStyle w:val="50"/>
              <w:bidi w:val="0"/>
              <w:rPr>
                <w:rFonts w:hint="default" w:ascii="Times New Roman" w:hAnsi="Times New Roman" w:cs="Times New Roman"/>
                <w:color w:val="auto"/>
                <w:highlight w:val="none"/>
                <w:lang w:val="fr-FR" w:eastAsia="zh-CN"/>
              </w:rPr>
            </w:pPr>
            <w:r>
              <w:rPr>
                <w:rFonts w:hint="default" w:ascii="Times New Roman" w:hAnsi="Times New Roman" w:cs="Times New Roman"/>
                <w:color w:val="auto"/>
                <w:highlight w:val="none"/>
                <w:lang w:val="fr-FR" w:eastAsia="zh-CN"/>
              </w:rPr>
              <w:t xml:space="preserve">     </w:t>
            </w:r>
            <w:r>
              <w:rPr>
                <w:rFonts w:hint="default" w:ascii="Times New Roman" w:hAnsi="Times New Roman" w:cs="Times New Roman"/>
                <w:color w:val="auto"/>
                <w:highlight w:val="none"/>
                <w:lang w:val="fr-FR" w:eastAsia="zh-CN"/>
              </w:rPr>
              <w:object>
                <v:shape id="_x0000_i1027" o:spt="75" type="#_x0000_t75" style="height:21.2pt;width:21.2pt;" o:ole="t" fillcolor="#6D6D6D" filled="f" o:preferrelative="t" stroked="f" coordsize="21600,21600">
                  <v:path/>
                  <v:fill on="f" focussize="0,0"/>
                  <v:stroke on="f" joinstyle="miter"/>
                  <v:imagedata r:id="rId40" o:title=""/>
                  <o:lock v:ext="edit" aspectratio="t"/>
                  <w10:wrap type="none"/>
                  <w10:anchorlock/>
                </v:shape>
                <o:OLEObject Type="Embed" ProgID="Equation.3" ShapeID="_x0000_i1027" DrawAspect="Content" ObjectID="_1468075727" r:id="rId39">
                  <o:LockedField>false</o:LockedField>
                </o:OLEObject>
              </w:object>
            </w:r>
            <w:r>
              <w:rPr>
                <w:rFonts w:hint="default" w:ascii="Times New Roman" w:hAnsi="Times New Roman" w:cs="Times New Roman"/>
                <w:color w:val="auto"/>
                <w:highlight w:val="none"/>
                <w:lang w:val="fr-FR" w:eastAsia="zh-CN"/>
              </w:rPr>
              <w:t xml:space="preserve"> ——第i个噪声源对该点的声压级，dB(A)。</w:t>
            </w:r>
          </w:p>
          <w:p>
            <w:pPr>
              <w:pStyle w:val="50"/>
              <w:bidi w:val="0"/>
              <w:rPr>
                <w:rFonts w:hint="default" w:ascii="Times New Roman" w:hAnsi="Times New Roman" w:cs="Times New Roman"/>
                <w:color w:val="auto"/>
                <w:highlight w:val="none"/>
                <w:lang w:val="fr-FR" w:eastAsia="zh-CN"/>
              </w:rPr>
            </w:pPr>
            <w:r>
              <w:rPr>
                <w:rFonts w:hint="default" w:ascii="Times New Roman" w:hAnsi="Times New Roman" w:cs="Times New Roman"/>
                <w:color w:val="auto"/>
                <w:highlight w:val="none"/>
                <w:lang w:val="fr-FR" w:eastAsia="zh-CN"/>
              </w:rPr>
              <w:t>（3）风电机组噪声预测结果及分析</w:t>
            </w:r>
          </w:p>
          <w:p>
            <w:pPr>
              <w:pStyle w:val="50"/>
              <w:bidi w:val="0"/>
              <w:rPr>
                <w:rFonts w:hint="default" w:ascii="Times New Roman" w:hAnsi="Times New Roman" w:cs="Times New Roman"/>
                <w:color w:val="auto"/>
                <w:highlight w:val="none"/>
                <w:lang w:val="fr-FR" w:eastAsia="zh-CN"/>
              </w:rPr>
            </w:pPr>
            <w:r>
              <w:rPr>
                <w:rFonts w:hint="default" w:ascii="Times New Roman" w:hAnsi="Times New Roman" w:cs="Times New Roman"/>
                <w:color w:val="auto"/>
                <w:highlight w:val="none"/>
                <w:lang w:val="fr-FR" w:eastAsia="zh-CN"/>
              </w:rPr>
              <w:t>根据上述噪声预测模式，单个风力发电机组运行时在地面不同距离处的噪声值见表</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fr-FR" w:eastAsia="zh-CN"/>
              </w:rPr>
              <w:t>-2。</w:t>
            </w:r>
          </w:p>
          <w:p>
            <w:pPr>
              <w:pStyle w:val="102"/>
              <w:keepNext w:val="0"/>
              <w:keepLines w:val="0"/>
              <w:pageBreakBefore w:val="0"/>
              <w:widowControl w:val="0"/>
              <w:kinsoku/>
              <w:wordWrap/>
              <w:overflowPunct/>
              <w:topLinePunct w:val="0"/>
              <w:autoSpaceDE/>
              <w:autoSpaceDN/>
              <w:bidi w:val="0"/>
              <w:adjustRightInd/>
              <w:snapToGrid/>
              <w:spacing w:before="157" w:beforeLines="50"/>
              <w:ind w:firstLine="481"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 xml:space="preserve">-2 </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kern w:val="2"/>
                <w:sz w:val="24"/>
                <w:szCs w:val="24"/>
                <w:highlight w:val="none"/>
                <w:lang w:val="en-US" w:eastAsia="zh-CN" w:bidi="ar-SA"/>
              </w:rPr>
              <w:t>单个风机在地面不同距离处的噪声预测值单位：dB（A）</w:t>
            </w:r>
          </w:p>
          <w:tbl>
            <w:tblPr>
              <w:tblStyle w:val="2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49"/>
              <w:gridCol w:w="792"/>
              <w:gridCol w:w="792"/>
              <w:gridCol w:w="790"/>
              <w:gridCol w:w="790"/>
              <w:gridCol w:w="790"/>
              <w:gridCol w:w="790"/>
              <w:gridCol w:w="790"/>
              <w:gridCol w:w="791"/>
              <w:gridCol w:w="7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746"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噪声源</w:t>
                  </w:r>
                </w:p>
              </w:tc>
              <w:tc>
                <w:tcPr>
                  <w:tcW w:w="473"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0m</w:t>
                  </w:r>
                </w:p>
              </w:tc>
              <w:tc>
                <w:tcPr>
                  <w:tcW w:w="473"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kern w:val="0"/>
                      <w:sz w:val="21"/>
                      <w:szCs w:val="21"/>
                      <w:highlight w:val="none"/>
                    </w:rPr>
                    <w:t>10m</w:t>
                  </w:r>
                </w:p>
              </w:tc>
              <w:tc>
                <w:tcPr>
                  <w:tcW w:w="47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20m</w:t>
                  </w:r>
                </w:p>
              </w:tc>
              <w:tc>
                <w:tcPr>
                  <w:tcW w:w="47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40m</w:t>
                  </w:r>
                </w:p>
              </w:tc>
              <w:tc>
                <w:tcPr>
                  <w:tcW w:w="47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50m</w:t>
                  </w:r>
                </w:p>
              </w:tc>
              <w:tc>
                <w:tcPr>
                  <w:tcW w:w="47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100m</w:t>
                  </w:r>
                </w:p>
              </w:tc>
              <w:tc>
                <w:tcPr>
                  <w:tcW w:w="47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150</w:t>
                  </w:r>
                </w:p>
              </w:tc>
              <w:tc>
                <w:tcPr>
                  <w:tcW w:w="47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180</w:t>
                  </w:r>
                </w:p>
              </w:tc>
              <w:tc>
                <w:tcPr>
                  <w:tcW w:w="47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tcBorders>
                    <w:tl2br w:val="nil"/>
                    <w:tr2bl w:val="nil"/>
                  </w:tcBorders>
                  <w:shd w:val="clear" w:color="auto" w:fill="auto"/>
                  <w:vAlign w:val="center"/>
                </w:tcPr>
                <w:p>
                  <w:pPr>
                    <w:pStyle w:val="26"/>
                    <w:adjustRightInd w:val="0"/>
                    <w:spacing w:beforeAutospacing="0" w:afterAutospacing="0" w:line="240" w:lineRule="auto"/>
                    <w:ind w:firstLine="0" w:firstLineChars="0"/>
                    <w:jc w:val="center"/>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单个风机</w:t>
                  </w:r>
                </w:p>
              </w:tc>
              <w:tc>
                <w:tcPr>
                  <w:tcW w:w="473"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70</w:t>
                  </w:r>
                </w:p>
              </w:tc>
              <w:tc>
                <w:tcPr>
                  <w:tcW w:w="473"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56</w:t>
                  </w:r>
                </w:p>
              </w:tc>
              <w:tc>
                <w:tcPr>
                  <w:tcW w:w="47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46</w:t>
                  </w:r>
                </w:p>
              </w:tc>
              <w:tc>
                <w:tcPr>
                  <w:tcW w:w="47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39</w:t>
                  </w:r>
                </w:p>
              </w:tc>
              <w:tc>
                <w:tcPr>
                  <w:tcW w:w="47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37</w:t>
                  </w:r>
                </w:p>
              </w:tc>
              <w:tc>
                <w:tcPr>
                  <w:tcW w:w="47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30</w:t>
                  </w:r>
                </w:p>
              </w:tc>
              <w:tc>
                <w:tcPr>
                  <w:tcW w:w="47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27</w:t>
                  </w:r>
                </w:p>
              </w:tc>
              <w:tc>
                <w:tcPr>
                  <w:tcW w:w="47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25</w:t>
                  </w:r>
                </w:p>
              </w:tc>
              <w:tc>
                <w:tcPr>
                  <w:tcW w:w="472"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24</w:t>
                  </w:r>
                </w:p>
              </w:tc>
            </w:tr>
          </w:tbl>
          <w:p>
            <w:pPr>
              <w:pStyle w:val="50"/>
              <w:bidi w:val="0"/>
              <w:rPr>
                <w:rFonts w:hint="eastAsia" w:cs="Times New Roman"/>
                <w:b/>
                <w:bCs/>
                <w:color w:val="auto"/>
                <w:highlight w:val="none"/>
                <w:lang w:val="en-US" w:eastAsia="zh-CN"/>
              </w:rPr>
            </w:pPr>
            <w:r>
              <w:rPr>
                <w:rFonts w:hint="default" w:ascii="Times New Roman" w:hAnsi="Times New Roman" w:eastAsia="仿宋_GB2312" w:cs="Times New Roman"/>
                <w:color w:val="auto"/>
                <w:kern w:val="16"/>
                <w:sz w:val="24"/>
                <w:szCs w:val="24"/>
                <w:highlight w:val="none"/>
                <w:lang w:val="fr-FR" w:eastAsia="zh-CN" w:bidi="ar-SA"/>
              </w:rPr>
              <w:t>由预测结果可知，在仅考虑距离衰减、不考虑环境因素衰减常数下，距风力发电机组40m处（地面水平距离）的噪声影响值为39dB(A)，能达到《工业企业厂界环境噪声排放标准》中的1类标准要求。</w:t>
            </w:r>
            <w:r>
              <w:rPr>
                <w:rFonts w:hint="eastAsia" w:cs="Times New Roman"/>
                <w:color w:val="auto"/>
                <w:highlight w:val="none"/>
                <w:lang w:val="en-US" w:eastAsia="zh-CN"/>
              </w:rPr>
              <w:t>对周围声环境影响</w:t>
            </w:r>
            <w:r>
              <w:rPr>
                <w:rFonts w:hint="eastAsia"/>
                <w:color w:val="auto"/>
                <w:highlight w:val="none"/>
                <w:lang w:val="en-US" w:eastAsia="zh-CN"/>
              </w:rPr>
              <w:t>较小</w:t>
            </w:r>
            <w:r>
              <w:rPr>
                <w:rFonts w:hint="eastAsia" w:cs="Times New Roman"/>
                <w:color w:val="auto"/>
                <w:highlight w:val="none"/>
                <w:lang w:val="en-US" w:eastAsia="zh-CN"/>
              </w:rPr>
              <w:t>。</w:t>
            </w:r>
          </w:p>
          <w:p>
            <w:pPr>
              <w:pStyle w:val="50"/>
              <w:bidi w:val="0"/>
              <w:rPr>
                <w:rFonts w:hint="eastAsia" w:cs="Times New Roman"/>
                <w:b/>
                <w:bCs/>
                <w:color w:val="auto"/>
                <w:highlight w:val="none"/>
                <w:lang w:val="en-US" w:eastAsia="zh-CN"/>
              </w:rPr>
            </w:pPr>
            <w:r>
              <w:rPr>
                <w:rFonts w:hint="eastAsia" w:cs="Times New Roman"/>
                <w:b/>
                <w:bCs/>
                <w:color w:val="auto"/>
                <w:highlight w:val="none"/>
                <w:lang w:val="en-US" w:eastAsia="zh-CN"/>
              </w:rPr>
              <w:t>2.地表水</w:t>
            </w:r>
          </w:p>
          <w:p>
            <w:pPr>
              <w:pStyle w:val="50"/>
              <w:bidi w:val="0"/>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本项目运营期不设置工作人员居住办公场所，故不会有生活污水等的产生。</w:t>
            </w:r>
          </w:p>
          <w:p>
            <w:pPr>
              <w:pStyle w:val="50"/>
              <w:bidi w:val="0"/>
              <w:rPr>
                <w:rFonts w:hint="eastAsia" w:cs="Times New Roman"/>
                <w:b/>
                <w:bCs/>
                <w:color w:val="auto"/>
                <w:highlight w:val="none"/>
                <w:lang w:val="en-US" w:eastAsia="zh-CN"/>
              </w:rPr>
            </w:pPr>
            <w:r>
              <w:rPr>
                <w:rFonts w:hint="eastAsia" w:cs="Times New Roman"/>
                <w:b/>
                <w:bCs/>
                <w:color w:val="auto"/>
                <w:highlight w:val="none"/>
                <w:lang w:val="en-US" w:eastAsia="zh-CN"/>
              </w:rPr>
              <w:t>3.固体废物：</w:t>
            </w:r>
          </w:p>
          <w:p>
            <w:pPr>
              <w:pStyle w:val="50"/>
              <w:bidi w:val="0"/>
              <w:rPr>
                <w:rFonts w:hint="default" w:cs="Times New Roman"/>
                <w:color w:val="auto"/>
                <w:highlight w:val="none"/>
                <w:lang w:val="en-US" w:eastAsia="zh-CN"/>
              </w:rPr>
            </w:pPr>
            <w:r>
              <w:rPr>
                <w:rFonts w:hint="eastAsia" w:cs="Times New Roman"/>
                <w:color w:val="auto"/>
                <w:highlight w:val="none"/>
                <w:lang w:val="en-US" w:eastAsia="zh-CN"/>
              </w:rPr>
              <w:t>运营期设备检修过程产生的废润滑油属于危险废物，集中收集后</w:t>
            </w:r>
            <w:r>
              <w:rPr>
                <w:rFonts w:hint="eastAsia"/>
                <w:color w:val="auto"/>
                <w:highlight w:val="none"/>
                <w:lang w:eastAsia="zh-CN"/>
              </w:rPr>
              <w:t>送至</w:t>
            </w:r>
            <w:r>
              <w:rPr>
                <w:rFonts w:hint="eastAsia" w:ascii="Times New Roman" w:hAnsi="Times New Roman" w:cs="Times New Roman"/>
                <w:color w:val="auto"/>
                <w:highlight w:val="none"/>
                <w:lang w:val="en-US" w:eastAsia="zh-CN"/>
              </w:rPr>
              <w:t>依托的“国家电投集团中卫香山风电场1-3期“以大代小”150MW增容项目”危废贮存点（本项目依托</w:t>
            </w:r>
            <w:r>
              <w:rPr>
                <w:rFonts w:hint="eastAsia" w:cs="Times New Roman"/>
                <w:color w:val="auto"/>
                <w:highlight w:val="none"/>
                <w:lang w:val="en-US" w:eastAsia="zh-CN"/>
              </w:rPr>
              <w:t>，暂未建设，要求在本项目运行前建设完成</w:t>
            </w:r>
            <w:r>
              <w:rPr>
                <w:rFonts w:hint="eastAsia" w:ascii="Times New Roman" w:hAnsi="Times New Roman" w:cs="Times New Roman"/>
                <w:color w:val="auto"/>
                <w:highlight w:val="none"/>
                <w:lang w:val="en-US" w:eastAsia="zh-CN"/>
              </w:rPr>
              <w:t>）暂存后</w:t>
            </w:r>
            <w:r>
              <w:rPr>
                <w:rFonts w:hint="eastAsia" w:cs="Times New Roman"/>
                <w:color w:val="auto"/>
                <w:highlight w:val="none"/>
                <w:lang w:val="en-US" w:eastAsia="zh-CN"/>
              </w:rPr>
              <w:t>交由有资质单位处置，废润滑油属于《国家危险废物名录》（2021年版）中“HW08废矿物油与含矿物油废物”中的“900-249-08其他生产、销售、使用过程中产生的废矿物油及沾染矿物油的废弃包装物”。</w:t>
            </w:r>
          </w:p>
          <w:p>
            <w:pPr>
              <w:pStyle w:val="50"/>
              <w:bidi w:val="0"/>
              <w:rPr>
                <w:rFonts w:hint="eastAsia" w:cs="Times New Roman"/>
                <w:b/>
                <w:bCs/>
                <w:color w:val="auto"/>
                <w:highlight w:val="none"/>
                <w:lang w:val="en-US" w:eastAsia="zh-CN"/>
              </w:rPr>
            </w:pPr>
            <w:r>
              <w:rPr>
                <w:rFonts w:hint="eastAsia" w:cs="Times New Roman"/>
                <w:b w:val="0"/>
                <w:bCs w:val="0"/>
                <w:color w:val="auto"/>
                <w:highlight w:val="none"/>
                <w:lang w:val="en-US" w:eastAsia="zh-CN"/>
              </w:rPr>
              <w:t>项目运营期设备检修过程中会产生废润滑油，参考同行业运营期检修情况，废润滑油年产生量约为0.3t。</w:t>
            </w:r>
          </w:p>
          <w:p>
            <w:pPr>
              <w:pStyle w:val="50"/>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4.</w:t>
            </w:r>
            <w:r>
              <w:rPr>
                <w:rFonts w:hint="default" w:ascii="Times New Roman" w:hAnsi="Times New Roman" w:cs="Times New Roman"/>
                <w:b/>
                <w:bCs/>
                <w:color w:val="auto"/>
                <w:highlight w:val="none"/>
                <w:lang w:val="en-US" w:eastAsia="zh-CN"/>
              </w:rPr>
              <w:t>对植被的影响分析</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风电场投入运营后，永久占地内的地表植被完全被破坏，取而代之的是风机和箱变的基础以及场内检修道路的路面。工程对临时占地风机基础和箱变基础占地进行植被恢复，对风电机组区以及检修道路两侧实施植被恢复和绿化工程，运营期地表植被状况逐渐好转，施工结束</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年左右时间后，植被状况将好于原有的自然植被系统，因此项目施工期对占地范围内植被影响较小。</w:t>
            </w:r>
          </w:p>
          <w:p>
            <w:pPr>
              <w:pStyle w:val="50"/>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经现场踏勘调查，本项目施工区内未发现蒙古扁桃植株存在，评价区域内有零星分布</w:t>
            </w:r>
            <w:r>
              <w:rPr>
                <w:rFonts w:hint="default" w:ascii="Times New Roman" w:hAnsi="Times New Roman" w:cs="Times New Roman"/>
                <w:color w:val="auto"/>
                <w:highlight w:val="none"/>
                <w:lang w:val="en-US" w:eastAsia="zh-CN"/>
              </w:rPr>
              <w:t>，本工程</w:t>
            </w:r>
            <w:r>
              <w:rPr>
                <w:rFonts w:hint="eastAsia" w:cs="Times New Roman"/>
                <w:color w:val="auto"/>
                <w:highlight w:val="none"/>
                <w:lang w:val="en-US" w:eastAsia="zh-CN"/>
              </w:rPr>
              <w:t>施工期在采取对有蒙古扁桃分布的区域设置隔离网及警示标识，并</w:t>
            </w:r>
            <w:r>
              <w:rPr>
                <w:rFonts w:hint="default" w:cs="Times New Roman"/>
                <w:color w:val="auto"/>
                <w:highlight w:val="none"/>
                <w:lang w:val="en-US" w:eastAsia="zh-CN"/>
              </w:rPr>
              <w:t>加应强施工人员培训，使其识得</w:t>
            </w:r>
            <w:r>
              <w:rPr>
                <w:rFonts w:hint="eastAsia" w:cs="Times New Roman"/>
                <w:color w:val="auto"/>
                <w:highlight w:val="none"/>
                <w:lang w:val="en-US" w:eastAsia="zh-CN"/>
              </w:rPr>
              <w:t>蒙古扁桃</w:t>
            </w:r>
            <w:r>
              <w:rPr>
                <w:rFonts w:hint="default" w:cs="Times New Roman"/>
                <w:color w:val="auto"/>
                <w:highlight w:val="none"/>
                <w:lang w:val="en-US" w:eastAsia="zh-CN"/>
              </w:rPr>
              <w:t>，见到</w:t>
            </w:r>
            <w:r>
              <w:rPr>
                <w:rFonts w:hint="eastAsia" w:cs="Times New Roman"/>
                <w:color w:val="auto"/>
                <w:highlight w:val="none"/>
                <w:lang w:val="en-US" w:eastAsia="zh-CN"/>
              </w:rPr>
              <w:t>蒙古扁桃</w:t>
            </w:r>
            <w:r>
              <w:rPr>
                <w:rFonts w:hint="default" w:cs="Times New Roman"/>
                <w:color w:val="auto"/>
                <w:highlight w:val="none"/>
                <w:lang w:val="en-US" w:eastAsia="zh-CN"/>
              </w:rPr>
              <w:t>不得随意破坏、踩踏，并安排专人核实</w:t>
            </w:r>
            <w:r>
              <w:rPr>
                <w:rFonts w:hint="eastAsia" w:cs="Times New Roman"/>
                <w:color w:val="auto"/>
                <w:highlight w:val="none"/>
                <w:lang w:val="en-US" w:eastAsia="zh-CN"/>
              </w:rPr>
              <w:t>评价</w:t>
            </w:r>
            <w:r>
              <w:rPr>
                <w:rFonts w:hint="default" w:cs="Times New Roman"/>
                <w:color w:val="auto"/>
                <w:highlight w:val="none"/>
                <w:lang w:val="en-US" w:eastAsia="zh-CN"/>
              </w:rPr>
              <w:t>区域内</w:t>
            </w:r>
            <w:r>
              <w:rPr>
                <w:rFonts w:hint="eastAsia" w:cs="Times New Roman"/>
                <w:color w:val="auto"/>
                <w:highlight w:val="none"/>
                <w:lang w:val="en-US" w:eastAsia="zh-CN"/>
              </w:rPr>
              <w:t>蒙古扁桃</w:t>
            </w:r>
            <w:r>
              <w:rPr>
                <w:rFonts w:hint="default" w:cs="Times New Roman"/>
                <w:color w:val="auto"/>
                <w:highlight w:val="none"/>
                <w:lang w:val="en-US" w:eastAsia="zh-CN"/>
              </w:rPr>
              <w:t>存在数量，可采用区域估测法，即核实一定区域面积内</w:t>
            </w:r>
            <w:r>
              <w:rPr>
                <w:rFonts w:hint="eastAsia" w:cs="Times New Roman"/>
                <w:color w:val="auto"/>
                <w:highlight w:val="none"/>
                <w:lang w:val="en-US" w:eastAsia="zh-CN"/>
              </w:rPr>
              <w:t>蒙古扁桃</w:t>
            </w:r>
            <w:r>
              <w:rPr>
                <w:rFonts w:hint="default" w:cs="Times New Roman"/>
                <w:color w:val="auto"/>
                <w:highlight w:val="none"/>
                <w:lang w:val="en-US" w:eastAsia="zh-CN"/>
              </w:rPr>
              <w:t>数量，在推算</w:t>
            </w:r>
            <w:r>
              <w:rPr>
                <w:rFonts w:hint="eastAsia" w:cs="Times New Roman"/>
                <w:color w:val="auto"/>
                <w:highlight w:val="none"/>
                <w:lang w:val="en-US" w:eastAsia="zh-CN"/>
              </w:rPr>
              <w:t>评价</w:t>
            </w:r>
            <w:r>
              <w:rPr>
                <w:rFonts w:hint="default" w:cs="Times New Roman"/>
                <w:color w:val="auto"/>
                <w:highlight w:val="none"/>
                <w:lang w:val="en-US" w:eastAsia="zh-CN"/>
              </w:rPr>
              <w:t>范围内</w:t>
            </w:r>
            <w:r>
              <w:rPr>
                <w:rFonts w:hint="eastAsia" w:cs="Times New Roman"/>
                <w:color w:val="auto"/>
                <w:highlight w:val="none"/>
                <w:lang w:val="en-US" w:eastAsia="zh-CN"/>
              </w:rPr>
              <w:t>蒙古扁桃</w:t>
            </w:r>
            <w:r>
              <w:rPr>
                <w:rFonts w:hint="default" w:cs="Times New Roman"/>
                <w:color w:val="auto"/>
                <w:highlight w:val="none"/>
                <w:lang w:val="en-US" w:eastAsia="zh-CN"/>
              </w:rPr>
              <w:t>大致数量，</w:t>
            </w:r>
            <w:r>
              <w:rPr>
                <w:rFonts w:hint="eastAsia" w:cs="Times New Roman"/>
                <w:color w:val="auto"/>
                <w:highlight w:val="none"/>
                <w:lang w:val="en-US" w:eastAsia="zh-CN"/>
              </w:rPr>
              <w:t>并对施工场地、道路等附近发现的蒙古扁桃植株采取设置围挡或隔离等措施，严格限制项目用地界限，不得超出本项目占地界限占用蒙古扁桃生长区，在采取以上措施后，本项目建设不会对评价区域内蒙古扁桃造成影响。</w:t>
            </w:r>
            <w:r>
              <w:rPr>
                <w:rFonts w:hint="default" w:ascii="Times New Roman" w:hAnsi="Times New Roman" w:cs="Times New Roman"/>
                <w:color w:val="auto"/>
                <w:highlight w:val="none"/>
                <w:lang w:val="en-US" w:eastAsia="zh-CN"/>
              </w:rPr>
              <w:t>本项目风电建设区域属于点状分布，风机的运行离地面较高，建成后风机的运行对场内植被的正常生长几乎没有影响。因此，项目运营期不会对</w:t>
            </w:r>
            <w:r>
              <w:rPr>
                <w:rFonts w:hint="eastAsia" w:cs="Times New Roman"/>
                <w:color w:val="auto"/>
                <w:highlight w:val="none"/>
                <w:lang w:val="en-US" w:eastAsia="zh-CN"/>
              </w:rPr>
              <w:t>周边范围内</w:t>
            </w:r>
            <w:r>
              <w:rPr>
                <w:rFonts w:hint="default" w:ascii="Times New Roman" w:hAnsi="Times New Roman" w:cs="Times New Roman"/>
                <w:color w:val="auto"/>
                <w:highlight w:val="none"/>
                <w:lang w:val="en-US" w:eastAsia="zh-CN"/>
              </w:rPr>
              <w:t>植被造成不利影响。</w:t>
            </w:r>
          </w:p>
          <w:p>
            <w:pPr>
              <w:pStyle w:val="50"/>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5.</w:t>
            </w:r>
            <w:r>
              <w:rPr>
                <w:rFonts w:hint="default" w:ascii="Times New Roman" w:hAnsi="Times New Roman" w:cs="Times New Roman"/>
                <w:b/>
                <w:bCs/>
                <w:color w:val="auto"/>
                <w:highlight w:val="none"/>
                <w:lang w:val="en-US" w:eastAsia="zh-CN"/>
              </w:rPr>
              <w:t>对野生动物的影响分析</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施工过程中，因噪声强度的增加和人为活动的频繁，致使部分动物发生小尺度的迁移，但随着施工期的结束，场区内及周围动物会逐渐适应于风力发电机组的运行噪声及场内道路，在施工期迁走的动物也将逐渐回迁，不会影响野生动物的生存活动空间，对区域生物多样性不会产生影响。</w:t>
            </w:r>
          </w:p>
          <w:p>
            <w:pPr>
              <w:pStyle w:val="50"/>
              <w:bidi w:val="0"/>
              <w:rPr>
                <w:rFonts w:hint="eastAsia" w:cs="Times New Roman"/>
                <w:b/>
                <w:bCs/>
                <w:color w:val="auto"/>
                <w:highlight w:val="none"/>
                <w:lang w:val="en-US" w:eastAsia="zh-CN"/>
              </w:rPr>
            </w:pPr>
            <w:r>
              <w:rPr>
                <w:rFonts w:hint="eastAsia" w:cs="Times New Roman"/>
                <w:b/>
                <w:bCs/>
                <w:color w:val="auto"/>
                <w:highlight w:val="none"/>
                <w:lang w:val="en-US" w:eastAsia="zh-CN"/>
              </w:rPr>
              <w:t>6.对鸟类的影响</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①对候鸟的影响</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当风力机安装在鸟类飞行的通道上，将发生鸟类在飞行过程中撞上运行的叶轮而死亡的现象，尤其当风机安装在鸟类活动的频繁的地区。</w:t>
            </w:r>
          </w:p>
          <w:p>
            <w:pPr>
              <w:pStyle w:val="50"/>
              <w:bidi w:val="0"/>
              <w:rPr>
                <w:rFonts w:hint="default" w:ascii="Times New Roman" w:hAnsi="Times New Roman" w:cs="Times New Roman"/>
                <w:i/>
                <w:iCs/>
                <w:color w:val="auto"/>
                <w:highlight w:val="none"/>
                <w:lang w:val="en-US" w:eastAsia="zh-CN"/>
              </w:rPr>
            </w:pPr>
            <w:r>
              <w:rPr>
                <w:rFonts w:hint="default" w:ascii="Times New Roman" w:hAnsi="Times New Roman" w:cs="Times New Roman"/>
                <w:color w:val="auto"/>
                <w:highlight w:val="none"/>
                <w:lang w:val="en-US" w:eastAsia="zh-CN"/>
              </w:rPr>
              <w:t>大型风力发电机安装，会对鸟类的迁徙造成的危害，尤其是夜间迁徙的候鸟。因此，选择风力发电场址时，还要尽量避开有大群夜间迁徙候鸟在近地面通过的地方为宜。</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鸟类实验资料表明，一般鸟类的飞行高度为300m左右；在</w:t>
            </w:r>
            <w:r>
              <w:rPr>
                <w:rFonts w:hint="eastAsia" w:cs="Times New Roman"/>
                <w:color w:val="auto"/>
                <w:highlight w:val="none"/>
                <w:lang w:val="en-US" w:eastAsia="zh-CN"/>
              </w:rPr>
              <w:t>迁徙</w:t>
            </w:r>
            <w:r>
              <w:rPr>
                <w:rFonts w:hint="default" w:ascii="Times New Roman" w:hAnsi="Times New Roman" w:cs="Times New Roman"/>
                <w:color w:val="auto"/>
                <w:highlight w:val="none"/>
                <w:lang w:val="en-US" w:eastAsia="zh-CN"/>
              </w:rPr>
              <w:t>季节，候鸟的迁飞高度在300m以上，如燕为450m、鹤为500m、雁为900m，均远远超过风机110m的高度，因此，鸟类在飞行或</w:t>
            </w:r>
            <w:r>
              <w:rPr>
                <w:rFonts w:hint="eastAsia" w:cs="Times New Roman"/>
                <w:color w:val="auto"/>
                <w:highlight w:val="none"/>
                <w:lang w:val="en-US" w:eastAsia="zh-CN"/>
              </w:rPr>
              <w:t>迁徙</w:t>
            </w:r>
            <w:r>
              <w:rPr>
                <w:rFonts w:hint="default" w:ascii="Times New Roman" w:hAnsi="Times New Roman" w:cs="Times New Roman"/>
                <w:color w:val="auto"/>
                <w:highlight w:val="none"/>
                <w:lang w:val="en-US" w:eastAsia="zh-CN"/>
              </w:rPr>
              <w:t>中，风电场风机对其造成的危害较小。本次拟选风机叶片扫动到的最高高度约125m，而候鸟</w:t>
            </w:r>
            <w:r>
              <w:rPr>
                <w:rFonts w:hint="eastAsia" w:cs="Times New Roman"/>
                <w:color w:val="auto"/>
                <w:highlight w:val="none"/>
                <w:lang w:val="en-US" w:eastAsia="zh-CN"/>
              </w:rPr>
              <w:t>迁徙</w:t>
            </w:r>
            <w:r>
              <w:rPr>
                <w:rFonts w:hint="default" w:ascii="Times New Roman" w:hAnsi="Times New Roman" w:cs="Times New Roman"/>
                <w:color w:val="auto"/>
                <w:highlight w:val="none"/>
                <w:lang w:val="en-US" w:eastAsia="zh-CN"/>
              </w:rPr>
              <w:t>飞行的高度一般在300m以上。经调查工程区内没有高大的乔木林，调查期间没有发现成批的候鸟在此停落。风机在运行过程中，转速较慢，转数一般在16转/min，综合当地平均风速、周边区域植被高度、地形以及风机的分布进行情况分析可知，风机的运转不会造成区域空气涡流而影响鸟类的迁徙，并且项目所在区域不是候鸟的主要</w:t>
            </w:r>
            <w:r>
              <w:rPr>
                <w:rFonts w:hint="eastAsia" w:cs="Times New Roman"/>
                <w:color w:val="auto"/>
                <w:highlight w:val="none"/>
                <w:lang w:val="en-US" w:eastAsia="zh-CN"/>
              </w:rPr>
              <w:t>迁徙</w:t>
            </w:r>
            <w:r>
              <w:rPr>
                <w:rFonts w:hint="default" w:ascii="Times New Roman" w:hAnsi="Times New Roman" w:cs="Times New Roman"/>
                <w:color w:val="auto"/>
                <w:highlight w:val="none"/>
                <w:lang w:val="en-US" w:eastAsia="zh-CN"/>
              </w:rPr>
              <w:t>通道。</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因此，风电场运行期不会影响候鸟的正常迁徙，均超过风机的高度。</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②对留鸟的影响</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风场运营期对留鸟的影响主要表现在风机的运行噪声及叶片旋转气流等方面。</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对同类风电场的类比调查可知：由于风机的运行噪声及叶片旋转气流致使部分鸟类不敢在运行的风机附近停留，对部分鸟类的活动范围可能会产生一定的影响。德国曾针对风力发电场对鸟类影响进行过研究，发现噪声源强达80-110dB的风力发电场对距离250m外鸟巢中的鸟及其正常的觅食不会产生任何影响。另据有关观测资料，不同鸟类对噪声的耐受性也有所不同，有的对噪声较敏感，有的不太敏感。在项目区活动的鸟类主要为喜鹊、麻雀等一般鸟类，数量较少，同类生境在附近易于找寻，受风机运行影响的鸟类将迁往附近其它同类生境，风机运行对其影响较小。</w:t>
            </w:r>
          </w:p>
          <w:p>
            <w:pPr>
              <w:pStyle w:val="50"/>
              <w:bidi w:val="0"/>
              <w:rPr>
                <w:rFonts w:hint="default" w:ascii="Times New Roman" w:hAnsi="Times New Roman" w:cs="Times New Roman"/>
                <w:color w:val="auto"/>
                <w:highlight w:val="none"/>
                <w:lang w:val="en-US" w:eastAsia="zh-CN"/>
              </w:rPr>
            </w:pPr>
            <w:r>
              <w:rPr>
                <w:rFonts w:hint="eastAsia" w:cs="Times New Roman"/>
                <w:b/>
                <w:bCs/>
                <w:color w:val="auto"/>
                <w:highlight w:val="none"/>
                <w:lang w:val="en-US" w:eastAsia="zh-CN"/>
              </w:rPr>
              <w:t>7..</w:t>
            </w:r>
            <w:r>
              <w:rPr>
                <w:rFonts w:hint="default" w:ascii="Times New Roman" w:hAnsi="Times New Roman" w:cs="Times New Roman"/>
                <w:b/>
                <w:bCs/>
                <w:color w:val="auto"/>
                <w:highlight w:val="none"/>
                <w:lang w:val="en-US" w:eastAsia="zh-CN"/>
              </w:rPr>
              <w:t>区域景观生态影响分析</w:t>
            </w:r>
            <w:r>
              <w:rPr>
                <w:rFonts w:hint="default" w:ascii="Times New Roman" w:hAnsi="Times New Roman" w:cs="Times New Roman"/>
                <w:color w:val="auto"/>
                <w:highlight w:val="none"/>
                <w:lang w:val="en-US" w:eastAsia="zh-CN"/>
              </w:rPr>
              <w:t xml:space="preserve"> </w:t>
            </w:r>
          </w:p>
          <w:p>
            <w:pPr>
              <w:pStyle w:val="50"/>
              <w:bidi w:val="0"/>
              <w:rPr>
                <w:rFonts w:hint="eastAsia" w:cs="Times New Roman"/>
                <w:b/>
                <w:bCs/>
                <w:color w:val="auto"/>
                <w:highlight w:val="none"/>
                <w:lang w:val="en-US" w:eastAsia="zh-CN"/>
              </w:rPr>
            </w:pPr>
            <w:r>
              <w:rPr>
                <w:rFonts w:hint="default" w:ascii="Times New Roman" w:hAnsi="Times New Roman" w:cs="Times New Roman"/>
                <w:color w:val="auto"/>
                <w:highlight w:val="none"/>
                <w:lang w:val="en-US" w:eastAsia="zh-CN"/>
              </w:rPr>
              <w:t>本风电场建成后，风电机组有序排列，可以构成一个独特的人文景观，这种景观具有群体性、可观赏性，虽与自然景观有明显差异，但可以反映人与自然结合的完美性，对空间布局不造成干扰影响，同时大规模的风电基地亦形成当地的清洁能源参观与旅游基地，将成为一道亮丽的独特景观，而且给该地区增添了新的旅游景点，促进当地旅游业的发展。</w:t>
            </w:r>
          </w:p>
          <w:p>
            <w:pPr>
              <w:pStyle w:val="50"/>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8.</w:t>
            </w:r>
            <w:r>
              <w:rPr>
                <w:rFonts w:hint="default" w:ascii="Times New Roman" w:hAnsi="Times New Roman" w:cs="Times New Roman"/>
                <w:b/>
                <w:bCs/>
                <w:color w:val="auto"/>
                <w:highlight w:val="none"/>
                <w:lang w:val="en-US" w:eastAsia="zh-CN"/>
              </w:rPr>
              <w:t>营运期光影闪烁影响</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球绕太阳公转，太阳光入射的方向和地平面之间的夹角称之为太阳高度角。只要太阳高度小于90°，暴露在阳光下的地平面上的物体都会产生影子。风电机组不停转动的叶片在阳光的照射下，投射到居民住宅附近会产生一种闪烁的光影，通常称之为光影影响。以风电机组为中心，东西方向为轴，处于北纬地区，轴北侧的居民在不同距离内有可能受到风电机组光影的影响，其影响范围取决于太阳高度角的大小以及高度差的大小，太阳高度角越大，风机的影子越短；太阳高度角越小，风机的影子越长；高差越大影子越长，高差越小影子越短。由于本项目风机均位于山顶，距居民较远，各风机产生的光影对附近居民的日常生活影响不大。此外，随着风电场在我国各地日益常见，附近居民已越来越适应了远远近近风力发电机转动的环境，关注点基本集中在风机噪声对其生活的影响，对风机叶片在地面的投影更是越来越不在意。因此风力发电场的光影闪烁影响已不再是公众非常关注的环境问题。</w:t>
            </w:r>
          </w:p>
          <w:p>
            <w:pPr>
              <w:pStyle w:val="50"/>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9</w:t>
            </w:r>
            <w:r>
              <w:rPr>
                <w:rFonts w:hint="default" w:ascii="Times New Roman" w:hAnsi="Times New Roman" w:cs="Times New Roman"/>
                <w:b/>
                <w:bCs/>
                <w:color w:val="auto"/>
                <w:highlight w:val="none"/>
                <w:lang w:val="en-US" w:eastAsia="zh-CN"/>
              </w:rPr>
              <w:t>.项目投运的环境正效益</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本项目</w:t>
            </w:r>
            <w:r>
              <w:rPr>
                <w:rFonts w:hint="eastAsia" w:cs="Times New Roman"/>
                <w:color w:val="auto"/>
                <w:highlight w:val="none"/>
                <w:lang w:eastAsia="zh-CN"/>
              </w:rPr>
              <w:t>为</w:t>
            </w:r>
            <w:r>
              <w:rPr>
                <w:rFonts w:hint="default" w:ascii="Times New Roman" w:hAnsi="Times New Roman" w:cs="Times New Roman"/>
                <w:color w:val="auto"/>
                <w:highlight w:val="none"/>
                <w:lang w:eastAsia="zh-CN"/>
              </w:rPr>
              <w:t>风力发电项目，</w:t>
            </w:r>
            <w:r>
              <w:rPr>
                <w:rFonts w:hint="default" w:ascii="Times New Roman" w:hAnsi="Times New Roman" w:cs="Times New Roman"/>
                <w:color w:val="auto"/>
                <w:highlight w:val="none"/>
                <w:lang w:val="en-US" w:eastAsia="zh-CN"/>
              </w:rPr>
              <w:t>风能是清洁的、可再生的能源，开发风能符合国家环保、节能政策。风电场的开发建设可有效减少常规能源尤其是煤炭资源的消耗</w:t>
            </w:r>
            <w:r>
              <w:rPr>
                <w:rFonts w:hint="eastAsia" w:cs="Times New Roman"/>
                <w:color w:val="auto"/>
                <w:highlight w:val="none"/>
                <w:lang w:val="en-US" w:eastAsia="zh-CN"/>
              </w:rPr>
              <w:t>本项目预计年发电量</w:t>
            </w:r>
            <w:r>
              <w:rPr>
                <w:rFonts w:hint="eastAsia" w:eastAsia="仿宋" w:cs="Times New Roman"/>
                <w:color w:val="auto"/>
                <w:highlight w:val="none"/>
                <w:lang w:val="en-US" w:eastAsia="zh-CN"/>
              </w:rPr>
              <w:t>12469.92M</w:t>
            </w:r>
            <w:r>
              <w:rPr>
                <w:rFonts w:hint="default" w:ascii="Times New Roman" w:hAnsi="Times New Roman" w:eastAsia="仿宋" w:cs="Times New Roman"/>
                <w:color w:val="auto"/>
                <w:highlight w:val="none"/>
                <w:lang w:val="en-US" w:eastAsia="zh-CN"/>
              </w:rPr>
              <w:t>W·h</w:t>
            </w:r>
            <w:r>
              <w:rPr>
                <w:rFonts w:hint="eastAsia" w:ascii="Times New Roman" w:hAnsi="Times New Roman" w:cs="Times New Roman"/>
                <w:color w:val="auto"/>
                <w:highlight w:val="none"/>
                <w:lang w:val="en-US" w:eastAsia="zh-CN"/>
              </w:rPr>
              <w:t>，以燃烧煤炭的火力发电为参考，计算节电的减排效益，参考国家能源局发布的2021年全国电力工业统计数据，2021年6000kW及以上火电厂供电标准煤耗为302.5g/kWh。即每用1度电(kWh)，就相应节约标煤0.3kg，同时减排 0.272kg粉尘、0.997kg二氧化碳(CO</w:t>
            </w:r>
            <w:r>
              <w:rPr>
                <w:rFonts w:hint="eastAsia" w:ascii="Times New Roman" w:hAnsi="Times New Roman" w:cs="Times New Roman"/>
                <w:color w:val="auto"/>
                <w:highlight w:val="none"/>
                <w:vertAlign w:val="subscript"/>
                <w:lang w:val="en-US" w:eastAsia="zh-CN"/>
              </w:rPr>
              <w:t>2</w:t>
            </w:r>
            <w:r>
              <w:rPr>
                <w:rFonts w:hint="eastAsia" w:ascii="Times New Roman" w:hAnsi="Times New Roman" w:cs="Times New Roman"/>
                <w:color w:val="auto"/>
                <w:highlight w:val="none"/>
                <w:vertAlign w:val="baseline"/>
                <w:lang w:val="en-US" w:eastAsia="zh-CN"/>
              </w:rPr>
              <w:t>)</w:t>
            </w:r>
            <w:r>
              <w:rPr>
                <w:rFonts w:hint="eastAsia" w:ascii="Times New Roman" w:hAnsi="Times New Roman" w:cs="Times New Roman"/>
                <w:color w:val="auto"/>
                <w:highlight w:val="none"/>
                <w:lang w:val="en-US" w:eastAsia="zh-CN"/>
              </w:rPr>
              <w:t>、0.03kg二氧化硫(SO</w:t>
            </w:r>
            <w:r>
              <w:rPr>
                <w:rFonts w:hint="eastAsia" w:ascii="Times New Roman" w:hAnsi="Times New Roman" w:cs="Times New Roman"/>
                <w:color w:val="auto"/>
                <w:highlight w:val="none"/>
                <w:vertAlign w:val="subscript"/>
                <w:lang w:val="en-US" w:eastAsia="zh-CN"/>
              </w:rPr>
              <w:t>2</w:t>
            </w:r>
            <w:r>
              <w:rPr>
                <w:rFonts w:hint="eastAsia" w:ascii="Times New Roman" w:hAnsi="Times New Roman" w:cs="Times New Roman"/>
                <w:color w:val="auto"/>
                <w:highlight w:val="none"/>
                <w:lang w:val="en-US" w:eastAsia="zh-CN"/>
              </w:rPr>
              <w:t>)、0.015kg氮氧化物(NOx)，则本项目投运后，可节约标煤0.37万t，减排粉尘约0.34万t、二氧化碳(CO</w:t>
            </w:r>
            <w:r>
              <w:rPr>
                <w:rFonts w:hint="eastAsia" w:ascii="Times New Roman" w:hAnsi="Times New Roman" w:cs="Times New Roman"/>
                <w:color w:val="auto"/>
                <w:highlight w:val="none"/>
                <w:vertAlign w:val="subscript"/>
                <w:lang w:val="en-US" w:eastAsia="zh-CN"/>
              </w:rPr>
              <w:t>2</w:t>
            </w:r>
            <w:r>
              <w:rPr>
                <w:rFonts w:hint="eastAsia" w:ascii="Times New Roman" w:hAnsi="Times New Roman" w:cs="Times New Roman"/>
                <w:color w:val="auto"/>
                <w:highlight w:val="none"/>
                <w:lang w:val="en-US" w:eastAsia="zh-CN"/>
              </w:rPr>
              <w:t>)约1.24万t、二氧化硫(SO</w:t>
            </w:r>
            <w:r>
              <w:rPr>
                <w:rFonts w:hint="eastAsia" w:ascii="Times New Roman" w:hAnsi="Times New Roman" w:cs="Times New Roman"/>
                <w:color w:val="auto"/>
                <w:highlight w:val="none"/>
                <w:vertAlign w:val="subscript"/>
                <w:lang w:val="en-US" w:eastAsia="zh-CN"/>
              </w:rPr>
              <w:t>2</w:t>
            </w:r>
            <w:r>
              <w:rPr>
                <w:rFonts w:hint="eastAsia" w:ascii="Times New Roman" w:hAnsi="Times New Roman" w:cs="Times New Roman"/>
                <w:color w:val="auto"/>
                <w:highlight w:val="none"/>
                <w:lang w:val="en-US" w:eastAsia="zh-CN"/>
              </w:rPr>
              <w:t>)约0.037万t、氮氧化物(NOx)约0.019万t，极大限度的减少该区域内的污染物的排放以及资源的消耗，有利于环境质量的改善，</w:t>
            </w:r>
            <w:r>
              <w:rPr>
                <w:rFonts w:hint="default" w:ascii="Times New Roman" w:hAnsi="Times New Roman" w:cs="Times New Roman"/>
                <w:color w:val="auto"/>
                <w:highlight w:val="none"/>
                <w:lang w:val="en-US" w:eastAsia="zh-CN"/>
              </w:rPr>
              <w:t>营造出塞上江南的旅游胜地。同时，在西北几个大风口建设风电场，利用了丰富的风能资源，同时减缓风势，可以部分解决西北地区干旱问题，遏制风沙天气的恶化。风电项目的开发建设，在促进地方经济可持续发展的同时，也拉动和带动了旅游等相关产业的发展，增加了就业岗位和机会，为地方经济的稳定发展、能源工业的可持续发展添砖加瓦，为保护生态环境、人与自然和谐共处做出了应有的贡献。</w:t>
            </w:r>
          </w:p>
          <w:p>
            <w:pPr>
              <w:pStyle w:val="50"/>
              <w:bidi w:val="0"/>
              <w:rPr>
                <w:rFonts w:hint="eastAsia" w:ascii="Times New Roman" w:hAnsi="Times New Roman" w:cs="Times New Roman"/>
                <w:b/>
                <w:bCs/>
                <w:color w:val="0000FF"/>
                <w:highlight w:val="none"/>
                <w:lang w:val="en-US" w:eastAsia="zh-CN"/>
              </w:rPr>
            </w:pPr>
            <w:r>
              <w:rPr>
                <w:rFonts w:hint="eastAsia" w:ascii="Times New Roman" w:hAnsi="Times New Roman" w:cs="Times New Roman"/>
                <w:b/>
                <w:bCs/>
                <w:color w:val="0000FF"/>
                <w:highlight w:val="none"/>
                <w:lang w:val="en-US" w:eastAsia="zh-CN"/>
              </w:rPr>
              <w:t>10</w:t>
            </w:r>
            <w:r>
              <w:rPr>
                <w:rFonts w:hint="eastAsia" w:cs="Times New Roman"/>
                <w:b/>
                <w:bCs/>
                <w:color w:val="0000FF"/>
                <w:highlight w:val="none"/>
                <w:lang w:val="en-US" w:eastAsia="zh-CN"/>
              </w:rPr>
              <w:t>.退役期影响分析</w:t>
            </w:r>
          </w:p>
          <w:p>
            <w:pPr>
              <w:pStyle w:val="50"/>
              <w:bidi w:val="0"/>
              <w:rPr>
                <w:rFonts w:hint="default" w:ascii="Times New Roman" w:hAnsi="Times New Roman" w:cs="Times New Roman"/>
                <w:color w:val="0000FF"/>
                <w:highlight w:val="none"/>
                <w:lang w:val="en-US" w:eastAsia="zh-CN"/>
              </w:rPr>
            </w:pPr>
            <w:r>
              <w:rPr>
                <w:rFonts w:hint="eastAsia" w:cs="Times New Roman"/>
                <w:color w:val="0000FF"/>
                <w:highlight w:val="none"/>
                <w:lang w:val="en-US" w:eastAsia="zh-CN"/>
              </w:rPr>
              <w:t>根据</w:t>
            </w:r>
            <w:r>
              <w:rPr>
                <w:rFonts w:hint="default" w:ascii="Times New Roman" w:hAnsi="Times New Roman" w:cs="Times New Roman"/>
                <w:color w:val="0000FF"/>
                <w:highlight w:val="none"/>
                <w:lang w:val="en-US" w:eastAsia="zh-CN"/>
              </w:rPr>
              <w:t>国家发改委联合国家能源局、工业和信息化部、生态环境部、商务部、国资委等六部门印发《关于促进退役风电、光伏设备循环利用的指导意见》</w:t>
            </w:r>
            <w:r>
              <w:rPr>
                <w:rFonts w:hint="eastAsia" w:ascii="Times New Roman" w:hAnsi="Times New Roman" w:cs="Times New Roman"/>
                <w:color w:val="0000FF"/>
                <w:highlight w:val="none"/>
                <w:lang w:val="en-US" w:eastAsia="zh-CN"/>
              </w:rPr>
              <w:t>指出：“</w:t>
            </w:r>
            <w:r>
              <w:rPr>
                <w:rFonts w:hint="default" w:ascii="Times New Roman" w:hAnsi="Times New Roman" w:cs="Times New Roman"/>
                <w:color w:val="0000FF"/>
                <w:highlight w:val="none"/>
                <w:lang w:val="en-US" w:eastAsia="zh-CN"/>
              </w:rPr>
              <w:t>不得擅自以填埋、丢弃等方式非法处置退役设备，不得向生活垃圾收集设施中投放工业固体废弃物</w:t>
            </w:r>
            <w:r>
              <w:rPr>
                <w:rFonts w:hint="eastAsia" w:ascii="Times New Roman" w:hAnsi="Times New Roman" w:cs="Times New Roman"/>
                <w:color w:val="0000FF"/>
                <w:highlight w:val="none"/>
                <w:lang w:val="en-US" w:eastAsia="zh-CN"/>
              </w:rPr>
              <w:t>”</w:t>
            </w:r>
            <w:r>
              <w:rPr>
                <w:rFonts w:hint="eastAsia" w:cs="Times New Roman"/>
                <w:color w:val="0000FF"/>
                <w:highlight w:val="none"/>
                <w:lang w:val="en-US" w:eastAsia="zh-CN"/>
              </w:rPr>
              <w:t>。</w:t>
            </w:r>
          </w:p>
          <w:p>
            <w:pPr>
              <w:pStyle w:val="50"/>
              <w:bidi w:val="0"/>
              <w:rPr>
                <w:rFonts w:hint="eastAsia" w:cs="Times New Roman"/>
                <w:color w:val="0000FF"/>
                <w:highlight w:val="none"/>
                <w:lang w:val="en-US" w:eastAsia="zh-CN"/>
              </w:rPr>
            </w:pPr>
            <w:r>
              <w:rPr>
                <w:rFonts w:hint="eastAsia" w:cs="Times New Roman"/>
                <w:color w:val="0000FF"/>
                <w:highlight w:val="none"/>
                <w:lang w:val="en-US" w:eastAsia="zh-CN"/>
              </w:rPr>
              <w:t>本项目风电机组设备进入退役期后，将会产生工业固体废物，主要为退役期拆除的风机机组设备零部件等，退役风电设备属于新型的工业固体废弃物，不规范利用处置（例如简单焚烧和填埋废弃风机叶片等），短期内会带来土地占用和环境污染风险，长期会对生态系统产生潜在的破坏影响。</w:t>
            </w:r>
          </w:p>
          <w:p>
            <w:pPr>
              <w:pStyle w:val="50"/>
              <w:bidi w:val="0"/>
              <w:rPr>
                <w:rFonts w:hint="default" w:cs="Times New Roman"/>
                <w:color w:val="0000FF"/>
                <w:highlight w:val="none"/>
                <w:lang w:val="en-US" w:eastAsia="zh-CN"/>
              </w:rPr>
            </w:pPr>
            <w:r>
              <w:rPr>
                <w:rFonts w:hint="eastAsia" w:cs="Times New Roman"/>
                <w:color w:val="0000FF"/>
                <w:highlight w:val="none"/>
                <w:lang w:val="en-US" w:eastAsia="zh-CN"/>
              </w:rPr>
              <w:t>因风电机组的机舱、塔筒、叶片等部件含有大量的铜、钢、碳纤维或玻璃纤维，光伏组件含有玻璃、铝材、银等，都有不小的回收价值，根据建设单位提供资料，本项目退役期产生的基础、塔架、叶片、机舱、发电机、齿轮箱、电控柜等部件共计约为4000t，均为一般工业固体废物，建设单位需在退役期委托风电设备拆解回收单位进行拆解回收加工再利用，对本项目退役的风电设备进行无害化处置。</w:t>
            </w:r>
          </w:p>
          <w:p>
            <w:pPr>
              <w:pStyle w:val="50"/>
              <w:bidi w:val="0"/>
              <w:rPr>
                <w:rFonts w:hint="eastAsia" w:ascii="Times New Roman" w:hAnsi="Times New Roman" w:cs="Times New Roman"/>
                <w:color w:val="0000FF"/>
                <w:highlight w:val="none"/>
                <w:lang w:val="en-US" w:eastAsia="zh-CN"/>
              </w:rPr>
            </w:pPr>
            <w:r>
              <w:rPr>
                <w:rFonts w:hint="eastAsia" w:cs="Times New Roman"/>
                <w:color w:val="0000FF"/>
                <w:highlight w:val="none"/>
                <w:lang w:val="en-US" w:eastAsia="zh-CN"/>
              </w:rPr>
              <w:t>对拆除后的风电机组占地，进行土地复垦及地表植被恢复，本项目风电机组占地均为草地，需恢复原有土地功能，种植本地常见草种，并采取水土保持措施。通过采取以上措施，可最大限度的减少退役期风电机组拆除对占地的影响，退役期产生的固废均可得到妥善处置，不会对周边生态环境产生影响。</w:t>
            </w:r>
          </w:p>
          <w:p>
            <w:pPr>
              <w:pStyle w:val="50"/>
              <w:bidi w:val="0"/>
              <w:ind w:left="0" w:leftChars="0" w:firstLine="0" w:firstLineChars="0"/>
              <w:rPr>
                <w:rFonts w:hint="default" w:ascii="Times New Roman" w:hAnsi="Times New Roman" w:cs="Times New Roman"/>
                <w:b/>
                <w:bCs/>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2" w:hRule="atLeast"/>
          <w:jc w:val="center"/>
        </w:trPr>
        <w:tc>
          <w:tcPr>
            <w:tcW w:w="738" w:type="dxa"/>
            <w:vAlign w:val="center"/>
          </w:tcPr>
          <w:p>
            <w:pPr>
              <w:jc w:val="center"/>
              <w:rPr>
                <w:rFonts w:hint="default"/>
                <w:color w:val="auto"/>
                <w:highlight w:val="none"/>
                <w:lang w:val="en-US" w:eastAsia="zh-CN"/>
              </w:rPr>
            </w:pPr>
            <w:r>
              <w:rPr>
                <w:rFonts w:hint="default" w:ascii="Times New Roman" w:hAnsi="Times New Roman" w:cs="Times New Roman"/>
                <w:b/>
                <w:bCs/>
                <w:color w:val="auto"/>
                <w:kern w:val="2"/>
                <w:sz w:val="24"/>
                <w:szCs w:val="24"/>
                <w:highlight w:val="none"/>
                <w:lang w:val="en-US" w:eastAsia="zh-CN" w:bidi="ar-SA"/>
              </w:rPr>
              <w:t>选址选线环境合理性分析</w:t>
            </w:r>
          </w:p>
        </w:tc>
        <w:tc>
          <w:tcPr>
            <w:tcW w:w="8616" w:type="dxa"/>
            <w:vAlign w:val="center"/>
          </w:tcPr>
          <w:p>
            <w:pPr>
              <w:pStyle w:val="50"/>
              <w:bidi w:val="0"/>
              <w:jc w:val="left"/>
              <w:rPr>
                <w:rFonts w:hint="eastAsia" w:cs="Times New Roman"/>
                <w:color w:val="auto"/>
                <w:highlight w:val="none"/>
                <w:lang w:val="en-US" w:eastAsia="zh-CN"/>
              </w:rPr>
            </w:pPr>
            <w:r>
              <w:rPr>
                <w:rFonts w:hint="eastAsia" w:cs="Times New Roman"/>
                <w:color w:val="auto"/>
                <w:highlight w:val="none"/>
                <w:lang w:val="en-US" w:eastAsia="zh-CN"/>
              </w:rPr>
              <w:t>1..本项目风机主体选址合理性</w:t>
            </w:r>
          </w:p>
          <w:p>
            <w:pPr>
              <w:pStyle w:val="50"/>
              <w:bidi w:val="0"/>
              <w:jc w:val="left"/>
              <w:rPr>
                <w:rFonts w:hint="eastAsia" w:cs="Times New Roman"/>
                <w:color w:val="auto"/>
                <w:highlight w:val="none"/>
                <w:lang w:val="en-US" w:eastAsia="zh-CN"/>
              </w:rPr>
            </w:pPr>
            <w:r>
              <w:rPr>
                <w:rFonts w:hint="eastAsia" w:cs="Times New Roman"/>
                <w:color w:val="auto"/>
                <w:highlight w:val="none"/>
                <w:lang w:val="en-US" w:eastAsia="zh-CN"/>
              </w:rPr>
              <w:t>本项目位于宁夏回族自治区中卫市沙坡头区境内，项目建设符合国家产业政策，符合宁夏回族自治区生态环境“十四五”规划；且风机选址不在生态红线范围内，不占用永久基本农田；占地范围不涉及占用国家公园、自然保护区、风景名胜区、世界文化和自然遗产地、水源保护区、生态保护红线等生态敏感区；根据《国家电投中卫香山49.8MW分散式风电项目可行性研究报告》中“5.2.3风机布置及微观选址”章节可知，本项目从风资源利用、地形地质条件、土地性质、敏感性因素等方面对各机位的可行性进行分析判断。根据现场踏勘了解，场址范围内敏感性因素主要有架空输电线路、通信塔台、居民村庄等。综合考虑平台、道路工程量、道路涉生态红线、发电量偏低等因素，选择本项目的风机机组8个点位，本项目所选的8个机组点位其中有4个位于二级保护植物蒙古扁桃的分布区域内，但结合现场踏勘调查，4个机组选址点位的施工范围内无蒙古扁桃分布，仅评价区域内涉及蒙古扁桃零散分布，在采取相应措施后，不会对评价范围内分布的蒙古扁桃产生影响；项目运行过程中产生的生态环境、噪声环境和固体废物采取相关措施后，均可实现达标，环境影响程度可接受，且项目的实施有利于促进乡村风电的建设，因此，本项目风机主体选址合理。</w:t>
            </w:r>
          </w:p>
          <w:p>
            <w:pPr>
              <w:pStyle w:val="50"/>
              <w:bidi w:val="0"/>
              <w:jc w:val="left"/>
              <w:rPr>
                <w:rFonts w:hint="eastAsia" w:cs="Times New Roman"/>
                <w:color w:val="auto"/>
                <w:highlight w:val="none"/>
                <w:lang w:val="en-US" w:eastAsia="zh-CN"/>
              </w:rPr>
            </w:pPr>
            <w:r>
              <w:rPr>
                <w:rFonts w:hint="eastAsia" w:cs="Times New Roman"/>
                <w:color w:val="auto"/>
                <w:highlight w:val="none"/>
                <w:lang w:val="en-US" w:eastAsia="zh-CN"/>
              </w:rPr>
              <w:t>2.风机吊装平台</w:t>
            </w:r>
          </w:p>
          <w:p>
            <w:pPr>
              <w:pStyle w:val="50"/>
              <w:bidi w:val="0"/>
              <w:jc w:val="left"/>
              <w:rPr>
                <w:rFonts w:hint="eastAsia" w:cs="Times New Roman"/>
                <w:color w:val="auto"/>
                <w:highlight w:val="none"/>
                <w:lang w:val="en-US" w:eastAsia="zh-CN"/>
              </w:rPr>
            </w:pPr>
            <w:r>
              <w:rPr>
                <w:rFonts w:hint="eastAsia" w:cs="Times New Roman"/>
                <w:color w:val="auto"/>
                <w:highlight w:val="none"/>
                <w:lang w:val="en-US" w:eastAsia="zh-CN"/>
              </w:rPr>
              <w:t>本项目设置风机吊装平台8处</w:t>
            </w:r>
            <w:r>
              <w:rPr>
                <w:rFonts w:hint="eastAsia" w:cs="Times New Roman"/>
                <w:b w:val="0"/>
                <w:bCs/>
                <w:snapToGrid w:val="0"/>
                <w:color w:val="auto"/>
                <w:kern w:val="0"/>
                <w:sz w:val="24"/>
                <w:szCs w:val="24"/>
                <w:highlight w:val="none"/>
                <w:lang w:val="en-US" w:eastAsia="zh-CN"/>
              </w:rPr>
              <w:t>（含组装临时用地）</w:t>
            </w:r>
            <w:r>
              <w:rPr>
                <w:rFonts w:hint="eastAsia" w:cs="Times New Roman"/>
                <w:color w:val="auto"/>
                <w:sz w:val="24"/>
                <w:szCs w:val="24"/>
                <w:highlight w:val="none"/>
                <w:lang w:val="en-US" w:eastAsia="zh-CN"/>
              </w:rPr>
              <w:t>，</w:t>
            </w:r>
            <w:r>
              <w:rPr>
                <w:rFonts w:hint="eastAsia" w:cs="Times New Roman"/>
                <w:color w:val="auto"/>
                <w:highlight w:val="none"/>
                <w:lang w:val="en-US" w:eastAsia="zh-CN"/>
              </w:rPr>
              <w:t>占地共计为24000m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占地类型为天然牧草地，施工期结束后，恢复为原地貌，项目所在区域周边无自然保护区、风景名胜区、重点文物保护区、饮用水源保护区、森林公园等敏感区分布。根据《国家电投中卫香山49.8MW分散式风电项目可行性研究报告》中“5.2.3风机布置及微观选址”章节可知，本项目从风资源利用、地形地质条件、土地性质、敏感性因素等方面对各机位的可行性进行分析判断。根据现场踏勘了解，场址范围内敏感性因素主要有架空输电线路、通信塔台、居民村庄等。综合考虑平台、道路工程量、道路涉生态红线、发电量偏低等因素，选择本项目的风机机组8个点位，本项目所选的8个机组点位其中有4个位于二级保护植物蒙古扁桃的分布区域内，风机吊装平台均位于风机机组选址点位附近，结合现场踏勘调查，4个机组选址点位的施工范围内（含风机吊装平台占地）无蒙古扁桃分布，仅评价区域内涉及蒙古扁桃零散分布，在采取相应措施后，不会对评价范围内分布的蒙古扁桃产生影响。本项目本身为风力发电工程，产生的生态环境、噪声环境及固体废物影响较小，施工结束后，各项影响将随之消失。因此风机吊装平台选址合理。</w:t>
            </w:r>
          </w:p>
          <w:p>
            <w:pPr>
              <w:pStyle w:val="50"/>
              <w:bidi w:val="0"/>
              <w:jc w:val="left"/>
              <w:rPr>
                <w:rFonts w:hint="eastAsia" w:cs="Times New Roman"/>
                <w:color w:val="auto"/>
                <w:highlight w:val="none"/>
                <w:lang w:val="en-US" w:eastAsia="zh-CN"/>
              </w:rPr>
            </w:pPr>
            <w:r>
              <w:rPr>
                <w:rFonts w:hint="eastAsia" w:cs="Times New Roman"/>
                <w:color w:val="auto"/>
                <w:highlight w:val="none"/>
                <w:lang w:val="en-US" w:eastAsia="zh-CN"/>
              </w:rPr>
              <w:t>3.施工临时设施选址合理性</w:t>
            </w:r>
          </w:p>
          <w:p>
            <w:pPr>
              <w:pStyle w:val="50"/>
              <w:bidi w:val="0"/>
              <w:jc w:val="left"/>
              <w:rPr>
                <w:rFonts w:hint="eastAsia" w:cs="Times New Roman"/>
                <w:color w:val="auto"/>
                <w:highlight w:val="none"/>
                <w:lang w:val="en-US" w:eastAsia="zh-CN"/>
              </w:rPr>
            </w:pPr>
            <w:r>
              <w:rPr>
                <w:rFonts w:hint="eastAsia" w:cs="Times New Roman"/>
                <w:b w:val="0"/>
                <w:bCs w:val="0"/>
                <w:color w:val="auto"/>
                <w:highlight w:val="none"/>
                <w:lang w:val="en-US" w:eastAsia="zh-CN"/>
              </w:rPr>
              <w:t>根据工程施工特点和基地内风场施工经验，为满足本项目施工期要求，且</w:t>
            </w:r>
            <w:r>
              <w:rPr>
                <w:rFonts w:hint="eastAsia" w:ascii="Times New Roman" w:hAnsi="Times New Roman" w:eastAsia="仿宋" w:cs="Times New Roman"/>
                <w:b w:val="0"/>
                <w:bCs w:val="0"/>
                <w:color w:val="auto"/>
                <w:kern w:val="16"/>
                <w:sz w:val="24"/>
                <w:szCs w:val="24"/>
                <w:highlight w:val="none"/>
                <w:lang w:val="en-US" w:eastAsia="zh-CN" w:bidi="ar-SA"/>
              </w:rPr>
              <w:t>由于《国家电投集团中卫香山风电场1-3期“以大代小”150MW增容项目》暂未开工建设，其</w:t>
            </w:r>
            <w:r>
              <w:rPr>
                <w:rFonts w:hint="default" w:ascii="Times New Roman" w:hAnsi="Times New Roman" w:eastAsia="仿宋" w:cs="Times New Roman"/>
                <w:b w:val="0"/>
                <w:bCs w:val="0"/>
                <w:color w:val="auto"/>
                <w:kern w:val="16"/>
                <w:sz w:val="24"/>
                <w:szCs w:val="24"/>
                <w:highlight w:val="none"/>
                <w:lang w:val="en-US" w:eastAsia="zh-CN" w:bidi="ar-SA"/>
              </w:rPr>
              <w:t>施工场地</w:t>
            </w:r>
            <w:r>
              <w:rPr>
                <w:rFonts w:hint="eastAsia" w:ascii="Times New Roman" w:hAnsi="Times New Roman" w:eastAsia="仿宋" w:cs="Times New Roman"/>
                <w:b w:val="0"/>
                <w:bCs w:val="0"/>
                <w:color w:val="auto"/>
                <w:kern w:val="16"/>
                <w:sz w:val="24"/>
                <w:szCs w:val="24"/>
                <w:highlight w:val="none"/>
                <w:lang w:val="en-US" w:eastAsia="zh-CN" w:bidi="ar-SA"/>
              </w:rPr>
              <w:t>设置在升压站旁，</w:t>
            </w:r>
            <w:r>
              <w:rPr>
                <w:rFonts w:hint="eastAsia" w:eastAsia="仿宋" w:cs="Times New Roman"/>
                <w:b w:val="0"/>
                <w:bCs w:val="0"/>
                <w:color w:val="auto"/>
                <w:kern w:val="16"/>
                <w:sz w:val="24"/>
                <w:szCs w:val="24"/>
                <w:highlight w:val="none"/>
                <w:lang w:val="en-US" w:eastAsia="zh-CN" w:bidi="ar-SA"/>
              </w:rPr>
              <w:t>且此项目计划开工早于本项目，</w:t>
            </w:r>
            <w:r>
              <w:rPr>
                <w:rFonts w:hint="eastAsia" w:cs="Times New Roman"/>
                <w:color w:val="auto"/>
                <w:highlight w:val="none"/>
                <w:lang w:val="en-US" w:eastAsia="zh-CN"/>
              </w:rPr>
              <w:t>要求在本项目运行前建设完成，</w:t>
            </w:r>
            <w:r>
              <w:rPr>
                <w:rFonts w:hint="eastAsia" w:eastAsia="仿宋" w:cs="Times New Roman"/>
                <w:b w:val="0"/>
                <w:bCs w:val="0"/>
                <w:color w:val="auto"/>
                <w:kern w:val="16"/>
                <w:sz w:val="24"/>
                <w:szCs w:val="24"/>
                <w:highlight w:val="none"/>
                <w:lang w:val="en-US" w:eastAsia="zh-CN" w:bidi="ar-SA"/>
              </w:rPr>
              <w:t>符合要求，因此，</w:t>
            </w:r>
            <w:r>
              <w:rPr>
                <w:rFonts w:hint="eastAsia" w:ascii="Times New Roman" w:hAnsi="Times New Roman" w:eastAsia="仿宋" w:cs="Times New Roman"/>
                <w:b w:val="0"/>
                <w:bCs w:val="0"/>
                <w:color w:val="auto"/>
                <w:kern w:val="16"/>
                <w:sz w:val="24"/>
                <w:szCs w:val="24"/>
                <w:highlight w:val="none"/>
                <w:lang w:val="en-US" w:eastAsia="zh-CN" w:bidi="ar-SA"/>
              </w:rPr>
              <w:t>本项目</w:t>
            </w:r>
            <w:r>
              <w:rPr>
                <w:rFonts w:hint="default" w:ascii="Times New Roman" w:hAnsi="Times New Roman" w:eastAsia="仿宋" w:cs="Times New Roman"/>
                <w:b w:val="0"/>
                <w:bCs w:val="0"/>
                <w:color w:val="auto"/>
                <w:kern w:val="16"/>
                <w:sz w:val="24"/>
                <w:szCs w:val="24"/>
                <w:highlight w:val="none"/>
                <w:lang w:val="en-US" w:eastAsia="zh-CN" w:bidi="ar-SA"/>
              </w:rPr>
              <w:t>施工场地</w:t>
            </w:r>
            <w:r>
              <w:rPr>
                <w:rFonts w:hint="eastAsia" w:ascii="Times New Roman" w:hAnsi="Times New Roman" w:eastAsia="仿宋" w:cs="Times New Roman"/>
                <w:b w:val="0"/>
                <w:bCs w:val="0"/>
                <w:color w:val="auto"/>
                <w:kern w:val="16"/>
                <w:sz w:val="24"/>
                <w:szCs w:val="24"/>
                <w:highlight w:val="none"/>
                <w:lang w:val="en-US" w:eastAsia="zh-CN" w:bidi="ar-SA"/>
              </w:rPr>
              <w:t>可</w:t>
            </w:r>
            <w:r>
              <w:rPr>
                <w:rFonts w:hint="eastAsia" w:eastAsia="仿宋" w:cs="Times New Roman"/>
                <w:b w:val="0"/>
                <w:bCs w:val="0"/>
                <w:color w:val="auto"/>
                <w:kern w:val="16"/>
                <w:sz w:val="24"/>
                <w:szCs w:val="24"/>
                <w:highlight w:val="none"/>
                <w:lang w:val="en-US" w:eastAsia="zh-CN" w:bidi="ar-SA"/>
              </w:rPr>
              <w:t>完全</w:t>
            </w:r>
            <w:r>
              <w:rPr>
                <w:rFonts w:hint="eastAsia" w:ascii="Times New Roman" w:hAnsi="Times New Roman" w:eastAsia="仿宋" w:cs="Times New Roman"/>
                <w:b w:val="0"/>
                <w:bCs w:val="0"/>
                <w:color w:val="auto"/>
                <w:kern w:val="16"/>
                <w:sz w:val="24"/>
                <w:szCs w:val="24"/>
                <w:highlight w:val="none"/>
                <w:lang w:val="en-US" w:eastAsia="zh-CN" w:bidi="ar-SA"/>
              </w:rPr>
              <w:t>依托《国家电投集团中卫香山风电场1-3期“以大代小”150MW增容项目》进行</w:t>
            </w:r>
            <w:r>
              <w:rPr>
                <w:rFonts w:hint="eastAsia" w:cs="Times New Roman"/>
                <w:color w:val="auto"/>
                <w:highlight w:val="none"/>
                <w:lang w:val="en-US" w:eastAsia="zh-CN"/>
              </w:rPr>
              <w:t>，施工期结束后，要求恢复为原地貌，项目所在区域周边无自然保护区、风景名胜区、重点文物保护区、饮用水源保护区、森林公园等敏感区分布，结合现场踏勘调查，施工临时设施的施工范围内无蒙古扁桃分布，仅评价区域内涉及蒙古扁桃零散分布，在采取相应措施后，不会对评价范围内分布的蒙古扁桃产生影响。本项目本身为风力发电工程，产生的生态环境、噪声环境及固体废物影响较小，施工结束后，各项影响将随之消失。因此施工临时设施选址合理。</w:t>
            </w:r>
          </w:p>
          <w:p>
            <w:pPr>
              <w:pStyle w:val="50"/>
              <w:bidi w:val="0"/>
              <w:ind w:left="0" w:leftChars="0" w:firstLine="0" w:firstLineChars="0"/>
              <w:jc w:val="left"/>
              <w:rPr>
                <w:rFonts w:hint="eastAsia" w:cs="Times New Roman"/>
                <w:color w:val="auto"/>
                <w:highlight w:val="none"/>
                <w:lang w:val="en-US" w:eastAsia="zh-CN"/>
              </w:rPr>
            </w:pPr>
          </w:p>
          <w:p>
            <w:pPr>
              <w:pStyle w:val="50"/>
              <w:bidi w:val="0"/>
              <w:jc w:val="center"/>
              <w:rPr>
                <w:rFonts w:hint="default" w:ascii="Times New Roman" w:hAnsi="Times New Roman" w:cs="Times New Roman"/>
                <w:color w:val="auto"/>
                <w:highlight w:val="none"/>
                <w:lang w:val="en-US" w:eastAsia="zh-CN"/>
              </w:rPr>
            </w:pPr>
          </w:p>
        </w:tc>
      </w:tr>
    </w:tbl>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五、主要生态环境保护措施</w:t>
      </w:r>
    </w:p>
    <w:tbl>
      <w:tblPr>
        <w:tblStyle w:val="28"/>
        <w:tblW w:w="93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8"/>
        <w:gridCol w:w="86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72" w:hRule="atLeast"/>
          <w:jc w:val="center"/>
        </w:trPr>
        <w:tc>
          <w:tcPr>
            <w:tcW w:w="738" w:type="dxa"/>
            <w:vAlign w:val="center"/>
          </w:tcPr>
          <w:p>
            <w:pPr>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施工期生态环境保护措施</w:t>
            </w:r>
          </w:p>
        </w:tc>
        <w:tc>
          <w:tcPr>
            <w:tcW w:w="8616" w:type="dxa"/>
            <w:vMerge w:val="restart"/>
            <w:vAlign w:val="center"/>
          </w:tcPr>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1.施工期生态环境保护措施</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1.1设计阶段生态保护措施</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风电项目建设区域占地范围较广，但风机实际占地及地表扰动面积相对较小，对建设区域的物种组成及生态群落构成基本不会造成影响。风电场对当地生态系统的直接影响主要体现在对鸟类的影响上，并通过食物链的作用间接影响啮齿动物及草场上的各类植物，因此，为减小风电场对整个生态系统的影响，需要从设计阶段就考虑对鸟类栖息环境及生态系统的影响。设计阶段又可分为风电场的选址、风机和线路布置、风机选型等几个方面。</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（1）风电场选址</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在风电场选址时，应避免在高密度鸟类活动区域（繁殖地、越冬地、大量水禽聚集湿地等）建立风电场，防止造成鸟类的大量伤亡。避免在高山雉类、大型猛禽等濒危保护物种的活动区域，例如水源地、繁殖地、夜宿地以及它们之间的过道上建设风电场。远离原始完好的鸟类栖息地，不能对大面积连续的鸟类栖息地进行分割，应充分利用人类已开发使用的土地。本项目建设区域不涉及鸟类繁殖地、越冬地、夜宿地等，对鸟类影响较小。</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（2）风机和施工场地布置</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在风机布置方面，应根据地形布置风电机，避免垂直与鸟类</w:t>
            </w:r>
            <w:r>
              <w:rPr>
                <w:rFonts w:hint="eastAsia" w:cs="Times New Roman"/>
                <w:b w:val="0"/>
                <w:bCs w:val="0"/>
                <w:color w:val="auto"/>
                <w:highlight w:val="none"/>
                <w:lang w:val="en-US" w:eastAsia="zh-CN"/>
              </w:rPr>
              <w:t>迁徙</w:t>
            </w:r>
            <w:r>
              <w:rPr>
                <w:rFonts w:hint="default" w:ascii="Times New Roman" w:hAnsi="Times New Roman" w:cs="Times New Roman"/>
                <w:b w:val="0"/>
                <w:bCs w:val="0"/>
                <w:color w:val="auto"/>
                <w:highlight w:val="none"/>
                <w:lang w:val="en-US" w:eastAsia="zh-CN"/>
              </w:rPr>
              <w:t>通道单排布置风机，因为这样会成为迁徙鸟类飞行的障碍。本区域不在鸟类迁徙通道上，因此对迁徙鸟类影响较小。本项目施工道路尽可能利用现有道路，施工临时设施占地满足施工需求，严格控制施工场地的范围，符合节约用地的要求。</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（3）风机选型</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在风机选型方面，建议选用高度相对较低的风电机组。为了减小对夜行性鸟类的吸引，不扰乱夜间迁徙鸟类的迁徙活动，风电机机身上不宜设光源，而且要安装尽可能少的灯，亮度也尽可能小，闪烁次数也尽可能小。鸟类是人类生存环境的重要组成部分，它对维持生态环境的平衡起着重要作用。风电场对鸟类的保护方面主要应在设计阶段考虑，建议建设单位在下一阶段进一步咨询当地林业及农业部门，多走访当地鸟类专家，了解本地鸟类及迁徙候鸟的生活习性，科学地布置风机，才能有效地保护该地区的鸟类及其生存环境。</w:t>
            </w:r>
          </w:p>
          <w:p>
            <w:pPr>
              <w:pStyle w:val="50"/>
              <w:bidi w:val="0"/>
              <w:ind w:left="0" w:leftChars="0" w:firstLine="481" w:firstLineChars="20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1.2</w:t>
            </w:r>
            <w:r>
              <w:rPr>
                <w:rFonts w:hint="default" w:ascii="Times New Roman" w:hAnsi="Times New Roman" w:cs="Times New Roman"/>
                <w:b/>
                <w:bCs/>
                <w:color w:val="auto"/>
                <w:highlight w:val="none"/>
                <w:lang w:val="en-US" w:eastAsia="zh-CN"/>
              </w:rPr>
              <w:t>施工保护措施</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本项目的实施必将对项目建设区域的生态环境产生一定的影响，按照《环境影响评价技术导则</w:t>
            </w:r>
            <w:r>
              <w:rPr>
                <w:rFonts w:hint="eastAsia" w:cs="Times New Roman"/>
                <w:b w:val="0"/>
                <w:bCs w:val="0"/>
                <w:color w:val="auto"/>
                <w:highlight w:val="none"/>
                <w:lang w:val="en-US" w:eastAsia="zh-CN"/>
              </w:rPr>
              <w:t xml:space="preserve"> </w:t>
            </w:r>
            <w:r>
              <w:rPr>
                <w:rFonts w:hint="default" w:ascii="Times New Roman" w:hAnsi="Times New Roman" w:cs="Times New Roman"/>
                <w:b w:val="0"/>
                <w:bCs w:val="0"/>
                <w:color w:val="auto"/>
                <w:highlight w:val="none"/>
                <w:lang w:val="en-US" w:eastAsia="zh-CN"/>
              </w:rPr>
              <w:t>生态影响》中生态恢复的原则，对于可能出现的生态问题，其优先次序应遵循“避让→减缓→修复和补偿”的顺序，能避让的尽量避让，对不能避让的情况则采取措施减缓，减缓不能生效的，就应有必要的补偿和重建方案。尽可能在最大程度上避让潜在的不利生态影响。本项目充分考虑了周边环境敏感区的分布，避让了自然保护区、风景名胜区、生态保护红线等环境敏感区；在保护减缓方面，施工过程中采取了限定施工范围、铺设下垫等措施，尽量减轻对植被的破坏；在恢复方面，施工结束后将对临时占地进行植被恢复，确保项目建设对生态影响的程度降至最小。</w:t>
            </w:r>
          </w:p>
          <w:p>
            <w:pPr>
              <w:pStyle w:val="50"/>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1</w:t>
            </w:r>
            <w:r>
              <w:rPr>
                <w:rFonts w:hint="default" w:ascii="Times New Roman" w:hAnsi="Times New Roman" w:cs="Times New Roman"/>
                <w:b/>
                <w:bCs/>
                <w:color w:val="auto"/>
                <w:highlight w:val="none"/>
                <w:lang w:val="en-US" w:eastAsia="zh-CN"/>
              </w:rPr>
              <w:t>）</w:t>
            </w:r>
            <w:r>
              <w:rPr>
                <w:rFonts w:hint="eastAsia" w:cs="Times New Roman"/>
                <w:b/>
                <w:bCs/>
                <w:color w:val="auto"/>
                <w:highlight w:val="none"/>
                <w:lang w:val="en-US" w:eastAsia="zh-CN"/>
              </w:rPr>
              <w:t>总体措施</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fldChar w:fldCharType="begin"/>
            </w:r>
            <w:r>
              <w:rPr>
                <w:rFonts w:hint="default" w:ascii="Times New Roman" w:hAnsi="Times New Roman" w:cs="Times New Roman"/>
                <w:b w:val="0"/>
                <w:bCs w:val="0"/>
                <w:color w:val="auto"/>
                <w:highlight w:val="none"/>
                <w:lang w:val="en-US" w:eastAsia="zh-CN"/>
              </w:rPr>
              <w:instrText xml:space="preserve"> = 1 \* GB3 </w:instrText>
            </w:r>
            <w:r>
              <w:rPr>
                <w:rFonts w:hint="default" w:ascii="Times New Roman" w:hAnsi="Times New Roman" w:cs="Times New Roman"/>
                <w:b w:val="0"/>
                <w:bCs w:val="0"/>
                <w:color w:val="auto"/>
                <w:highlight w:val="none"/>
                <w:lang w:val="en-US" w:eastAsia="zh-CN"/>
              </w:rPr>
              <w:fldChar w:fldCharType="separate"/>
            </w:r>
            <w:r>
              <w:rPr>
                <w:rFonts w:hint="default" w:ascii="Times New Roman" w:hAnsi="Times New Roman" w:cs="Times New Roman"/>
                <w:b w:val="0"/>
                <w:bCs w:val="0"/>
                <w:color w:val="auto"/>
                <w:highlight w:val="none"/>
                <w:lang w:val="en-US" w:eastAsia="zh-CN"/>
              </w:rPr>
              <w:t>①</w:t>
            </w:r>
            <w:r>
              <w:rPr>
                <w:rFonts w:hint="default" w:ascii="Times New Roman" w:hAnsi="Times New Roman" w:cs="Times New Roman"/>
                <w:b w:val="0"/>
                <w:bCs w:val="0"/>
                <w:color w:val="auto"/>
                <w:highlight w:val="none"/>
                <w:lang w:val="en-US" w:eastAsia="zh-CN"/>
              </w:rPr>
              <w:fldChar w:fldCharType="end"/>
            </w:r>
            <w:r>
              <w:rPr>
                <w:rFonts w:hint="default" w:ascii="Times New Roman" w:hAnsi="Times New Roman" w:cs="Times New Roman"/>
                <w:b w:val="0"/>
                <w:bCs w:val="0"/>
                <w:color w:val="auto"/>
                <w:highlight w:val="none"/>
                <w:lang w:val="en-US" w:eastAsia="zh-CN"/>
              </w:rPr>
              <w:t>生态保护意识教育</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根据《中华人民共和国野生动物保护法》、《中华人民共和国野生植物保护条例》等法律法规，加强对施工人员的环境保护意识教育，要求文明施工，不得滥采滥挖滥伐，不得捡拾鸟卵、捕捉野生动物及其幼体等。</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fldChar w:fldCharType="begin"/>
            </w:r>
            <w:r>
              <w:rPr>
                <w:rFonts w:hint="default" w:ascii="Times New Roman" w:hAnsi="Times New Roman" w:cs="Times New Roman"/>
                <w:b w:val="0"/>
                <w:bCs w:val="0"/>
                <w:color w:val="auto"/>
                <w:highlight w:val="none"/>
                <w:lang w:val="en-US" w:eastAsia="zh-CN"/>
              </w:rPr>
              <w:instrText xml:space="preserve"> = 2 \* GB3 </w:instrText>
            </w:r>
            <w:r>
              <w:rPr>
                <w:rFonts w:hint="default" w:ascii="Times New Roman" w:hAnsi="Times New Roman" w:cs="Times New Roman"/>
                <w:b w:val="0"/>
                <w:bCs w:val="0"/>
                <w:color w:val="auto"/>
                <w:highlight w:val="none"/>
                <w:lang w:val="en-US" w:eastAsia="zh-CN"/>
              </w:rPr>
              <w:fldChar w:fldCharType="separate"/>
            </w:r>
            <w:r>
              <w:rPr>
                <w:rFonts w:hint="default" w:ascii="Times New Roman" w:hAnsi="Times New Roman" w:cs="Times New Roman"/>
                <w:b w:val="0"/>
                <w:bCs w:val="0"/>
                <w:color w:val="auto"/>
                <w:highlight w:val="none"/>
                <w:lang w:val="en-US" w:eastAsia="zh-CN"/>
              </w:rPr>
              <w:t>②</w:t>
            </w:r>
            <w:r>
              <w:rPr>
                <w:rFonts w:hint="default" w:ascii="Times New Roman" w:hAnsi="Times New Roman" w:cs="Times New Roman"/>
                <w:b w:val="0"/>
                <w:bCs w:val="0"/>
                <w:color w:val="auto"/>
                <w:highlight w:val="none"/>
                <w:lang w:val="en-US" w:eastAsia="zh-CN"/>
              </w:rPr>
              <w:fldChar w:fldCharType="end"/>
            </w:r>
            <w:r>
              <w:rPr>
                <w:rFonts w:hint="default" w:ascii="Times New Roman" w:hAnsi="Times New Roman" w:cs="Times New Roman"/>
                <w:b w:val="0"/>
                <w:bCs w:val="0"/>
                <w:color w:val="auto"/>
                <w:highlight w:val="none"/>
                <w:lang w:val="en-US" w:eastAsia="zh-CN"/>
              </w:rPr>
              <w:t>划定施工范围</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根据项目施工点位，划定施工范围，禁止随意扩展施工范围。</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fldChar w:fldCharType="begin"/>
            </w:r>
            <w:r>
              <w:rPr>
                <w:rFonts w:hint="default" w:ascii="Times New Roman" w:hAnsi="Times New Roman" w:cs="Times New Roman"/>
                <w:b w:val="0"/>
                <w:bCs w:val="0"/>
                <w:color w:val="auto"/>
                <w:highlight w:val="none"/>
                <w:lang w:val="en-US" w:eastAsia="zh-CN"/>
              </w:rPr>
              <w:instrText xml:space="preserve"> = 3 \* GB3 </w:instrText>
            </w:r>
            <w:r>
              <w:rPr>
                <w:rFonts w:hint="default" w:ascii="Times New Roman" w:hAnsi="Times New Roman" w:cs="Times New Roman"/>
                <w:b w:val="0"/>
                <w:bCs w:val="0"/>
                <w:color w:val="auto"/>
                <w:highlight w:val="none"/>
                <w:lang w:val="en-US" w:eastAsia="zh-CN"/>
              </w:rPr>
              <w:fldChar w:fldCharType="separate"/>
            </w:r>
            <w:r>
              <w:rPr>
                <w:rFonts w:hint="default" w:ascii="Times New Roman" w:hAnsi="Times New Roman" w:cs="Times New Roman"/>
                <w:b w:val="0"/>
                <w:bCs w:val="0"/>
                <w:color w:val="auto"/>
                <w:highlight w:val="none"/>
                <w:lang w:val="en-US" w:eastAsia="zh-CN"/>
              </w:rPr>
              <w:t>③</w:t>
            </w:r>
            <w:r>
              <w:rPr>
                <w:rFonts w:hint="default" w:ascii="Times New Roman" w:hAnsi="Times New Roman" w:cs="Times New Roman"/>
                <w:b w:val="0"/>
                <w:bCs w:val="0"/>
                <w:color w:val="auto"/>
                <w:highlight w:val="none"/>
                <w:lang w:val="en-US" w:eastAsia="zh-CN"/>
              </w:rPr>
              <w:fldChar w:fldCharType="end"/>
            </w:r>
            <w:r>
              <w:rPr>
                <w:rFonts w:hint="default" w:ascii="Times New Roman" w:hAnsi="Times New Roman" w:cs="Times New Roman"/>
                <w:b w:val="0"/>
                <w:bCs w:val="0"/>
                <w:color w:val="auto"/>
                <w:highlight w:val="none"/>
                <w:lang w:val="en-US" w:eastAsia="zh-CN"/>
              </w:rPr>
              <w:t>施工组织方式优化</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合理安排工期，避免大风及暴雨天气施工，提高施工效率，缩短施工时间，减少生态影响；可根据天气情况及时调整施工工序，工序布设紧凑合理，避免因工序安排不当而造成大面积地表裸露，将水土流失控制在最小程度。</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fldChar w:fldCharType="begin"/>
            </w:r>
            <w:r>
              <w:rPr>
                <w:rFonts w:hint="default" w:ascii="Times New Roman" w:hAnsi="Times New Roman" w:cs="Times New Roman"/>
                <w:b w:val="0"/>
                <w:bCs w:val="0"/>
                <w:color w:val="auto"/>
                <w:highlight w:val="none"/>
                <w:lang w:val="en-US" w:eastAsia="zh-CN"/>
              </w:rPr>
              <w:instrText xml:space="preserve"> = 4 \* GB3 </w:instrText>
            </w:r>
            <w:r>
              <w:rPr>
                <w:rFonts w:hint="default" w:ascii="Times New Roman" w:hAnsi="Times New Roman" w:cs="Times New Roman"/>
                <w:b w:val="0"/>
                <w:bCs w:val="0"/>
                <w:color w:val="auto"/>
                <w:highlight w:val="none"/>
                <w:lang w:val="en-US" w:eastAsia="zh-CN"/>
              </w:rPr>
              <w:fldChar w:fldCharType="separate"/>
            </w:r>
            <w:r>
              <w:rPr>
                <w:rFonts w:hint="default" w:ascii="Times New Roman" w:hAnsi="Times New Roman" w:cs="Times New Roman"/>
                <w:b w:val="0"/>
                <w:bCs w:val="0"/>
                <w:color w:val="auto"/>
                <w:highlight w:val="none"/>
                <w:lang w:val="en-US" w:eastAsia="zh-CN"/>
              </w:rPr>
              <w:t>④</w:t>
            </w:r>
            <w:r>
              <w:rPr>
                <w:rFonts w:hint="default" w:ascii="Times New Roman" w:hAnsi="Times New Roman" w:cs="Times New Roman"/>
                <w:b w:val="0"/>
                <w:bCs w:val="0"/>
                <w:color w:val="auto"/>
                <w:highlight w:val="none"/>
                <w:lang w:val="en-US" w:eastAsia="zh-CN"/>
              </w:rPr>
              <w:fldChar w:fldCharType="end"/>
            </w:r>
            <w:r>
              <w:rPr>
                <w:rFonts w:hint="default" w:ascii="Times New Roman" w:hAnsi="Times New Roman" w:cs="Times New Roman"/>
                <w:b w:val="0"/>
                <w:bCs w:val="0"/>
                <w:color w:val="auto"/>
                <w:highlight w:val="none"/>
                <w:lang w:val="en-US" w:eastAsia="zh-CN"/>
              </w:rPr>
              <w:t>加强施工人员管理</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加强施工人员管理，禁止施工人员打猎、捡拾鸟卵。</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fldChar w:fldCharType="begin"/>
            </w:r>
            <w:r>
              <w:rPr>
                <w:rFonts w:hint="default" w:ascii="Times New Roman" w:hAnsi="Times New Roman" w:cs="Times New Roman"/>
                <w:b w:val="0"/>
                <w:bCs w:val="0"/>
                <w:color w:val="auto"/>
                <w:highlight w:val="none"/>
                <w:lang w:val="en-US" w:eastAsia="zh-CN"/>
              </w:rPr>
              <w:instrText xml:space="preserve"> = 5 \* GB3 </w:instrText>
            </w:r>
            <w:r>
              <w:rPr>
                <w:rFonts w:hint="default" w:ascii="Times New Roman" w:hAnsi="Times New Roman" w:cs="Times New Roman"/>
                <w:b w:val="0"/>
                <w:bCs w:val="0"/>
                <w:color w:val="auto"/>
                <w:highlight w:val="none"/>
                <w:lang w:val="en-US" w:eastAsia="zh-CN"/>
              </w:rPr>
              <w:fldChar w:fldCharType="separate"/>
            </w:r>
            <w:r>
              <w:rPr>
                <w:rFonts w:hint="default" w:ascii="Times New Roman" w:hAnsi="Times New Roman" w:cs="Times New Roman"/>
                <w:b w:val="0"/>
                <w:bCs w:val="0"/>
                <w:color w:val="auto"/>
                <w:highlight w:val="none"/>
                <w:lang w:val="en-US" w:eastAsia="zh-CN"/>
              </w:rPr>
              <w:t>⑤</w:t>
            </w:r>
            <w:r>
              <w:rPr>
                <w:rFonts w:hint="default" w:ascii="Times New Roman" w:hAnsi="Times New Roman" w:cs="Times New Roman"/>
                <w:b w:val="0"/>
                <w:bCs w:val="0"/>
                <w:color w:val="auto"/>
                <w:highlight w:val="none"/>
                <w:lang w:val="en-US" w:eastAsia="zh-CN"/>
              </w:rPr>
              <w:fldChar w:fldCharType="end"/>
            </w:r>
            <w:r>
              <w:rPr>
                <w:rFonts w:hint="default" w:ascii="Times New Roman" w:hAnsi="Times New Roman" w:cs="Times New Roman"/>
                <w:b w:val="0"/>
                <w:bCs w:val="0"/>
                <w:color w:val="auto"/>
                <w:highlight w:val="none"/>
                <w:lang w:val="en-US" w:eastAsia="zh-CN"/>
              </w:rPr>
              <w:t>定期清理污染物</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施工时，污染物排放不得超过国家和地方规定的污染物排放标准，定期安排人员收集垃圾和废污水，禁止向水域排放废污水、扔垃圾等。施工现场使用带油料的机械器具，应采取措施防止油料跑、冒、滴、漏，防止对土壤和水体造成污染。</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fldChar w:fldCharType="begin"/>
            </w:r>
            <w:r>
              <w:rPr>
                <w:rFonts w:hint="default" w:ascii="Times New Roman" w:hAnsi="Times New Roman" w:cs="Times New Roman"/>
                <w:b w:val="0"/>
                <w:bCs w:val="0"/>
                <w:color w:val="auto"/>
                <w:highlight w:val="none"/>
                <w:lang w:val="en-US" w:eastAsia="zh-CN"/>
              </w:rPr>
              <w:instrText xml:space="preserve"> = 6 \* GB3 </w:instrText>
            </w:r>
            <w:r>
              <w:rPr>
                <w:rFonts w:hint="default" w:ascii="Times New Roman" w:hAnsi="Times New Roman" w:cs="Times New Roman"/>
                <w:b w:val="0"/>
                <w:bCs w:val="0"/>
                <w:color w:val="auto"/>
                <w:highlight w:val="none"/>
                <w:lang w:val="en-US" w:eastAsia="zh-CN"/>
              </w:rPr>
              <w:fldChar w:fldCharType="separate"/>
            </w:r>
            <w:r>
              <w:rPr>
                <w:rFonts w:hint="default" w:ascii="Times New Roman" w:hAnsi="Times New Roman" w:cs="Times New Roman"/>
                <w:b w:val="0"/>
                <w:bCs w:val="0"/>
                <w:color w:val="auto"/>
                <w:highlight w:val="none"/>
                <w:lang w:val="en-US" w:eastAsia="zh-CN"/>
              </w:rPr>
              <w:t>⑥</w:t>
            </w:r>
            <w:r>
              <w:rPr>
                <w:rFonts w:hint="default" w:ascii="Times New Roman" w:hAnsi="Times New Roman" w:cs="Times New Roman"/>
                <w:b w:val="0"/>
                <w:bCs w:val="0"/>
                <w:color w:val="auto"/>
                <w:highlight w:val="none"/>
                <w:lang w:val="en-US" w:eastAsia="zh-CN"/>
              </w:rPr>
              <w:fldChar w:fldCharType="end"/>
            </w:r>
            <w:r>
              <w:rPr>
                <w:rFonts w:hint="default" w:ascii="Times New Roman" w:hAnsi="Times New Roman" w:cs="Times New Roman"/>
                <w:b w:val="0"/>
                <w:bCs w:val="0"/>
                <w:color w:val="auto"/>
                <w:highlight w:val="none"/>
                <w:lang w:val="en-US" w:eastAsia="zh-CN"/>
              </w:rPr>
              <w:t>加强植被恢复措施</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项目施工应当尽量减少破坏植被；临时占地施工结束后应恢复原地貌和植被。</w:t>
            </w:r>
          </w:p>
          <w:p>
            <w:pPr>
              <w:pStyle w:val="50"/>
              <w:bidi w:val="0"/>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2</w:t>
            </w:r>
            <w:r>
              <w:rPr>
                <w:rFonts w:hint="default" w:ascii="Times New Roman" w:hAnsi="Times New Roman" w:cs="Times New Roman"/>
                <w:b/>
                <w:bCs/>
                <w:color w:val="auto"/>
                <w:highlight w:val="none"/>
                <w:lang w:val="en-US" w:eastAsia="zh-CN"/>
              </w:rPr>
              <w:t>）植被保护和恢复措施</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⑴避让措施</w:t>
            </w:r>
          </w:p>
          <w:p>
            <w:pPr>
              <w:pStyle w:val="50"/>
              <w:bidi w:val="0"/>
              <w:rPr>
                <w:rFonts w:hint="default" w:ascii="Times New Roman" w:hAnsi="Times New Roman" w:cs="Times New Roman"/>
                <w:b w:val="0"/>
                <w:bCs w:val="0"/>
                <w:color w:val="auto"/>
                <w:highlight w:val="none"/>
                <w:lang w:val="en-US" w:eastAsia="zh-CN"/>
              </w:rPr>
            </w:pPr>
            <w:r>
              <w:rPr>
                <w:rFonts w:hint="eastAsia" w:cs="Times New Roman"/>
                <w:color w:val="auto"/>
                <w:highlight w:val="none"/>
                <w:lang w:val="en-US" w:eastAsia="zh-CN"/>
              </w:rPr>
              <w:t>经现场踏勘调查，本项目施工区内未发现蒙古扁桃植株存在，评价区域内有零星分布</w:t>
            </w:r>
            <w:r>
              <w:rPr>
                <w:rFonts w:hint="default" w:ascii="Times New Roman" w:hAnsi="Times New Roman" w:cs="Times New Roman"/>
                <w:color w:val="auto"/>
                <w:highlight w:val="none"/>
                <w:lang w:val="en-US" w:eastAsia="zh-CN"/>
              </w:rPr>
              <w:t>，</w:t>
            </w:r>
            <w:r>
              <w:rPr>
                <w:rFonts w:hint="default" w:ascii="Times New Roman" w:hAnsi="Times New Roman" w:cs="Times New Roman"/>
                <w:b w:val="0"/>
                <w:bCs w:val="0"/>
                <w:color w:val="auto"/>
                <w:highlight w:val="none"/>
                <w:lang w:val="en-US" w:eastAsia="zh-CN"/>
              </w:rPr>
              <w:t>根据本项目的特点，建议以下生</w:t>
            </w:r>
            <w:r>
              <w:rPr>
                <w:rFonts w:hint="eastAsia" w:cs="Times New Roman"/>
                <w:b w:val="0"/>
                <w:bCs w:val="0"/>
                <w:color w:val="auto"/>
                <w:highlight w:val="none"/>
                <w:lang w:val="en-US" w:eastAsia="zh-CN"/>
              </w:rPr>
              <w:t>态</w:t>
            </w:r>
            <w:r>
              <w:rPr>
                <w:rFonts w:hint="default" w:ascii="Times New Roman" w:hAnsi="Times New Roman" w:cs="Times New Roman"/>
                <w:b w:val="0"/>
                <w:bCs w:val="0"/>
                <w:color w:val="auto"/>
                <w:highlight w:val="none"/>
                <w:lang w:val="en-US" w:eastAsia="zh-CN"/>
              </w:rPr>
              <w:t>影响的避免措施：</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①优化施工道路的布设，尽可能利用原有便道作施工道路。</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②对施工人员进行文明施工和环保知识培训，控制施工人员的活动范围，规定运输路线，不得踩踏野生植物、现有自然植被和人工植被。</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fldChar w:fldCharType="begin"/>
            </w:r>
            <w:r>
              <w:rPr>
                <w:rFonts w:hint="default" w:ascii="Times New Roman" w:hAnsi="Times New Roman" w:cs="Times New Roman"/>
                <w:b w:val="0"/>
                <w:bCs w:val="0"/>
                <w:color w:val="auto"/>
                <w:highlight w:val="none"/>
                <w:lang w:val="en-US" w:eastAsia="zh-CN"/>
              </w:rPr>
              <w:instrText xml:space="preserve"> = 3 \* GB3 \* MERGEFORMAT </w:instrText>
            </w:r>
            <w:r>
              <w:rPr>
                <w:rFonts w:hint="default" w:ascii="Times New Roman" w:hAnsi="Times New Roman" w:cs="Times New Roman"/>
                <w:b w:val="0"/>
                <w:bCs w:val="0"/>
                <w:color w:val="auto"/>
                <w:highlight w:val="none"/>
                <w:lang w:val="en-US" w:eastAsia="zh-CN"/>
              </w:rPr>
              <w:fldChar w:fldCharType="separate"/>
            </w:r>
            <w:r>
              <w:rPr>
                <w:rFonts w:hint="default" w:ascii="Times New Roman" w:hAnsi="Times New Roman" w:cs="Times New Roman"/>
                <w:b w:val="0"/>
                <w:bCs w:val="0"/>
                <w:color w:val="auto"/>
                <w:highlight w:val="none"/>
                <w:lang w:val="en-US" w:eastAsia="zh-CN"/>
              </w:rPr>
              <w:t>③</w:t>
            </w:r>
            <w:r>
              <w:rPr>
                <w:rFonts w:hint="default" w:ascii="Times New Roman" w:hAnsi="Times New Roman" w:cs="Times New Roman"/>
                <w:b w:val="0"/>
                <w:bCs w:val="0"/>
                <w:color w:val="auto"/>
                <w:highlight w:val="none"/>
                <w:lang w:val="en-US" w:eastAsia="zh-CN"/>
              </w:rPr>
              <w:fldChar w:fldCharType="end"/>
            </w:r>
            <w:r>
              <w:rPr>
                <w:rFonts w:hint="default" w:ascii="Times New Roman" w:hAnsi="Times New Roman" w:cs="Times New Roman"/>
                <w:b w:val="0"/>
                <w:bCs w:val="0"/>
                <w:color w:val="auto"/>
                <w:highlight w:val="none"/>
                <w:lang w:val="en-US" w:eastAsia="zh-CN"/>
              </w:rPr>
              <w:t>施工及监理方严格落实以上两条避免措施。</w:t>
            </w:r>
          </w:p>
          <w:p>
            <w:pPr>
              <w:pStyle w:val="50"/>
              <w:bidi w:val="0"/>
              <w:rPr>
                <w:rFonts w:hint="eastAsia" w:ascii="Times New Roman" w:hAnsi="Times New Roman" w:eastAsia="仿宋_GB2312"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④</w:t>
            </w:r>
            <w:r>
              <w:rPr>
                <w:rFonts w:hint="default" w:cs="Times New Roman"/>
                <w:color w:val="auto"/>
                <w:highlight w:val="none"/>
                <w:lang w:val="en-US" w:eastAsia="zh-CN"/>
              </w:rPr>
              <w:t>对于场址</w:t>
            </w:r>
            <w:r>
              <w:rPr>
                <w:rFonts w:hint="eastAsia" w:cs="Times New Roman"/>
                <w:color w:val="auto"/>
                <w:highlight w:val="none"/>
                <w:lang w:val="en-US" w:eastAsia="zh-CN"/>
              </w:rPr>
              <w:t>评价</w:t>
            </w:r>
            <w:r>
              <w:rPr>
                <w:rFonts w:hint="default" w:cs="Times New Roman"/>
                <w:color w:val="auto"/>
                <w:highlight w:val="none"/>
                <w:lang w:val="en-US" w:eastAsia="zh-CN"/>
              </w:rPr>
              <w:t>区域内出现的</w:t>
            </w:r>
            <w:r>
              <w:rPr>
                <w:rFonts w:hint="eastAsia" w:cs="Times New Roman"/>
                <w:color w:val="auto"/>
                <w:highlight w:val="none"/>
                <w:lang w:val="en-US" w:eastAsia="zh-CN"/>
              </w:rPr>
              <w:t>蒙古扁桃</w:t>
            </w:r>
            <w:r>
              <w:rPr>
                <w:rFonts w:hint="default" w:cs="Times New Roman"/>
                <w:color w:val="auto"/>
                <w:highlight w:val="none"/>
                <w:lang w:val="en-US" w:eastAsia="zh-CN"/>
              </w:rPr>
              <w:t>，</w:t>
            </w:r>
            <w:r>
              <w:rPr>
                <w:rFonts w:hint="eastAsia" w:cs="Times New Roman"/>
                <w:color w:val="auto"/>
                <w:highlight w:val="none"/>
                <w:lang w:val="en-US" w:eastAsia="zh-CN"/>
              </w:rPr>
              <w:t>采取对有蒙古扁桃分布的区域设置隔离网及警示标识，并</w:t>
            </w:r>
            <w:r>
              <w:rPr>
                <w:rFonts w:hint="default" w:cs="Times New Roman"/>
                <w:color w:val="auto"/>
                <w:highlight w:val="none"/>
                <w:lang w:val="en-US" w:eastAsia="zh-CN"/>
              </w:rPr>
              <w:t>加应强施工人员培训，使其识得</w:t>
            </w:r>
            <w:r>
              <w:rPr>
                <w:rFonts w:hint="eastAsia" w:cs="Times New Roman"/>
                <w:color w:val="auto"/>
                <w:highlight w:val="none"/>
                <w:lang w:val="en-US" w:eastAsia="zh-CN"/>
              </w:rPr>
              <w:t>蒙古扁桃</w:t>
            </w:r>
            <w:r>
              <w:rPr>
                <w:rFonts w:hint="default" w:cs="Times New Roman"/>
                <w:color w:val="auto"/>
                <w:highlight w:val="none"/>
                <w:lang w:val="en-US" w:eastAsia="zh-CN"/>
              </w:rPr>
              <w:t>，见到</w:t>
            </w:r>
            <w:r>
              <w:rPr>
                <w:rFonts w:hint="eastAsia" w:cs="Times New Roman"/>
                <w:color w:val="auto"/>
                <w:highlight w:val="none"/>
                <w:lang w:val="en-US" w:eastAsia="zh-CN"/>
              </w:rPr>
              <w:t>蒙古扁桃</w:t>
            </w:r>
            <w:r>
              <w:rPr>
                <w:rFonts w:hint="default" w:cs="Times New Roman"/>
                <w:color w:val="auto"/>
                <w:highlight w:val="none"/>
                <w:lang w:val="en-US" w:eastAsia="zh-CN"/>
              </w:rPr>
              <w:t>不得随意破坏、踩踏，并安排专人核实</w:t>
            </w:r>
            <w:r>
              <w:rPr>
                <w:rFonts w:hint="eastAsia" w:cs="Times New Roman"/>
                <w:color w:val="auto"/>
                <w:highlight w:val="none"/>
                <w:lang w:val="en-US" w:eastAsia="zh-CN"/>
              </w:rPr>
              <w:t>评价</w:t>
            </w:r>
            <w:r>
              <w:rPr>
                <w:rFonts w:hint="default" w:cs="Times New Roman"/>
                <w:color w:val="auto"/>
                <w:highlight w:val="none"/>
                <w:lang w:val="en-US" w:eastAsia="zh-CN"/>
              </w:rPr>
              <w:t>区域内</w:t>
            </w:r>
            <w:r>
              <w:rPr>
                <w:rFonts w:hint="eastAsia" w:cs="Times New Roman"/>
                <w:color w:val="auto"/>
                <w:highlight w:val="none"/>
                <w:lang w:val="en-US" w:eastAsia="zh-CN"/>
              </w:rPr>
              <w:t>蒙古扁桃</w:t>
            </w:r>
            <w:r>
              <w:rPr>
                <w:rFonts w:hint="default" w:cs="Times New Roman"/>
                <w:color w:val="auto"/>
                <w:highlight w:val="none"/>
                <w:lang w:val="en-US" w:eastAsia="zh-CN"/>
              </w:rPr>
              <w:t>存在数量，可采用区域估测法，即核实一定区域面积内</w:t>
            </w:r>
            <w:r>
              <w:rPr>
                <w:rFonts w:hint="eastAsia" w:cs="Times New Roman"/>
                <w:color w:val="auto"/>
                <w:highlight w:val="none"/>
                <w:lang w:val="en-US" w:eastAsia="zh-CN"/>
              </w:rPr>
              <w:t>蒙古扁桃</w:t>
            </w:r>
            <w:r>
              <w:rPr>
                <w:rFonts w:hint="default" w:cs="Times New Roman"/>
                <w:color w:val="auto"/>
                <w:highlight w:val="none"/>
                <w:lang w:val="en-US" w:eastAsia="zh-CN"/>
              </w:rPr>
              <w:t>数量，在推算</w:t>
            </w:r>
            <w:r>
              <w:rPr>
                <w:rFonts w:hint="eastAsia" w:cs="Times New Roman"/>
                <w:color w:val="auto"/>
                <w:highlight w:val="none"/>
                <w:lang w:val="en-US" w:eastAsia="zh-CN"/>
              </w:rPr>
              <w:t>评价</w:t>
            </w:r>
            <w:r>
              <w:rPr>
                <w:rFonts w:hint="default" w:cs="Times New Roman"/>
                <w:color w:val="auto"/>
                <w:highlight w:val="none"/>
                <w:lang w:val="en-US" w:eastAsia="zh-CN"/>
              </w:rPr>
              <w:t>范围内</w:t>
            </w:r>
            <w:r>
              <w:rPr>
                <w:rFonts w:hint="eastAsia" w:cs="Times New Roman"/>
                <w:color w:val="auto"/>
                <w:highlight w:val="none"/>
                <w:lang w:val="en-US" w:eastAsia="zh-CN"/>
              </w:rPr>
              <w:t>蒙古扁桃</w:t>
            </w:r>
            <w:r>
              <w:rPr>
                <w:rFonts w:hint="default" w:cs="Times New Roman"/>
                <w:color w:val="auto"/>
                <w:highlight w:val="none"/>
                <w:lang w:val="en-US" w:eastAsia="zh-CN"/>
              </w:rPr>
              <w:t>大致数量，</w:t>
            </w:r>
            <w:r>
              <w:rPr>
                <w:rFonts w:hint="eastAsia" w:cs="Times New Roman"/>
                <w:color w:val="auto"/>
                <w:highlight w:val="none"/>
                <w:lang w:val="en-US" w:eastAsia="zh-CN"/>
              </w:rPr>
              <w:t>并对施工场地、道路等附近发现的蒙古扁桃植株采取设置围挡或隔离等措施，严格限制项目用地界限，不得超出本项目占地界限占用蒙古扁桃生长区，在采取以上措施后，本项目建设不会对评价区域内蒙古扁桃造成影响</w:t>
            </w:r>
            <w:r>
              <w:rPr>
                <w:rFonts w:hint="eastAsia"/>
                <w:color w:val="auto"/>
                <w:highlight w:val="none"/>
                <w:lang w:eastAsia="zh-CN"/>
              </w:rPr>
              <w:t>。</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 xml:space="preserve">⑵减缓措施 </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为降低对区域植被资源的破坏，在施工期采取了多项生态保护措施以及加强施工管理、保证工程质量等，以缓解对植被资源的破坏，并使局部地段的生态环境向有利的方面转化，达到既发展经济，又保护生态的目的，具体减缓措施如下：</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①在项目区内设置警示标牌，严禁用地范围外的林木造成破坏，减少施工人员在施工区以外活动，尽可能保护现有植被，凡因项目施工引起的生物量损失，尽可能采取生态恢复或生态补偿措施。</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②严格控制施工范围，运输车辆均行驶在施工作业带内，严禁扰动施工活动以外的区域，并在施工场地设置指示牌、警示标牌。施工材料应堆放在</w:t>
            </w:r>
            <w:r>
              <w:rPr>
                <w:rFonts w:hint="eastAsia" w:cs="Times New Roman"/>
                <w:b w:val="0"/>
                <w:bCs w:val="0"/>
                <w:color w:val="auto"/>
                <w:highlight w:val="none"/>
                <w:lang w:val="en-US" w:eastAsia="zh-CN"/>
              </w:rPr>
              <w:t>施工</w:t>
            </w:r>
            <w:r>
              <w:rPr>
                <w:rFonts w:hint="default" w:ascii="Times New Roman" w:hAnsi="Times New Roman" w:cs="Times New Roman"/>
                <w:b w:val="0"/>
                <w:bCs w:val="0"/>
                <w:color w:val="auto"/>
                <w:highlight w:val="none"/>
                <w:lang w:val="en-US" w:eastAsia="zh-CN"/>
              </w:rPr>
              <w:t>用地范围以内，避免对永久用地范围以外的植被及表土产生扰动。</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③尽可能利用原有便道，减少通道的开辟，以减少对植被的破坏。</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④采取规范的管理措施。在整个施工期内，由项目监理部门和建设部门的环保专职人员临时承担生态监理，采用巡检、旁站和信访等监理方式，检查生态保护措施的落实及施工人员的生态保护行为。</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⑥项目运营期，要强化对维护人员的生态保护意识教育，并严格管理，禁止滥采滥挖，严格禁止车窗抛物，避免因此导致的场内道路沿线自然植被和生态系统的破坏。</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⑦合理组织施工，优化进度安排，缩短施工时间，将施工活动范围及期限降至最小，以减少施工对生态环境的负面影响。</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⑶恢复与补偿措施</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①</w:t>
            </w:r>
            <w:r>
              <w:rPr>
                <w:rFonts w:hint="eastAsia" w:cs="Times New Roman"/>
                <w:b w:val="0"/>
                <w:bCs w:val="0"/>
                <w:color w:val="auto"/>
                <w:highlight w:val="none"/>
                <w:lang w:val="en-US" w:eastAsia="zh-CN"/>
              </w:rPr>
              <w:t>项目</w:t>
            </w:r>
            <w:r>
              <w:rPr>
                <w:rFonts w:hint="default" w:ascii="Times New Roman" w:hAnsi="Times New Roman" w:cs="Times New Roman"/>
                <w:b w:val="0"/>
                <w:bCs w:val="0"/>
                <w:color w:val="auto"/>
                <w:highlight w:val="none"/>
                <w:lang w:val="en-US" w:eastAsia="zh-CN"/>
              </w:rPr>
              <w:t>施工时，在允许条件下应将开挖表土单独保存，待工程施工结束后再用于临时用地区植被恢复。</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highlight w:val="none"/>
                <w:lang w:val="en-US" w:eastAsia="zh-CN"/>
              </w:rPr>
              <w:t>②在施工完成后，应立即进行裸露区的恢复，恢复时对施工迹地进行</w:t>
            </w:r>
            <w:r>
              <w:rPr>
                <w:rFonts w:hint="eastAsia" w:ascii="Times New Roman" w:hAnsi="Times New Roman" w:cs="Times New Roman"/>
                <w:b w:val="0"/>
                <w:bCs w:val="0"/>
                <w:color w:val="auto"/>
                <w:highlight w:val="none"/>
                <w:lang w:val="en-US" w:eastAsia="zh-CN"/>
              </w:rPr>
              <w:t>复垦</w:t>
            </w:r>
            <w:r>
              <w:rPr>
                <w:rFonts w:hint="default" w:ascii="Times New Roman" w:hAnsi="Times New Roman" w:cs="Times New Roman"/>
                <w:b w:val="0"/>
                <w:bCs w:val="0"/>
                <w:color w:val="auto"/>
                <w:highlight w:val="none"/>
                <w:lang w:val="en-US" w:eastAsia="zh-CN"/>
              </w:rPr>
              <w:t>恢复，尽量减少工程区内的施工痕迹</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color w:val="auto"/>
                <w:highlight w:val="none"/>
                <w:lang w:val="en-US" w:eastAsia="zh-CN"/>
              </w:rPr>
              <w:t>本项目用地总面</w:t>
            </w:r>
            <w:r>
              <w:rPr>
                <w:rFonts w:hint="eastAsia" w:ascii="Times New Roman" w:hAnsi="Times New Roman" w:cs="Times New Roman"/>
                <w:color w:val="auto"/>
                <w:highlight w:val="none"/>
                <w:lang w:val="en-US" w:eastAsia="zh-CN"/>
              </w:rPr>
              <w:t>临时占地面积55253m</w:t>
            </w:r>
            <w:r>
              <w:rPr>
                <w:rFonts w:hint="eastAsia"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为风机吊装用地、施工道路及35kV地埋线路区域，占地均为天然牧草地，项目复垦面积为本项目临时占地面积，根据本项目土地复垦方案报告书，对占用的天然牧草地撒播沙打旺、扁穗冰草、沙蒿，按</w:t>
            </w:r>
            <w:r>
              <w:rPr>
                <w:rFonts w:hint="default" w:ascii="Times New Roman" w:hAnsi="Times New Roman" w:cs="Times New Roman"/>
                <w:color w:val="auto"/>
                <w:highlight w:val="none"/>
                <w:lang w:val="en-US" w:eastAsia="zh-CN"/>
              </w:rPr>
              <w:t>1:1:1</w:t>
            </w:r>
            <w:r>
              <w:rPr>
                <w:rFonts w:hint="eastAsia" w:ascii="Times New Roman" w:hAnsi="Times New Roman" w:cs="Times New Roman"/>
                <w:color w:val="auto"/>
                <w:highlight w:val="none"/>
                <w:lang w:val="en-US" w:eastAsia="zh-CN"/>
              </w:rPr>
              <w:t>的比例进行混播种植，采取人工撒播，人工覆土的方式，依据《人工草地建设规程》（</w:t>
            </w:r>
            <w:r>
              <w:rPr>
                <w:rFonts w:hint="default" w:ascii="Times New Roman" w:hAnsi="Times New Roman" w:cs="Times New Roman"/>
                <w:color w:val="auto"/>
                <w:highlight w:val="none"/>
                <w:lang w:val="en-US" w:eastAsia="zh-CN"/>
              </w:rPr>
              <w:t>NY/T1342-2007</w:t>
            </w:r>
            <w:r>
              <w:rPr>
                <w:rFonts w:hint="eastAsia" w:ascii="Times New Roman" w:hAnsi="Times New Roman" w:cs="Times New Roman"/>
                <w:color w:val="auto"/>
                <w:highlight w:val="none"/>
                <w:lang w:val="en-US" w:eastAsia="zh-CN"/>
              </w:rPr>
              <w:t>）以及当地植物种植经验，本方案设计沙打旺撒播量为</w:t>
            </w:r>
            <w:r>
              <w:rPr>
                <w:rFonts w:hint="default" w:ascii="Times New Roman" w:hAnsi="Times New Roman" w:cs="Times New Roman"/>
                <w:color w:val="auto"/>
                <w:highlight w:val="none"/>
                <w:lang w:val="en-US" w:eastAsia="zh-CN"/>
              </w:rPr>
              <w:t>30kg/hm</w:t>
            </w:r>
            <w:r>
              <w:rPr>
                <w:rFonts w:hint="default"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、扁穗冰草撒播量为</w:t>
            </w:r>
            <w:r>
              <w:rPr>
                <w:rFonts w:hint="default" w:ascii="Times New Roman" w:hAnsi="Times New Roman" w:cs="Times New Roman"/>
                <w:color w:val="auto"/>
                <w:highlight w:val="none"/>
                <w:lang w:val="en-US" w:eastAsia="zh-CN"/>
              </w:rPr>
              <w:t>45kg/hm</w:t>
            </w:r>
            <w:r>
              <w:rPr>
                <w:rFonts w:hint="default"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、沙蒿撒播量为</w:t>
            </w:r>
            <w:r>
              <w:rPr>
                <w:rFonts w:hint="default" w:ascii="Times New Roman" w:hAnsi="Times New Roman" w:cs="Times New Roman"/>
                <w:color w:val="auto"/>
                <w:highlight w:val="none"/>
                <w:lang w:val="en-US" w:eastAsia="zh-CN"/>
              </w:rPr>
              <w:t>30kg/hm</w:t>
            </w:r>
            <w:r>
              <w:rPr>
                <w:rFonts w:hint="default"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，草籽补植率按</w:t>
            </w:r>
            <w:r>
              <w:rPr>
                <w:rFonts w:hint="default" w:ascii="Times New Roman" w:hAnsi="Times New Roman" w:cs="Times New Roman"/>
                <w:color w:val="auto"/>
                <w:highlight w:val="none"/>
                <w:lang w:val="en-US" w:eastAsia="zh-CN"/>
              </w:rPr>
              <w:t>20%</w:t>
            </w:r>
            <w:r>
              <w:rPr>
                <w:rFonts w:hint="eastAsia" w:ascii="Times New Roman" w:hAnsi="Times New Roman" w:cs="Times New Roman"/>
                <w:color w:val="auto"/>
                <w:highlight w:val="none"/>
                <w:lang w:val="en-US" w:eastAsia="zh-CN"/>
              </w:rPr>
              <w:t>计，最终确定沙打旺种植量为</w:t>
            </w:r>
            <w:r>
              <w:rPr>
                <w:rFonts w:hint="default" w:ascii="Times New Roman" w:hAnsi="Times New Roman" w:cs="Times New Roman"/>
                <w:color w:val="auto"/>
                <w:highlight w:val="none"/>
                <w:lang w:val="en-US" w:eastAsia="zh-CN"/>
              </w:rPr>
              <w:t>36kg/hm</w:t>
            </w:r>
            <w:r>
              <w:rPr>
                <w:rFonts w:hint="default"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、扁穗冰草种植量为</w:t>
            </w:r>
            <w:r>
              <w:rPr>
                <w:rFonts w:hint="default" w:ascii="Times New Roman" w:hAnsi="Times New Roman" w:cs="Times New Roman"/>
                <w:color w:val="auto"/>
                <w:highlight w:val="none"/>
                <w:lang w:val="en-US" w:eastAsia="zh-CN"/>
              </w:rPr>
              <w:t>54kg/hm</w:t>
            </w:r>
            <w:r>
              <w:rPr>
                <w:rFonts w:hint="default"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、沙蒿撒播量为</w:t>
            </w:r>
            <w:r>
              <w:rPr>
                <w:rFonts w:hint="default" w:ascii="Times New Roman" w:hAnsi="Times New Roman" w:cs="Times New Roman"/>
                <w:color w:val="auto"/>
                <w:highlight w:val="none"/>
                <w:lang w:val="en-US" w:eastAsia="zh-CN"/>
              </w:rPr>
              <w:t>36kg/hm</w:t>
            </w:r>
            <w:r>
              <w:rPr>
                <w:rFonts w:hint="default"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。种植时间选择在有效降雨后进行，以提高成活率。</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③加强项目后期的生态抚育与管理，保障受损植物以及恢复植被的成活与生态效果。</w:t>
            </w:r>
          </w:p>
          <w:p>
            <w:pPr>
              <w:pStyle w:val="50"/>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3）</w:t>
            </w:r>
            <w:r>
              <w:rPr>
                <w:rFonts w:hint="default" w:ascii="Times New Roman" w:hAnsi="Times New Roman" w:cs="Times New Roman"/>
                <w:b/>
                <w:bCs/>
                <w:color w:val="auto"/>
                <w:highlight w:val="none"/>
                <w:lang w:val="en-US" w:eastAsia="zh-CN"/>
              </w:rPr>
              <w:t>土壤保护措施</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①明确作业区范围，各种施工活动应严格控制在施工红线内，尽量减少扰动面积。</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②土方开挖后应及时回填，清理的建筑垃圾和生活垃圾应及时用遮盖篷布的密闭车辆运至市政规定的建筑垃圾堆放场和生活垃圾填埋场，不得随意堆放。</w:t>
            </w:r>
          </w:p>
          <w:p>
            <w:pPr>
              <w:pStyle w:val="50"/>
              <w:bidi w:val="0"/>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③对表层土实行分层堆放和分层回填，表层土回填于上部，尽量减小因土壤回填活动对土壤养分造成的流失影响。</w:t>
            </w:r>
          </w:p>
          <w:p>
            <w:pPr>
              <w:pStyle w:val="50"/>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4）</w:t>
            </w:r>
            <w:r>
              <w:rPr>
                <w:rFonts w:hint="default" w:ascii="Times New Roman" w:hAnsi="Times New Roman" w:cs="Times New Roman"/>
                <w:b/>
                <w:bCs/>
                <w:color w:val="auto"/>
                <w:highlight w:val="none"/>
                <w:lang w:val="en-US" w:eastAsia="zh-CN"/>
              </w:rPr>
              <w:t>施工</w:t>
            </w:r>
            <w:r>
              <w:rPr>
                <w:rFonts w:hint="eastAsia" w:cs="Times New Roman"/>
                <w:b/>
                <w:bCs/>
                <w:color w:val="auto"/>
                <w:highlight w:val="none"/>
                <w:lang w:val="en-US" w:eastAsia="zh-CN"/>
              </w:rPr>
              <w:t>营地</w:t>
            </w:r>
          </w:p>
          <w:p>
            <w:pPr>
              <w:pStyle w:val="50"/>
              <w:bidi w:val="0"/>
              <w:rPr>
                <w:rFonts w:hint="eastAsia" w:cs="Times New Roman"/>
                <w:color w:val="auto"/>
                <w:highlight w:val="none"/>
                <w:lang w:val="en-US" w:eastAsia="zh-CN"/>
              </w:rPr>
            </w:pPr>
            <w:r>
              <w:rPr>
                <w:rFonts w:hint="eastAsia" w:cs="Times New Roman"/>
                <w:color w:val="auto"/>
                <w:highlight w:val="none"/>
                <w:lang w:val="en-US" w:eastAsia="zh-CN"/>
              </w:rPr>
              <w:t>本项目施工营地</w:t>
            </w:r>
            <w:r>
              <w:rPr>
                <w:rFonts w:hint="eastAsia" w:ascii="Times New Roman" w:hAnsi="Times New Roman" w:eastAsia="仿宋" w:cs="Times New Roman"/>
                <w:b w:val="0"/>
                <w:bCs w:val="0"/>
                <w:color w:val="auto"/>
                <w:kern w:val="16"/>
                <w:sz w:val="24"/>
                <w:szCs w:val="24"/>
                <w:highlight w:val="none"/>
                <w:lang w:val="en-US" w:eastAsia="zh-CN" w:bidi="ar-SA"/>
              </w:rPr>
              <w:t>依托《国家电投集团中卫香山风电场1-3期“以大代小”150MW增容项目》</w:t>
            </w:r>
            <w:r>
              <w:rPr>
                <w:rFonts w:hint="eastAsia" w:eastAsia="仿宋" w:cs="Times New Roman"/>
                <w:b w:val="0"/>
                <w:bCs w:val="0"/>
                <w:color w:val="auto"/>
                <w:kern w:val="16"/>
                <w:sz w:val="24"/>
                <w:szCs w:val="24"/>
                <w:highlight w:val="none"/>
                <w:lang w:val="en-US" w:eastAsia="zh-CN" w:bidi="ar-SA"/>
              </w:rPr>
              <w:t>现有施工营地，</w:t>
            </w:r>
            <w:r>
              <w:rPr>
                <w:rFonts w:hint="eastAsia" w:cs="Times New Roman"/>
                <w:color w:val="auto"/>
                <w:highlight w:val="none"/>
                <w:lang w:val="en-US" w:eastAsia="zh-CN"/>
              </w:rPr>
              <w:t>员工生活污水主要为洗漱废水，用于施工场地洒水降尘，施工人员设置旱厕如厕，粪便及时清运；施工场地配备沉淀池，机械冲洗废水经沉淀池沉淀后回用或用于洒水降尘；施工期生活垃圾集中收集后待施工期结束统一送至环卫部门指定地点；施工期不得随意倾倒或堆放建筑垃圾；施工产生的建筑垃圾须及时清运至市政规定的建筑垃圾堆放点。</w:t>
            </w:r>
          </w:p>
          <w:p>
            <w:pPr>
              <w:pStyle w:val="50"/>
              <w:bidi w:val="0"/>
              <w:rPr>
                <w:rFonts w:hint="eastAsia" w:cs="Times New Roman"/>
                <w:color w:val="auto"/>
                <w:highlight w:val="none"/>
                <w:lang w:val="en-US" w:eastAsia="zh-CN"/>
              </w:rPr>
            </w:pPr>
            <w:r>
              <w:rPr>
                <w:rFonts w:hint="eastAsia" w:cs="Times New Roman"/>
                <w:color w:val="auto"/>
                <w:highlight w:val="none"/>
                <w:lang w:val="en-US" w:eastAsia="zh-CN"/>
              </w:rPr>
              <w:t>施工结束后，施工营地由</w:t>
            </w:r>
            <w:r>
              <w:rPr>
                <w:rFonts w:hint="eastAsia" w:ascii="Times New Roman" w:hAnsi="Times New Roman" w:eastAsia="仿宋" w:cs="Times New Roman"/>
                <w:b w:val="0"/>
                <w:bCs w:val="0"/>
                <w:color w:val="auto"/>
                <w:kern w:val="16"/>
                <w:sz w:val="24"/>
                <w:szCs w:val="24"/>
                <w:highlight w:val="none"/>
                <w:lang w:val="en-US" w:eastAsia="zh-CN" w:bidi="ar-SA"/>
              </w:rPr>
              <w:t>《国家电投集团中卫香山风电场1-3期“以大代小”150MW增容项目》的施工单位负责恢复，本项目施工单位不负责恢复工作。</w:t>
            </w:r>
          </w:p>
          <w:p>
            <w:pPr>
              <w:pStyle w:val="50"/>
              <w:bidi w:val="0"/>
              <w:rPr>
                <w:rFonts w:hint="default" w:ascii="Times New Roman" w:hAnsi="Times New Roman" w:cs="Times New Roman"/>
                <w:b/>
                <w:bCs/>
                <w:color w:val="auto"/>
                <w:highlight w:val="none"/>
              </w:rPr>
            </w:pPr>
            <w:r>
              <w:rPr>
                <w:rFonts w:hint="eastAsia" w:cs="Times New Roman"/>
                <w:b/>
                <w:bCs/>
                <w:color w:val="auto"/>
                <w:highlight w:val="none"/>
                <w:lang w:val="en-US" w:eastAsia="zh-CN"/>
              </w:rPr>
              <w:t>5）</w:t>
            </w:r>
            <w:r>
              <w:rPr>
                <w:rFonts w:hint="default" w:ascii="Times New Roman" w:hAnsi="Times New Roman" w:cs="Times New Roman"/>
                <w:b/>
                <w:bCs/>
                <w:color w:val="auto"/>
                <w:highlight w:val="none"/>
              </w:rPr>
              <w:t>管理措施</w:t>
            </w:r>
          </w:p>
          <w:p>
            <w:pPr>
              <w:pStyle w:val="5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施工招标时，应明确承包商对施工区域物种多样性以及环境保护的责任和义务</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在施工过程中加强</w:t>
            </w:r>
            <w:r>
              <w:rPr>
                <w:rFonts w:hint="default" w:ascii="Times New Roman" w:hAnsi="Times New Roman" w:cs="Times New Roman"/>
                <w:color w:val="auto"/>
                <w:highlight w:val="none"/>
                <w:lang w:eastAsia="zh-CN"/>
              </w:rPr>
              <w:t>管理</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严格落实各项环境</w:t>
            </w:r>
            <w:r>
              <w:rPr>
                <w:rFonts w:hint="default" w:ascii="Times New Roman" w:hAnsi="Times New Roman" w:cs="Times New Roman"/>
                <w:color w:val="auto"/>
                <w:highlight w:val="none"/>
              </w:rPr>
              <w:t>保护措施，对出现的环境问题及时处理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施工单位在进场前，必须制定严格的施工组织和管理细则，作好有关生态环境保护知识和法律宣传工作，在施工区、生活区设置宣传牌，提高施工人员环境保护意识。</w:t>
            </w:r>
          </w:p>
          <w:p>
            <w:pPr>
              <w:pStyle w:val="50"/>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6）</w:t>
            </w:r>
            <w:r>
              <w:rPr>
                <w:rFonts w:hint="default" w:ascii="Times New Roman" w:hAnsi="Times New Roman" w:cs="Times New Roman"/>
                <w:b/>
                <w:bCs/>
                <w:color w:val="auto"/>
                <w:highlight w:val="none"/>
                <w:lang w:val="en-US" w:eastAsia="zh-CN"/>
              </w:rPr>
              <w:t>动物保护措施</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⑴避让措施 </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①施工场地设置尽量避让植被覆盖度较高的区域，避开动物、爬行类动物及小型哺乳类动物的栖息地。 </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②选用橙色、红色等色彩比较亮丽、能反射紫外线的涂料，在风机叶片前端部分区域涂抹，以吸引鸟类的注意力，提高警觉性避免白天鸟类撞击风机。 </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③根据区域内野生动物和鸟类活动的特性，严格落实风电机组布设的间距，在保证项目最大效益的同时考虑野生动物的通道，以及鸟类能在转动风机之间的通行通道。 </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⑵减缓措施 </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①施工应采用低噪声机械，尽可能避免所有机械车辆同时运转，降低声波干扰，对无法避免或者无法降低的，应选择在对动物影响最小的时段进行； </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②大力宣传相关法律法规，提高施工人员的保护意识，规范施工人员行为，严禁在项目区及其周边捕猎野生动物； </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③必须根据野生动物的生活习性，妥善安排各区块的施工时间、范围与施工进度，避开野生动物的敏感期，严禁在野生动物繁殖期开展施工活动； </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④施工过程中遇到的幼兽、幼鸟、卵等未发育、未成熟个体，在保护部门的专业人员指导下妥善安置； </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⑤合理安排施工组织、施工机械，严格按照施工规范进行操作，施工单位必须选用符合国家标准的施工机械和运输工具，对强噪声源安装控噪装置，减小噪声对野生动物的影响。 </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⑥夜间灯光容易吸引鸟类撞击，施工期尽量控制光源使用量，对光源进行遮蔽，减少施工光源对外界鸟类栖息繁育的干扰。 </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⑶恢复与补偿措施 </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①工程施工结束后尽快做好周边生态环境的恢复工作，适当弥补生境破坏对野生动物造成的不利影响。 </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②边施工、边绿化，及时在临时占地及其附近开展合理绿化，以人工撒播灌草种子为主，促进区域植被恢复，尽快恢复动物生境。 </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③工程运行后积极开展动物监测和巡护工作，如发现</w:t>
            </w:r>
            <w:r>
              <w:rPr>
                <w:rFonts w:hint="eastAsia" w:cs="Times New Roman"/>
                <w:color w:val="auto"/>
                <w:highlight w:val="none"/>
                <w:lang w:val="en-US" w:eastAsia="zh-CN"/>
              </w:rPr>
              <w:t>风机等</w:t>
            </w:r>
            <w:r>
              <w:rPr>
                <w:rFonts w:hint="default" w:ascii="Times New Roman" w:hAnsi="Times New Roman" w:cs="Times New Roman"/>
                <w:color w:val="auto"/>
                <w:highlight w:val="none"/>
                <w:lang w:val="en-US" w:eastAsia="zh-CN"/>
              </w:rPr>
              <w:t>运行严重影响到</w:t>
            </w:r>
            <w:r>
              <w:rPr>
                <w:rFonts w:hint="eastAsia" w:cs="Times New Roman"/>
                <w:color w:val="auto"/>
                <w:highlight w:val="none"/>
                <w:lang w:val="en-US" w:eastAsia="zh-CN"/>
              </w:rPr>
              <w:t>动物</w:t>
            </w:r>
            <w:r>
              <w:rPr>
                <w:rFonts w:hint="default" w:ascii="Times New Roman" w:hAnsi="Times New Roman" w:cs="Times New Roman"/>
                <w:color w:val="auto"/>
                <w:highlight w:val="none"/>
                <w:lang w:val="en-US" w:eastAsia="zh-CN"/>
              </w:rPr>
              <w:t>的生存，应及时采取停运调整布局等措施。</w:t>
            </w:r>
          </w:p>
          <w:p>
            <w:pPr>
              <w:pStyle w:val="50"/>
              <w:bidi w:val="0"/>
              <w:rPr>
                <w:rFonts w:hint="default" w:cs="Times New Roman"/>
                <w:color w:val="auto"/>
                <w:highlight w:val="none"/>
                <w:lang w:val="en-US" w:eastAsia="zh-CN"/>
              </w:rPr>
            </w:pPr>
            <w:r>
              <w:rPr>
                <w:rFonts w:hint="default" w:cs="Times New Roman"/>
                <w:color w:val="auto"/>
                <w:highlight w:val="none"/>
                <w:lang w:val="en-US" w:eastAsia="zh-CN"/>
              </w:rPr>
              <w:t>(</w:t>
            </w:r>
            <w:r>
              <w:rPr>
                <w:rFonts w:hint="eastAsia" w:cs="Times New Roman"/>
                <w:color w:val="auto"/>
                <w:highlight w:val="none"/>
                <w:lang w:val="en-US" w:eastAsia="zh-CN"/>
              </w:rPr>
              <w:t>4</w:t>
            </w:r>
            <w:r>
              <w:rPr>
                <w:rFonts w:hint="default" w:cs="Times New Roman"/>
                <w:color w:val="auto"/>
                <w:highlight w:val="none"/>
                <w:lang w:val="en-US" w:eastAsia="zh-CN"/>
              </w:rPr>
              <w:t>)生态环境影响管理措施</w:t>
            </w:r>
          </w:p>
          <w:p>
            <w:pPr>
              <w:pStyle w:val="50"/>
              <w:bidi w:val="0"/>
              <w:rPr>
                <w:rFonts w:hint="default" w:cs="Times New Roman"/>
                <w:color w:val="auto"/>
                <w:highlight w:val="none"/>
                <w:lang w:val="en-US" w:eastAsia="zh-CN"/>
              </w:rPr>
            </w:pPr>
            <w:r>
              <w:rPr>
                <w:rFonts w:hint="eastAsia" w:cs="Times New Roman"/>
                <w:color w:val="auto"/>
                <w:highlight w:val="none"/>
                <w:lang w:val="en-US" w:eastAsia="zh-CN"/>
              </w:rPr>
              <w:t>①</w:t>
            </w:r>
            <w:r>
              <w:rPr>
                <w:rFonts w:hint="default" w:cs="Times New Roman"/>
                <w:color w:val="auto"/>
                <w:highlight w:val="none"/>
                <w:lang w:val="en-US" w:eastAsia="zh-CN"/>
              </w:rPr>
              <w:t>加大生态环境保护管理力度，施工单位必须严格执行环境保护管理规定和措施。</w:t>
            </w:r>
          </w:p>
          <w:p>
            <w:pPr>
              <w:pStyle w:val="50"/>
              <w:bidi w:val="0"/>
              <w:rPr>
                <w:rFonts w:hint="default" w:cs="Times New Roman"/>
                <w:color w:val="auto"/>
                <w:highlight w:val="none"/>
                <w:lang w:val="en-US" w:eastAsia="zh-CN"/>
              </w:rPr>
            </w:pPr>
            <w:r>
              <w:rPr>
                <w:rFonts w:hint="eastAsia" w:cs="Times New Roman"/>
                <w:color w:val="auto"/>
                <w:highlight w:val="none"/>
                <w:lang w:val="en-US" w:eastAsia="zh-CN"/>
              </w:rPr>
              <w:t>②</w:t>
            </w:r>
            <w:r>
              <w:rPr>
                <w:rFonts w:hint="default" w:cs="Times New Roman"/>
                <w:color w:val="auto"/>
                <w:highlight w:val="none"/>
                <w:lang w:val="en-US" w:eastAsia="zh-CN"/>
              </w:rPr>
              <w:t>加强对施工人员和职工的教育，强化保护野生植物的观念，不得随意砍伐野生植物，不得将野生植物作为薪柴使用。</w:t>
            </w:r>
          </w:p>
          <w:p>
            <w:pPr>
              <w:pStyle w:val="50"/>
              <w:bidi w:val="0"/>
              <w:rPr>
                <w:rFonts w:hint="default" w:cs="Times New Roman"/>
                <w:color w:val="auto"/>
                <w:highlight w:val="none"/>
                <w:lang w:val="en-US" w:eastAsia="zh-CN"/>
              </w:rPr>
            </w:pPr>
            <w:r>
              <w:rPr>
                <w:rFonts w:hint="eastAsia" w:cs="Times New Roman"/>
                <w:color w:val="auto"/>
                <w:highlight w:val="none"/>
                <w:lang w:val="en-US" w:eastAsia="zh-CN"/>
              </w:rPr>
              <w:t>④</w:t>
            </w:r>
            <w:r>
              <w:rPr>
                <w:rFonts w:hint="default" w:cs="Times New Roman"/>
                <w:color w:val="auto"/>
                <w:highlight w:val="none"/>
                <w:lang w:val="en-US" w:eastAsia="zh-CN"/>
              </w:rPr>
              <w:t>强化风险意识，制订切实可行的风险防范与应急预案，最大限度降低风险概率，避免事故泄漏和火灾爆炸事故可能对野生动植物的生命及生存环境的威胁。</w:t>
            </w:r>
          </w:p>
          <w:p>
            <w:pPr>
              <w:pStyle w:val="50"/>
              <w:bidi w:val="0"/>
              <w:rPr>
                <w:rFonts w:hint="default" w:cs="Times New Roman"/>
                <w:color w:val="auto"/>
                <w:highlight w:val="none"/>
                <w:lang w:val="en-US" w:eastAsia="zh-CN"/>
              </w:rPr>
            </w:pPr>
            <w:r>
              <w:rPr>
                <w:rFonts w:hint="eastAsia" w:cs="Times New Roman"/>
                <w:color w:val="auto"/>
                <w:highlight w:val="none"/>
                <w:lang w:val="en-US" w:eastAsia="zh-CN"/>
              </w:rPr>
              <w:t>⑤</w:t>
            </w:r>
            <w:r>
              <w:rPr>
                <w:rFonts w:hint="default" w:cs="Times New Roman"/>
                <w:color w:val="auto"/>
                <w:highlight w:val="none"/>
                <w:lang w:val="en-US" w:eastAsia="zh-CN"/>
              </w:rPr>
              <w:t>加强对施工人员的环保宣传和培训工作，提高各级管理人员环保意识，使其自觉做好保护区域内野生动植物的工作。</w:t>
            </w:r>
          </w:p>
          <w:p>
            <w:pPr>
              <w:pStyle w:val="50"/>
              <w:bidi w:val="0"/>
              <w:rPr>
                <w:rFonts w:hint="default" w:cs="Times New Roman"/>
                <w:color w:val="auto"/>
                <w:highlight w:val="none"/>
                <w:lang w:val="en-US" w:eastAsia="zh-CN"/>
              </w:rPr>
            </w:pPr>
            <w:r>
              <w:rPr>
                <w:rFonts w:hint="eastAsia" w:cs="Times New Roman"/>
                <w:color w:val="auto"/>
                <w:highlight w:val="none"/>
                <w:lang w:val="en-US" w:eastAsia="zh-CN"/>
              </w:rPr>
              <w:t>⑥</w:t>
            </w:r>
            <w:r>
              <w:rPr>
                <w:rFonts w:hint="default" w:cs="Times New Roman"/>
                <w:color w:val="auto"/>
                <w:highlight w:val="none"/>
                <w:lang w:val="en-US" w:eastAsia="zh-CN"/>
              </w:rPr>
              <w:t>建立环境保护人员培训制度，环境监测人员、统计人员、污染治理设施操作人员应经培训合格后上岗。</w:t>
            </w:r>
          </w:p>
          <w:p>
            <w:pPr>
              <w:pStyle w:val="50"/>
              <w:bidi w:val="0"/>
              <w:rPr>
                <w:rFonts w:hint="default" w:cs="Times New Roman"/>
                <w:color w:val="auto"/>
                <w:highlight w:val="none"/>
                <w:lang w:val="en-US" w:eastAsia="zh-CN"/>
              </w:rPr>
            </w:pPr>
            <w:r>
              <w:rPr>
                <w:rFonts w:hint="default" w:cs="Times New Roman"/>
                <w:color w:val="auto"/>
                <w:highlight w:val="none"/>
                <w:lang w:val="en-US" w:eastAsia="zh-CN"/>
              </w:rPr>
              <w:t>通过采取上述生态保护措施，使本项目对评价区域周围生态环境的影响保持在环境可接受范围内，项目施工不会导致区域生态环境现状的改变。</w:t>
            </w:r>
          </w:p>
          <w:p>
            <w:pPr>
              <w:pStyle w:val="50"/>
              <w:bidi w:val="0"/>
              <w:rPr>
                <w:rFonts w:hint="default" w:eastAsia="仿宋_GB2312" w:cs="Times New Roman"/>
                <w:color w:val="auto"/>
                <w:highlight w:val="none"/>
                <w:lang w:val="en-US" w:eastAsia="zh-CN"/>
              </w:rPr>
            </w:pPr>
            <w:r>
              <w:rPr>
                <w:rFonts w:ascii="Times New Roman" w:hAnsi="Times New Roman" w:cs="Times New Roman"/>
                <w:color w:val="auto"/>
                <w:sz w:val="24"/>
                <w:highlight w:val="none"/>
                <w:lang w:bidi="ar"/>
              </w:rPr>
              <w:t>项目典型措施设计见附图</w:t>
            </w:r>
            <w:r>
              <w:rPr>
                <w:rFonts w:hint="eastAsia" w:ascii="Times New Roman" w:hAnsi="Times New Roman" w:cs="Times New Roman"/>
                <w:color w:val="auto"/>
                <w:sz w:val="24"/>
                <w:highlight w:val="none"/>
                <w:lang w:val="en-US" w:eastAsia="zh-CN" w:bidi="ar"/>
              </w:rPr>
              <w:t>15。</w:t>
            </w:r>
          </w:p>
          <w:p>
            <w:pPr>
              <w:pStyle w:val="50"/>
              <w:bidi w:val="0"/>
              <w:rPr>
                <w:rFonts w:hint="default" w:cs="Times New Roman"/>
                <w:color w:val="auto"/>
                <w:highlight w:val="none"/>
                <w:lang w:val="en-US" w:eastAsia="zh-CN"/>
              </w:rPr>
            </w:pPr>
            <w:r>
              <w:rPr>
                <w:rFonts w:hint="default" w:cs="Times New Roman"/>
                <w:color w:val="auto"/>
                <w:highlight w:val="none"/>
                <w:lang w:val="en-US" w:eastAsia="zh-CN"/>
              </w:rPr>
              <w:t>(</w:t>
            </w:r>
            <w:r>
              <w:rPr>
                <w:rFonts w:hint="eastAsia" w:cs="Times New Roman"/>
                <w:color w:val="auto"/>
                <w:highlight w:val="none"/>
                <w:lang w:val="en-US" w:eastAsia="zh-CN"/>
              </w:rPr>
              <w:t>5</w:t>
            </w:r>
            <w:r>
              <w:rPr>
                <w:rFonts w:hint="default" w:cs="Times New Roman"/>
                <w:color w:val="auto"/>
                <w:highlight w:val="none"/>
                <w:lang w:val="en-US" w:eastAsia="zh-CN"/>
              </w:rPr>
              <w:t>)生态环境影响监测措施</w:t>
            </w:r>
          </w:p>
          <w:p>
            <w:pPr>
              <w:pStyle w:val="50"/>
              <w:bidi w:val="0"/>
              <w:rPr>
                <w:rFonts w:hint="default" w:cs="Times New Roman"/>
                <w:color w:val="auto"/>
                <w:highlight w:val="none"/>
                <w:lang w:val="en-US" w:eastAsia="zh-CN"/>
              </w:rPr>
            </w:pPr>
            <w:r>
              <w:rPr>
                <w:rFonts w:hint="default" w:cs="Times New Roman"/>
                <w:color w:val="auto"/>
                <w:highlight w:val="none"/>
                <w:lang w:val="en-US" w:eastAsia="zh-CN"/>
              </w:rPr>
              <w:t>指定专人定期对项目区域植被面积、破坏程度、破坏量以及施工占用场地进行勘探记录，特别是正在施工的区域，对于植被损坏量大的区域进行记录，施工结束后进行植被恢复，对于人为破坏的植被、不按规定堆放材料、不按规定路线运输设备或机械进场等行为进行处罚，并对影响区域提出补偿措施。</w:t>
            </w:r>
          </w:p>
          <w:p>
            <w:pPr>
              <w:pStyle w:val="50"/>
              <w:bidi w:val="0"/>
              <w:rPr>
                <w:rFonts w:hint="default" w:cs="Times New Roman"/>
                <w:color w:val="auto"/>
                <w:highlight w:val="none"/>
                <w:lang w:val="en-US" w:eastAsia="zh-CN"/>
              </w:rPr>
            </w:pPr>
            <w:r>
              <w:rPr>
                <w:rFonts w:hint="default" w:cs="Times New Roman"/>
                <w:color w:val="auto"/>
                <w:highlight w:val="none"/>
                <w:lang w:val="en-US" w:eastAsia="zh-CN"/>
              </w:rPr>
              <w:t>对于植被</w:t>
            </w:r>
            <w:r>
              <w:rPr>
                <w:rFonts w:hint="eastAsia" w:cs="Times New Roman"/>
                <w:color w:val="auto"/>
                <w:highlight w:val="none"/>
                <w:lang w:val="en-US" w:eastAsia="zh-CN"/>
              </w:rPr>
              <w:t>蒙古扁桃</w:t>
            </w:r>
            <w:r>
              <w:rPr>
                <w:rFonts w:hint="default" w:cs="Times New Roman"/>
                <w:color w:val="auto"/>
                <w:highlight w:val="none"/>
                <w:lang w:val="en-US" w:eastAsia="zh-CN"/>
              </w:rPr>
              <w:t>予以重点保护，定期关注其生长情况，定期巡视施工工作是否损害</w:t>
            </w:r>
            <w:r>
              <w:rPr>
                <w:rFonts w:hint="eastAsia" w:cs="Times New Roman"/>
                <w:color w:val="auto"/>
                <w:highlight w:val="none"/>
                <w:lang w:val="en-US" w:eastAsia="zh-CN"/>
              </w:rPr>
              <w:t>蒙古扁桃</w:t>
            </w:r>
            <w:r>
              <w:rPr>
                <w:rFonts w:hint="default" w:cs="Times New Roman"/>
                <w:color w:val="auto"/>
                <w:highlight w:val="none"/>
                <w:lang w:val="en-US" w:eastAsia="zh-CN"/>
              </w:rPr>
              <w:t>生长。</w:t>
            </w:r>
          </w:p>
          <w:p>
            <w:pPr>
              <w:pStyle w:val="50"/>
              <w:bidi w:val="0"/>
              <w:rPr>
                <w:rFonts w:hint="eastAsia" w:cs="Times New Roman"/>
                <w:color w:val="auto"/>
                <w:highlight w:val="none"/>
                <w:lang w:val="en-US" w:eastAsia="zh-CN"/>
              </w:rPr>
            </w:pPr>
            <w:r>
              <w:rPr>
                <w:rFonts w:hint="default" w:cs="Times New Roman"/>
                <w:color w:val="auto"/>
                <w:highlight w:val="none"/>
                <w:lang w:val="en-US" w:eastAsia="zh-CN"/>
              </w:rPr>
              <w:t>(</w:t>
            </w:r>
            <w:r>
              <w:rPr>
                <w:rFonts w:hint="eastAsia" w:cs="Times New Roman"/>
                <w:color w:val="auto"/>
                <w:highlight w:val="none"/>
                <w:lang w:val="en-US" w:eastAsia="zh-CN"/>
              </w:rPr>
              <w:t>6</w:t>
            </w:r>
            <w:r>
              <w:rPr>
                <w:rFonts w:hint="default" w:cs="Times New Roman"/>
                <w:color w:val="auto"/>
                <w:highlight w:val="none"/>
                <w:lang w:val="en-US" w:eastAsia="zh-CN"/>
              </w:rPr>
              <w:t>)</w:t>
            </w:r>
            <w:r>
              <w:rPr>
                <w:rFonts w:hint="eastAsia" w:cs="Times New Roman"/>
                <w:color w:val="auto"/>
                <w:highlight w:val="none"/>
                <w:lang w:val="en-US" w:eastAsia="zh-CN"/>
              </w:rPr>
              <w:t>监测方案</w:t>
            </w:r>
          </w:p>
          <w:p>
            <w:pPr>
              <w:pStyle w:val="5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根据本项目的特点，生态环境影响监测的区域为整个项目区域的影响范围，采用定位检测、调查与巡查监测相结合的方法，监测的重点是建设区域的影响区域与</w:t>
            </w:r>
            <w:r>
              <w:rPr>
                <w:rFonts w:hint="eastAsia" w:ascii="Times New Roman" w:hAnsi="Times New Roman" w:cs="Times New Roman"/>
                <w:color w:val="auto"/>
                <w:highlight w:val="none"/>
                <w:lang w:val="zh-CN" w:eastAsia="zh-CN"/>
              </w:rPr>
              <w:t>周边生态植被的对比，植被的覆盖度，动物的数量情况，本项目共设置监测点位</w:t>
            </w:r>
            <w:r>
              <w:rPr>
                <w:rFonts w:hint="eastAsia" w:ascii="Times New Roman" w:hAnsi="Times New Roman" w:cs="Times New Roman"/>
                <w:color w:val="auto"/>
                <w:highlight w:val="none"/>
                <w:lang w:val="en-US" w:eastAsia="zh-CN"/>
              </w:rPr>
              <w:t>8个，为8个风机组所在区域，分别对各监测区进行全面监测。</w:t>
            </w:r>
          </w:p>
          <w:p>
            <w:pPr>
              <w:pStyle w:val="5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监测时段从施工准备期开始至设计水平年结束，监测内容为生态环境影响监测，监测内容为</w:t>
            </w:r>
            <w:r>
              <w:rPr>
                <w:rFonts w:hint="eastAsia" w:ascii="Times New Roman" w:hAnsi="Times New Roman" w:cs="Times New Roman"/>
                <w:color w:val="auto"/>
                <w:highlight w:val="none"/>
                <w:lang w:val="zh-CN" w:eastAsia="zh-CN"/>
              </w:rPr>
              <w:t>临时占地植被恢复与周边原始植被相符程度，</w:t>
            </w:r>
            <w:r>
              <w:rPr>
                <w:rFonts w:hint="eastAsia" w:ascii="Times New Roman" w:hAnsi="Times New Roman" w:cs="Times New Roman"/>
                <w:color w:val="auto"/>
                <w:highlight w:val="none"/>
                <w:lang w:val="en-US" w:eastAsia="zh-CN"/>
              </w:rPr>
              <w:t>植被覆盖度与周边自然生长的植被覆盖度相近程度。监测频次根据不同的施工时序、监测内容分别确定。</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2.施工</w:t>
            </w:r>
            <w:r>
              <w:rPr>
                <w:rFonts w:hint="eastAsia" w:ascii="Times New Roman" w:hAnsi="Times New Roman" w:cs="Times New Roman"/>
                <w:b/>
                <w:bCs/>
                <w:color w:val="auto"/>
                <w:highlight w:val="none"/>
                <w:lang w:val="en-US" w:eastAsia="zh-CN"/>
              </w:rPr>
              <w:t>扬尘</w:t>
            </w:r>
            <w:r>
              <w:rPr>
                <w:rFonts w:hint="default" w:ascii="Times New Roman" w:hAnsi="Times New Roman" w:cs="Times New Roman"/>
                <w:b/>
                <w:bCs/>
                <w:color w:val="auto"/>
                <w:highlight w:val="none"/>
                <w:lang w:val="en-US" w:eastAsia="zh-CN"/>
              </w:rPr>
              <w:t>污染防治措施</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施工期扬尘</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主要来源于各项工程的土方开挖和回填，建筑材料运输、装卸等过程，建筑垃圾和生活垃圾清理等过程给周边大气环境带来一定影响。本项目施工扬尘主要采取以下措施：</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①建筑工地全面落实工地周边围挡、物料堆放覆盖、土方开挖湿法作业、路面硬化、出入车辆清洗、渣土车辆密闭运输“六个百分之百”扬尘防控措施。</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②设置车辆冲洗设施。对土石方转运、物料运输及建筑垃圾清理等车辆在上路前须对车身和车轮进行严格清洗，禁止车辆带泥上路，避免对交通道路造成扬尘污染。</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③必须湿法作业，对施工范围内的各个施工场地、道路、物料及土石方堆场、建筑垃圾临时堆场等易起尘部位要及时洒水抑尘，不准高空抛撒建筑垃圾。干燥、大风天气适当增加洒水频率。</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④对施工道路进行硬化。项目施工期充分利用乡村公路进行运输，没有硬化的道路采取泥结碎石硬化，以减轻道路扬尘污染。</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⑤物料须按需暂存、不得在施工现场大量堆放，建筑垃圾及时拉运至市政规定的建筑垃圾堆放场所，土方及时回填，尽量缩短物料、建筑垃圾、土方的堆放时间。建筑垃圾等无法在48小时内清运完毕的，应当在施工工地内设置临时堆放场，临时堆放场应当利用苫布等采取围挡、遮盖等防尘措施；</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⑥运输物料的车辆应限速，不得超载、冒载，运渣车辆、车箱遮盖严密后方可运出场外，并对运输道路采取定期清扫、洒水，文明施工等措施。</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⑦不准露天搅拌砂浆。项目采用商品混凝土、预拌砂浆，不自行搅拌；</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⑧不准场地积水。若出现场地积水现象，及时抽水排水，并平整路面；</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施工期通过严格采取以上扬尘防治措施，可有效控制施工扬尘对周围环境及保护目标的影响，施工厂界扬尘排放浓度符合《大气污染物综合排放标准》(GB16297-1996)表2中的标准限值，对周围环境影响较小。且随着施工期的结束，该影响也会随之消失。</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施工机械废气</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施工机械应定期保养，减少废气的产生，施工运输车辆按规定路线行驶，不得破坏施工场地及施工道路以外的植被。</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3.施工期水污染防治措施</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施工期废水主要为机械冲洗废水及施工人员生活污水。废水中污染物成分简单，主要是悬浮物、COD、BOD</w:t>
            </w:r>
            <w:r>
              <w:rPr>
                <w:rFonts w:hint="default" w:ascii="Times New Roman" w:hAnsi="Times New Roman" w:cs="Times New Roman"/>
                <w:color w:val="auto"/>
                <w:highlight w:val="none"/>
                <w:vertAlign w:val="subscript"/>
                <w:lang w:val="en-US" w:eastAsia="zh-CN"/>
              </w:rPr>
              <w:t>5</w:t>
            </w:r>
            <w:r>
              <w:rPr>
                <w:rFonts w:hint="default" w:ascii="Times New Roman" w:hAnsi="Times New Roman" w:cs="Times New Roman"/>
                <w:color w:val="auto"/>
                <w:highlight w:val="none"/>
                <w:lang w:val="en-US" w:eastAsia="zh-CN"/>
              </w:rPr>
              <w:t>和石油类。采取沉淀池、环保</w:t>
            </w:r>
            <w:r>
              <w:rPr>
                <w:rFonts w:hint="eastAsia" w:cs="Times New Roman"/>
                <w:color w:val="auto"/>
                <w:highlight w:val="none"/>
                <w:lang w:val="en-US" w:eastAsia="zh-CN"/>
              </w:rPr>
              <w:t>旱厕</w:t>
            </w:r>
            <w:r>
              <w:rPr>
                <w:rFonts w:hint="default" w:ascii="Times New Roman" w:hAnsi="Times New Roman" w:cs="Times New Roman"/>
                <w:color w:val="auto"/>
                <w:highlight w:val="none"/>
                <w:lang w:val="en-US" w:eastAsia="zh-CN"/>
              </w:rPr>
              <w:t>等环保措施，并加强施工期管理。</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（1）施工机械冲洗废水防治措施</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施工场地配备沉淀池，机械冲洗废水经沉淀池沉淀后回用或用于洒水降尘，无废水排放，不会对水环境产生影响。</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（2）生活污水治理措施</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施工期</w:t>
            </w:r>
            <w:r>
              <w:rPr>
                <w:rFonts w:hint="eastAsia" w:cs="Times New Roman"/>
                <w:color w:val="auto"/>
                <w:highlight w:val="none"/>
                <w:lang w:val="en-US" w:eastAsia="zh-CN"/>
              </w:rPr>
              <w:t>生活污水主要为</w:t>
            </w:r>
            <w:r>
              <w:rPr>
                <w:rFonts w:hint="default" w:ascii="Times New Roman" w:hAnsi="Times New Roman" w:cs="Times New Roman"/>
                <w:color w:val="auto"/>
                <w:highlight w:val="none"/>
                <w:lang w:val="en-US" w:eastAsia="zh-CN"/>
              </w:rPr>
              <w:t>洗漱废水</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用于施工场地洒水降尘，施工期建设环保型旱厕供施工人员如厕，</w:t>
            </w:r>
            <w:r>
              <w:rPr>
                <w:rFonts w:hint="eastAsia" w:cs="Times New Roman"/>
                <w:color w:val="auto"/>
                <w:highlight w:val="none"/>
                <w:lang w:val="en-US" w:eastAsia="zh-CN"/>
              </w:rPr>
              <w:t>粪便及时</w:t>
            </w:r>
            <w:r>
              <w:rPr>
                <w:rFonts w:hint="default" w:ascii="Times New Roman" w:hAnsi="Times New Roman" w:cs="Times New Roman"/>
                <w:color w:val="auto"/>
                <w:highlight w:val="none"/>
                <w:lang w:val="en-US" w:eastAsia="zh-CN"/>
              </w:rPr>
              <w:t>清运，对水环境影响较小</w:t>
            </w:r>
            <w:r>
              <w:rPr>
                <w:rFonts w:hint="default" w:ascii="Times New Roman" w:hAnsi="Times New Roman" w:cs="Times New Roman"/>
                <w:color w:val="auto"/>
                <w:highlight w:val="none"/>
              </w:rPr>
              <w:t>。</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4.施工期噪声污染防治措施</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施工期产生的施工和机械噪声等会对场址周边声环境造成一定影响，施工噪声主要是由各种不同性能的动力机械在运转时产生的，如场地开挖、场地平整、打夯、车辆运输等，具有阶段性、临时性和流动性等特点。为降低噪声对周围环境的影响，需要采取一定的降噪措施，具体如下：</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⑴建设招标单位将投标方的低噪声、低振动施工设备和相应技术作为中标的重要内容考虑，将施工过程使用的各类机械及噪声值列入招标文件中；</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⑵施工单位应设专人对施工设备进行定期保养和维护，并负责对现场工作人员进行培训，以便使每个员工严格按操作规范使用各类机械，减少由于施工机械维护不当而产生的噪声；</w:t>
            </w:r>
          </w:p>
          <w:p>
            <w:pPr>
              <w:pStyle w:val="50"/>
              <w:keepNext w:val="0"/>
              <w:keepLines w:val="0"/>
              <w:pageBreakBefore w:val="0"/>
              <w:widowControl w:val="0"/>
              <w:kinsoku/>
              <w:wordWrap/>
              <w:topLinePunct w:val="0"/>
              <w:autoSpaceDE/>
              <w:autoSpaceDN/>
              <w:bidi w:val="0"/>
              <w:adjustRightInd w:val="0"/>
              <w:snapToGrid w:val="0"/>
              <w:spacing w:line="360" w:lineRule="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⑶从规范施工秩序着手，合理安排施工时间，合理布局施工场地，选用良好的施工设备，降低设备声级，降低人为的噪声等减少噪声污染</w:t>
            </w:r>
            <w:r>
              <w:rPr>
                <w:rFonts w:hint="default" w:ascii="Times New Roman" w:hAnsi="Times New Roman" w:cs="Times New Roman"/>
                <w:color w:val="auto"/>
                <w:highlight w:val="none"/>
                <w:lang w:eastAsia="zh-CN"/>
              </w:rPr>
              <w:t>。</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5.施工期固体废物污染防治措施</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工程土料需求主要集中基础开挖土方工程，部分用于基础填筑，剩余土方全部用于场地平整，无弃方。施工产生的建筑垃圾分类收集、回收利用，不能利用部分按照环境卫生主管部门的规定进行处置，工程施工单位不得擅自倾倒、抛撒或者堆放工程施工过程产生的建筑垃圾。生活垃圾收集后定期送至市政部门规定地点拉运处置；建筑垃圾回用于场内检修道路的修筑，不能回用的，送指定的垃圾填埋场处置。</w:t>
            </w:r>
          </w:p>
          <w:p>
            <w:pPr>
              <w:pStyle w:val="50"/>
              <w:bidi w:val="0"/>
              <w:rPr>
                <w:rFonts w:hint="default" w:ascii="Times New Roman" w:hAnsi="Times New Roman" w:cs="Times New Roman"/>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72" w:hRule="atLeast"/>
          <w:jc w:val="center"/>
        </w:trPr>
        <w:tc>
          <w:tcPr>
            <w:tcW w:w="738" w:type="dxa"/>
            <w:vAlign w:val="center"/>
          </w:tcPr>
          <w:p>
            <w:pPr>
              <w:jc w:val="center"/>
              <w:rPr>
                <w:rFonts w:hint="default" w:ascii="Times New Roman" w:hAnsi="Times New Roman"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施工期生态环境保护措施</w:t>
            </w:r>
          </w:p>
        </w:tc>
        <w:tc>
          <w:tcPr>
            <w:tcW w:w="8616" w:type="dxa"/>
            <w:vMerge w:val="continue"/>
            <w:vAlign w:val="center"/>
          </w:tcPr>
          <w:p>
            <w:pPr>
              <w:jc w:val="center"/>
              <w:rPr>
                <w:rFonts w:hint="default" w:ascii="Times New Roman" w:hAnsi="Times New Roman" w:cs="Times New Roman"/>
                <w:b/>
                <w:bCs/>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52" w:hRule="atLeast"/>
          <w:jc w:val="center"/>
        </w:trPr>
        <w:tc>
          <w:tcPr>
            <w:tcW w:w="738" w:type="dxa"/>
            <w:vAlign w:val="center"/>
          </w:tcPr>
          <w:p>
            <w:pPr>
              <w:jc w:val="center"/>
              <w:rPr>
                <w:rFonts w:hint="default" w:ascii="Times New Roman" w:hAnsi="Times New Roman"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施工期生态环境保护措施</w:t>
            </w:r>
          </w:p>
        </w:tc>
        <w:tc>
          <w:tcPr>
            <w:tcW w:w="8616" w:type="dxa"/>
            <w:vMerge w:val="continue"/>
            <w:vAlign w:val="center"/>
          </w:tcPr>
          <w:p>
            <w:pPr>
              <w:jc w:val="center"/>
              <w:rPr>
                <w:rFonts w:hint="default" w:ascii="Times New Roman" w:hAnsi="Times New Roman" w:cs="Times New Roman"/>
                <w:b/>
                <w:bCs/>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72" w:hRule="atLeast"/>
          <w:jc w:val="center"/>
        </w:trPr>
        <w:tc>
          <w:tcPr>
            <w:tcW w:w="738" w:type="dxa"/>
            <w:vAlign w:val="center"/>
          </w:tcPr>
          <w:p>
            <w:pPr>
              <w:jc w:val="center"/>
              <w:rPr>
                <w:rFonts w:hint="default" w:ascii="Times New Roman" w:hAnsi="Times New Roman"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施工期生态环境保护措施</w:t>
            </w:r>
          </w:p>
        </w:tc>
        <w:tc>
          <w:tcPr>
            <w:tcW w:w="8616" w:type="dxa"/>
            <w:vMerge w:val="continue"/>
            <w:vAlign w:val="center"/>
          </w:tcPr>
          <w:p>
            <w:pPr>
              <w:jc w:val="center"/>
              <w:rPr>
                <w:rFonts w:hint="default" w:ascii="Times New Roman" w:hAnsi="Times New Roman" w:cs="Times New Roman"/>
                <w:b/>
                <w:bCs/>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20" w:hRule="atLeast"/>
          <w:jc w:val="center"/>
        </w:trPr>
        <w:tc>
          <w:tcPr>
            <w:tcW w:w="738" w:type="dxa"/>
            <w:vAlign w:val="center"/>
          </w:tcPr>
          <w:p>
            <w:pPr>
              <w:jc w:val="center"/>
              <w:rPr>
                <w:rFonts w:hint="default" w:ascii="Times New Roman" w:hAnsi="Times New Roman"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施工期生态环境保护措施</w:t>
            </w:r>
          </w:p>
        </w:tc>
        <w:tc>
          <w:tcPr>
            <w:tcW w:w="8616" w:type="dxa"/>
            <w:vMerge w:val="continue"/>
            <w:vAlign w:val="center"/>
          </w:tcPr>
          <w:p>
            <w:pPr>
              <w:jc w:val="center"/>
              <w:rPr>
                <w:rFonts w:hint="default" w:ascii="Times New Roman" w:hAnsi="Times New Roman" w:cs="Times New Roman"/>
                <w:b/>
                <w:bCs/>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93" w:hRule="atLeast"/>
          <w:jc w:val="center"/>
        </w:trPr>
        <w:tc>
          <w:tcPr>
            <w:tcW w:w="738" w:type="dxa"/>
            <w:vAlign w:val="center"/>
          </w:tcPr>
          <w:p>
            <w:pPr>
              <w:jc w:val="center"/>
              <w:rPr>
                <w:rFonts w:hint="default" w:ascii="Times New Roman" w:hAnsi="Times New Roman"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运营期生态环境保护措施</w:t>
            </w:r>
          </w:p>
        </w:tc>
        <w:tc>
          <w:tcPr>
            <w:tcW w:w="8616" w:type="dxa"/>
            <w:vAlign w:val="center"/>
          </w:tcPr>
          <w:p>
            <w:pPr>
              <w:pStyle w:val="50"/>
              <w:bidi w:val="0"/>
              <w:rPr>
                <w:rFonts w:hint="default" w:ascii="Times New Roman" w:hAnsi="Times New Roman" w:eastAsia="仿宋_GB2312" w:cs="Times New Roman"/>
                <w:b/>
                <w:bCs/>
                <w:color w:val="auto"/>
                <w:highlight w:val="none"/>
                <w:lang w:val="en-US" w:eastAsia="zh-CN"/>
              </w:rPr>
            </w:pPr>
            <w:r>
              <w:rPr>
                <w:rFonts w:hint="eastAsia" w:cs="Times New Roman"/>
                <w:b/>
                <w:bCs/>
                <w:color w:val="auto"/>
                <w:highlight w:val="none"/>
                <w:lang w:val="en-US" w:eastAsia="zh-CN"/>
              </w:rPr>
              <w:t>1.固废保护措施：</w:t>
            </w:r>
          </w:p>
          <w:p>
            <w:pPr>
              <w:pStyle w:val="5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运营期设备检修过程产生的废润滑油均属于危险废物，营运期废润滑油</w:t>
            </w:r>
            <w:r>
              <w:rPr>
                <w:rFonts w:hint="eastAsia" w:cs="Times New Roman"/>
                <w:color w:val="auto"/>
                <w:highlight w:val="none"/>
                <w:lang w:val="en-US" w:eastAsia="zh-CN"/>
              </w:rPr>
              <w:t>集中</w:t>
            </w:r>
            <w:r>
              <w:rPr>
                <w:rFonts w:hint="default" w:ascii="Times New Roman" w:hAnsi="Times New Roman" w:cs="Times New Roman"/>
                <w:color w:val="auto"/>
                <w:highlight w:val="none"/>
                <w:lang w:val="en-US" w:eastAsia="zh-CN"/>
              </w:rPr>
              <w:t>收集后</w:t>
            </w:r>
            <w:r>
              <w:rPr>
                <w:rFonts w:hint="eastAsia"/>
                <w:color w:val="auto"/>
                <w:highlight w:val="none"/>
                <w:lang w:eastAsia="zh-CN"/>
              </w:rPr>
              <w:t>送至</w:t>
            </w:r>
            <w:r>
              <w:rPr>
                <w:rFonts w:hint="eastAsia" w:ascii="Times New Roman" w:hAnsi="Times New Roman" w:cs="Times New Roman"/>
                <w:color w:val="auto"/>
                <w:highlight w:val="none"/>
                <w:lang w:val="en-US" w:eastAsia="zh-CN"/>
              </w:rPr>
              <w:t>依托的“国家电投集团中卫香山风电场1-3期“以大代小”150MW增容项目”危废贮存点（本项目依托）暂存后</w:t>
            </w:r>
            <w:r>
              <w:rPr>
                <w:rFonts w:hint="default" w:ascii="Times New Roman" w:hAnsi="Times New Roman" w:cs="Times New Roman"/>
                <w:color w:val="auto"/>
                <w:highlight w:val="none"/>
                <w:lang w:val="en-US" w:eastAsia="zh-CN"/>
              </w:rPr>
              <w:t>交由有资质单位处置</w:t>
            </w:r>
            <w:r>
              <w:rPr>
                <w:rFonts w:hint="default" w:ascii="Times New Roman" w:hAnsi="Times New Roman" w:cs="Times New Roman"/>
                <w:color w:val="auto"/>
                <w:highlight w:val="none"/>
              </w:rPr>
              <w:t>。</w:t>
            </w:r>
          </w:p>
          <w:p>
            <w:pPr>
              <w:pStyle w:val="5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危废贮存及转移管理要求：</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①本项目</w:t>
            </w:r>
            <w:r>
              <w:rPr>
                <w:rFonts w:hint="eastAsia" w:ascii="Times New Roman" w:hAnsi="Times New Roman" w:cs="Times New Roman"/>
                <w:color w:val="auto"/>
                <w:highlight w:val="none"/>
                <w:lang w:val="en-US" w:eastAsia="zh-CN"/>
              </w:rPr>
              <w:t>依托“国家电投集团中卫香山风电场1-3期“以大代小”150MW增容项目”危废贮存点</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其危废贮存点应</w:t>
            </w:r>
            <w:r>
              <w:rPr>
                <w:rFonts w:hint="default" w:ascii="Times New Roman" w:hAnsi="Times New Roman" w:cs="Times New Roman"/>
                <w:color w:val="auto"/>
                <w:highlight w:val="none"/>
                <w:lang w:val="en-US" w:eastAsia="zh-CN"/>
              </w:rPr>
              <w:t>按照重点防渗要求对</w:t>
            </w:r>
            <w:r>
              <w:rPr>
                <w:rFonts w:hint="eastAsia" w:ascii="Times New Roman" w:hAnsi="Times New Roman" w:cs="Times New Roman"/>
                <w:color w:val="auto"/>
                <w:highlight w:val="none"/>
                <w:lang w:val="en-US" w:eastAsia="zh-CN"/>
              </w:rPr>
              <w:t>危废贮存库</w:t>
            </w:r>
            <w:r>
              <w:rPr>
                <w:rFonts w:hint="default" w:ascii="Times New Roman" w:hAnsi="Times New Roman" w:cs="Times New Roman"/>
                <w:color w:val="auto"/>
                <w:highlight w:val="none"/>
                <w:lang w:val="en-US" w:eastAsia="zh-CN"/>
              </w:rPr>
              <w:t>进行防渗，</w:t>
            </w:r>
            <w:r>
              <w:rPr>
                <w:rFonts w:hint="eastAsia" w:ascii="Times New Roman" w:hAnsi="Times New Roman" w:cs="Times New Roman"/>
                <w:color w:val="auto"/>
                <w:highlight w:val="none"/>
                <w:lang w:val="en-US" w:eastAsia="zh-CN"/>
              </w:rPr>
              <w:t>地面与裙角应采取表面防渗，采取抗渗混凝土硬化，基础必须防渗，防渗层为至少</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米厚粘土层</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渗透系数</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vertAlign w:val="superscript"/>
                <w:lang w:val="en-US" w:eastAsia="zh-CN"/>
              </w:rPr>
              <w:t>-7</w:t>
            </w:r>
            <w:r>
              <w:rPr>
                <w:rFonts w:hint="default" w:ascii="Times New Roman" w:hAnsi="Times New Roman" w:cs="Times New Roman"/>
                <w:color w:val="auto"/>
                <w:highlight w:val="none"/>
                <w:lang w:val="en-US" w:eastAsia="zh-CN"/>
              </w:rPr>
              <w:t>cm/s)</w:t>
            </w:r>
            <w:r>
              <w:rPr>
                <w:rFonts w:hint="eastAsia" w:ascii="Times New Roman" w:hAnsi="Times New Roman" w:cs="Times New Roman"/>
                <w:color w:val="auto"/>
                <w:highlight w:val="none"/>
                <w:lang w:val="en-US" w:eastAsia="zh-CN"/>
              </w:rPr>
              <w:t>，或</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至少</w:t>
            </w:r>
            <w:r>
              <w:rPr>
                <w:rFonts w:hint="default" w:ascii="Times New Roman" w:hAnsi="Times New Roman" w:cs="Times New Roman"/>
                <w:color w:val="auto"/>
                <w:highlight w:val="none"/>
                <w:lang w:val="en-US" w:eastAsia="zh-CN"/>
              </w:rPr>
              <w:t>2mm</w:t>
            </w:r>
            <w:r>
              <w:rPr>
                <w:rFonts w:hint="eastAsia" w:ascii="Times New Roman" w:hAnsi="Times New Roman" w:cs="Times New Roman"/>
                <w:color w:val="auto"/>
                <w:highlight w:val="none"/>
                <w:lang w:val="en-US" w:eastAsia="zh-CN"/>
              </w:rPr>
              <w:t>厚高密度聚乙烯膜等人工防渗材料（渗透系数</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vertAlign w:val="superscript"/>
                <w:lang w:val="en-US" w:eastAsia="zh-CN"/>
              </w:rPr>
              <w:t>-10</w:t>
            </w:r>
            <w:r>
              <w:rPr>
                <w:rFonts w:hint="default" w:ascii="Times New Roman" w:hAnsi="Times New Roman" w:cs="Times New Roman"/>
                <w:color w:val="auto"/>
                <w:highlight w:val="none"/>
                <w:lang w:val="en-US" w:eastAsia="zh-CN"/>
              </w:rPr>
              <w:t>cm/s</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，内设视频监控，门口张贴标识牌及管理制度。</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②贮存设施应根据危险废物的形态、物理化学性质、包装形式和污染物迁移途径，采取必要的防风、防晒、防雨、防漏、防渗、防腐以及其他环境污染防治措施，不应露天堆放危险废物。</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③贮存设施应根据危险废物的类别、数量、形态、物理化学性质和污染防治等要求设置必要的贮存分区，避免不相容的危险废物接触、混合。</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④</w:t>
            </w:r>
            <w:r>
              <w:rPr>
                <w:rFonts w:hint="default" w:ascii="Times New Roman" w:hAnsi="Times New Roman" w:cs="Times New Roman"/>
                <w:color w:val="auto"/>
                <w:highlight w:val="none"/>
                <w:lang w:val="en-US" w:eastAsia="zh-CN"/>
              </w:rPr>
              <w:t>贮存设施或贮存分区内地面、墙面裙脚、堵截泄漏的围堰、接触危险废物的隔板和墙体等应采用坚固的材料建造，表面无裂缝。</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⑤同一贮存设施宜采用相同的防渗、防腐工艺（包括防渗、防腐结构或材料），防渗、防腐材料应覆盖所有可能与废物及其渗滤液、渗漏液等接触的构筑物表面；采用不同防渗、防腐工艺应分别建设贮存分区。</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⑥贮存设施应采取技术和管理措施防止无关人员进入。</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⑦项目危险废物的转移运输，必须按照生态环境部、公安部、交通运输部《危险废物转移管理办法》（生态环境部、公安部、交通运输部令第23号）的规定认真执行危险废物转移过程中交付、接收和保管要求。</w:t>
            </w:r>
          </w:p>
          <w:p>
            <w:pPr>
              <w:pStyle w:val="50"/>
              <w:bidi w:val="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移出人责任和义务：</w:t>
            </w:r>
          </w:p>
          <w:p>
            <w:pPr>
              <w:pStyle w:val="50"/>
              <w:bidi w:val="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w:t>
            </w:r>
            <w:r>
              <w:rPr>
                <w:rFonts w:hint="eastAsia" w:ascii="Times New Roman" w:hAnsi="Times New Roman" w:cs="Times New Roman"/>
                <w:color w:val="auto"/>
                <w:highlight w:val="none"/>
                <w:lang w:val="en-US" w:eastAsia="zh-CN"/>
              </w:rPr>
              <w:t>责任</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危险废物移出人在危险废物转移过程中应当采取防扬散、防流失、防渗漏或者其他防止污染环境的措施，不得擅自倾倒、堆放、丢弃、遗撒危险废物，并对所造成的环境污染及生态破坏依法承担责任。</w:t>
            </w:r>
          </w:p>
          <w:p>
            <w:pPr>
              <w:pStyle w:val="5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移出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pPr>
              <w:pStyle w:val="50"/>
              <w:bidi w:val="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w:t>
            </w:r>
            <w:r>
              <w:rPr>
                <w:rFonts w:hint="eastAsia" w:ascii="Times New Roman" w:hAnsi="Times New Roman" w:cs="Times New Roman"/>
                <w:color w:val="auto"/>
                <w:highlight w:val="none"/>
                <w:lang w:val="en-US" w:eastAsia="zh-CN"/>
              </w:rPr>
              <w:t>移出人应当履行以下义务</w:t>
            </w:r>
          </w:p>
          <w:p>
            <w:pPr>
              <w:pStyle w:val="5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A.对承运人或者接受人的主体资格和技术能力进行核实，依法签订书面合同，并在合同中约定运输、贮存、利用、处置危险废物的污染防治要求及相关责任；</w:t>
            </w:r>
          </w:p>
          <w:p>
            <w:pPr>
              <w:pStyle w:val="5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B.制定危险废物管理计划，明确拟转移危险废物的种类、重量（数量）和流向等信息；</w:t>
            </w:r>
          </w:p>
          <w:p>
            <w:pPr>
              <w:pStyle w:val="5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C.建立危险废物管理台账，对转移的危险废物进行计量称重，如实记录、妥善保管转移危险废物的种类、重量（数量）和接受人等相关信息；</w:t>
            </w:r>
          </w:p>
          <w:p>
            <w:pPr>
              <w:pStyle w:val="5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D.填写、运行危险废物转移联单，在危险废物转移联单中如实填写移出人、承运人、接受人信息，转移危险废物的种类、重量（数量）、危险特性等信息，以及突发环境事件的防范措施等；</w:t>
            </w:r>
          </w:p>
          <w:p>
            <w:pPr>
              <w:pStyle w:val="5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E.及时核实接受人贮存、利用或者处置相关危险废物情况；</w:t>
            </w:r>
          </w:p>
          <w:p>
            <w:pPr>
              <w:pStyle w:val="5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F.法律法规规定的其他义务。</w:t>
            </w:r>
          </w:p>
          <w:p>
            <w:pPr>
              <w:pStyle w:val="5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移出人应当按照国家有关要求开展危险废物鉴别。禁止将危险废物以副产品等名义提供或者委托给无危险废物经营许可证的单位或者其他生产经营者从事收集、贮存、利用、处置活动。</w:t>
            </w:r>
          </w:p>
          <w:p>
            <w:pPr>
              <w:pStyle w:val="50"/>
              <w:bidi w:val="0"/>
              <w:rPr>
                <w:rFonts w:hint="eastAsia"/>
                <w:color w:val="auto"/>
                <w:highlight w:val="none"/>
                <w:lang w:val="en-US" w:eastAsia="zh-CN"/>
              </w:rPr>
            </w:pPr>
            <w:r>
              <w:rPr>
                <w:rFonts w:hint="eastAsia"/>
                <w:b/>
                <w:bCs/>
                <w:color w:val="auto"/>
                <w:highlight w:val="none"/>
                <w:lang w:val="en-US" w:eastAsia="zh-CN"/>
              </w:rPr>
              <w:t>2.噪声保护措施</w:t>
            </w:r>
          </w:p>
          <w:p>
            <w:pPr>
              <w:pStyle w:val="50"/>
              <w:bidi w:val="0"/>
              <w:rPr>
                <w:rFonts w:hint="eastAsia"/>
                <w:color w:val="auto"/>
                <w:highlight w:val="none"/>
                <w:lang w:val="en-US" w:eastAsia="zh-CN"/>
              </w:rPr>
            </w:pPr>
            <w:r>
              <w:rPr>
                <w:rFonts w:hint="eastAsia"/>
                <w:color w:val="auto"/>
                <w:highlight w:val="none"/>
                <w:lang w:val="en-US" w:eastAsia="zh-CN"/>
              </w:rPr>
              <w:t>营运期噪声主要来自风机和箱式变压器等产生噪声，加强运营维护以减少设备产生的噪声。风力发电机组运行过程产生的噪声主要来自机组内部的机械及结构噪声、空气动力噪声，机械及结构噪声主要包括齿轮噪声、轴承噪声、周期作用力激发的噪声、电机噪声等；空气动力噪声是由叶片与空气之间作用产生，来源于经过叶片的气流和风轮产生的尾流所形成，其强度依赖于叶尖线速度和叶片的空气动力负荷，且与风速有关，随风速增大而增强，它是风力发电机组的主要噪声源。根据相关资料显示，风机设备正常运转时，风机在轮毂处产生的噪声值约110dB(A)，风机配备的变压器产生的噪声值约60dB(A)。</w:t>
            </w:r>
          </w:p>
          <w:p>
            <w:pPr>
              <w:pStyle w:val="50"/>
              <w:bidi w:val="0"/>
              <w:rPr>
                <w:rFonts w:hint="eastAsia"/>
                <w:b/>
                <w:bCs/>
                <w:color w:val="auto"/>
                <w:highlight w:val="none"/>
                <w:lang w:eastAsia="zh-CN"/>
              </w:rPr>
            </w:pPr>
            <w:r>
              <w:rPr>
                <w:rFonts w:hint="eastAsia"/>
                <w:b/>
                <w:bCs/>
                <w:color w:val="auto"/>
                <w:highlight w:val="none"/>
                <w:lang w:val="en-US" w:eastAsia="zh-CN"/>
              </w:rPr>
              <w:t>3.运营期环境管理</w:t>
            </w:r>
          </w:p>
          <w:p>
            <w:pPr>
              <w:pStyle w:val="50"/>
              <w:bidi w:val="0"/>
              <w:rPr>
                <w:rFonts w:hint="eastAsia"/>
                <w:b/>
                <w:bCs/>
                <w:color w:val="auto"/>
                <w:highlight w:val="none"/>
                <w:lang w:eastAsia="zh-CN"/>
              </w:rPr>
            </w:pPr>
            <w:r>
              <w:rPr>
                <w:rFonts w:hint="eastAsia"/>
                <w:b/>
                <w:bCs/>
                <w:color w:val="auto"/>
                <w:highlight w:val="none"/>
                <w:lang w:eastAsia="zh-CN"/>
              </w:rPr>
              <w:t>⑴运行期环境管理</w:t>
            </w:r>
          </w:p>
          <w:p>
            <w:pPr>
              <w:pStyle w:val="50"/>
              <w:bidi w:val="0"/>
              <w:rPr>
                <w:rFonts w:hint="eastAsia"/>
                <w:color w:val="auto"/>
                <w:highlight w:val="none"/>
                <w:lang w:eastAsia="zh-CN"/>
              </w:rPr>
            </w:pPr>
            <w:r>
              <w:rPr>
                <w:rFonts w:hint="eastAsia"/>
                <w:color w:val="auto"/>
                <w:highlight w:val="none"/>
                <w:lang w:eastAsia="zh-CN"/>
              </w:rPr>
              <w:t>运行单位须设环境管理部门，配备相应的环境管理人员以不少于1人为宜，环境管理人员应在各自的岗位责任制中明确所负的环保责任。监督国家法规、条例的贯彻执行情况，制订和贯彻环保管理制度，监控本项目主要污染源，对各部门、操作岗位进行环境保护监督和管理。</w:t>
            </w:r>
          </w:p>
          <w:p>
            <w:pPr>
              <w:pStyle w:val="50"/>
              <w:bidi w:val="0"/>
              <w:rPr>
                <w:rFonts w:hint="eastAsia"/>
                <w:color w:val="auto"/>
                <w:highlight w:val="none"/>
                <w:lang w:eastAsia="zh-CN"/>
              </w:rPr>
            </w:pPr>
            <w:r>
              <w:rPr>
                <w:rFonts w:hint="eastAsia"/>
                <w:color w:val="auto"/>
                <w:highlight w:val="none"/>
                <w:lang w:eastAsia="zh-CN"/>
              </w:rPr>
              <w:t>①制定和实施各项环境管理计划。</w:t>
            </w:r>
          </w:p>
          <w:p>
            <w:pPr>
              <w:pStyle w:val="50"/>
              <w:bidi w:val="0"/>
              <w:rPr>
                <w:rFonts w:hint="eastAsia"/>
                <w:color w:val="auto"/>
                <w:highlight w:val="none"/>
                <w:lang w:eastAsia="zh-CN"/>
              </w:rPr>
            </w:pPr>
            <w:r>
              <w:rPr>
                <w:rFonts w:hint="eastAsia"/>
                <w:color w:val="auto"/>
                <w:highlight w:val="none"/>
                <w:lang w:eastAsia="zh-CN"/>
              </w:rPr>
              <w:t>②建立噪声环境监测。</w:t>
            </w:r>
          </w:p>
          <w:p>
            <w:pPr>
              <w:pStyle w:val="50"/>
              <w:bidi w:val="0"/>
              <w:rPr>
                <w:rFonts w:hint="eastAsia"/>
                <w:color w:val="auto"/>
                <w:highlight w:val="none"/>
                <w:lang w:eastAsia="zh-CN"/>
              </w:rPr>
            </w:pPr>
            <w:r>
              <w:rPr>
                <w:rFonts w:hint="eastAsia"/>
                <w:color w:val="auto"/>
                <w:highlight w:val="none"/>
                <w:lang w:eastAsia="zh-CN"/>
              </w:rPr>
              <w:t>③检查环境保护设施运行情况，及时处理出现的问题，保证环保设施正常运行。</w:t>
            </w:r>
          </w:p>
          <w:p>
            <w:pPr>
              <w:pStyle w:val="50"/>
              <w:bidi w:val="0"/>
              <w:rPr>
                <w:rFonts w:hint="eastAsia"/>
                <w:color w:val="auto"/>
                <w:highlight w:val="none"/>
                <w:lang w:eastAsia="zh-CN"/>
              </w:rPr>
            </w:pPr>
            <w:r>
              <w:rPr>
                <w:rFonts w:hint="eastAsia"/>
                <w:color w:val="auto"/>
                <w:highlight w:val="none"/>
                <w:lang w:eastAsia="zh-CN"/>
              </w:rPr>
              <w:t>④协调配合生态环境保护部门组织的监督检查，并组织整改发现的问题。</w:t>
            </w:r>
          </w:p>
          <w:p>
            <w:pPr>
              <w:pStyle w:val="50"/>
              <w:bidi w:val="0"/>
              <w:rPr>
                <w:rFonts w:hint="eastAsia"/>
                <w:b/>
                <w:bCs/>
                <w:color w:val="auto"/>
                <w:highlight w:val="none"/>
                <w:lang w:eastAsia="zh-CN"/>
              </w:rPr>
            </w:pPr>
            <w:r>
              <w:rPr>
                <w:rFonts w:hint="eastAsia"/>
                <w:b/>
                <w:bCs/>
                <w:color w:val="auto"/>
                <w:highlight w:val="none"/>
                <w:lang w:eastAsia="zh-CN"/>
              </w:rPr>
              <w:t>⑵运行期环境监测计划</w:t>
            </w:r>
          </w:p>
          <w:p>
            <w:pPr>
              <w:pStyle w:val="50"/>
              <w:bidi w:val="0"/>
              <w:rPr>
                <w:rFonts w:hint="eastAsia"/>
                <w:color w:val="auto"/>
                <w:highlight w:val="none"/>
                <w:lang w:val="en-US" w:eastAsia="zh-CN"/>
              </w:rPr>
            </w:pPr>
            <w:r>
              <w:rPr>
                <w:rFonts w:hint="eastAsia"/>
                <w:color w:val="auto"/>
                <w:highlight w:val="none"/>
                <w:lang w:eastAsia="zh-CN"/>
              </w:rPr>
              <w:t>本项目运行期环境监测计划见表</w:t>
            </w:r>
            <w:r>
              <w:rPr>
                <w:rFonts w:hint="eastAsia"/>
                <w:color w:val="auto"/>
                <w:highlight w:val="none"/>
                <w:lang w:val="en-US" w:eastAsia="zh-CN"/>
              </w:rPr>
              <w:t>5-1。</w:t>
            </w:r>
          </w:p>
          <w:p>
            <w:pPr>
              <w:keepNext w:val="0"/>
              <w:keepLines w:val="0"/>
              <w:pageBreakBefore w:val="0"/>
              <w:widowControl w:val="0"/>
              <w:kinsoku/>
              <w:wordWrap/>
              <w:overflowPunct/>
              <w:topLinePunct w:val="0"/>
              <w:autoSpaceDE/>
              <w:autoSpaceDN/>
              <w:bidi w:val="0"/>
              <w:adjustRightInd/>
              <w:snapToGrid w:val="0"/>
              <w:ind w:firstLine="481" w:firstLineChars="200"/>
              <w:jc w:val="left"/>
              <w:textAlignment w:val="auto"/>
              <w:rPr>
                <w:rFonts w:hint="eastAsia" w:ascii="Times New Roman" w:hAnsi="Times New Roman" w:eastAsia="宋体" w:cs="Times New Roman"/>
                <w:b/>
                <w:bCs w:val="0"/>
                <w:color w:val="auto"/>
                <w:kern w:val="24"/>
                <w:sz w:val="24"/>
                <w:szCs w:val="24"/>
                <w:highlight w:val="none"/>
                <w:lang w:val="zh-CN" w:eastAsia="zh-CN"/>
              </w:rPr>
            </w:pPr>
            <w:r>
              <w:rPr>
                <w:rFonts w:hint="eastAsia" w:ascii="Times New Roman" w:hAnsi="Times New Roman" w:eastAsia="宋体" w:cs="Times New Roman"/>
                <w:b/>
                <w:bCs w:val="0"/>
                <w:color w:val="auto"/>
                <w:kern w:val="24"/>
                <w:sz w:val="24"/>
                <w:szCs w:val="24"/>
                <w:highlight w:val="none"/>
                <w:lang w:val="zh-CN" w:eastAsia="zh-CN"/>
              </w:rPr>
              <w:t>表</w:t>
            </w:r>
            <w:r>
              <w:rPr>
                <w:rFonts w:hint="eastAsia" w:cs="Times New Roman"/>
                <w:b/>
                <w:bCs w:val="0"/>
                <w:color w:val="auto"/>
                <w:kern w:val="24"/>
                <w:sz w:val="24"/>
                <w:szCs w:val="24"/>
                <w:highlight w:val="none"/>
                <w:lang w:val="en-US" w:eastAsia="zh-CN"/>
              </w:rPr>
              <w:t>5-1</w:t>
            </w:r>
            <w:r>
              <w:rPr>
                <w:rFonts w:hint="eastAsia" w:ascii="Times New Roman" w:hAnsi="Times New Roman" w:eastAsia="宋体" w:cs="Times New Roman"/>
                <w:b/>
                <w:bCs w:val="0"/>
                <w:color w:val="auto"/>
                <w:kern w:val="24"/>
                <w:sz w:val="24"/>
                <w:szCs w:val="24"/>
                <w:highlight w:val="none"/>
                <w:lang w:val="zh-CN" w:eastAsia="zh-CN"/>
              </w:rPr>
              <w:t xml:space="preserve">  </w:t>
            </w:r>
            <w:r>
              <w:rPr>
                <w:rFonts w:hint="eastAsia" w:ascii="Times New Roman" w:hAnsi="Times New Roman" w:eastAsia="宋体" w:cs="Times New Roman"/>
                <w:b/>
                <w:bCs w:val="0"/>
                <w:color w:val="auto"/>
                <w:kern w:val="24"/>
                <w:sz w:val="24"/>
                <w:szCs w:val="24"/>
                <w:highlight w:val="none"/>
                <w:lang w:val="en-US" w:eastAsia="zh-CN"/>
              </w:rPr>
              <w:t xml:space="preserve">           运营期</w:t>
            </w:r>
            <w:r>
              <w:rPr>
                <w:rFonts w:hint="eastAsia" w:ascii="Times New Roman" w:hAnsi="Times New Roman" w:eastAsia="宋体" w:cs="Times New Roman"/>
                <w:b/>
                <w:bCs w:val="0"/>
                <w:color w:val="auto"/>
                <w:kern w:val="24"/>
                <w:sz w:val="24"/>
                <w:szCs w:val="24"/>
                <w:highlight w:val="none"/>
                <w:lang w:val="zh-CN" w:eastAsia="zh-CN"/>
              </w:rPr>
              <w:t>项目监测计划表</w:t>
            </w:r>
          </w:p>
          <w:tbl>
            <w:tblPr>
              <w:tblStyle w:val="28"/>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88"/>
              <w:gridCol w:w="1176"/>
              <w:gridCol w:w="810"/>
              <w:gridCol w:w="901"/>
              <w:gridCol w:w="2851"/>
              <w:gridCol w:w="194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9" w:hRule="atLeast"/>
                <w:jc w:val="center"/>
              </w:trPr>
              <w:tc>
                <w:tcPr>
                  <w:tcW w:w="72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监测要素</w:t>
                  </w:r>
                </w:p>
              </w:tc>
              <w:tc>
                <w:tcPr>
                  <w:tcW w:w="126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监测因子</w:t>
                  </w:r>
                </w:p>
              </w:tc>
              <w:tc>
                <w:tcPr>
                  <w:tcW w:w="87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监测点位</w:t>
                  </w:r>
                </w:p>
              </w:tc>
              <w:tc>
                <w:tcPr>
                  <w:tcW w:w="9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lang w:val="en-GB" w:eastAsia="zh-CN"/>
                    </w:rPr>
                  </w:pPr>
                  <w:r>
                    <w:rPr>
                      <w:rFonts w:hint="eastAsia" w:ascii="Times New Roman" w:hAnsi="Times New Roman" w:cs="Times New Roman"/>
                      <w:b/>
                      <w:bCs/>
                      <w:color w:val="auto"/>
                      <w:sz w:val="21"/>
                      <w:szCs w:val="21"/>
                      <w:highlight w:val="none"/>
                      <w:lang w:val="en-GB" w:eastAsia="zh-CN"/>
                    </w:rPr>
                    <w:t>负责部门</w:t>
                  </w:r>
                </w:p>
              </w:tc>
              <w:tc>
                <w:tcPr>
                  <w:tcW w:w="31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lang w:val="en-GB" w:eastAsia="zh-CN"/>
                    </w:rPr>
                  </w:pPr>
                  <w:r>
                    <w:rPr>
                      <w:rFonts w:hint="eastAsia" w:ascii="Times New Roman" w:hAnsi="Times New Roman" w:cs="Times New Roman"/>
                      <w:b/>
                      <w:bCs/>
                      <w:color w:val="auto"/>
                      <w:sz w:val="21"/>
                      <w:szCs w:val="21"/>
                      <w:highlight w:val="none"/>
                      <w:lang w:val="en-GB" w:eastAsia="zh-CN"/>
                    </w:rPr>
                    <w:t>监测频率</w:t>
                  </w:r>
                </w:p>
              </w:tc>
              <w:tc>
                <w:tcPr>
                  <w:tcW w:w="13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lang w:val="en-GB" w:eastAsia="zh-CN"/>
                    </w:rPr>
                  </w:pPr>
                  <w:r>
                    <w:rPr>
                      <w:rFonts w:hint="eastAsia" w:ascii="Times New Roman" w:hAnsi="Times New Roman" w:cs="Times New Roman"/>
                      <w:b/>
                      <w:bCs/>
                      <w:color w:val="auto"/>
                      <w:sz w:val="21"/>
                      <w:szCs w:val="21"/>
                      <w:highlight w:val="none"/>
                      <w:lang w:val="en-GB" w:eastAsia="zh-CN"/>
                    </w:rPr>
                    <w:t>执行标准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40" w:hRule="atLeast"/>
                <w:jc w:val="center"/>
              </w:trPr>
              <w:tc>
                <w:tcPr>
                  <w:tcW w:w="72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eastAsia="zh-CN"/>
                    </w:rPr>
                    <w:t>噪声</w:t>
                  </w:r>
                </w:p>
              </w:tc>
              <w:tc>
                <w:tcPr>
                  <w:tcW w:w="126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eastAsia="zh-CN"/>
                    </w:rPr>
                    <w:t>昼间、夜间等效声级，Leq</w:t>
                  </w:r>
                </w:p>
              </w:tc>
              <w:tc>
                <w:tcPr>
                  <w:tcW w:w="87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风机组</w:t>
                  </w:r>
                  <w:r>
                    <w:rPr>
                      <w:rFonts w:hint="eastAsia" w:ascii="Times New Roman" w:hAnsi="Times New Roman" w:cs="Times New Roman"/>
                      <w:b w:val="0"/>
                      <w:bCs w:val="0"/>
                      <w:color w:val="auto"/>
                      <w:sz w:val="21"/>
                      <w:szCs w:val="21"/>
                      <w:highlight w:val="none"/>
                      <w:lang w:eastAsia="zh-CN"/>
                    </w:rPr>
                    <w:t>边界</w:t>
                  </w:r>
                </w:p>
              </w:tc>
              <w:tc>
                <w:tcPr>
                  <w:tcW w:w="97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运维单位委托有资质监测单位</w:t>
                  </w:r>
                </w:p>
              </w:tc>
              <w:tc>
                <w:tcPr>
                  <w:tcW w:w="31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val="en-US" w:eastAsia="zh-CN"/>
                    </w:rPr>
                    <w:t>进行竣工环境保护验收时；正常运行期，项目环境及生产设备发生重大变化时进行监测，即突发性环境事件进行跟踪监测；项目引发纠纷、投诉时进行监测。</w:t>
                  </w:r>
                </w:p>
              </w:tc>
              <w:tc>
                <w:tcPr>
                  <w:tcW w:w="13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val="en-US" w:eastAsia="zh-CN"/>
                    </w:rPr>
                    <w:t>《工业企业厂界环境噪声排放标准》（GB12348-2008）</w:t>
                  </w:r>
                  <w:r>
                    <w:rPr>
                      <w:rFonts w:hint="eastAsia" w:cs="Times New Roman"/>
                      <w:b w:val="0"/>
                      <w:bCs w:val="0"/>
                      <w:color w:val="auto"/>
                      <w:sz w:val="21"/>
                      <w:szCs w:val="21"/>
                      <w:highlight w:val="none"/>
                      <w:lang w:val="en-US" w:eastAsia="zh-CN"/>
                    </w:rPr>
                    <w:t>1</w:t>
                  </w:r>
                  <w:r>
                    <w:rPr>
                      <w:rFonts w:hint="eastAsia" w:ascii="Times New Roman" w:hAnsi="Times New Roman" w:cs="Times New Roman"/>
                      <w:b w:val="0"/>
                      <w:bCs w:val="0"/>
                      <w:color w:val="auto"/>
                      <w:sz w:val="21"/>
                      <w:szCs w:val="21"/>
                      <w:highlight w:val="none"/>
                      <w:lang w:val="en-US" w:eastAsia="zh-CN"/>
                    </w:rPr>
                    <w:t>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72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eastAsia="zh-CN"/>
                    </w:rPr>
                    <w:t>生态</w:t>
                  </w:r>
                  <w:r>
                    <w:rPr>
                      <w:rFonts w:hint="eastAsia" w:cs="Times New Roman"/>
                      <w:b w:val="0"/>
                      <w:bCs w:val="0"/>
                      <w:color w:val="auto"/>
                      <w:sz w:val="21"/>
                      <w:szCs w:val="21"/>
                      <w:highlight w:val="none"/>
                      <w:lang w:eastAsia="zh-CN"/>
                    </w:rPr>
                    <w:t>恢复</w:t>
                  </w:r>
                </w:p>
              </w:tc>
              <w:tc>
                <w:tcPr>
                  <w:tcW w:w="213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val="en-US" w:eastAsia="zh-CN"/>
                    </w:rPr>
                    <w:t>临时用地及施工扰动区域</w:t>
                  </w:r>
                </w:p>
              </w:tc>
              <w:tc>
                <w:tcPr>
                  <w:tcW w:w="97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lang w:eastAsia="zh-CN"/>
                    </w:rPr>
                  </w:pPr>
                </w:p>
              </w:tc>
              <w:tc>
                <w:tcPr>
                  <w:tcW w:w="31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eastAsia="zh-CN"/>
                    </w:rPr>
                    <w:t>前三年每年一次，待植被恢复至项目实施前水平，可不再调查</w:t>
                  </w:r>
                  <w:r>
                    <w:rPr>
                      <w:rFonts w:hint="eastAsia" w:cs="Times New Roman"/>
                      <w:b w:val="0"/>
                      <w:bCs w:val="0"/>
                      <w:color w:val="auto"/>
                      <w:sz w:val="21"/>
                      <w:szCs w:val="21"/>
                      <w:highlight w:val="none"/>
                      <w:lang w:eastAsia="zh-CN"/>
                    </w:rPr>
                    <w:t>。</w:t>
                  </w:r>
                </w:p>
              </w:tc>
              <w:tc>
                <w:tcPr>
                  <w:tcW w:w="13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r>
          </w:tbl>
          <w:p>
            <w:pPr>
              <w:pStyle w:val="50"/>
              <w:bidi w:val="0"/>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23" w:hRule="atLeast"/>
          <w:jc w:val="center"/>
        </w:trPr>
        <w:tc>
          <w:tcPr>
            <w:tcW w:w="738" w:type="dxa"/>
            <w:vAlign w:val="center"/>
          </w:tcPr>
          <w:p>
            <w:pPr>
              <w:jc w:val="center"/>
              <w:rPr>
                <w:rFonts w:hint="default" w:ascii="Times New Roman" w:hAnsi="Times New Roman"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其他</w:t>
            </w:r>
          </w:p>
        </w:tc>
        <w:tc>
          <w:tcPr>
            <w:tcW w:w="8616" w:type="dxa"/>
            <w:vAlign w:val="center"/>
          </w:tcPr>
          <w:p>
            <w:pPr>
              <w:pStyle w:val="49"/>
              <w:bidi w:val="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1.环境管理</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（1）环境管理目标</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①确保本工程符合环境保护法规要求；</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②以适当的环境保护投资充分发挥本工程潜在的效益；</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③实现工程建设的环境、社会与经济效益的统一。</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（2）环境管理机构及其职责</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在工程建设管理单位设置专职的环境管理员，安排专业环保人员负责施工中的环境管理工作。为保证各项措施有效实施，环境管理员应在工程筹建期设置。环境管理员具有以下职责：</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①贯彻国家及有关部门的环保方针、政策、法规、条例，对工程施工过程中各项环保措施执行情况进行监督检查。结合本工程特点，制定施工区环境管理办法，并指导、监督实施。</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②代表业主选择有资质的单位签订合同，进行环境监测、卫生防疫工作。</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③做好施工期各种突发环境事件的预防工作，准备好应急处理措施。</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④协调处理工程建设与当地群众的环境纠纷。</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⑤加强对施工人员的环保宣传教育，增强其环保意识。</w:t>
            </w:r>
          </w:p>
          <w:p>
            <w:pPr>
              <w:pStyle w:val="50"/>
              <w:bidi w:val="0"/>
              <w:rPr>
                <w:rFonts w:hint="default" w:ascii="Times New Roman" w:hAnsi="Times New Roman" w:eastAsia="黑体" w:cs="Times New Roman"/>
                <w:b w:val="0"/>
                <w:bCs/>
                <w:color w:val="auto"/>
                <w:kern w:val="2"/>
                <w:sz w:val="24"/>
                <w:szCs w:val="24"/>
                <w:highlight w:val="none"/>
                <w:lang w:val="en-US" w:eastAsia="zh-CN" w:bidi="ar-SA"/>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lang w:eastAsia="zh-CN"/>
              </w:rPr>
              <w:t>施工期环境管理见表</w:t>
            </w:r>
            <w:r>
              <w:rPr>
                <w:rFonts w:hint="eastAsia" w:cs="Times New Roman"/>
                <w:color w:val="auto"/>
                <w:highlight w:val="none"/>
                <w:lang w:val="en-US" w:eastAsia="zh-CN"/>
              </w:rPr>
              <w:t>5-2</w:t>
            </w:r>
            <w:r>
              <w:rPr>
                <w:rFonts w:hint="default" w:ascii="Times New Roman" w:hAnsi="Times New Roman" w:cs="Times New Roman"/>
                <w:color w:val="auto"/>
                <w:highlight w:val="none"/>
                <w:lang w:eastAsia="zh-CN"/>
              </w:rPr>
              <w:t>。</w:t>
            </w:r>
          </w:p>
          <w:p>
            <w:pPr>
              <w:pStyle w:val="102"/>
              <w:bidi w:val="0"/>
              <w:ind w:firstLine="481" w:firstLineChars="200"/>
              <w:jc w:val="both"/>
              <w:rPr>
                <w:rFonts w:hint="default" w:ascii="Times New Roman" w:hAnsi="Times New Roman" w:cs="Times New Roman" w:eastAsiaTheme="majorEastAsia"/>
                <w:b/>
                <w:bCs w:val="0"/>
                <w:color w:val="auto"/>
                <w:highlight w:val="none"/>
                <w:lang w:eastAsia="zh-CN"/>
              </w:rPr>
            </w:pPr>
            <w:r>
              <w:rPr>
                <w:rFonts w:hint="default" w:ascii="Times New Roman" w:hAnsi="Times New Roman" w:cs="Times New Roman" w:eastAsiaTheme="majorEastAsia"/>
                <w:b/>
                <w:bCs w:val="0"/>
                <w:color w:val="auto"/>
                <w:kern w:val="2"/>
                <w:sz w:val="24"/>
                <w:szCs w:val="24"/>
                <w:highlight w:val="none"/>
                <w:lang w:val="en-US" w:eastAsia="zh-CN" w:bidi="ar-SA"/>
              </w:rPr>
              <w:t>表</w:t>
            </w:r>
            <w:r>
              <w:rPr>
                <w:rFonts w:hint="eastAsia" w:cs="Times New Roman" w:eastAsiaTheme="majorEastAsia"/>
                <w:b/>
                <w:bCs w:val="0"/>
                <w:color w:val="auto"/>
                <w:kern w:val="2"/>
                <w:sz w:val="24"/>
                <w:szCs w:val="24"/>
                <w:highlight w:val="none"/>
                <w:lang w:val="en-US" w:eastAsia="zh-CN" w:bidi="ar-SA"/>
              </w:rPr>
              <w:t>5-2</w:t>
            </w:r>
            <w:r>
              <w:rPr>
                <w:rFonts w:hint="default" w:ascii="Times New Roman" w:hAnsi="Times New Roman" w:cs="Times New Roman" w:eastAsiaTheme="majorEastAsia"/>
                <w:b/>
                <w:bCs w:val="0"/>
                <w:color w:val="auto"/>
                <w:kern w:val="2"/>
                <w:sz w:val="24"/>
                <w:szCs w:val="24"/>
                <w:highlight w:val="none"/>
                <w:lang w:val="en-US" w:eastAsia="zh-CN" w:bidi="ar-SA"/>
              </w:rPr>
              <w:t xml:space="preserve">                   施工期环境管理</w:t>
            </w:r>
          </w:p>
          <w:tbl>
            <w:tblPr>
              <w:tblStyle w:val="28"/>
              <w:tblW w:w="81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7" w:type="dxa"/>
                <w:bottom w:w="0" w:type="dxa"/>
                <w:right w:w="17" w:type="dxa"/>
              </w:tblCellMar>
            </w:tblPr>
            <w:tblGrid>
              <w:gridCol w:w="749"/>
              <w:gridCol w:w="1184"/>
              <w:gridCol w:w="4202"/>
              <w:gridCol w:w="1104"/>
              <w:gridCol w:w="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749" w:type="dxa"/>
                  <w:noWrap w:val="0"/>
                  <w:vAlign w:val="center"/>
                </w:tcPr>
                <w:p>
                  <w:pPr>
                    <w:widowControl/>
                    <w:adjustRightInd w:val="0"/>
                    <w:snapToGrid w:val="0"/>
                    <w:jc w:val="center"/>
                    <w:rPr>
                      <w:rFonts w:hAnsi="宋体"/>
                      <w:b/>
                      <w:bCs/>
                      <w:color w:val="auto"/>
                      <w:szCs w:val="21"/>
                      <w:highlight w:val="none"/>
                    </w:rPr>
                  </w:pPr>
                  <w:r>
                    <w:rPr>
                      <w:rFonts w:hAnsi="宋体"/>
                      <w:b/>
                      <w:bCs/>
                      <w:color w:val="auto"/>
                      <w:szCs w:val="21"/>
                      <w:highlight w:val="none"/>
                    </w:rPr>
                    <w:t>类别</w:t>
                  </w:r>
                </w:p>
              </w:tc>
              <w:tc>
                <w:tcPr>
                  <w:tcW w:w="1184" w:type="dxa"/>
                  <w:noWrap w:val="0"/>
                  <w:vAlign w:val="center"/>
                </w:tcPr>
                <w:p>
                  <w:pPr>
                    <w:widowControl/>
                    <w:adjustRightInd w:val="0"/>
                    <w:snapToGrid w:val="0"/>
                    <w:jc w:val="center"/>
                    <w:rPr>
                      <w:rFonts w:hint="eastAsia" w:hAnsi="宋体" w:eastAsia="宋体"/>
                      <w:b/>
                      <w:bCs/>
                      <w:color w:val="auto"/>
                      <w:szCs w:val="21"/>
                      <w:highlight w:val="none"/>
                      <w:lang w:eastAsia="zh-CN"/>
                    </w:rPr>
                  </w:pPr>
                  <w:r>
                    <w:rPr>
                      <w:rFonts w:hint="eastAsia" w:hAnsi="宋体"/>
                      <w:b/>
                      <w:bCs/>
                      <w:color w:val="auto"/>
                      <w:szCs w:val="21"/>
                      <w:highlight w:val="none"/>
                      <w:lang w:val="en-US" w:eastAsia="zh-CN"/>
                    </w:rPr>
                    <w:t>污染源</w:t>
                  </w:r>
                </w:p>
              </w:tc>
              <w:tc>
                <w:tcPr>
                  <w:tcW w:w="4202" w:type="dxa"/>
                  <w:noWrap w:val="0"/>
                  <w:vAlign w:val="center"/>
                </w:tcPr>
                <w:p>
                  <w:pPr>
                    <w:widowControl/>
                    <w:adjustRightInd w:val="0"/>
                    <w:snapToGrid w:val="0"/>
                    <w:jc w:val="center"/>
                    <w:rPr>
                      <w:rFonts w:hint="default" w:hAnsi="宋体" w:eastAsia="宋体"/>
                      <w:b/>
                      <w:bCs/>
                      <w:color w:val="auto"/>
                      <w:szCs w:val="21"/>
                      <w:highlight w:val="none"/>
                      <w:lang w:val="en-US" w:eastAsia="zh-CN"/>
                    </w:rPr>
                  </w:pPr>
                  <w:r>
                    <w:rPr>
                      <w:rFonts w:hint="eastAsia" w:hAnsi="宋体"/>
                      <w:b/>
                      <w:bCs/>
                      <w:color w:val="auto"/>
                      <w:szCs w:val="21"/>
                      <w:highlight w:val="none"/>
                      <w:lang w:val="en-US" w:eastAsia="zh-CN"/>
                    </w:rPr>
                    <w:t>治理措施及设施</w:t>
                  </w:r>
                </w:p>
              </w:tc>
              <w:tc>
                <w:tcPr>
                  <w:tcW w:w="1104" w:type="dxa"/>
                  <w:noWrap w:val="0"/>
                  <w:vAlign w:val="center"/>
                </w:tcPr>
                <w:p>
                  <w:pPr>
                    <w:widowControl/>
                    <w:adjustRightInd w:val="0"/>
                    <w:snapToGrid w:val="0"/>
                    <w:jc w:val="center"/>
                    <w:rPr>
                      <w:rFonts w:hint="eastAsia" w:hAnsi="宋体" w:eastAsia="宋体"/>
                      <w:b/>
                      <w:bCs/>
                      <w:color w:val="auto"/>
                      <w:szCs w:val="21"/>
                      <w:highlight w:val="none"/>
                      <w:lang w:eastAsia="zh-CN"/>
                    </w:rPr>
                  </w:pPr>
                  <w:r>
                    <w:rPr>
                      <w:rFonts w:hint="eastAsia" w:hAnsi="宋体"/>
                      <w:b/>
                      <w:bCs/>
                      <w:color w:val="auto"/>
                      <w:szCs w:val="21"/>
                      <w:highlight w:val="none"/>
                      <w:lang w:val="en-US" w:eastAsia="zh-CN"/>
                    </w:rPr>
                    <w:t>预期效果</w:t>
                  </w:r>
                </w:p>
              </w:tc>
              <w:tc>
                <w:tcPr>
                  <w:tcW w:w="899" w:type="dxa"/>
                  <w:noWrap w:val="0"/>
                  <w:vAlign w:val="center"/>
                </w:tcPr>
                <w:p>
                  <w:pPr>
                    <w:widowControl/>
                    <w:adjustRightInd w:val="0"/>
                    <w:snapToGrid w:val="0"/>
                    <w:jc w:val="center"/>
                    <w:rPr>
                      <w:rFonts w:hint="eastAsia" w:hAnsi="宋体" w:eastAsia="宋体"/>
                      <w:b/>
                      <w:bCs/>
                      <w:color w:val="auto"/>
                      <w:szCs w:val="21"/>
                      <w:highlight w:val="none"/>
                      <w:lang w:val="en-US" w:eastAsia="zh-CN"/>
                    </w:rPr>
                  </w:pPr>
                  <w:r>
                    <w:rPr>
                      <w:rFonts w:hint="eastAsia" w:hAnsi="宋体"/>
                      <w:b/>
                      <w:bCs/>
                      <w:color w:val="auto"/>
                      <w:szCs w:val="21"/>
                      <w:highlight w:val="none"/>
                      <w:lang w:val="en-US" w:eastAsia="zh-CN"/>
                    </w:rPr>
                    <w:t>责任主体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749" w:type="dxa"/>
                  <w:noWrap w:val="0"/>
                  <w:vAlign w:val="center"/>
                </w:tcPr>
                <w:p>
                  <w:pPr>
                    <w:widowControl/>
                    <w:adjustRightInd w:val="0"/>
                    <w:snapToGrid w:val="0"/>
                    <w:jc w:val="center"/>
                    <w:rPr>
                      <w:rFonts w:hAnsi="宋体"/>
                      <w:color w:val="auto"/>
                      <w:szCs w:val="21"/>
                      <w:highlight w:val="none"/>
                    </w:rPr>
                  </w:pPr>
                  <w:r>
                    <w:rPr>
                      <w:rFonts w:hAnsi="宋体"/>
                      <w:color w:val="auto"/>
                      <w:szCs w:val="21"/>
                      <w:highlight w:val="none"/>
                    </w:rPr>
                    <w:t>废气治理</w:t>
                  </w:r>
                </w:p>
              </w:tc>
              <w:tc>
                <w:tcPr>
                  <w:tcW w:w="1184" w:type="dxa"/>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hAnsi="宋体"/>
                      <w:color w:val="auto"/>
                      <w:sz w:val="21"/>
                      <w:szCs w:val="21"/>
                      <w:highlight w:val="none"/>
                    </w:rPr>
                  </w:pPr>
                  <w:r>
                    <w:rPr>
                      <w:rFonts w:hint="default" w:ascii="Times New Roman" w:hAnsi="Times New Roman" w:eastAsia="宋体" w:cs="Times New Roman"/>
                      <w:color w:val="auto"/>
                      <w:sz w:val="21"/>
                      <w:szCs w:val="21"/>
                      <w:highlight w:val="none"/>
                    </w:rPr>
                    <w:t>施工扬尘</w:t>
                  </w:r>
                </w:p>
              </w:tc>
              <w:tc>
                <w:tcPr>
                  <w:tcW w:w="4202" w:type="dxa"/>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①路基施工避开大风天气、定时洒水。</w:t>
                  </w:r>
                </w:p>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②及时清运</w:t>
                  </w:r>
                  <w:r>
                    <w:rPr>
                      <w:rFonts w:hint="default" w:ascii="Times New Roman" w:hAnsi="Times New Roman" w:eastAsia="宋体" w:cs="Times New Roman"/>
                      <w:color w:val="auto"/>
                      <w:sz w:val="21"/>
                      <w:szCs w:val="21"/>
                      <w:highlight w:val="none"/>
                      <w:lang w:eastAsia="zh-CN"/>
                    </w:rPr>
                    <w:t>建筑垃圾</w:t>
                  </w:r>
                  <w:r>
                    <w:rPr>
                      <w:rFonts w:hint="default" w:ascii="Times New Roman" w:hAnsi="Times New Roman" w:eastAsia="宋体" w:cs="Times New Roman"/>
                      <w:color w:val="auto"/>
                      <w:sz w:val="21"/>
                      <w:szCs w:val="21"/>
                      <w:highlight w:val="none"/>
                    </w:rPr>
                    <w:t>，施工结束后</w:t>
                  </w:r>
                  <w:r>
                    <w:rPr>
                      <w:rFonts w:hint="default" w:ascii="Times New Roman" w:hAnsi="Times New Roman" w:eastAsia="宋体" w:cs="Times New Roman"/>
                      <w:color w:val="auto"/>
                      <w:sz w:val="21"/>
                      <w:szCs w:val="21"/>
                      <w:highlight w:val="none"/>
                      <w:lang w:eastAsia="zh-CN"/>
                    </w:rPr>
                    <w:t>对临时占地</w:t>
                  </w:r>
                  <w:r>
                    <w:rPr>
                      <w:rFonts w:hint="default" w:ascii="Times New Roman" w:hAnsi="Times New Roman" w:eastAsia="宋体" w:cs="Times New Roman"/>
                      <w:color w:val="auto"/>
                      <w:sz w:val="21"/>
                      <w:szCs w:val="21"/>
                      <w:highlight w:val="none"/>
                    </w:rPr>
                    <w:t>进行必要的地表整平、绿化、美化，与原地貌保持一致。</w:t>
                  </w:r>
                </w:p>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④粉料运输车辆控制车速，并采取少量洒水与遮蔽抑尘措施。</w:t>
                  </w:r>
                </w:p>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hAnsi="宋体"/>
                      <w:color w:val="auto"/>
                      <w:szCs w:val="21"/>
                      <w:highlight w:val="none"/>
                    </w:rPr>
                  </w:pPr>
                  <w:r>
                    <w:rPr>
                      <w:rFonts w:hint="default" w:ascii="Times New Roman" w:hAnsi="Times New Roman" w:eastAsia="宋体" w:cs="Times New Roman"/>
                      <w:color w:val="auto"/>
                      <w:sz w:val="21"/>
                      <w:szCs w:val="21"/>
                      <w:highlight w:val="none"/>
                    </w:rPr>
                    <w:t>⑤施工生活生产区料场远离敏感点、设置挡风围墙、洒水保湿等。</w:t>
                  </w:r>
                </w:p>
              </w:tc>
              <w:tc>
                <w:tcPr>
                  <w:tcW w:w="1104" w:type="dxa"/>
                  <w:noWrap w:val="0"/>
                  <w:vAlign w:val="center"/>
                </w:tcPr>
                <w:p>
                  <w:pPr>
                    <w:widowControl/>
                    <w:adjustRightInd w:val="0"/>
                    <w:snapToGrid w:val="0"/>
                    <w:jc w:val="center"/>
                    <w:rPr>
                      <w:rFonts w:hAnsi="宋体"/>
                      <w:color w:val="auto"/>
                      <w:szCs w:val="21"/>
                      <w:highlight w:val="none"/>
                    </w:rPr>
                  </w:pPr>
                  <w:r>
                    <w:rPr>
                      <w:rFonts w:hAnsi="宋体"/>
                      <w:color w:val="auto"/>
                      <w:szCs w:val="21"/>
                      <w:highlight w:val="none"/>
                    </w:rPr>
                    <w:t>达标排放</w:t>
                  </w:r>
                </w:p>
              </w:tc>
              <w:tc>
                <w:tcPr>
                  <w:tcW w:w="899" w:type="dxa"/>
                  <w:vMerge w:val="restart"/>
                  <w:noWrap w:val="0"/>
                  <w:vAlign w:val="center"/>
                </w:tcPr>
                <w:p>
                  <w:pPr>
                    <w:widowControl/>
                    <w:adjustRightInd w:val="0"/>
                    <w:snapToGrid w:val="0"/>
                    <w:jc w:val="center"/>
                    <w:rPr>
                      <w:rFonts w:hint="default" w:hAnsi="宋体" w:eastAsia="宋体"/>
                      <w:color w:val="auto"/>
                      <w:szCs w:val="21"/>
                      <w:highlight w:val="none"/>
                      <w:lang w:val="en-US" w:eastAsia="zh-CN"/>
                    </w:rPr>
                  </w:pPr>
                  <w:r>
                    <w:rPr>
                      <w:rFonts w:hint="eastAsia" w:hAnsi="宋体"/>
                      <w:color w:val="auto"/>
                      <w:szCs w:val="21"/>
                      <w:highlight w:val="none"/>
                      <w:lang w:val="en-US" w:eastAsia="zh-CN"/>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749" w:type="dxa"/>
                  <w:noWrap w:val="0"/>
                  <w:vAlign w:val="center"/>
                </w:tcPr>
                <w:p>
                  <w:pPr>
                    <w:widowControl/>
                    <w:adjustRightInd w:val="0"/>
                    <w:snapToGrid w:val="0"/>
                    <w:jc w:val="center"/>
                    <w:rPr>
                      <w:rFonts w:hAnsi="宋体"/>
                      <w:color w:val="auto"/>
                      <w:szCs w:val="21"/>
                      <w:highlight w:val="none"/>
                    </w:rPr>
                  </w:pPr>
                  <w:r>
                    <w:rPr>
                      <w:rFonts w:hAnsi="宋体"/>
                      <w:color w:val="auto"/>
                      <w:szCs w:val="21"/>
                      <w:highlight w:val="none"/>
                    </w:rPr>
                    <w:t>废气治理</w:t>
                  </w:r>
                </w:p>
              </w:tc>
              <w:tc>
                <w:tcPr>
                  <w:tcW w:w="1184" w:type="dxa"/>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hAnsi="宋体"/>
                      <w:color w:val="auto"/>
                      <w:szCs w:val="21"/>
                      <w:highlight w:val="none"/>
                    </w:rPr>
                  </w:pPr>
                  <w:r>
                    <w:rPr>
                      <w:rFonts w:hint="default" w:ascii="Times New Roman" w:hAnsi="Times New Roman" w:eastAsia="宋体" w:cs="Times New Roman"/>
                      <w:color w:val="auto"/>
                      <w:sz w:val="21"/>
                      <w:szCs w:val="21"/>
                      <w:highlight w:val="none"/>
                    </w:rPr>
                    <w:t>施工机械尾气</w:t>
                  </w:r>
                </w:p>
              </w:tc>
              <w:tc>
                <w:tcPr>
                  <w:tcW w:w="4202" w:type="dxa"/>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hAnsi="宋体"/>
                      <w:color w:val="auto"/>
                      <w:szCs w:val="21"/>
                      <w:highlight w:val="none"/>
                    </w:rPr>
                  </w:pPr>
                  <w:r>
                    <w:rPr>
                      <w:rFonts w:hint="default" w:ascii="Times New Roman" w:hAnsi="Times New Roman" w:eastAsia="宋体" w:cs="Times New Roman"/>
                      <w:color w:val="auto"/>
                      <w:sz w:val="21"/>
                      <w:szCs w:val="21"/>
                      <w:highlight w:val="none"/>
                    </w:rPr>
                    <w:t>①项目所在地较为开阔，空气流通较好，汽车排放的废气能够较快地扩散，不会对当地的环境空气产生较大影响，但项目建设过程中仍应采取控制措施，加强施工机械的维护，使环境空气质量受到的影响降至最低。</w:t>
                  </w:r>
                </w:p>
              </w:tc>
              <w:tc>
                <w:tcPr>
                  <w:tcW w:w="1104" w:type="dxa"/>
                  <w:noWrap w:val="0"/>
                  <w:vAlign w:val="center"/>
                </w:tcPr>
                <w:p>
                  <w:pPr>
                    <w:widowControl/>
                    <w:adjustRightInd w:val="0"/>
                    <w:snapToGrid w:val="0"/>
                    <w:jc w:val="center"/>
                    <w:rPr>
                      <w:rFonts w:hint="eastAsia" w:hAnsi="宋体"/>
                      <w:color w:val="auto"/>
                      <w:szCs w:val="21"/>
                      <w:highlight w:val="none"/>
                    </w:rPr>
                  </w:pPr>
                  <w:r>
                    <w:rPr>
                      <w:rFonts w:hAnsi="宋体"/>
                      <w:color w:val="auto"/>
                      <w:szCs w:val="21"/>
                      <w:highlight w:val="none"/>
                    </w:rPr>
                    <w:t>达标排放</w:t>
                  </w:r>
                </w:p>
              </w:tc>
              <w:tc>
                <w:tcPr>
                  <w:tcW w:w="899" w:type="dxa"/>
                  <w:vMerge w:val="continue"/>
                  <w:noWrap w:val="0"/>
                  <w:vAlign w:val="center"/>
                </w:tcPr>
                <w:p>
                  <w:pPr>
                    <w:widowControl/>
                    <w:adjustRightInd w:val="0"/>
                    <w:snapToGrid w:val="0"/>
                    <w:jc w:val="center"/>
                    <w:rPr>
                      <w:rFonts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749" w:type="dxa"/>
                  <w:vMerge w:val="restart"/>
                  <w:noWrap w:val="0"/>
                  <w:vAlign w:val="center"/>
                </w:tcPr>
                <w:p>
                  <w:pPr>
                    <w:widowControl/>
                    <w:adjustRightInd w:val="0"/>
                    <w:snapToGrid w:val="0"/>
                    <w:jc w:val="center"/>
                    <w:rPr>
                      <w:rFonts w:hAnsi="宋体"/>
                      <w:color w:val="auto"/>
                      <w:szCs w:val="21"/>
                      <w:highlight w:val="none"/>
                    </w:rPr>
                  </w:pPr>
                  <w:r>
                    <w:rPr>
                      <w:rFonts w:hAnsi="宋体"/>
                      <w:color w:val="auto"/>
                      <w:szCs w:val="21"/>
                      <w:highlight w:val="none"/>
                    </w:rPr>
                    <w:t>污水</w:t>
                  </w:r>
                </w:p>
                <w:p>
                  <w:pPr>
                    <w:widowControl/>
                    <w:adjustRightInd w:val="0"/>
                    <w:snapToGrid w:val="0"/>
                    <w:jc w:val="center"/>
                    <w:rPr>
                      <w:rFonts w:hAnsi="宋体"/>
                      <w:color w:val="auto"/>
                      <w:szCs w:val="21"/>
                      <w:highlight w:val="none"/>
                    </w:rPr>
                  </w:pPr>
                  <w:r>
                    <w:rPr>
                      <w:rFonts w:hAnsi="宋体"/>
                      <w:color w:val="auto"/>
                      <w:szCs w:val="21"/>
                      <w:highlight w:val="none"/>
                    </w:rPr>
                    <w:t>治理</w:t>
                  </w:r>
                </w:p>
              </w:tc>
              <w:tc>
                <w:tcPr>
                  <w:tcW w:w="1184" w:type="dxa"/>
                  <w:noWrap w:val="0"/>
                  <w:vAlign w:val="center"/>
                </w:tcPr>
                <w:p>
                  <w:pPr>
                    <w:widowControl/>
                    <w:adjustRightInd w:val="0"/>
                    <w:snapToGrid w:val="0"/>
                    <w:jc w:val="center"/>
                    <w:rPr>
                      <w:rFonts w:hint="eastAsia" w:hAnsi="宋体"/>
                      <w:color w:val="auto"/>
                      <w:szCs w:val="21"/>
                      <w:highlight w:val="none"/>
                    </w:rPr>
                  </w:pPr>
                  <w:r>
                    <w:rPr>
                      <w:rFonts w:hint="eastAsia" w:hAnsi="宋体"/>
                      <w:color w:val="auto"/>
                      <w:szCs w:val="21"/>
                      <w:highlight w:val="none"/>
                    </w:rPr>
                    <w:t>生活污水</w:t>
                  </w:r>
                </w:p>
              </w:tc>
              <w:tc>
                <w:tcPr>
                  <w:tcW w:w="4202" w:type="dxa"/>
                  <w:noWrap w:val="0"/>
                  <w:vAlign w:val="center"/>
                </w:tcPr>
                <w:p>
                  <w:pPr>
                    <w:widowControl/>
                    <w:adjustRightInd w:val="0"/>
                    <w:snapToGrid w:val="0"/>
                    <w:jc w:val="center"/>
                    <w:rPr>
                      <w:rFonts w:hint="default" w:hAnsi="宋体" w:eastAsia="宋体"/>
                      <w:color w:val="auto"/>
                      <w:szCs w:val="21"/>
                      <w:highlight w:val="none"/>
                      <w:lang w:val="en-US" w:eastAsia="zh-CN"/>
                    </w:rPr>
                  </w:pPr>
                  <w:r>
                    <w:rPr>
                      <w:rFonts w:hint="default" w:hAnsi="宋体" w:eastAsia="宋体"/>
                      <w:color w:val="auto"/>
                      <w:szCs w:val="21"/>
                      <w:highlight w:val="none"/>
                      <w:lang w:val="en-US" w:eastAsia="zh-CN"/>
                    </w:rPr>
                    <w:t>施工期洗漱废水用于施工场地洒水降尘，施工期建设环保型旱厕供施工人员如厕，定期清运</w:t>
                  </w:r>
                  <w:r>
                    <w:rPr>
                      <w:rFonts w:hint="eastAsia" w:hAnsi="宋体"/>
                      <w:color w:val="auto"/>
                      <w:szCs w:val="21"/>
                      <w:highlight w:val="none"/>
                      <w:lang w:val="en-US" w:eastAsia="zh-CN"/>
                    </w:rPr>
                    <w:t>。</w:t>
                  </w:r>
                </w:p>
              </w:tc>
              <w:tc>
                <w:tcPr>
                  <w:tcW w:w="1104" w:type="dxa"/>
                  <w:vMerge w:val="restart"/>
                  <w:noWrap w:val="0"/>
                  <w:vAlign w:val="center"/>
                </w:tcPr>
                <w:p>
                  <w:pPr>
                    <w:widowControl/>
                    <w:adjustRightInd w:val="0"/>
                    <w:snapToGrid w:val="0"/>
                    <w:jc w:val="center"/>
                    <w:rPr>
                      <w:rFonts w:hint="eastAsia" w:hAnsi="宋体"/>
                      <w:color w:val="auto"/>
                      <w:szCs w:val="21"/>
                      <w:highlight w:val="none"/>
                    </w:rPr>
                  </w:pPr>
                  <w:r>
                    <w:rPr>
                      <w:rFonts w:hint="eastAsia" w:hAnsi="宋体"/>
                      <w:color w:val="auto"/>
                      <w:szCs w:val="21"/>
                      <w:highlight w:val="none"/>
                    </w:rPr>
                    <w:t>不得排入地表水体</w:t>
                  </w:r>
                </w:p>
              </w:tc>
              <w:tc>
                <w:tcPr>
                  <w:tcW w:w="899" w:type="dxa"/>
                  <w:vMerge w:val="restart"/>
                  <w:noWrap w:val="0"/>
                  <w:vAlign w:val="center"/>
                </w:tcPr>
                <w:p>
                  <w:pPr>
                    <w:widowControl/>
                    <w:adjustRightInd w:val="0"/>
                    <w:snapToGrid w:val="0"/>
                    <w:jc w:val="center"/>
                    <w:rPr>
                      <w:rFonts w:hint="eastAsia" w:hAnsi="宋体"/>
                      <w:color w:val="auto"/>
                      <w:szCs w:val="21"/>
                      <w:highlight w:val="none"/>
                    </w:rPr>
                  </w:pPr>
                  <w:r>
                    <w:rPr>
                      <w:rFonts w:hint="eastAsia" w:hAnsi="宋体"/>
                      <w:color w:val="auto"/>
                      <w:szCs w:val="21"/>
                      <w:highlight w:val="none"/>
                      <w:lang w:val="en-US" w:eastAsia="zh-CN"/>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749" w:type="dxa"/>
                  <w:vMerge w:val="continue"/>
                  <w:noWrap w:val="0"/>
                  <w:vAlign w:val="center"/>
                </w:tcPr>
                <w:p>
                  <w:pPr>
                    <w:widowControl/>
                    <w:adjustRightInd w:val="0"/>
                    <w:snapToGrid w:val="0"/>
                    <w:jc w:val="center"/>
                    <w:rPr>
                      <w:rFonts w:hAnsi="宋体"/>
                      <w:color w:val="auto"/>
                      <w:szCs w:val="21"/>
                      <w:highlight w:val="none"/>
                    </w:rPr>
                  </w:pPr>
                </w:p>
              </w:tc>
              <w:tc>
                <w:tcPr>
                  <w:tcW w:w="1184" w:type="dxa"/>
                  <w:noWrap w:val="0"/>
                  <w:vAlign w:val="center"/>
                </w:tcPr>
                <w:p>
                  <w:pPr>
                    <w:widowControl/>
                    <w:adjustRightInd w:val="0"/>
                    <w:snapToGrid w:val="0"/>
                    <w:jc w:val="center"/>
                    <w:rPr>
                      <w:rFonts w:hint="eastAsia" w:hAnsi="宋体"/>
                      <w:color w:val="auto"/>
                      <w:szCs w:val="21"/>
                      <w:highlight w:val="none"/>
                    </w:rPr>
                  </w:pPr>
                  <w:r>
                    <w:rPr>
                      <w:rFonts w:hint="eastAsia" w:hAnsi="宋体"/>
                      <w:color w:val="auto"/>
                      <w:szCs w:val="21"/>
                      <w:highlight w:val="none"/>
                    </w:rPr>
                    <w:t>生产废水</w:t>
                  </w:r>
                </w:p>
              </w:tc>
              <w:tc>
                <w:tcPr>
                  <w:tcW w:w="4202" w:type="dxa"/>
                  <w:noWrap w:val="0"/>
                  <w:vAlign w:val="center"/>
                </w:tcPr>
                <w:p>
                  <w:pPr>
                    <w:widowControl/>
                    <w:adjustRightInd w:val="0"/>
                    <w:snapToGrid w:val="0"/>
                    <w:jc w:val="center"/>
                    <w:rPr>
                      <w:rFonts w:hint="eastAsia" w:hAnsi="宋体" w:eastAsia="宋体"/>
                      <w:color w:val="auto"/>
                      <w:szCs w:val="21"/>
                      <w:highlight w:val="none"/>
                      <w:lang w:eastAsia="zh-CN"/>
                    </w:rPr>
                  </w:pPr>
                  <w:r>
                    <w:rPr>
                      <w:rFonts w:hint="eastAsia" w:hAnsi="宋体" w:eastAsia="宋体"/>
                      <w:color w:val="auto"/>
                      <w:szCs w:val="21"/>
                      <w:highlight w:val="none"/>
                      <w:lang w:eastAsia="zh-CN"/>
                    </w:rPr>
                    <w:t>本项目施工期车辆机械冲洗</w:t>
                  </w:r>
                  <w:r>
                    <w:rPr>
                      <w:rFonts w:hint="eastAsia" w:hAnsi="宋体"/>
                      <w:color w:val="auto"/>
                      <w:szCs w:val="21"/>
                      <w:highlight w:val="none"/>
                      <w:lang w:eastAsia="zh-CN"/>
                    </w:rPr>
                    <w:t>废水</w:t>
                  </w:r>
                  <w:r>
                    <w:rPr>
                      <w:rFonts w:hint="eastAsia" w:hAnsi="宋体" w:eastAsia="宋体"/>
                      <w:color w:val="auto"/>
                      <w:szCs w:val="21"/>
                      <w:highlight w:val="none"/>
                      <w:lang w:eastAsia="zh-CN"/>
                    </w:rPr>
                    <w:t>主要污染物SS。在</w:t>
                  </w:r>
                  <w:r>
                    <w:rPr>
                      <w:rFonts w:hint="eastAsia" w:hAnsi="宋体" w:eastAsia="宋体"/>
                      <w:color w:val="auto"/>
                      <w:szCs w:val="21"/>
                      <w:highlight w:val="none"/>
                      <w:lang w:val="en-US" w:eastAsia="zh-CN"/>
                    </w:rPr>
                    <w:t>施工区域</w:t>
                  </w:r>
                  <w:r>
                    <w:rPr>
                      <w:rFonts w:hint="eastAsia" w:hAnsi="宋体"/>
                      <w:color w:val="auto"/>
                      <w:szCs w:val="21"/>
                      <w:highlight w:val="none"/>
                      <w:lang w:val="en-US" w:eastAsia="zh-CN"/>
                    </w:rPr>
                    <w:t>（依托）</w:t>
                  </w:r>
                  <w:r>
                    <w:rPr>
                      <w:rFonts w:hint="eastAsia" w:hAnsi="宋体" w:eastAsia="宋体"/>
                      <w:color w:val="auto"/>
                      <w:szCs w:val="21"/>
                      <w:highlight w:val="none"/>
                      <w:lang w:eastAsia="zh-CN"/>
                    </w:rPr>
                    <w:t>位置建设一个</w:t>
                  </w:r>
                  <w:r>
                    <w:rPr>
                      <w:rFonts w:hint="eastAsia" w:hAnsi="宋体"/>
                      <w:color w:val="auto"/>
                      <w:szCs w:val="21"/>
                      <w:highlight w:val="none"/>
                      <w:lang w:val="en-US" w:eastAsia="zh-CN"/>
                    </w:rPr>
                    <w:t>5</w:t>
                  </w:r>
                  <w:r>
                    <w:rPr>
                      <w:rFonts w:hint="eastAsia" w:hAnsi="宋体" w:eastAsia="宋体"/>
                      <w:color w:val="auto"/>
                      <w:szCs w:val="21"/>
                      <w:highlight w:val="none"/>
                      <w:lang w:eastAsia="zh-CN"/>
                    </w:rPr>
                    <w:t>m</w:t>
                  </w:r>
                  <w:r>
                    <w:rPr>
                      <w:rFonts w:hint="eastAsia" w:hAnsi="宋体" w:eastAsia="宋体"/>
                      <w:color w:val="auto"/>
                      <w:szCs w:val="21"/>
                      <w:highlight w:val="none"/>
                      <w:vertAlign w:val="superscript"/>
                      <w:lang w:eastAsia="zh-CN"/>
                    </w:rPr>
                    <w:t>3</w:t>
                  </w:r>
                  <w:r>
                    <w:rPr>
                      <w:rFonts w:hint="eastAsia" w:hAnsi="宋体" w:eastAsia="宋体"/>
                      <w:color w:val="auto"/>
                      <w:szCs w:val="21"/>
                      <w:highlight w:val="none"/>
                      <w:lang w:eastAsia="zh-CN"/>
                    </w:rPr>
                    <w:t>的沉淀池，进行处理后用于泼洒抑尘，不外排</w:t>
                  </w:r>
                  <w:r>
                    <w:rPr>
                      <w:rFonts w:hint="eastAsia" w:hAnsi="宋体"/>
                      <w:color w:val="auto"/>
                      <w:szCs w:val="21"/>
                      <w:highlight w:val="none"/>
                      <w:lang w:eastAsia="zh-CN"/>
                    </w:rPr>
                    <w:t>。</w:t>
                  </w:r>
                </w:p>
              </w:tc>
              <w:tc>
                <w:tcPr>
                  <w:tcW w:w="1104" w:type="dxa"/>
                  <w:vMerge w:val="continue"/>
                  <w:noWrap w:val="0"/>
                  <w:vAlign w:val="center"/>
                </w:tcPr>
                <w:p>
                  <w:pPr>
                    <w:widowControl/>
                    <w:adjustRightInd w:val="0"/>
                    <w:snapToGrid w:val="0"/>
                    <w:jc w:val="center"/>
                    <w:rPr>
                      <w:rFonts w:hint="eastAsia" w:hAnsi="宋体"/>
                      <w:color w:val="auto"/>
                      <w:szCs w:val="21"/>
                      <w:highlight w:val="none"/>
                    </w:rPr>
                  </w:pPr>
                </w:p>
              </w:tc>
              <w:tc>
                <w:tcPr>
                  <w:tcW w:w="899" w:type="dxa"/>
                  <w:vMerge w:val="continue"/>
                  <w:noWrap w:val="0"/>
                  <w:vAlign w:val="center"/>
                </w:tcPr>
                <w:p>
                  <w:pPr>
                    <w:widowControl/>
                    <w:adjustRightInd w:val="0"/>
                    <w:snapToGrid w:val="0"/>
                    <w:jc w:val="center"/>
                    <w:rPr>
                      <w:rFonts w:hint="eastAsia"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749" w:type="dxa"/>
                  <w:noWrap w:val="0"/>
                  <w:vAlign w:val="center"/>
                </w:tcPr>
                <w:p>
                  <w:pPr>
                    <w:widowControl/>
                    <w:adjustRightInd w:val="0"/>
                    <w:snapToGrid w:val="0"/>
                    <w:jc w:val="center"/>
                    <w:rPr>
                      <w:rFonts w:hint="eastAsia" w:hAnsi="宋体"/>
                      <w:color w:val="auto"/>
                      <w:szCs w:val="21"/>
                      <w:highlight w:val="none"/>
                    </w:rPr>
                  </w:pPr>
                  <w:r>
                    <w:rPr>
                      <w:rFonts w:hAnsi="宋体"/>
                      <w:color w:val="auto"/>
                      <w:szCs w:val="21"/>
                      <w:highlight w:val="none"/>
                    </w:rPr>
                    <w:t>噪声</w:t>
                  </w:r>
                </w:p>
                <w:p>
                  <w:pPr>
                    <w:widowControl/>
                    <w:adjustRightInd w:val="0"/>
                    <w:snapToGrid w:val="0"/>
                    <w:jc w:val="center"/>
                    <w:rPr>
                      <w:rFonts w:hAnsi="宋体"/>
                      <w:color w:val="auto"/>
                      <w:szCs w:val="21"/>
                      <w:highlight w:val="none"/>
                    </w:rPr>
                  </w:pPr>
                  <w:r>
                    <w:rPr>
                      <w:rFonts w:hAnsi="宋体"/>
                      <w:color w:val="auto"/>
                      <w:szCs w:val="21"/>
                      <w:highlight w:val="none"/>
                    </w:rPr>
                    <w:t>治理</w:t>
                  </w:r>
                </w:p>
              </w:tc>
              <w:tc>
                <w:tcPr>
                  <w:tcW w:w="1184" w:type="dxa"/>
                  <w:noWrap w:val="0"/>
                  <w:vAlign w:val="center"/>
                </w:tcPr>
                <w:p>
                  <w:pPr>
                    <w:widowControl/>
                    <w:adjustRightInd w:val="0"/>
                    <w:snapToGrid w:val="0"/>
                    <w:jc w:val="center"/>
                    <w:rPr>
                      <w:rFonts w:hint="default" w:hAnsi="宋体" w:eastAsia="宋体"/>
                      <w:color w:val="auto"/>
                      <w:szCs w:val="21"/>
                      <w:highlight w:val="none"/>
                      <w:lang w:val="en-US" w:eastAsia="zh-CN"/>
                    </w:rPr>
                  </w:pPr>
                  <w:r>
                    <w:rPr>
                      <w:rFonts w:hint="eastAsia" w:hAnsi="宋体"/>
                      <w:color w:val="auto"/>
                      <w:szCs w:val="21"/>
                      <w:highlight w:val="none"/>
                      <w:lang w:val="en-US" w:eastAsia="zh-CN"/>
                    </w:rPr>
                    <w:t>施工机械及设备</w:t>
                  </w:r>
                </w:p>
              </w:tc>
              <w:tc>
                <w:tcPr>
                  <w:tcW w:w="4202" w:type="dxa"/>
                  <w:noWrap w:val="0"/>
                  <w:vAlign w:val="center"/>
                </w:tcPr>
                <w:p>
                  <w:pPr>
                    <w:widowControl/>
                    <w:adjustRightInd w:val="0"/>
                    <w:snapToGrid w:val="0"/>
                    <w:jc w:val="center"/>
                    <w:rPr>
                      <w:rFonts w:hint="eastAsia"/>
                      <w:color w:val="auto"/>
                      <w:spacing w:val="4"/>
                      <w:szCs w:val="21"/>
                      <w:highlight w:val="none"/>
                      <w:lang w:eastAsia="zh-CN"/>
                    </w:rPr>
                  </w:pPr>
                  <w:r>
                    <w:rPr>
                      <w:rFonts w:hint="eastAsia"/>
                      <w:color w:val="auto"/>
                      <w:spacing w:val="4"/>
                      <w:szCs w:val="21"/>
                      <w:highlight w:val="none"/>
                      <w:lang w:eastAsia="zh-CN"/>
                    </w:rPr>
                    <w:t>①选用低噪施工机械设备。</w:t>
                  </w:r>
                </w:p>
                <w:p>
                  <w:pPr>
                    <w:widowControl/>
                    <w:adjustRightInd w:val="0"/>
                    <w:snapToGrid w:val="0"/>
                    <w:jc w:val="center"/>
                    <w:rPr>
                      <w:rFonts w:hint="eastAsia"/>
                      <w:color w:val="auto"/>
                      <w:spacing w:val="4"/>
                      <w:szCs w:val="21"/>
                      <w:highlight w:val="none"/>
                      <w:lang w:eastAsia="zh-CN"/>
                    </w:rPr>
                  </w:pPr>
                  <w:r>
                    <w:rPr>
                      <w:rFonts w:hint="eastAsia"/>
                      <w:color w:val="auto"/>
                      <w:spacing w:val="4"/>
                      <w:szCs w:val="21"/>
                      <w:highlight w:val="none"/>
                      <w:lang w:eastAsia="zh-CN"/>
                    </w:rPr>
                    <w:t>②合理安排高噪设备施工时间。</w:t>
                  </w:r>
                </w:p>
                <w:p>
                  <w:pPr>
                    <w:widowControl/>
                    <w:adjustRightInd w:val="0"/>
                    <w:snapToGrid w:val="0"/>
                    <w:jc w:val="center"/>
                    <w:rPr>
                      <w:rFonts w:hint="eastAsia"/>
                      <w:color w:val="auto"/>
                      <w:spacing w:val="4"/>
                      <w:szCs w:val="21"/>
                      <w:highlight w:val="none"/>
                      <w:lang w:eastAsia="zh-CN"/>
                    </w:rPr>
                  </w:pPr>
                  <w:r>
                    <w:rPr>
                      <w:rFonts w:hint="eastAsia"/>
                      <w:color w:val="auto"/>
                      <w:spacing w:val="4"/>
                      <w:szCs w:val="21"/>
                      <w:highlight w:val="none"/>
                      <w:lang w:eastAsia="zh-CN"/>
                    </w:rPr>
                    <w:t>③物料运输路线尽量远离声敏感点。</w:t>
                  </w:r>
                </w:p>
              </w:tc>
              <w:tc>
                <w:tcPr>
                  <w:tcW w:w="1104" w:type="dxa"/>
                  <w:noWrap w:val="0"/>
                  <w:vAlign w:val="center"/>
                </w:tcPr>
                <w:p>
                  <w:pPr>
                    <w:widowControl/>
                    <w:adjustRightInd w:val="0"/>
                    <w:snapToGrid w:val="0"/>
                    <w:jc w:val="center"/>
                    <w:rPr>
                      <w:rFonts w:hAnsi="宋体"/>
                      <w:color w:val="auto"/>
                      <w:szCs w:val="21"/>
                      <w:highlight w:val="none"/>
                    </w:rPr>
                  </w:pPr>
                  <w:r>
                    <w:rPr>
                      <w:rFonts w:hint="eastAsia" w:hAnsi="宋体"/>
                      <w:color w:val="auto"/>
                      <w:szCs w:val="21"/>
                      <w:highlight w:val="none"/>
                      <w:lang w:eastAsia="zh-CN"/>
                    </w:rPr>
                    <w:t>施工场地</w:t>
                  </w:r>
                  <w:r>
                    <w:rPr>
                      <w:rFonts w:hAnsi="宋体"/>
                      <w:color w:val="auto"/>
                      <w:szCs w:val="21"/>
                      <w:highlight w:val="none"/>
                    </w:rPr>
                    <w:t>外噪声达标</w:t>
                  </w:r>
                </w:p>
              </w:tc>
              <w:tc>
                <w:tcPr>
                  <w:tcW w:w="899" w:type="dxa"/>
                  <w:vMerge w:val="continue"/>
                  <w:noWrap w:val="0"/>
                  <w:vAlign w:val="center"/>
                </w:tcPr>
                <w:p>
                  <w:pPr>
                    <w:widowControl/>
                    <w:adjustRightInd w:val="0"/>
                    <w:snapToGrid w:val="0"/>
                    <w:jc w:val="center"/>
                    <w:rPr>
                      <w:rFonts w:hint="eastAsia" w:hAnsi="宋体"/>
                      <w:color w:val="auto"/>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749" w:type="dxa"/>
                  <w:noWrap w:val="0"/>
                  <w:vAlign w:val="center"/>
                </w:tcPr>
                <w:p>
                  <w:pPr>
                    <w:widowControl/>
                    <w:adjustRightInd w:val="0"/>
                    <w:snapToGrid w:val="0"/>
                    <w:jc w:val="center"/>
                    <w:rPr>
                      <w:rFonts w:hAnsi="宋体"/>
                      <w:color w:val="auto"/>
                      <w:szCs w:val="21"/>
                      <w:highlight w:val="none"/>
                    </w:rPr>
                  </w:pPr>
                  <w:r>
                    <w:rPr>
                      <w:rFonts w:hAnsi="宋体"/>
                      <w:color w:val="auto"/>
                      <w:szCs w:val="21"/>
                      <w:highlight w:val="none"/>
                    </w:rPr>
                    <w:t>固废治理</w:t>
                  </w:r>
                </w:p>
              </w:tc>
              <w:tc>
                <w:tcPr>
                  <w:tcW w:w="1184" w:type="dxa"/>
                  <w:noWrap w:val="0"/>
                  <w:vAlign w:val="center"/>
                </w:tcPr>
                <w:p>
                  <w:pPr>
                    <w:widowControl/>
                    <w:adjustRightInd w:val="0"/>
                    <w:snapToGrid w:val="0"/>
                    <w:jc w:val="center"/>
                    <w:rPr>
                      <w:rFonts w:hint="default" w:hAnsi="宋体" w:eastAsia="宋体"/>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建筑垃圾、</w:t>
                  </w:r>
                  <w:r>
                    <w:rPr>
                      <w:rFonts w:hint="default" w:ascii="Times New Roman" w:hAnsi="Times New Roman" w:eastAsia="宋体" w:cs="Times New Roman"/>
                      <w:color w:val="auto"/>
                      <w:sz w:val="21"/>
                      <w:szCs w:val="21"/>
                      <w:highlight w:val="none"/>
                    </w:rPr>
                    <w:t>生活垃圾</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清基土方</w:t>
                  </w:r>
                </w:p>
              </w:tc>
              <w:tc>
                <w:tcPr>
                  <w:tcW w:w="4202" w:type="dxa"/>
                  <w:noWrap w:val="0"/>
                  <w:vAlign w:val="center"/>
                </w:tcPr>
                <w:p>
                  <w:pPr>
                    <w:widowControl/>
                    <w:numPr>
                      <w:ilvl w:val="0"/>
                      <w:numId w:val="0"/>
                    </w:numPr>
                    <w:adjustRightInd w:val="0"/>
                    <w:snapToGrid w:val="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施工过程中产生的挖方，部分用于基础填筑，剩余土方全部用于场地平整，无弃方</w:t>
                  </w:r>
                  <w:r>
                    <w:rPr>
                      <w:rFonts w:hint="eastAsia" w:ascii="Times New Roman" w:hAnsi="Times New Roman" w:eastAsia="宋体" w:cs="Times New Roman"/>
                      <w:color w:val="auto"/>
                      <w:sz w:val="21"/>
                      <w:szCs w:val="21"/>
                      <w:highlight w:val="none"/>
                      <w:lang w:val="en-US" w:eastAsia="zh-CN"/>
                    </w:rPr>
                    <w:t>；</w:t>
                  </w:r>
                </w:p>
                <w:p>
                  <w:pPr>
                    <w:widowControl/>
                    <w:numPr>
                      <w:ilvl w:val="0"/>
                      <w:numId w:val="0"/>
                    </w:numPr>
                    <w:adjustRightInd w:val="0"/>
                    <w:snapToGrid w:val="0"/>
                    <w:ind w:leftChars="0"/>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2、建筑垃圾清运至市政规定的建筑垃圾堆放场地；</w:t>
                  </w:r>
                </w:p>
                <w:p>
                  <w:pPr>
                    <w:widowControl/>
                    <w:numPr>
                      <w:ilvl w:val="0"/>
                      <w:numId w:val="0"/>
                    </w:numPr>
                    <w:adjustRightInd w:val="0"/>
                    <w:snapToGrid w:val="0"/>
                    <w:ind w:leftChars="0"/>
                    <w:jc w:val="left"/>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3、施工营地的生活垃圾</w:t>
                  </w:r>
                  <w:r>
                    <w:rPr>
                      <w:rFonts w:hint="eastAsia" w:cs="Times New Roman"/>
                      <w:color w:val="auto"/>
                      <w:sz w:val="21"/>
                      <w:szCs w:val="21"/>
                      <w:highlight w:val="none"/>
                      <w:lang w:val="en-US" w:eastAsia="zh-CN"/>
                    </w:rPr>
                    <w:t>集中</w:t>
                  </w:r>
                  <w:r>
                    <w:rPr>
                      <w:rFonts w:hint="eastAsia" w:ascii="Times New Roman" w:hAnsi="Times New Roman" w:cs="Times New Roman"/>
                      <w:color w:val="auto"/>
                      <w:sz w:val="21"/>
                      <w:szCs w:val="21"/>
                      <w:highlight w:val="none"/>
                      <w:lang w:val="en-US" w:eastAsia="zh-CN"/>
                    </w:rPr>
                    <w:t>收集后及时清运至就近生活垃圾中转站</w:t>
                  </w:r>
                  <w:r>
                    <w:rPr>
                      <w:rFonts w:hint="default" w:ascii="Times New Roman" w:hAnsi="Times New Roman" w:eastAsia="宋体" w:cs="Times New Roman"/>
                      <w:color w:val="auto"/>
                      <w:sz w:val="21"/>
                      <w:szCs w:val="21"/>
                      <w:highlight w:val="none"/>
                    </w:rPr>
                    <w:t>；</w:t>
                  </w:r>
                </w:p>
                <w:p>
                  <w:pPr>
                    <w:widowControl/>
                    <w:numPr>
                      <w:ilvl w:val="0"/>
                      <w:numId w:val="0"/>
                    </w:numPr>
                    <w:adjustRightInd w:val="0"/>
                    <w:snapToGrid w:val="0"/>
                    <w:ind w:leftChars="0"/>
                    <w:jc w:val="left"/>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清基土方全部用于生态恢复以及平整洼地</w:t>
                  </w:r>
                  <w:r>
                    <w:rPr>
                      <w:rFonts w:hint="default" w:ascii="Times New Roman" w:hAnsi="Times New Roman" w:eastAsia="宋体" w:cs="Times New Roman"/>
                      <w:color w:val="auto"/>
                      <w:sz w:val="21"/>
                      <w:szCs w:val="21"/>
                      <w:highlight w:val="none"/>
                      <w:lang w:eastAsia="zh-CN"/>
                    </w:rPr>
                    <w:t>。</w:t>
                  </w:r>
                </w:p>
              </w:tc>
              <w:tc>
                <w:tcPr>
                  <w:tcW w:w="1104" w:type="dxa"/>
                  <w:noWrap w:val="0"/>
                  <w:vAlign w:val="center"/>
                </w:tcPr>
                <w:p>
                  <w:pPr>
                    <w:widowControl/>
                    <w:adjustRightInd w:val="0"/>
                    <w:snapToGrid w:val="0"/>
                    <w:jc w:val="center"/>
                    <w:rPr>
                      <w:rFonts w:hAnsi="宋体"/>
                      <w:color w:val="auto"/>
                      <w:szCs w:val="21"/>
                      <w:highlight w:val="none"/>
                    </w:rPr>
                  </w:pPr>
                  <w:r>
                    <w:rPr>
                      <w:rFonts w:hAnsi="宋体"/>
                      <w:color w:val="auto"/>
                      <w:szCs w:val="21"/>
                      <w:highlight w:val="none"/>
                    </w:rPr>
                    <w:t>处置</w:t>
                  </w:r>
                  <w:r>
                    <w:rPr>
                      <w:rFonts w:hint="default" w:ascii="Times New Roman" w:hAnsi="Times New Roman" w:cs="Times New Roman"/>
                      <w:color w:val="auto"/>
                      <w:szCs w:val="21"/>
                      <w:highlight w:val="none"/>
                    </w:rPr>
                    <w:t>率100%</w:t>
                  </w:r>
                </w:p>
              </w:tc>
              <w:tc>
                <w:tcPr>
                  <w:tcW w:w="899" w:type="dxa"/>
                  <w:vMerge w:val="continue"/>
                  <w:noWrap w:val="0"/>
                  <w:vAlign w:val="center"/>
                </w:tcPr>
                <w:p>
                  <w:pPr>
                    <w:widowControl/>
                    <w:adjustRightInd w:val="0"/>
                    <w:snapToGrid w:val="0"/>
                    <w:jc w:val="center"/>
                    <w:rPr>
                      <w:rFonts w:hint="default" w:hAnsi="宋体" w:eastAsia="宋体"/>
                      <w:color w:val="auto"/>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749" w:type="dxa"/>
                  <w:noWrap w:val="0"/>
                  <w:vAlign w:val="center"/>
                </w:tcPr>
                <w:p>
                  <w:pPr>
                    <w:widowControl/>
                    <w:adjustRightInd w:val="0"/>
                    <w:snapToGrid w:val="0"/>
                    <w:jc w:val="center"/>
                    <w:rPr>
                      <w:rFonts w:hint="eastAsia" w:hAnsi="宋体"/>
                      <w:color w:val="auto"/>
                      <w:szCs w:val="21"/>
                      <w:highlight w:val="none"/>
                    </w:rPr>
                  </w:pPr>
                  <w:r>
                    <w:rPr>
                      <w:rFonts w:hint="eastAsia" w:hAnsi="宋体"/>
                      <w:color w:val="auto"/>
                      <w:szCs w:val="21"/>
                      <w:highlight w:val="none"/>
                    </w:rPr>
                    <w:t>生态治理</w:t>
                  </w:r>
                </w:p>
              </w:tc>
              <w:tc>
                <w:tcPr>
                  <w:tcW w:w="5386" w:type="dxa"/>
                  <w:gridSpan w:val="2"/>
                  <w:noWrap w:val="0"/>
                  <w:vAlign w:val="center"/>
                </w:tcPr>
                <w:p>
                  <w:pPr>
                    <w:widowControl/>
                    <w:adjustRightInd w:val="0"/>
                    <w:snapToGrid w:val="0"/>
                    <w:ind w:firstLine="420" w:firstLineChars="200"/>
                    <w:jc w:val="left"/>
                    <w:rPr>
                      <w:rFonts w:hint="eastAsia" w:hAnsi="宋体"/>
                      <w:color w:val="auto"/>
                      <w:szCs w:val="21"/>
                      <w:highlight w:val="none"/>
                    </w:rPr>
                  </w:pPr>
                  <w:r>
                    <w:rPr>
                      <w:rFonts w:hint="eastAsia" w:hAnsi="宋体"/>
                      <w:color w:val="auto"/>
                      <w:szCs w:val="21"/>
                      <w:highlight w:val="none"/>
                    </w:rPr>
                    <w:t>本项目造成的生态破坏主要表现在以下几点：施工期挖方等对原地貌破坏较小，但挖方会损坏部分地表植被覆盖，导致地面状况和性质的改变。植被破坏后，地表失去了植被的覆盖，在雨水和地表径流的作用下，土壤丧失了植物根系的固土作用，极易造成水土流失。同时，开挖后形成的边坡和弃土弃渣等松散堆积，结构松散，胶结力差，在重力和水力作用下，稳定性</w:t>
                  </w:r>
                  <w:r>
                    <w:rPr>
                      <w:rFonts w:hint="eastAsia" w:hAnsi="宋体"/>
                      <w:color w:val="auto"/>
                      <w:szCs w:val="21"/>
                      <w:highlight w:val="none"/>
                      <w:lang w:val="en-US" w:eastAsia="zh-CN"/>
                    </w:rPr>
                    <w:t xml:space="preserve"> </w:t>
                  </w:r>
                  <w:r>
                    <w:rPr>
                      <w:rFonts w:hint="eastAsia" w:hAnsi="宋体"/>
                      <w:color w:val="auto"/>
                      <w:szCs w:val="21"/>
                      <w:highlight w:val="none"/>
                    </w:rPr>
                    <w:t>急剧下降，易引发跨塌，甚至滑坡，造成人为的、新的水土流失。</w:t>
                  </w:r>
                </w:p>
              </w:tc>
              <w:tc>
                <w:tcPr>
                  <w:tcW w:w="1104" w:type="dxa"/>
                  <w:noWrap w:val="0"/>
                  <w:vAlign w:val="center"/>
                </w:tcPr>
                <w:p>
                  <w:pPr>
                    <w:widowControl/>
                    <w:adjustRightInd w:val="0"/>
                    <w:snapToGrid w:val="0"/>
                    <w:jc w:val="center"/>
                    <w:rPr>
                      <w:rFonts w:hint="eastAsia" w:hAnsi="宋体"/>
                      <w:color w:val="auto"/>
                      <w:szCs w:val="21"/>
                      <w:highlight w:val="none"/>
                    </w:rPr>
                  </w:pPr>
                  <w:r>
                    <w:rPr>
                      <w:rFonts w:hint="eastAsia" w:hAnsi="宋体"/>
                      <w:color w:val="auto"/>
                      <w:szCs w:val="21"/>
                      <w:highlight w:val="none"/>
                    </w:rPr>
                    <w:t>恢复原貌</w:t>
                  </w:r>
                </w:p>
              </w:tc>
              <w:tc>
                <w:tcPr>
                  <w:tcW w:w="899" w:type="dxa"/>
                  <w:vMerge w:val="continue"/>
                  <w:noWrap w:val="0"/>
                  <w:vAlign w:val="center"/>
                </w:tcPr>
                <w:p>
                  <w:pPr>
                    <w:widowControl/>
                    <w:adjustRightInd w:val="0"/>
                    <w:snapToGrid w:val="0"/>
                    <w:jc w:val="center"/>
                    <w:rPr>
                      <w:rFonts w:hint="eastAsia" w:hAnsi="宋体"/>
                      <w:color w:val="auto"/>
                      <w:szCs w:val="21"/>
                      <w:highlight w:val="none"/>
                    </w:rPr>
                  </w:pPr>
                </w:p>
              </w:tc>
            </w:tr>
          </w:tbl>
          <w:p>
            <w:pPr>
              <w:pStyle w:val="49"/>
              <w:bidi w:val="0"/>
              <w:rPr>
                <w:rFonts w:hint="default" w:ascii="仿宋" w:hAnsi="仿宋" w:eastAsia="仿宋" w:cs="仿宋"/>
                <w:color w:val="auto"/>
                <w:highlight w:val="none"/>
                <w:lang w:val="en-US" w:eastAsia="zh-CN"/>
              </w:rPr>
            </w:pPr>
            <w:r>
              <w:rPr>
                <w:rFonts w:hint="default" w:ascii="Times New Roman" w:hAnsi="Times New Roman" w:eastAsia="仿宋" w:cs="Times New Roman"/>
                <w:color w:val="auto"/>
                <w:highlight w:val="none"/>
                <w:lang w:val="en-US" w:eastAsia="zh-CN"/>
              </w:rPr>
              <w:t>2.</w:t>
            </w:r>
            <w:r>
              <w:rPr>
                <w:rFonts w:hint="eastAsia" w:ascii="仿宋" w:hAnsi="仿宋" w:eastAsia="仿宋" w:cs="仿宋"/>
                <w:color w:val="auto"/>
                <w:highlight w:val="none"/>
                <w:lang w:val="en-US" w:eastAsia="zh-CN"/>
              </w:rPr>
              <w:t>施工期环境监理</w:t>
            </w:r>
          </w:p>
          <w:p>
            <w:pPr>
              <w:pStyle w:val="50"/>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通过现场监督管理，对自然环境和建设项目的开发活动进行监督，防止生态破坏和维护生态平衡。通过对施工过程的全程监督，确保施工符合规范和技术标准，及时处理质量问题，以及在出现异常情况时采取纠正措施。监督项目施工建设中的环境保护措施的落实，确保环保设施与措施得到有效执行。监测与调查：对施工现场进行环境监测和调查，包括空气质量、水质、噪音、振动等重要环境指标的监测和调查工作，以确保施工活动对周边环境没有负面影响。监督与咨询：对施工单位的环境保护工作开展监督与指导，及时发现和解决环境保护问题，提供环境保护技术咨询和指导意见，确保施工活动符合相关法律法规和环境保护要求。废弃物管理：监督施工单位按照规定分类、储存、运输、处置废弃物，定期检查废弃物处理设施的运行情况，确保废弃物不对周边环境造成污染和危害。环境影响评价：参与施工项目的环境影响评价工作，对施工活动可能产生的环境影响进行评估，并提出相应的环境保护措施，确保环境影响评价报告符合法律法规要求。整改与验收：监督施工单位整改环境保护问题，对整改措施的落实情况进行检查和验收，确保整改达到预期的环境保护效果。环境培训与宣传：组织开展环境保护培训，提高施工人员对环境保护的认识和意识，宣传环境保护法规和政策，鼓励施工单位采取环境友好型的施工工艺和措施。报告与记录：编制环境保护监理报告，详细记录环境监测数据、监督检查情况和问题整改情况等，定期向相关部门和项目责任方进行报告，及时回应环境保护问题。</w:t>
            </w:r>
          </w:p>
          <w:p>
            <w:pPr>
              <w:pStyle w:val="50"/>
              <w:bidi w:val="0"/>
              <w:spacing w:line="240" w:lineRule="auto"/>
              <w:ind w:left="0" w:leftChars="0" w:firstLine="0" w:firstLineChars="0"/>
              <w:rPr>
                <w:rFonts w:hint="eastAsia" w:cs="Times New Roman"/>
                <w:color w:val="auto"/>
                <w:highlight w:val="none"/>
                <w:lang w:val="en-US" w:eastAsia="zh-CN"/>
              </w:rPr>
            </w:pPr>
          </w:p>
          <w:p>
            <w:pPr>
              <w:pStyle w:val="50"/>
              <w:bidi w:val="0"/>
              <w:spacing w:line="240" w:lineRule="auto"/>
              <w:ind w:left="0" w:leftChars="0" w:firstLine="0" w:firstLineChars="0"/>
              <w:rPr>
                <w:rFonts w:hint="eastAsia" w:cs="Times New Roman"/>
                <w:color w:val="auto"/>
                <w:highlight w:val="none"/>
                <w:lang w:val="en-US" w:eastAsia="zh-CN"/>
              </w:rPr>
            </w:pPr>
          </w:p>
          <w:p>
            <w:pPr>
              <w:pStyle w:val="50"/>
              <w:bidi w:val="0"/>
              <w:spacing w:line="240" w:lineRule="auto"/>
              <w:ind w:left="0" w:leftChars="0" w:firstLine="0" w:firstLineChars="0"/>
              <w:rPr>
                <w:rFonts w:hint="eastAsia" w:cs="Times New Roman"/>
                <w:color w:val="auto"/>
                <w:highlight w:val="none"/>
                <w:lang w:val="en-US" w:eastAsia="zh-CN"/>
              </w:rPr>
            </w:pPr>
          </w:p>
          <w:p>
            <w:pPr>
              <w:pStyle w:val="50"/>
              <w:bidi w:val="0"/>
              <w:spacing w:line="240" w:lineRule="auto"/>
              <w:ind w:left="0" w:leftChars="0" w:firstLine="0" w:firstLineChars="0"/>
              <w:rPr>
                <w:rFonts w:hint="eastAsia" w:cs="Times New Roman"/>
                <w:color w:val="auto"/>
                <w:highlight w:val="none"/>
                <w:lang w:val="en-US" w:eastAsia="zh-CN"/>
              </w:rPr>
            </w:pPr>
          </w:p>
          <w:p>
            <w:pPr>
              <w:pStyle w:val="50"/>
              <w:bidi w:val="0"/>
              <w:spacing w:line="240" w:lineRule="auto"/>
              <w:ind w:left="0" w:leftChars="0" w:firstLine="0" w:firstLineChars="0"/>
              <w:rPr>
                <w:rFonts w:hint="eastAsia" w:cs="Times New Roman"/>
                <w:color w:val="auto"/>
                <w:highlight w:val="none"/>
                <w:lang w:val="en-US" w:eastAsia="zh-CN"/>
              </w:rPr>
            </w:pPr>
          </w:p>
          <w:p>
            <w:pPr>
              <w:pStyle w:val="50"/>
              <w:bidi w:val="0"/>
              <w:spacing w:line="240" w:lineRule="auto"/>
              <w:ind w:left="0" w:leftChars="0" w:firstLine="0" w:firstLineChars="0"/>
              <w:rPr>
                <w:rFonts w:hint="eastAsia" w:cs="Times New Roman"/>
                <w:color w:val="auto"/>
                <w:highlight w:val="none"/>
                <w:lang w:val="en-US" w:eastAsia="zh-CN"/>
              </w:rPr>
            </w:pPr>
          </w:p>
          <w:p>
            <w:pPr>
              <w:pStyle w:val="50"/>
              <w:bidi w:val="0"/>
              <w:spacing w:line="240" w:lineRule="auto"/>
              <w:ind w:left="0" w:leftChars="0" w:firstLine="0" w:firstLineChars="0"/>
              <w:rPr>
                <w:rFonts w:hint="eastAsia" w:cs="Times New Roman"/>
                <w:color w:val="auto"/>
                <w:highlight w:val="none"/>
                <w:lang w:val="en-US" w:eastAsia="zh-CN"/>
              </w:rPr>
            </w:pPr>
          </w:p>
          <w:p>
            <w:pPr>
              <w:pStyle w:val="50"/>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eastAsia" w:cs="Times New Roman"/>
                <w:color w:val="auto"/>
                <w:highlight w:val="none"/>
                <w:lang w:val="en-US" w:eastAsia="zh-CN"/>
              </w:rPr>
            </w:pPr>
          </w:p>
          <w:p>
            <w:pPr>
              <w:pStyle w:val="50"/>
              <w:tabs>
                <w:tab w:val="left" w:pos="1424"/>
              </w:tabs>
              <w:bidi w:val="0"/>
              <w:spacing w:line="240" w:lineRule="auto"/>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1" w:hRule="atLeast"/>
          <w:jc w:val="center"/>
        </w:trPr>
        <w:tc>
          <w:tcPr>
            <w:tcW w:w="738" w:type="dxa"/>
            <w:vAlign w:val="center"/>
          </w:tcPr>
          <w:p>
            <w:pPr>
              <w:jc w:val="center"/>
              <w:rPr>
                <w:rFonts w:hint="default" w:ascii="Times New Roman" w:hAnsi="Times New Roman"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环保投资</w:t>
            </w:r>
          </w:p>
        </w:tc>
        <w:tc>
          <w:tcPr>
            <w:tcW w:w="8616" w:type="dxa"/>
            <w:vAlign w:val="center"/>
          </w:tcPr>
          <w:p>
            <w:pPr>
              <w:pStyle w:val="50"/>
              <w:keepNext w:val="0"/>
              <w:keepLines w:val="0"/>
              <w:pageBreakBefore w:val="0"/>
              <w:widowControl w:val="0"/>
              <w:kinsoku/>
              <w:wordWrap/>
              <w:overflowPunct w:val="0"/>
              <w:topLinePunct w:val="0"/>
              <w:autoSpaceDE/>
              <w:autoSpaceDN/>
              <w:bidi w:val="0"/>
              <w:adjustRightInd w:val="0"/>
              <w:snapToGrid w:val="0"/>
              <w:spacing w:line="312"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总投资</w:t>
            </w:r>
            <w:r>
              <w:rPr>
                <w:rFonts w:hint="eastAsia" w:cs="Times New Roman"/>
                <w:color w:val="auto"/>
                <w:highlight w:val="none"/>
                <w:lang w:val="en-US" w:eastAsia="zh-CN"/>
              </w:rPr>
              <w:t>29550.17</w:t>
            </w:r>
            <w:r>
              <w:rPr>
                <w:rFonts w:hint="default" w:ascii="Times New Roman" w:hAnsi="Times New Roman" w:cs="Times New Roman"/>
                <w:color w:val="auto"/>
                <w:highlight w:val="none"/>
                <w:lang w:eastAsia="zh-CN"/>
              </w:rPr>
              <w:t>万元</w:t>
            </w:r>
            <w:r>
              <w:rPr>
                <w:rFonts w:hint="default" w:ascii="Times New Roman" w:hAnsi="Times New Roman" w:cs="Times New Roman"/>
                <w:color w:val="auto"/>
                <w:highlight w:val="none"/>
              </w:rPr>
              <w:t>，其中环保投资为</w:t>
            </w:r>
            <w:r>
              <w:rPr>
                <w:rFonts w:hint="eastAsia" w:cs="Times New Roman"/>
                <w:color w:val="auto"/>
                <w:highlight w:val="none"/>
                <w:lang w:val="en-US" w:eastAsia="zh-CN"/>
              </w:rPr>
              <w:t>273.02</w:t>
            </w:r>
            <w:r>
              <w:rPr>
                <w:rFonts w:hint="default" w:ascii="Times New Roman" w:hAnsi="Times New Roman" w:cs="Times New Roman"/>
                <w:color w:val="auto"/>
                <w:highlight w:val="none"/>
                <w:lang w:val="en-US" w:eastAsia="zh-CN"/>
              </w:rPr>
              <w:t>万元</w:t>
            </w:r>
            <w:r>
              <w:rPr>
                <w:rFonts w:hint="default" w:ascii="Times New Roman" w:hAnsi="Times New Roman" w:cs="Times New Roman"/>
                <w:color w:val="auto"/>
                <w:highlight w:val="none"/>
              </w:rPr>
              <w:t>，占总投资的</w:t>
            </w:r>
            <w:r>
              <w:rPr>
                <w:rFonts w:hint="eastAsia" w:cs="Times New Roman"/>
                <w:color w:val="auto"/>
                <w:highlight w:val="none"/>
                <w:lang w:val="en-US" w:eastAsia="zh-CN"/>
              </w:rPr>
              <w:t>0.92</w:t>
            </w:r>
            <w:r>
              <w:rPr>
                <w:rFonts w:hint="default" w:ascii="Times New Roman" w:hAnsi="Times New Roman" w:cs="Times New Roman"/>
                <w:color w:val="auto"/>
                <w:highlight w:val="none"/>
              </w:rPr>
              <w:t>%，环保投资具体见表</w:t>
            </w:r>
            <w:r>
              <w:rPr>
                <w:rFonts w:hint="eastAsia" w:cs="Times New Roman"/>
                <w:color w:val="auto"/>
                <w:highlight w:val="none"/>
                <w:lang w:val="en-US" w:eastAsia="zh-CN"/>
              </w:rPr>
              <w:t>5-3</w:t>
            </w:r>
            <w:r>
              <w:rPr>
                <w:rFonts w:hint="default" w:ascii="Times New Roman" w:hAnsi="Times New Roman" w:cs="Times New Roman"/>
                <w:color w:val="auto"/>
                <w:highlight w:val="none"/>
              </w:rPr>
              <w:t>。</w:t>
            </w:r>
          </w:p>
          <w:p>
            <w:pPr>
              <w:pStyle w:val="102"/>
              <w:bidi w:val="0"/>
              <w:ind w:firstLine="481" w:firstLineChars="200"/>
              <w:jc w:val="both"/>
              <w:rPr>
                <w:rFonts w:hint="default" w:ascii="Times New Roman" w:hAnsi="Times New Roman" w:cs="Times New Roman" w:eastAsiaTheme="majorEastAsia"/>
                <w:b/>
                <w:bCs w:val="0"/>
                <w:color w:val="auto"/>
                <w:kern w:val="2"/>
                <w:sz w:val="24"/>
                <w:szCs w:val="24"/>
                <w:highlight w:val="none"/>
                <w:lang w:val="en-US" w:eastAsia="zh-CN" w:bidi="ar-SA"/>
              </w:rPr>
            </w:pPr>
            <w:r>
              <w:rPr>
                <w:rFonts w:hint="default" w:ascii="Times New Roman" w:hAnsi="Times New Roman" w:cs="Times New Roman" w:eastAsiaTheme="majorEastAsia"/>
                <w:b/>
                <w:bCs w:val="0"/>
                <w:color w:val="auto"/>
                <w:kern w:val="2"/>
                <w:sz w:val="24"/>
                <w:szCs w:val="24"/>
                <w:highlight w:val="none"/>
                <w:lang w:val="en-US" w:eastAsia="zh-CN" w:bidi="ar-SA"/>
              </w:rPr>
              <w:t>表</w:t>
            </w:r>
            <w:r>
              <w:rPr>
                <w:rFonts w:hint="eastAsia" w:cs="Times New Roman" w:eastAsiaTheme="majorEastAsia"/>
                <w:b/>
                <w:bCs w:val="0"/>
                <w:color w:val="auto"/>
                <w:kern w:val="2"/>
                <w:sz w:val="24"/>
                <w:szCs w:val="24"/>
                <w:highlight w:val="none"/>
                <w:lang w:val="en-US" w:eastAsia="zh-CN" w:bidi="ar-SA"/>
              </w:rPr>
              <w:t>5-3</w:t>
            </w:r>
            <w:r>
              <w:rPr>
                <w:rFonts w:hint="default" w:ascii="Times New Roman" w:hAnsi="Times New Roman" w:cs="Times New Roman" w:eastAsiaTheme="majorEastAsia"/>
                <w:b/>
                <w:bCs w:val="0"/>
                <w:color w:val="auto"/>
                <w:kern w:val="2"/>
                <w:sz w:val="24"/>
                <w:szCs w:val="24"/>
                <w:highlight w:val="none"/>
                <w:lang w:val="en-US" w:eastAsia="zh-CN" w:bidi="ar-SA"/>
              </w:rPr>
              <w:t xml:space="preserve">                  环保投资一览表               单位：万元</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6"/>
              <w:gridCol w:w="1100"/>
              <w:gridCol w:w="4354"/>
              <w:gridCol w:w="999"/>
              <w:gridCol w:w="12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92" w:type="pct"/>
                  <w:noWrap w:val="0"/>
                  <w:tcMar>
                    <w:top w:w="0" w:type="dxa"/>
                    <w:left w:w="0" w:type="dxa"/>
                    <w:bottom w:w="0" w:type="dxa"/>
                    <w:right w:w="0" w:type="dxa"/>
                  </w:tcMar>
                  <w:vAlign w:val="center"/>
                </w:tcPr>
                <w:p>
                  <w:pPr>
                    <w:jc w:val="center"/>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分类</w:t>
                  </w:r>
                </w:p>
              </w:tc>
              <w:tc>
                <w:tcPr>
                  <w:tcW w:w="657" w:type="pct"/>
                  <w:noWrap w:val="0"/>
                  <w:tcMar>
                    <w:top w:w="0" w:type="dxa"/>
                    <w:left w:w="0" w:type="dxa"/>
                    <w:bottom w:w="0" w:type="dxa"/>
                    <w:right w:w="0" w:type="dxa"/>
                  </w:tcMar>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投资项目</w:t>
                  </w:r>
                </w:p>
              </w:tc>
              <w:tc>
                <w:tcPr>
                  <w:tcW w:w="2600" w:type="pct"/>
                  <w:noWrap w:val="0"/>
                  <w:tcMar>
                    <w:top w:w="0" w:type="dxa"/>
                    <w:left w:w="0" w:type="dxa"/>
                    <w:bottom w:w="0" w:type="dxa"/>
                    <w:right w:w="0" w:type="dxa"/>
                  </w:tcMar>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投资内容</w:t>
                  </w:r>
                </w:p>
              </w:tc>
              <w:tc>
                <w:tcPr>
                  <w:tcW w:w="597" w:type="pct"/>
                  <w:noWrap w:val="0"/>
                  <w:tcMar>
                    <w:top w:w="0" w:type="dxa"/>
                    <w:left w:w="0" w:type="dxa"/>
                    <w:bottom w:w="0" w:type="dxa"/>
                    <w:right w:w="0" w:type="dxa"/>
                  </w:tcMar>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投资金额（万元）</w:t>
                  </w:r>
                </w:p>
              </w:tc>
              <w:tc>
                <w:tcPr>
                  <w:tcW w:w="751" w:type="pct"/>
                  <w:noWrap w:val="0"/>
                  <w:tcMar>
                    <w:top w:w="0" w:type="dxa"/>
                    <w:left w:w="0" w:type="dxa"/>
                    <w:bottom w:w="0" w:type="dxa"/>
                    <w:right w:w="0" w:type="dxa"/>
                  </w:tcMar>
                  <w:vAlign w:val="center"/>
                </w:tcPr>
                <w:p>
                  <w:pPr>
                    <w:tabs>
                      <w:tab w:val="left" w:pos="423"/>
                    </w:tabs>
                    <w:jc w:val="center"/>
                    <w:rPr>
                      <w:rFonts w:hint="eastAsia" w:ascii="Times New Roman" w:hAnsi="Times New Roman" w:eastAsia="宋体" w:cs="Times New Roman"/>
                      <w:b/>
                      <w:bCs/>
                      <w:color w:val="auto"/>
                      <w:highlight w:val="none"/>
                      <w:lang w:eastAsia="zh-CN"/>
                    </w:rPr>
                  </w:pPr>
                  <w:r>
                    <w:rPr>
                      <w:rFonts w:hint="eastAsia" w:cs="Times New Roman"/>
                      <w:b/>
                      <w:bCs/>
                      <w:color w:val="auto"/>
                      <w:highlight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2"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施工期</w:t>
                  </w:r>
                </w:p>
              </w:tc>
              <w:tc>
                <w:tcPr>
                  <w:tcW w:w="65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废气治理</w:t>
                  </w:r>
                </w:p>
              </w:tc>
              <w:tc>
                <w:tcPr>
                  <w:tcW w:w="2600"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扬尘治理：施工现场设置2.5m高围栏；物料及临时开挖的土方采取围挡、遮盖、及时洒水等防尘措施。</w:t>
                  </w:r>
                </w:p>
              </w:tc>
              <w:tc>
                <w:tcPr>
                  <w:tcW w:w="59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15.0</w:t>
                  </w:r>
                </w:p>
              </w:tc>
              <w:tc>
                <w:tcPr>
                  <w:tcW w:w="751"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rPr>
                  </w:pPr>
                </w:p>
              </w:tc>
              <w:tc>
                <w:tcPr>
                  <w:tcW w:w="65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废水治理</w:t>
                  </w:r>
                </w:p>
              </w:tc>
              <w:tc>
                <w:tcPr>
                  <w:tcW w:w="2600"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val="en-US" w:eastAsia="zh-CN"/>
                    </w:rPr>
                    <w:t>排水主要为生活污水及施工生产废水。施工期生活污水主要为洗漱废水，用于施工场地洒水降尘，施工期</w:t>
                  </w:r>
                  <w:r>
                    <w:rPr>
                      <w:rFonts w:hint="eastAsia" w:cs="Times New Roman"/>
                      <w:b w:val="0"/>
                      <w:bCs w:val="0"/>
                      <w:color w:val="auto"/>
                      <w:highlight w:val="none"/>
                      <w:lang w:val="en-US" w:eastAsia="zh-CN"/>
                    </w:rPr>
                    <w:t>依托施工营地现有</w:t>
                  </w:r>
                  <w:r>
                    <w:rPr>
                      <w:rFonts w:hint="default" w:ascii="Times New Roman" w:hAnsi="Times New Roman" w:eastAsia="宋体" w:cs="Times New Roman"/>
                      <w:b w:val="0"/>
                      <w:bCs w:val="0"/>
                      <w:color w:val="auto"/>
                      <w:highlight w:val="none"/>
                      <w:lang w:val="en-US" w:eastAsia="zh-CN"/>
                    </w:rPr>
                    <w:t>环保型旱厕供施工人员如厕，定期清运；生产废水主要为施工机械冲洗废水，在各施工营地设置沉淀池1座，对清洗废水沉淀后用于洒水降尘，不外排。</w:t>
                  </w:r>
                </w:p>
              </w:tc>
              <w:tc>
                <w:tcPr>
                  <w:tcW w:w="59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w:t>
                  </w:r>
                </w:p>
              </w:tc>
              <w:tc>
                <w:tcPr>
                  <w:tcW w:w="751" w:type="pct"/>
                  <w:noWrap w:val="0"/>
                  <w:tcMar>
                    <w:top w:w="0" w:type="dxa"/>
                    <w:left w:w="0" w:type="dxa"/>
                    <w:bottom w:w="0" w:type="dxa"/>
                    <w:right w:w="0" w:type="dxa"/>
                  </w:tcMar>
                  <w:vAlign w:val="center"/>
                </w:tcPr>
                <w:p>
                  <w:pPr>
                    <w:jc w:val="center"/>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依托</w:t>
                  </w:r>
                  <w:r>
                    <w:rPr>
                      <w:rFonts w:hint="eastAsia" w:ascii="Times New Roman" w:hAnsi="Times New Roman" w:eastAsia="宋体" w:cs="Times New Roman"/>
                      <w:color w:val="auto"/>
                      <w:sz w:val="21"/>
                      <w:szCs w:val="21"/>
                      <w:highlight w:val="none"/>
                      <w:lang w:val="en-US" w:eastAsia="zh-CN"/>
                    </w:rPr>
                    <w:t>“国家电投集团中卫香山风电场1-3期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rPr>
                  </w:pPr>
                </w:p>
              </w:tc>
              <w:tc>
                <w:tcPr>
                  <w:tcW w:w="65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噪声治理</w:t>
                  </w:r>
                </w:p>
              </w:tc>
              <w:tc>
                <w:tcPr>
                  <w:tcW w:w="2600"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rPr>
                    <w:t>施工采用低噪声机械设备，</w:t>
                  </w:r>
                  <w:r>
                    <w:rPr>
                      <w:rFonts w:hint="default" w:ascii="Times New Roman" w:hAnsi="Times New Roman" w:eastAsia="宋体" w:cs="Times New Roman"/>
                      <w:b w:val="0"/>
                      <w:bCs w:val="0"/>
                      <w:color w:val="auto"/>
                      <w:highlight w:val="none"/>
                      <w:lang w:eastAsia="zh-CN"/>
                    </w:rPr>
                    <w:t>采取基础减振，</w:t>
                  </w:r>
                  <w:r>
                    <w:rPr>
                      <w:rFonts w:hint="default" w:ascii="Times New Roman" w:hAnsi="Times New Roman" w:eastAsia="宋体" w:cs="Times New Roman"/>
                      <w:b w:val="0"/>
                      <w:bCs w:val="0"/>
                      <w:color w:val="auto"/>
                      <w:highlight w:val="none"/>
                    </w:rPr>
                    <w:t>定期维护保养</w:t>
                  </w:r>
                  <w:r>
                    <w:rPr>
                      <w:rFonts w:hint="default" w:ascii="Times New Roman" w:hAnsi="Times New Roman" w:eastAsia="宋体" w:cs="Times New Roman"/>
                      <w:b w:val="0"/>
                      <w:bCs w:val="0"/>
                      <w:color w:val="auto"/>
                      <w:highlight w:val="none"/>
                      <w:lang w:eastAsia="zh-CN"/>
                    </w:rPr>
                    <w:t>。</w:t>
                  </w:r>
                </w:p>
              </w:tc>
              <w:tc>
                <w:tcPr>
                  <w:tcW w:w="59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10.0</w:t>
                  </w:r>
                </w:p>
              </w:tc>
              <w:tc>
                <w:tcPr>
                  <w:tcW w:w="751" w:type="pct"/>
                  <w:noWrap w:val="0"/>
                  <w:tcMar>
                    <w:top w:w="0" w:type="dxa"/>
                    <w:left w:w="0" w:type="dxa"/>
                    <w:bottom w:w="0" w:type="dxa"/>
                    <w:right w:w="0" w:type="dxa"/>
                  </w:tcMar>
                  <w:vAlign w:val="center"/>
                </w:tcPr>
                <w:p>
                  <w:pPr>
                    <w:jc w:val="center"/>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rPr>
                  </w:pPr>
                </w:p>
              </w:tc>
              <w:tc>
                <w:tcPr>
                  <w:tcW w:w="65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固废处理</w:t>
                  </w:r>
                </w:p>
              </w:tc>
              <w:tc>
                <w:tcPr>
                  <w:tcW w:w="2600"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sz w:val="21"/>
                      <w:szCs w:val="21"/>
                      <w:highlight w:val="none"/>
                      <w:lang w:val="en-US" w:eastAsia="zh-CN"/>
                    </w:rPr>
                    <w:t>施工过程中产生的挖方，部分用于基础填筑，剩余土方全部用于场地平整，无弃方</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生活垃圾收集后定期送至市政部门规定地点拉运处置；建筑垃圾回用于场内检修道路的修筑，不能回用的，送指定的垃圾填埋场处置。</w:t>
                  </w:r>
                </w:p>
              </w:tc>
              <w:tc>
                <w:tcPr>
                  <w:tcW w:w="59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12</w:t>
                  </w:r>
                  <w:r>
                    <w:rPr>
                      <w:rFonts w:hint="default" w:ascii="Times New Roman" w:hAnsi="Times New Roman" w:eastAsia="宋体" w:cs="Times New Roman"/>
                      <w:b w:val="0"/>
                      <w:bCs w:val="0"/>
                      <w:color w:val="auto"/>
                      <w:highlight w:val="none"/>
                      <w:lang w:val="en-US" w:eastAsia="zh-CN"/>
                    </w:rPr>
                    <w:t>.0</w:t>
                  </w:r>
                </w:p>
              </w:tc>
              <w:tc>
                <w:tcPr>
                  <w:tcW w:w="751" w:type="pct"/>
                  <w:noWrap w:val="0"/>
                  <w:tcMar>
                    <w:top w:w="0" w:type="dxa"/>
                    <w:left w:w="0" w:type="dxa"/>
                    <w:bottom w:w="0" w:type="dxa"/>
                    <w:right w:w="0" w:type="dxa"/>
                  </w:tcMar>
                  <w:vAlign w:val="center"/>
                </w:tcPr>
                <w:p>
                  <w:pPr>
                    <w:jc w:val="center"/>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39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rPr>
                  </w:pPr>
                </w:p>
              </w:tc>
              <w:tc>
                <w:tcPr>
                  <w:tcW w:w="65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施工期生态环境治理</w:t>
                  </w:r>
                </w:p>
              </w:tc>
              <w:tc>
                <w:tcPr>
                  <w:tcW w:w="2600"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val="en-US" w:eastAsia="zh-CN"/>
                    </w:rPr>
                    <w:t>项</w:t>
                  </w:r>
                  <w:r>
                    <w:rPr>
                      <w:rFonts w:hint="default" w:cs="Times New Roman"/>
                      <w:b w:val="0"/>
                      <w:bCs w:val="0"/>
                      <w:color w:val="auto"/>
                      <w:highlight w:val="none"/>
                      <w:lang w:val="en-US" w:eastAsia="zh-CN"/>
                    </w:rPr>
                    <w:t>目</w:t>
                  </w:r>
                  <w:r>
                    <w:rPr>
                      <w:rFonts w:hint="eastAsia" w:cs="Times New Roman"/>
                      <w:b w:val="0"/>
                      <w:bCs w:val="0"/>
                      <w:color w:val="auto"/>
                      <w:highlight w:val="none"/>
                      <w:lang w:val="en-US" w:eastAsia="zh-CN"/>
                    </w:rPr>
                    <w:t>风机基础、箱变基础</w:t>
                  </w:r>
                  <w:r>
                    <w:rPr>
                      <w:rFonts w:hint="default" w:cs="Times New Roman"/>
                      <w:b w:val="0"/>
                      <w:bCs w:val="0"/>
                      <w:color w:val="auto"/>
                      <w:highlight w:val="none"/>
                      <w:lang w:val="en-US" w:eastAsia="zh-CN"/>
                    </w:rPr>
                    <w:t>施工及水土保持工程等开挖的表土单独堆存、设拦挡设施，并采用抑尘网遮盖，利于后续绿化；场地水土保持</w:t>
                  </w:r>
                  <w:r>
                    <w:rPr>
                      <w:rFonts w:hint="eastAsia" w:cs="Times New Roman"/>
                      <w:b w:val="0"/>
                      <w:bCs w:val="0"/>
                      <w:color w:val="auto"/>
                      <w:highlight w:val="none"/>
                      <w:lang w:val="en-US" w:eastAsia="zh-CN"/>
                    </w:rPr>
                    <w:t>；施工结束后临时占地恢复为原有地貌，恢复植被，临时占地进行土地及植被恢复，包括土地复垦、机械土地整治、土埂拦挡以及种植当地物种等</w:t>
                  </w:r>
                  <w:r>
                    <w:rPr>
                      <w:rFonts w:hint="default" w:cs="Times New Roman"/>
                      <w:b w:val="0"/>
                      <w:bCs w:val="0"/>
                      <w:color w:val="auto"/>
                      <w:highlight w:val="none"/>
                      <w:lang w:val="en-US" w:eastAsia="zh-CN"/>
                    </w:rPr>
                    <w:t>。</w:t>
                  </w:r>
                </w:p>
              </w:tc>
              <w:tc>
                <w:tcPr>
                  <w:tcW w:w="59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120</w:t>
                  </w:r>
                  <w:r>
                    <w:rPr>
                      <w:rFonts w:hint="default" w:ascii="Times New Roman" w:hAnsi="Times New Roman" w:eastAsia="宋体" w:cs="Times New Roman"/>
                      <w:b w:val="0"/>
                      <w:bCs w:val="0"/>
                      <w:color w:val="auto"/>
                      <w:highlight w:val="none"/>
                      <w:lang w:val="en-US" w:eastAsia="zh-CN"/>
                    </w:rPr>
                    <w:t>.0</w:t>
                  </w:r>
                  <w:r>
                    <w:rPr>
                      <w:rFonts w:hint="eastAsia" w:cs="Times New Roman"/>
                      <w:b w:val="0"/>
                      <w:bCs w:val="0"/>
                      <w:color w:val="auto"/>
                      <w:highlight w:val="none"/>
                      <w:lang w:val="en-US" w:eastAsia="zh-CN"/>
                    </w:rPr>
                    <w:t>2</w:t>
                  </w:r>
                </w:p>
              </w:tc>
              <w:tc>
                <w:tcPr>
                  <w:tcW w:w="751" w:type="pct"/>
                  <w:noWrap w:val="0"/>
                  <w:tcMar>
                    <w:top w:w="0" w:type="dxa"/>
                    <w:left w:w="0" w:type="dxa"/>
                    <w:bottom w:w="0" w:type="dxa"/>
                    <w:right w:w="0" w:type="dxa"/>
                  </w:tcMar>
                  <w:vAlign w:val="center"/>
                </w:tcPr>
                <w:p>
                  <w:pPr>
                    <w:jc w:val="center"/>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39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rPr>
                  </w:pPr>
                </w:p>
              </w:tc>
              <w:tc>
                <w:tcPr>
                  <w:tcW w:w="65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r>
                    <w:rPr>
                      <w:rFonts w:hint="eastAsia" w:cs="Times New Roman"/>
                      <w:b w:val="0"/>
                      <w:bCs w:val="0"/>
                      <w:color w:val="auto"/>
                      <w:highlight w:val="none"/>
                      <w:lang w:eastAsia="zh-CN"/>
                    </w:rPr>
                    <w:t>施工期的环境监理</w:t>
                  </w:r>
                </w:p>
              </w:tc>
              <w:tc>
                <w:tcPr>
                  <w:tcW w:w="2600"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对施工现场进行环境监测和调查</w:t>
                  </w:r>
                  <w:r>
                    <w:rPr>
                      <w:rFonts w:hint="eastAsia" w:cs="Times New Roman"/>
                      <w:b w:val="0"/>
                      <w:bCs w:val="0"/>
                      <w:color w:val="auto"/>
                      <w:highlight w:val="none"/>
                      <w:lang w:val="en-US" w:eastAsia="zh-CN"/>
                    </w:rPr>
                    <w:t>；对施工单位的环境保护工作开展监督与指导；监督施工单位按照规定分类、储存、运输、处置废弃物；对施工活动可能产生的环境影响进行评估，并提出相应的环境保护措施；监督施工单位整改环境保护问题，对整改措施的落实情况进行检查和验收；组织开展环境保护培训；编制环境保护监理报告。</w:t>
                  </w:r>
                </w:p>
              </w:tc>
              <w:tc>
                <w:tcPr>
                  <w:tcW w:w="597" w:type="pct"/>
                  <w:noWrap w:val="0"/>
                  <w:tcMar>
                    <w:top w:w="0" w:type="dxa"/>
                    <w:left w:w="0" w:type="dxa"/>
                    <w:bottom w:w="0" w:type="dxa"/>
                    <w:right w:w="0" w:type="dxa"/>
                  </w:tcMar>
                  <w:vAlign w:val="center"/>
                </w:tcPr>
                <w:p>
                  <w:pPr>
                    <w:jc w:val="center"/>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100.00</w:t>
                  </w:r>
                </w:p>
              </w:tc>
              <w:tc>
                <w:tcPr>
                  <w:tcW w:w="751" w:type="pct"/>
                  <w:noWrap w:val="0"/>
                  <w:tcMar>
                    <w:top w:w="0" w:type="dxa"/>
                    <w:left w:w="0" w:type="dxa"/>
                    <w:bottom w:w="0" w:type="dxa"/>
                    <w:right w:w="0" w:type="dxa"/>
                  </w:tcMar>
                  <w:vAlign w:val="center"/>
                </w:tcPr>
                <w:p>
                  <w:pPr>
                    <w:jc w:val="center"/>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2"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营运期</w:t>
                  </w:r>
                </w:p>
              </w:tc>
              <w:tc>
                <w:tcPr>
                  <w:tcW w:w="65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环境监测</w:t>
                  </w:r>
                </w:p>
              </w:tc>
              <w:tc>
                <w:tcPr>
                  <w:tcW w:w="2600"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按照监测计划，定期进行环境监测</w:t>
                  </w:r>
                </w:p>
              </w:tc>
              <w:tc>
                <w:tcPr>
                  <w:tcW w:w="59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11</w:t>
                  </w:r>
                  <w:r>
                    <w:rPr>
                      <w:rFonts w:hint="default" w:ascii="Times New Roman" w:hAnsi="Times New Roman" w:eastAsia="宋体" w:cs="Times New Roman"/>
                      <w:b w:val="0"/>
                      <w:bCs w:val="0"/>
                      <w:color w:val="auto"/>
                      <w:highlight w:val="none"/>
                      <w:lang w:val="en-US" w:eastAsia="zh-CN"/>
                    </w:rPr>
                    <w:t>.0</w:t>
                  </w:r>
                </w:p>
              </w:tc>
              <w:tc>
                <w:tcPr>
                  <w:tcW w:w="751" w:type="pct"/>
                  <w:noWrap w:val="0"/>
                  <w:tcMar>
                    <w:top w:w="0" w:type="dxa"/>
                    <w:left w:w="0" w:type="dxa"/>
                    <w:bottom w:w="0" w:type="dxa"/>
                    <w:right w:w="0" w:type="dxa"/>
                  </w:tcMar>
                  <w:vAlign w:val="center"/>
                </w:tcPr>
                <w:p>
                  <w:pPr>
                    <w:jc w:val="center"/>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p>
              </w:tc>
              <w:tc>
                <w:tcPr>
                  <w:tcW w:w="65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固废</w:t>
                  </w:r>
                </w:p>
              </w:tc>
              <w:tc>
                <w:tcPr>
                  <w:tcW w:w="2600"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val="en-US" w:eastAsia="zh-CN"/>
                    </w:rPr>
                    <w:t>运行期设备检修产生的废润滑油</w:t>
                  </w:r>
                  <w:r>
                    <w:rPr>
                      <w:rFonts w:hint="eastAsia" w:cs="Times New Roman"/>
                      <w:color w:val="auto"/>
                      <w:highlight w:val="none"/>
                      <w:lang w:val="en-US" w:eastAsia="zh-CN"/>
                    </w:rPr>
                    <w:t>集中</w:t>
                  </w:r>
                  <w:r>
                    <w:rPr>
                      <w:rFonts w:hint="default" w:ascii="Times New Roman" w:hAnsi="Times New Roman" w:cs="Times New Roman"/>
                      <w:color w:val="auto"/>
                      <w:highlight w:val="none"/>
                      <w:lang w:val="en-US" w:eastAsia="zh-CN"/>
                    </w:rPr>
                    <w:t>收集后</w:t>
                  </w:r>
                  <w:r>
                    <w:rPr>
                      <w:rFonts w:hint="eastAsia"/>
                      <w:color w:val="auto"/>
                      <w:highlight w:val="none"/>
                      <w:lang w:eastAsia="zh-CN"/>
                    </w:rPr>
                    <w:t>送至</w:t>
                  </w:r>
                  <w:r>
                    <w:rPr>
                      <w:rFonts w:hint="eastAsia" w:ascii="Times New Roman" w:hAnsi="Times New Roman" w:cs="Times New Roman"/>
                      <w:color w:val="auto"/>
                      <w:highlight w:val="none"/>
                      <w:lang w:val="en-US" w:eastAsia="zh-CN"/>
                    </w:rPr>
                    <w:t>依托的“国家电投集团中卫香山风电场1-3期“以大代小”150MW增容项目”危废贮存点（本项目依托）暂存后</w:t>
                  </w:r>
                  <w:r>
                    <w:rPr>
                      <w:rFonts w:hint="default" w:ascii="Times New Roman" w:hAnsi="Times New Roman" w:eastAsia="宋体" w:cs="Times New Roman"/>
                      <w:b w:val="0"/>
                      <w:bCs w:val="0"/>
                      <w:color w:val="auto"/>
                      <w:highlight w:val="none"/>
                      <w:lang w:val="en-US" w:eastAsia="zh-CN"/>
                    </w:rPr>
                    <w:t>，交由有资质单位处置。</w:t>
                  </w:r>
                </w:p>
              </w:tc>
              <w:tc>
                <w:tcPr>
                  <w:tcW w:w="59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w:t>
                  </w:r>
                </w:p>
              </w:tc>
              <w:tc>
                <w:tcPr>
                  <w:tcW w:w="751" w:type="pct"/>
                  <w:noWrap w:val="0"/>
                  <w:tcMar>
                    <w:top w:w="0" w:type="dxa"/>
                    <w:left w:w="0" w:type="dxa"/>
                    <w:bottom w:w="0" w:type="dxa"/>
                    <w:right w:w="0" w:type="dxa"/>
                  </w:tcMar>
                  <w:vAlign w:val="center"/>
                </w:tcPr>
                <w:p>
                  <w:pPr>
                    <w:jc w:val="center"/>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依托</w:t>
                  </w:r>
                  <w:r>
                    <w:rPr>
                      <w:rFonts w:hint="eastAsia" w:ascii="Times New Roman" w:hAnsi="Times New Roman" w:eastAsia="宋体" w:cs="Times New Roman"/>
                      <w:color w:val="auto"/>
                      <w:sz w:val="21"/>
                      <w:szCs w:val="21"/>
                      <w:highlight w:val="none"/>
                      <w:lang w:val="en-US" w:eastAsia="zh-CN"/>
                    </w:rPr>
                    <w:t>“国家电投集团中卫香山风电场1-3期</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以大代小</w:t>
                  </w:r>
                  <w:r>
                    <w:rPr>
                      <w:rFonts w:hint="eastAsia" w:ascii="Times New Roman" w:hAnsi="Times New Roman" w:eastAsia="仿宋" w:cs="Times New Roman"/>
                      <w:color w:val="auto"/>
                      <w:highlight w:val="none"/>
                      <w:lang w:val="en-US" w:eastAsia="zh-CN"/>
                    </w:rPr>
                    <w:t>’</w:t>
                  </w:r>
                  <w:r>
                    <w:rPr>
                      <w:rFonts w:hint="eastAsia" w:ascii="Times New Roman" w:hAnsi="Times New Roman" w:eastAsia="宋体" w:cs="Times New Roman"/>
                      <w:color w:val="auto"/>
                      <w:sz w:val="21"/>
                      <w:szCs w:val="21"/>
                      <w:highlight w:val="none"/>
                      <w:lang w:val="en-US" w:eastAsia="zh-CN"/>
                    </w:rPr>
                    <w:t>150MW增容项目”危废暂存点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2"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p>
              </w:tc>
              <w:tc>
                <w:tcPr>
                  <w:tcW w:w="65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噪声</w:t>
                  </w:r>
                </w:p>
              </w:tc>
              <w:tc>
                <w:tcPr>
                  <w:tcW w:w="2600"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val="en-US" w:eastAsia="zh-CN"/>
                    </w:rPr>
                    <w:t>设备选型上选择环保高效的低噪声设备，维护设备使其处于良好的运行状态。</w:t>
                  </w:r>
                </w:p>
              </w:tc>
              <w:tc>
                <w:tcPr>
                  <w:tcW w:w="59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5.0</w:t>
                  </w:r>
                </w:p>
              </w:tc>
              <w:tc>
                <w:tcPr>
                  <w:tcW w:w="751" w:type="pct"/>
                  <w:noWrap w:val="0"/>
                  <w:tcMar>
                    <w:top w:w="0" w:type="dxa"/>
                    <w:left w:w="0" w:type="dxa"/>
                    <w:bottom w:w="0" w:type="dxa"/>
                    <w:right w:w="0" w:type="dxa"/>
                  </w:tcMar>
                  <w:vAlign w:val="center"/>
                </w:tcPr>
                <w:p>
                  <w:pPr>
                    <w:jc w:val="center"/>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50" w:type="pct"/>
                  <w:gridSpan w:val="3"/>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合计</w:t>
                  </w:r>
                </w:p>
              </w:tc>
              <w:tc>
                <w:tcPr>
                  <w:tcW w:w="597" w:type="pct"/>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273.02</w:t>
                  </w:r>
                </w:p>
              </w:tc>
              <w:tc>
                <w:tcPr>
                  <w:tcW w:w="751" w:type="pct"/>
                  <w:noWrap w:val="0"/>
                  <w:tcMar>
                    <w:top w:w="0" w:type="dxa"/>
                    <w:left w:w="0" w:type="dxa"/>
                    <w:bottom w:w="0" w:type="dxa"/>
                    <w:right w:w="0" w:type="dxa"/>
                  </w:tcMar>
                  <w:vAlign w:val="center"/>
                </w:tcPr>
                <w:p>
                  <w:pPr>
                    <w:jc w:val="center"/>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w:t>
                  </w:r>
                </w:p>
              </w:tc>
            </w:tr>
          </w:tbl>
          <w:p>
            <w:pPr>
              <w:pStyle w:val="50"/>
              <w:bidi w:val="0"/>
              <w:spacing w:line="240" w:lineRule="auto"/>
              <w:ind w:left="0" w:leftChars="0" w:firstLine="0" w:firstLineChars="0"/>
              <w:rPr>
                <w:rFonts w:hint="default" w:ascii="Times New Roman" w:hAnsi="Times New Roman" w:cs="Times New Roman"/>
                <w:color w:val="auto"/>
                <w:highlight w:val="none"/>
                <w:lang w:val="en-US" w:eastAsia="zh-CN"/>
              </w:rPr>
            </w:pPr>
          </w:p>
        </w:tc>
      </w:tr>
    </w:tbl>
    <w:p>
      <w:pP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br w:type="page"/>
      </w:r>
    </w:p>
    <w:p>
      <w:pPr>
        <w:pStyle w:val="2"/>
        <w:rPr>
          <w:rFonts w:hint="default" w:ascii="Times New Roman" w:hAnsi="Times New Roman" w:cs="Times New Roman"/>
          <w:color w:val="auto"/>
          <w:highlight w:val="none"/>
          <w:lang w:eastAsia="zh-CN"/>
        </w:rPr>
        <w:sectPr>
          <w:headerReference r:id="rId10" w:type="default"/>
          <w:footerReference r:id="rId11" w:type="default"/>
          <w:pgSz w:w="11905" w:h="16838"/>
          <w:pgMar w:top="1803" w:right="1440" w:bottom="1803" w:left="1440" w:header="1247" w:footer="1247" w:gutter="0"/>
          <w:pgBorders>
            <w:top w:val="none" w:sz="0" w:space="0"/>
            <w:left w:val="none" w:sz="0" w:space="0"/>
            <w:bottom w:val="none" w:sz="0" w:space="0"/>
            <w:right w:val="none" w:sz="0" w:space="0"/>
          </w:pgBorders>
          <w:pgNumType w:fmt="decimal"/>
          <w:cols w:space="0" w:num="1"/>
          <w:rtlGutter w:val="0"/>
          <w:docGrid w:linePitch="312" w:charSpace="0"/>
        </w:sectPr>
      </w:pP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六、生态环境保护措施监督检查清单</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05"/>
        <w:gridCol w:w="5914"/>
        <w:gridCol w:w="2401"/>
        <w:gridCol w:w="2055"/>
        <w:gridCol w:w="15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59" w:type="pct"/>
            <w:vMerge w:val="restart"/>
            <w:tcBorders>
              <w:tl2br w:val="single" w:color="auto" w:sz="12" w:space="0"/>
            </w:tcBorders>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 xml:space="preserve">  内容</w:t>
            </w:r>
          </w:p>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要素</w:t>
            </w:r>
          </w:p>
        </w:tc>
        <w:tc>
          <w:tcPr>
            <w:tcW w:w="3092" w:type="pct"/>
            <w:gridSpan w:val="2"/>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施工期</w:t>
            </w:r>
          </w:p>
        </w:tc>
        <w:tc>
          <w:tcPr>
            <w:tcW w:w="1347" w:type="pct"/>
            <w:gridSpan w:val="2"/>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运营期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59" w:type="pct"/>
            <w:vMerge w:val="continue"/>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p>
        </w:tc>
        <w:tc>
          <w:tcPr>
            <w:tcW w:w="2199"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环境保护措施</w:t>
            </w:r>
          </w:p>
        </w:tc>
        <w:tc>
          <w:tcPr>
            <w:tcW w:w="893"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验收要求</w:t>
            </w:r>
          </w:p>
        </w:tc>
        <w:tc>
          <w:tcPr>
            <w:tcW w:w="764"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环境保护措施</w:t>
            </w:r>
          </w:p>
        </w:tc>
        <w:tc>
          <w:tcPr>
            <w:tcW w:w="583"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验收要求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9"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陆生生态</w:t>
            </w:r>
          </w:p>
        </w:tc>
        <w:tc>
          <w:tcPr>
            <w:tcW w:w="2199"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①</w:t>
            </w:r>
            <w:r>
              <w:rPr>
                <w:rFonts w:hint="default" w:ascii="Times New Roman" w:hAnsi="Times New Roman" w:eastAsia="宋体" w:cs="Times New Roman"/>
                <w:color w:val="auto"/>
                <w:sz w:val="21"/>
                <w:szCs w:val="21"/>
                <w:highlight w:val="none"/>
              </w:rPr>
              <w:t>优化施工布置，合理规划占地，严格控制占地面积</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施工车辆、人员必须在作业带内活动，严禁随意扩大扰动范围</w:t>
            </w:r>
            <w:r>
              <w:rPr>
                <w:rFonts w:hint="default" w:ascii="Times New Roman" w:hAnsi="Times New Roman" w:eastAsia="宋体" w:cs="Times New Roman"/>
                <w:color w:val="auto"/>
                <w:sz w:val="21"/>
                <w:szCs w:val="21"/>
                <w:highlight w:val="none"/>
                <w:lang w:eastAsia="zh-CN"/>
              </w:rPr>
              <w:t>。</w:t>
            </w:r>
          </w:p>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②</w:t>
            </w:r>
            <w:r>
              <w:rPr>
                <w:rFonts w:hint="default" w:ascii="Times New Roman" w:hAnsi="Times New Roman" w:eastAsia="宋体" w:cs="Times New Roman"/>
                <w:color w:val="auto"/>
                <w:sz w:val="21"/>
                <w:szCs w:val="21"/>
                <w:highlight w:val="none"/>
                <w:lang w:val="en-US" w:eastAsia="zh-CN"/>
              </w:rPr>
              <w:t>开挖土方区植被覆盖的表土剥离并集中储存，进行遮盖，大风天气停止施工；施工结束后，清除工程占地范围内的杂物及各种施工垃圾，将凹地回填平整及翻松，采用施工前剥离的表土撒播耐干旱、多年生草籽进行植被恢复</w:t>
            </w:r>
            <w:r>
              <w:rPr>
                <w:rFonts w:hint="default" w:ascii="Times New Roman" w:hAnsi="Times New Roman" w:eastAsia="宋体" w:cs="Times New Roman"/>
                <w:color w:val="auto"/>
                <w:sz w:val="21"/>
                <w:szCs w:val="21"/>
                <w:highlight w:val="none"/>
                <w:lang w:eastAsia="zh-CN"/>
              </w:rPr>
              <w:t>；</w:t>
            </w:r>
          </w:p>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③</w:t>
            </w:r>
            <w:r>
              <w:rPr>
                <w:rFonts w:hint="default" w:ascii="Times New Roman" w:hAnsi="Times New Roman" w:eastAsia="宋体" w:cs="Times New Roman"/>
                <w:color w:val="auto"/>
                <w:sz w:val="21"/>
                <w:szCs w:val="21"/>
                <w:highlight w:val="none"/>
              </w:rPr>
              <w:t>对施工人员和附近居民加强生态保护的宣传教育，在各施工区设置野生动植物保护警示牌或宣传栏，严禁施工人员非法猎捕野生动物</w:t>
            </w:r>
            <w:r>
              <w:rPr>
                <w:rFonts w:hint="default" w:ascii="Times New Roman" w:hAnsi="Times New Roman" w:eastAsia="宋体" w:cs="Times New Roman"/>
                <w:color w:val="auto"/>
                <w:sz w:val="21"/>
                <w:szCs w:val="21"/>
                <w:highlight w:val="none"/>
                <w:lang w:eastAsia="zh-CN"/>
              </w:rPr>
              <w:t>；</w:t>
            </w:r>
          </w:p>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④加强施工期</w:t>
            </w:r>
            <w:r>
              <w:rPr>
                <w:rFonts w:hint="default" w:ascii="Times New Roman" w:hAnsi="Times New Roman" w:cs="Times New Roman"/>
                <w:color w:val="auto"/>
                <w:sz w:val="21"/>
                <w:szCs w:val="21"/>
                <w:highlight w:val="none"/>
                <w:lang w:eastAsia="zh-CN"/>
              </w:rPr>
              <w:t>管理</w:t>
            </w:r>
            <w:r>
              <w:rPr>
                <w:rFonts w:hint="default" w:ascii="Times New Roman" w:hAnsi="Times New Roman" w:eastAsia="宋体" w:cs="Times New Roman"/>
                <w:color w:val="auto"/>
                <w:sz w:val="21"/>
                <w:szCs w:val="21"/>
                <w:highlight w:val="none"/>
                <w:lang w:eastAsia="zh-CN"/>
              </w:rPr>
              <w:t>工作，保护好沿线两侧其它区域现有的植被。</w:t>
            </w:r>
          </w:p>
          <w:p>
            <w:pP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5 \* GB3 \* MERGEFORMAT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⑤</w:t>
            </w:r>
            <w:r>
              <w:rPr>
                <w:rFonts w:hint="default" w:ascii="Times New Roman" w:hAnsi="Times New Roman" w:eastAsia="宋体" w:cs="Times New Roman"/>
                <w:color w:val="auto"/>
                <w:kern w:val="2"/>
                <w:sz w:val="21"/>
                <w:szCs w:val="21"/>
                <w:highlight w:val="none"/>
                <w:lang w:val="en-US" w:eastAsia="zh-CN" w:bidi="ar-SA"/>
              </w:rPr>
              <w:fldChar w:fldCharType="end"/>
            </w:r>
            <w:r>
              <w:rPr>
                <w:rFonts w:hint="eastAsia" w:ascii="Times New Roman" w:hAnsi="Times New Roman" w:eastAsia="宋体" w:cs="Times New Roman"/>
                <w:color w:val="auto"/>
                <w:kern w:val="2"/>
                <w:sz w:val="21"/>
                <w:szCs w:val="21"/>
                <w:highlight w:val="none"/>
                <w:lang w:val="en-US" w:eastAsia="zh-CN" w:bidi="ar-SA"/>
              </w:rPr>
              <w:t>本项目临时占地包括施工道路、弃土场、风机吊装平台以及施工临时设施，施工期结束后，及时恢复为原有地貌，植被恢复到原有植被覆盖度，严格控制项目临时占地面积，施工结束后留4.5m宽道路作为检修道路，除检修道路以外扰动区采取土地整治措施，并撒播草籽恢复植被；施工前对熟土进行剥离并单独堆存，作为营运期植被恢复层土壤。</w:t>
            </w:r>
          </w:p>
          <w:p>
            <w:pPr>
              <w:rPr>
                <w:rFonts w:hint="eastAsia" w:eastAsia="宋体"/>
                <w:color w:val="auto"/>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⑥遇到蒙古扁桃记录生长位置，采取</w:t>
            </w:r>
            <w:r>
              <w:rPr>
                <w:rFonts w:hint="eastAsia" w:cs="Times New Roman"/>
                <w:color w:val="auto"/>
                <w:kern w:val="2"/>
                <w:sz w:val="21"/>
                <w:szCs w:val="21"/>
                <w:highlight w:val="none"/>
                <w:lang w:val="en-US" w:eastAsia="zh-CN" w:bidi="ar-SA"/>
              </w:rPr>
              <w:t>保护</w:t>
            </w:r>
            <w:r>
              <w:rPr>
                <w:rFonts w:hint="eastAsia" w:ascii="Times New Roman" w:hAnsi="Times New Roman" w:eastAsia="宋体" w:cs="Times New Roman"/>
                <w:color w:val="auto"/>
                <w:kern w:val="2"/>
                <w:sz w:val="21"/>
                <w:szCs w:val="21"/>
                <w:highlight w:val="none"/>
                <w:lang w:val="en-US" w:eastAsia="zh-CN" w:bidi="ar-SA"/>
              </w:rPr>
              <w:t>措施。</w:t>
            </w:r>
          </w:p>
        </w:tc>
        <w:tc>
          <w:tcPr>
            <w:tcW w:w="893"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在选用先进的施工工艺，选取科学的施工方式的前提下，施工单位加强施工管理，合理</w:t>
            </w:r>
            <w:r>
              <w:rPr>
                <w:rFonts w:hint="default" w:ascii="Times New Roman" w:hAnsi="Times New Roman" w:eastAsia="宋体" w:cs="Times New Roman"/>
                <w:color w:val="auto"/>
                <w:sz w:val="21"/>
                <w:szCs w:val="21"/>
                <w:highlight w:val="none"/>
                <w:lang w:val="en-US" w:eastAsia="zh-CN"/>
              </w:rPr>
              <w:t>规划</w:t>
            </w:r>
            <w:r>
              <w:rPr>
                <w:rFonts w:hint="eastAsia" w:cs="Times New Roman"/>
                <w:color w:val="auto"/>
                <w:sz w:val="21"/>
                <w:szCs w:val="21"/>
                <w:highlight w:val="none"/>
                <w:lang w:val="en-US" w:eastAsia="zh-CN"/>
              </w:rPr>
              <w:t>永久</w:t>
            </w:r>
            <w:r>
              <w:rPr>
                <w:rFonts w:hint="default" w:ascii="Times New Roman" w:hAnsi="Times New Roman" w:eastAsia="宋体" w:cs="Times New Roman"/>
                <w:color w:val="auto"/>
                <w:sz w:val="21"/>
                <w:szCs w:val="21"/>
                <w:highlight w:val="none"/>
                <w:lang w:val="en-US" w:eastAsia="zh-CN"/>
              </w:rPr>
              <w:t>占地</w:t>
            </w:r>
            <w:r>
              <w:rPr>
                <w:rFonts w:hint="eastAsia" w:cs="Times New Roman"/>
                <w:color w:val="auto"/>
                <w:sz w:val="21"/>
                <w:szCs w:val="21"/>
                <w:highlight w:val="none"/>
                <w:lang w:val="en-US" w:eastAsia="zh-CN"/>
              </w:rPr>
              <w:t>和临时占地</w:t>
            </w:r>
            <w:r>
              <w:rPr>
                <w:rFonts w:hint="default" w:ascii="Times New Roman" w:hAnsi="Times New Roman" w:eastAsia="宋体" w:cs="Times New Roman"/>
                <w:color w:val="auto"/>
                <w:sz w:val="21"/>
                <w:szCs w:val="21"/>
                <w:highlight w:val="none"/>
                <w:lang w:val="en-US" w:eastAsia="zh-CN"/>
              </w:rPr>
              <w:t>，合理</w:t>
            </w:r>
            <w:r>
              <w:rPr>
                <w:rFonts w:hint="default" w:ascii="Times New Roman" w:hAnsi="Times New Roman" w:eastAsia="宋体" w:cs="Times New Roman"/>
                <w:color w:val="auto"/>
                <w:sz w:val="21"/>
                <w:szCs w:val="21"/>
                <w:highlight w:val="none"/>
                <w:lang w:eastAsia="zh-CN"/>
              </w:rPr>
              <w:t>安排施工时间，对施工过程采取有效的控制及影响减缓措施后，可将项目实施对所在区域生态的影响降至最低程度</w:t>
            </w:r>
            <w:r>
              <w:rPr>
                <w:rFonts w:hint="eastAsia" w:cs="Times New Roman"/>
                <w:color w:val="auto"/>
                <w:sz w:val="21"/>
                <w:szCs w:val="21"/>
                <w:highlight w:val="none"/>
                <w:lang w:eastAsia="zh-CN"/>
              </w:rPr>
              <w:t>。</w:t>
            </w:r>
          </w:p>
        </w:tc>
        <w:tc>
          <w:tcPr>
            <w:tcW w:w="764"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rPr>
              <w:t>施工结束后及时</w:t>
            </w:r>
            <w:r>
              <w:rPr>
                <w:rFonts w:hint="eastAsia" w:cs="Times New Roman"/>
                <w:color w:val="auto"/>
                <w:sz w:val="21"/>
                <w:szCs w:val="21"/>
                <w:highlight w:val="none"/>
                <w:lang w:eastAsia="zh-CN"/>
              </w:rPr>
              <w:t>对临时占地进行土地恢复，</w:t>
            </w:r>
            <w:r>
              <w:rPr>
                <w:rFonts w:hint="default" w:ascii="Times New Roman" w:hAnsi="Times New Roman" w:eastAsia="宋体" w:cs="Times New Roman"/>
                <w:color w:val="auto"/>
                <w:sz w:val="21"/>
                <w:szCs w:val="21"/>
                <w:highlight w:val="none"/>
              </w:rPr>
              <w:t>恢复植被绿化、水土保持工程措施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开展运营期生态恢复监测。</w:t>
            </w:r>
          </w:p>
        </w:tc>
        <w:tc>
          <w:tcPr>
            <w:tcW w:w="583"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rPr>
              <w:t>减少临时占地对生态环境的影响</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确保生态环境的恢复。</w:t>
            </w:r>
            <w:r>
              <w:rPr>
                <w:rFonts w:hint="eastAsia" w:cs="Times New Roman"/>
                <w:color w:val="auto"/>
                <w:sz w:val="21"/>
                <w:szCs w:val="21"/>
                <w:highlight w:val="none"/>
                <w:lang w:val="en-US" w:eastAsia="zh-CN"/>
              </w:rPr>
              <w:t>检查施工过程中蒙古扁桃植被生长状况、检查其成活率等情况。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9"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水生生态</w:t>
            </w:r>
          </w:p>
        </w:tc>
        <w:tc>
          <w:tcPr>
            <w:tcW w:w="2199"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893"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64"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3"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9"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地表水环境</w:t>
            </w:r>
          </w:p>
        </w:tc>
        <w:tc>
          <w:tcPr>
            <w:tcW w:w="2199"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施工区应设置沉淀池，施工废水沉淀后回用，不外排。施工期洗漱废水用于施工场地洒水降尘，施工期建设环保型旱厕供施工人员如厕，定期清运</w:t>
            </w:r>
            <w:r>
              <w:rPr>
                <w:rFonts w:hint="eastAsia" w:cs="Times New Roman"/>
                <w:color w:val="auto"/>
                <w:sz w:val="21"/>
                <w:szCs w:val="21"/>
                <w:highlight w:val="none"/>
                <w:lang w:val="en-US" w:eastAsia="zh-CN"/>
              </w:rPr>
              <w:t>。</w:t>
            </w:r>
          </w:p>
        </w:tc>
        <w:tc>
          <w:tcPr>
            <w:tcW w:w="893"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废水不外排，不对地表水环境造成影响。</w:t>
            </w:r>
          </w:p>
        </w:tc>
        <w:tc>
          <w:tcPr>
            <w:tcW w:w="764"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3"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9"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地下水及土壤环境</w:t>
            </w:r>
          </w:p>
        </w:tc>
        <w:tc>
          <w:tcPr>
            <w:tcW w:w="2199"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893"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64"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3"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9"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声环境</w:t>
            </w:r>
          </w:p>
        </w:tc>
        <w:tc>
          <w:tcPr>
            <w:tcW w:w="2199"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①施工前，对所使用机械设备进行了保养，施工过程中有专人维护。加强施工管理，合理安排施工作业时间。</w:t>
            </w:r>
          </w:p>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②降低施工设备噪声；采用安装排气筒消音器和隔离发动机振动部件的方法降低噪声；对动力机械、设备加强定期检修、养护。</w:t>
            </w:r>
          </w:p>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③降低人为噪声；合理安排施工人员轮流操作噪声较高的施工机械，减少工人接触高噪音的时间，同时注意保养施工机械，使其维持其最低声级水平。控制汽车鸣笛。</w:t>
            </w:r>
          </w:p>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④施工运输车辆在通过村庄时，应减缓车速，并禁止鸣笛。</w:t>
            </w:r>
          </w:p>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⑤施工单位应加强宣传，充分做好与当地居民的沟通工作，尽量减少对敏感点居民的影响。</w:t>
            </w:r>
          </w:p>
        </w:tc>
        <w:tc>
          <w:tcPr>
            <w:tcW w:w="893"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《建筑施工场界环境噪声排放标准》 （GB12523-2011）</w:t>
            </w:r>
          </w:p>
        </w:tc>
        <w:tc>
          <w:tcPr>
            <w:tcW w:w="764"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kern w:val="16"/>
                <w:sz w:val="21"/>
                <w:szCs w:val="21"/>
                <w:highlight w:val="none"/>
                <w:lang w:val="en-US" w:eastAsia="zh-CN" w:bidi="ar-SA"/>
              </w:rPr>
            </w:pPr>
            <w:r>
              <w:rPr>
                <w:rFonts w:hint="eastAsia" w:cs="Times New Roman"/>
                <w:color w:val="auto"/>
                <w:kern w:val="16"/>
                <w:sz w:val="21"/>
                <w:szCs w:val="21"/>
                <w:highlight w:val="none"/>
                <w:lang w:val="en-US" w:eastAsia="zh-CN" w:bidi="ar-SA"/>
              </w:rPr>
              <w:t>风机及变压器运行产生噪声，采用低噪声设备，维护设备使其处于良好的运行状态。</w:t>
            </w:r>
          </w:p>
        </w:tc>
        <w:tc>
          <w:tcPr>
            <w:tcW w:w="583"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《工业企业厂界环境噪声排放标准》（GB12348-2008） 中的</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类标准要求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9"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振动</w:t>
            </w:r>
          </w:p>
        </w:tc>
        <w:tc>
          <w:tcPr>
            <w:tcW w:w="2199"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893"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64"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3"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59"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大气环境</w:t>
            </w:r>
          </w:p>
        </w:tc>
        <w:tc>
          <w:tcPr>
            <w:tcW w:w="2199"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①根据施工过程的实际情况，施工现场设围栏，以减少施工扬尘扩散范围。</w:t>
            </w:r>
          </w:p>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②避免在大风日以及夏季暴雨时节施工，减少地表裸露的时间，遇有大风天气时，避免进行挖掘、回填等大土方量作业或采取洒水抑尘措施。</w:t>
            </w:r>
          </w:p>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③施工单位必须加强施工区的规划管理；</w:t>
            </w:r>
            <w:r>
              <w:rPr>
                <w:rFonts w:hint="default" w:ascii="Times New Roman" w:hAnsi="Times New Roman" w:eastAsia="宋体" w:cs="Times New Roman"/>
                <w:color w:val="auto"/>
                <w:sz w:val="21"/>
                <w:szCs w:val="21"/>
                <w:highlight w:val="none"/>
                <w:lang w:eastAsia="zh-CN"/>
              </w:rPr>
              <w:t>每个施工区配备洒水车，</w:t>
            </w:r>
            <w:r>
              <w:rPr>
                <w:rFonts w:hint="default" w:ascii="Times New Roman" w:hAnsi="Times New Roman" w:eastAsia="宋体" w:cs="Times New Roman"/>
                <w:color w:val="auto"/>
                <w:sz w:val="21"/>
                <w:szCs w:val="21"/>
                <w:highlight w:val="none"/>
                <w:lang w:val="en-US" w:eastAsia="zh-CN"/>
              </w:rPr>
              <w:t>建筑材料的堆放应定点定位，并采取防尘、抑尘措施。</w:t>
            </w:r>
          </w:p>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④用汽车运输易起尘的物料时，要加盖</w:t>
            </w:r>
            <w:r>
              <w:rPr>
                <w:rFonts w:hint="eastAsia" w:cs="Times New Roman"/>
                <w:color w:val="auto"/>
                <w:sz w:val="21"/>
                <w:szCs w:val="21"/>
                <w:highlight w:val="none"/>
                <w:lang w:val="en-US" w:eastAsia="zh-CN"/>
              </w:rPr>
              <w:t>篷</w:t>
            </w:r>
            <w:bookmarkStart w:id="12" w:name="_GoBack"/>
            <w:bookmarkEnd w:id="12"/>
            <w:r>
              <w:rPr>
                <w:rFonts w:hint="default" w:ascii="Times New Roman" w:hAnsi="Times New Roman" w:eastAsia="宋体" w:cs="Times New Roman"/>
                <w:color w:val="auto"/>
                <w:sz w:val="21"/>
                <w:szCs w:val="21"/>
                <w:highlight w:val="none"/>
                <w:lang w:val="en-US" w:eastAsia="zh-CN"/>
              </w:rPr>
              <w:t>布、控制车速，防止物料洒落和产生扬尘；卸车时应尽量减少落差，减少扬尘；运输车辆进出的主干道应定期洒水清扫，保持车辆出入口路面清洁、润湿，并尽量要求运输车辆放慢行车速度，以减少地面扬尘污染。</w:t>
            </w:r>
          </w:p>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eastAsia="zh-CN"/>
              </w:rPr>
              <w:t>各施工区应设置洗车平台，完善排水设施，防止泥土粘带。施工期间，应在物料、渣土运输车辆的出口内侧设置洗车平台，车辆驶离工地前，应在洗车平台清洗轮胎及车身，不得带泥上路。</w:t>
            </w:r>
          </w:p>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⑥加强对施工机械、车辆的维修保养，禁止以柴油为燃料的施工机械超负荷工作，减少烟尘和颗粒物的排放。</w:t>
            </w:r>
          </w:p>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eastAsia="zh-CN"/>
              </w:rPr>
              <w:t>易产生扬尘的土料堆积过程中，堆积边坡的角度不宜过大，散装水泥应尽可能避免露天堆放，及时苫盖并设置围挡。</w:t>
            </w:r>
          </w:p>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⑧汽车进入施工区内应限速行驶；恶劣天气时，应停止作业；弃土过程，应严格按照摊铺、碾压程序施</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工，严禁未经碾压直接摊铺新土层；定期对施工便道进行洒水降尘；剥离的表土应采取苫盖等防起尘措施。</w:t>
            </w:r>
          </w:p>
        </w:tc>
        <w:tc>
          <w:tcPr>
            <w:tcW w:w="893"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《大气污染物综合排放标准》（GB 16297-1996）</w:t>
            </w:r>
          </w:p>
        </w:tc>
        <w:tc>
          <w:tcPr>
            <w:tcW w:w="764"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3"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59"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固体废物</w:t>
            </w:r>
          </w:p>
        </w:tc>
        <w:tc>
          <w:tcPr>
            <w:tcW w:w="2199"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施工过程中产生的挖方，部分用于基础填筑，剩余土方全部用于场地平整，无弃方</w:t>
            </w:r>
            <w:r>
              <w:rPr>
                <w:rFonts w:hint="default" w:ascii="Times New Roman" w:hAnsi="Times New Roman" w:eastAsia="宋体" w:cs="Times New Roman"/>
                <w:color w:val="auto"/>
                <w:sz w:val="21"/>
                <w:szCs w:val="21"/>
                <w:highlight w:val="none"/>
                <w:lang w:val="en-US" w:eastAsia="zh-CN"/>
              </w:rPr>
              <w:t>；施工期固体</w:t>
            </w:r>
            <w:r>
              <w:rPr>
                <w:rFonts w:hint="eastAsia" w:cs="Times New Roman"/>
                <w:color w:val="auto"/>
                <w:sz w:val="21"/>
                <w:szCs w:val="21"/>
                <w:highlight w:val="none"/>
                <w:lang w:val="en-US" w:eastAsia="zh-CN"/>
              </w:rPr>
              <w:t>废</w:t>
            </w:r>
            <w:r>
              <w:rPr>
                <w:rFonts w:hint="default" w:ascii="Times New Roman" w:hAnsi="Times New Roman" w:eastAsia="宋体" w:cs="Times New Roman"/>
                <w:color w:val="auto"/>
                <w:sz w:val="21"/>
                <w:szCs w:val="21"/>
                <w:highlight w:val="none"/>
                <w:lang w:val="en-US" w:eastAsia="zh-CN"/>
              </w:rPr>
              <w:t>弃物主要是生活垃圾、建筑垃圾。生活垃圾收集后定期送至市政部门规定地点拉运处置；建筑垃圾回用于场内检修道路的修筑，不能回用的，送指定的垃圾填埋场处置。</w:t>
            </w:r>
          </w:p>
        </w:tc>
        <w:tc>
          <w:tcPr>
            <w:tcW w:w="893"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施工期结束后不得在施工现场遗留建筑垃圾、生活垃圾。</w:t>
            </w:r>
          </w:p>
        </w:tc>
        <w:tc>
          <w:tcPr>
            <w:tcW w:w="764"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运行期设备检修产生的废润滑油</w:t>
            </w:r>
            <w:r>
              <w:rPr>
                <w:rFonts w:hint="eastAsia" w:cs="Times New Roman"/>
                <w:color w:val="auto"/>
                <w:highlight w:val="none"/>
                <w:lang w:val="en-US" w:eastAsia="zh-CN"/>
              </w:rPr>
              <w:t>集中</w:t>
            </w:r>
            <w:r>
              <w:rPr>
                <w:rFonts w:hint="default" w:ascii="Times New Roman" w:hAnsi="Times New Roman" w:cs="Times New Roman"/>
                <w:color w:val="auto"/>
                <w:highlight w:val="none"/>
                <w:lang w:val="en-US" w:eastAsia="zh-CN"/>
              </w:rPr>
              <w:t>收集后</w:t>
            </w:r>
            <w:r>
              <w:rPr>
                <w:rFonts w:hint="eastAsia"/>
                <w:color w:val="auto"/>
                <w:highlight w:val="none"/>
                <w:lang w:eastAsia="zh-CN"/>
              </w:rPr>
              <w:t>送至</w:t>
            </w:r>
            <w:r>
              <w:rPr>
                <w:rFonts w:hint="eastAsia" w:ascii="Times New Roman" w:hAnsi="Times New Roman" w:cs="Times New Roman"/>
                <w:color w:val="auto"/>
                <w:highlight w:val="none"/>
                <w:lang w:val="en-US" w:eastAsia="zh-CN"/>
              </w:rPr>
              <w:t>依托的“国家电投集团中卫香山风电场1-3期“以大代小”150MW增容项目”危废贮存点（本项目依托）暂存后，</w:t>
            </w:r>
            <w:r>
              <w:rPr>
                <w:rFonts w:hint="default" w:ascii="Times New Roman" w:hAnsi="Times New Roman" w:eastAsia="宋体" w:cs="Times New Roman"/>
                <w:color w:val="auto"/>
                <w:sz w:val="21"/>
                <w:szCs w:val="21"/>
                <w:highlight w:val="none"/>
                <w:lang w:val="en-US" w:eastAsia="zh-CN"/>
              </w:rPr>
              <w:t>交由有资质单位处置</w:t>
            </w:r>
            <w:r>
              <w:rPr>
                <w:rFonts w:hint="eastAsia" w:cs="Times New Roman"/>
                <w:color w:val="auto"/>
                <w:sz w:val="21"/>
                <w:szCs w:val="21"/>
                <w:highlight w:val="none"/>
                <w:lang w:val="en-US" w:eastAsia="zh-CN"/>
              </w:rPr>
              <w:t>。</w:t>
            </w:r>
          </w:p>
        </w:tc>
        <w:tc>
          <w:tcPr>
            <w:tcW w:w="583"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559"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电磁环境</w:t>
            </w:r>
          </w:p>
        </w:tc>
        <w:tc>
          <w:tcPr>
            <w:tcW w:w="2199"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893"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64"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3"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559"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环境风险</w:t>
            </w:r>
          </w:p>
        </w:tc>
        <w:tc>
          <w:tcPr>
            <w:tcW w:w="2199"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893"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64"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3" w:type="pct"/>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59"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环境监测</w:t>
            </w:r>
          </w:p>
        </w:tc>
        <w:tc>
          <w:tcPr>
            <w:tcW w:w="2199"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893" w:type="pct"/>
            <w:vAlign w:val="center"/>
          </w:tcPr>
          <w:p>
            <w:pPr>
              <w:pStyle w:val="44"/>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64" w:type="pct"/>
            <w:vAlign w:val="center"/>
          </w:tcPr>
          <w:p>
            <w:pPr>
              <w:adjustRightInd w:val="0"/>
              <w:snapToGrid w:val="0"/>
              <w:jc w:val="center"/>
              <w:rPr>
                <w:rFonts w:hint="default" w:ascii="Times New Roman" w:hAnsi="Times New Roman" w:eastAsia="宋体" w:cs="Times New Roman"/>
                <w:color w:val="auto"/>
                <w:kern w:val="16"/>
                <w:sz w:val="21"/>
                <w:szCs w:val="21"/>
                <w:highlight w:val="none"/>
                <w:lang w:val="en-US" w:eastAsia="zh-CN" w:bidi="ar-SA"/>
              </w:rPr>
            </w:pPr>
            <w:r>
              <w:rPr>
                <w:rFonts w:hint="eastAsia" w:ascii="Times New Roman" w:hAnsi="Times New Roman" w:cs="Times New Roman"/>
                <w:b w:val="0"/>
                <w:bCs w:val="0"/>
                <w:color w:val="auto"/>
                <w:sz w:val="21"/>
                <w:szCs w:val="21"/>
                <w:highlight w:val="none"/>
                <w:lang w:eastAsia="zh-CN"/>
              </w:rPr>
              <w:t>前三年每年一次，待植被恢复至项目实施前水平，可不再调查</w:t>
            </w:r>
            <w:r>
              <w:rPr>
                <w:rFonts w:hint="eastAsia" w:cs="Times New Roman"/>
                <w:b w:val="0"/>
                <w:bCs w:val="0"/>
                <w:color w:val="auto"/>
                <w:sz w:val="21"/>
                <w:szCs w:val="21"/>
                <w:highlight w:val="none"/>
                <w:lang w:eastAsia="zh-CN"/>
              </w:rPr>
              <w:t>。</w:t>
            </w:r>
          </w:p>
        </w:tc>
        <w:tc>
          <w:tcPr>
            <w:tcW w:w="583" w:type="pct"/>
            <w:vAlign w:val="center"/>
          </w:tcPr>
          <w:p>
            <w:pPr>
              <w:adjustRightInd w:val="0"/>
              <w:snapToGrid w:val="0"/>
              <w:jc w:val="center"/>
              <w:rPr>
                <w:rFonts w:hint="default" w:ascii="Times New Roman" w:hAnsi="Times New Roman" w:eastAsia="宋体" w:cs="Times New Roman"/>
                <w:color w:val="auto"/>
                <w:kern w:val="16"/>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定期对生态环境进行监测，确保生态恢复措施达到预期效果</w:t>
            </w:r>
            <w:r>
              <w:rPr>
                <w:rFonts w:hint="eastAsia" w:cs="Times New Roman"/>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559" w:type="pct"/>
            <w:vAlign w:val="center"/>
          </w:tcPr>
          <w:p>
            <w:pPr>
              <w:pStyle w:val="50"/>
              <w:keepNext w:val="0"/>
              <w:keepLines w:val="0"/>
              <w:pageBreakBefore w:val="0"/>
              <w:widowControl w:val="0"/>
              <w:kinsoku/>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其他</w:t>
            </w:r>
          </w:p>
        </w:tc>
        <w:tc>
          <w:tcPr>
            <w:tcW w:w="2199" w:type="pct"/>
            <w:vAlign w:val="center"/>
          </w:tcPr>
          <w:p>
            <w:pPr>
              <w:pStyle w:val="44"/>
              <w:bidi w:val="0"/>
              <w:ind w:left="0" w:leftChars="0" w:firstLine="0" w:firstLineChars="0"/>
              <w:jc w:val="center"/>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893" w:type="pct"/>
            <w:vAlign w:val="center"/>
          </w:tcPr>
          <w:p>
            <w:pPr>
              <w:pStyle w:val="44"/>
              <w:bidi w:val="0"/>
              <w:ind w:left="0" w:leftChars="0" w:firstLine="0" w:firstLineChars="0"/>
              <w:jc w:val="center"/>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64" w:type="pct"/>
            <w:vAlign w:val="center"/>
          </w:tcPr>
          <w:p>
            <w:pPr>
              <w:pStyle w:val="44"/>
              <w:bidi w:val="0"/>
              <w:ind w:left="0" w:leftChars="0" w:firstLine="0" w:firstLineChars="0"/>
              <w:jc w:val="center"/>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3" w:type="pct"/>
            <w:vAlign w:val="center"/>
          </w:tcPr>
          <w:p>
            <w:pPr>
              <w:pStyle w:val="44"/>
              <w:bidi w:val="0"/>
              <w:ind w:left="0" w:leftChars="0" w:firstLine="0" w:firstLineChars="0"/>
              <w:jc w:val="center"/>
              <w:rPr>
                <w:rFonts w:hint="default" w:ascii="Times New Roman" w:hAnsi="Times New Roman" w:eastAsia="宋体" w:cs="Times New Roman"/>
                <w:color w:val="auto"/>
                <w:kern w:val="16"/>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bl>
    <w:p>
      <w:pPr>
        <w:rPr>
          <w:rFonts w:hint="default" w:ascii="Times New Roman" w:hAnsi="Times New Roman" w:eastAsia="黑体" w:cs="Times New Roman"/>
          <w:b/>
          <w:color w:val="auto"/>
          <w:sz w:val="28"/>
          <w:highlight w:val="none"/>
        </w:rPr>
        <w:sectPr>
          <w:pgSz w:w="16838" w:h="11905" w:orient="landscape"/>
          <w:pgMar w:top="1440" w:right="1803" w:bottom="1440" w:left="1803" w:header="1247" w:footer="1247" w:gutter="0"/>
          <w:pgBorders>
            <w:top w:val="none" w:sz="0" w:space="0"/>
            <w:left w:val="none" w:sz="0" w:space="0"/>
            <w:bottom w:val="none" w:sz="0" w:space="0"/>
            <w:right w:val="none" w:sz="0" w:space="0"/>
          </w:pgBorders>
          <w:pgNumType w:fmt="decimal"/>
          <w:cols w:space="0" w:num="1"/>
          <w:rtlGutter w:val="0"/>
          <w:docGrid w:linePitch="312" w:charSpace="0"/>
        </w:sectPr>
      </w:pPr>
    </w:p>
    <w:p>
      <w:pPr>
        <w:pStyle w:val="2"/>
        <w:rPr>
          <w:rFonts w:hint="default" w:ascii="Times New Roman" w:hAnsi="Times New Roman" w:cs="Times New Roman"/>
          <w:color w:val="auto"/>
          <w:highlight w:val="none"/>
        </w:rPr>
      </w:pPr>
      <w:bookmarkStart w:id="11" w:name="_Toc513537176"/>
      <w:r>
        <w:rPr>
          <w:rFonts w:hint="default" w:ascii="Times New Roman" w:hAnsi="Times New Roman" w:cs="Times New Roman"/>
          <w:color w:val="auto"/>
          <w:highlight w:val="none"/>
          <w:lang w:eastAsia="zh-CN"/>
        </w:rPr>
        <w:t>七、结论</w:t>
      </w:r>
      <w:bookmarkEnd w:id="11"/>
    </w:p>
    <w:tbl>
      <w:tblPr>
        <w:tblStyle w:val="29"/>
        <w:tblW w:w="9354"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354"/>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471" w:hRule="atLeast"/>
          <w:jc w:val="center"/>
        </w:trPr>
        <w:tc>
          <w:tcPr>
            <w:tcW w:w="9287" w:type="dxa"/>
            <w:tcBorders>
              <w:tl2br w:val="nil"/>
              <w:tr2bl w:val="nil"/>
            </w:tcBorders>
            <w:vAlign w:val="top"/>
          </w:tcPr>
          <w:p>
            <w:pPr>
              <w:pStyle w:val="50"/>
              <w:keepNext w:val="0"/>
              <w:keepLines w:val="0"/>
              <w:pageBreakBefore w:val="0"/>
              <w:widowControl w:val="0"/>
              <w:kinsoku/>
              <w:wordWrap/>
              <w:overflowPunct w:val="0"/>
              <w:topLinePunct w:val="0"/>
              <w:autoSpaceDE/>
              <w:autoSpaceDN/>
              <w:bidi w:val="0"/>
              <w:adjustRightInd w:val="0"/>
              <w:snapToGrid w:val="0"/>
              <w:spacing w:before="171" w:beforeLines="5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从环境保护角度分析，本</w:t>
            </w:r>
            <w:r>
              <w:rPr>
                <w:rFonts w:hint="eastAsia" w:cs="Times New Roman"/>
                <w:color w:val="auto"/>
                <w:highlight w:val="none"/>
                <w:lang w:val="en-US" w:eastAsia="zh-CN"/>
              </w:rPr>
              <w:t>项目</w:t>
            </w:r>
            <w:r>
              <w:rPr>
                <w:rFonts w:hint="default" w:ascii="Times New Roman" w:hAnsi="Times New Roman" w:cs="Times New Roman"/>
                <w:color w:val="auto"/>
                <w:highlight w:val="none"/>
                <w:lang w:val="en-US" w:eastAsia="zh-CN"/>
              </w:rPr>
              <w:t>建设</w:t>
            </w:r>
            <w:r>
              <w:rPr>
                <w:rFonts w:hint="eastAsia" w:cs="Times New Roman"/>
                <w:color w:val="auto"/>
                <w:highlight w:val="none"/>
                <w:lang w:val="en-US" w:eastAsia="zh-CN"/>
              </w:rPr>
              <w:t>环境影响</w:t>
            </w:r>
            <w:r>
              <w:rPr>
                <w:rFonts w:hint="default" w:ascii="Times New Roman" w:hAnsi="Times New Roman" w:cs="Times New Roman"/>
                <w:color w:val="auto"/>
                <w:highlight w:val="none"/>
                <w:lang w:val="en-US" w:eastAsia="zh-CN"/>
              </w:rPr>
              <w:t>可行。</w:t>
            </w:r>
          </w:p>
          <w:p>
            <w:pPr>
              <w:pStyle w:val="50"/>
              <w:bidi w:val="0"/>
              <w:rPr>
                <w:rFonts w:hint="default" w:ascii="Times New Roman" w:hAnsi="Times New Roman" w:cs="Times New Roman"/>
                <w:color w:val="auto"/>
                <w:highlight w:val="none"/>
                <w:lang w:val="en-US" w:eastAsia="zh-CN"/>
              </w:rPr>
            </w:pPr>
          </w:p>
          <w:p>
            <w:pPr>
              <w:pStyle w:val="50"/>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 xml:space="preserve">  </w:t>
            </w: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49"/>
              <w:bidi w:val="0"/>
              <w:rPr>
                <w:rFonts w:hint="default" w:ascii="Times New Roman" w:hAnsi="Times New Roman" w:cs="Times New Roman"/>
                <w:color w:val="auto"/>
                <w:highlight w:val="none"/>
                <w:lang w:val="en-US" w:eastAsia="zh-CN"/>
              </w:rPr>
            </w:pPr>
          </w:p>
          <w:p>
            <w:pPr>
              <w:pStyle w:val="20"/>
              <w:rPr>
                <w:rFonts w:hint="default" w:ascii="Times New Roman" w:hAnsi="Times New Roman" w:cs="Times New Roman"/>
                <w:color w:val="auto"/>
                <w:highlight w:val="none"/>
              </w:rPr>
            </w:pPr>
          </w:p>
        </w:tc>
      </w:tr>
    </w:tbl>
    <w:p>
      <w:pPr>
        <w:pStyle w:val="36"/>
        <w:ind w:left="0" w:leftChars="0" w:firstLine="0" w:firstLineChars="0"/>
        <w:rPr>
          <w:rFonts w:hint="default" w:ascii="Times New Roman" w:hAnsi="Times New Roman" w:cs="Times New Roman"/>
          <w:color w:val="auto"/>
          <w:highlight w:val="none"/>
          <w:lang w:val="en-US" w:eastAsia="zh-CN"/>
        </w:rPr>
      </w:pPr>
    </w:p>
    <w:sectPr>
      <w:headerReference r:id="rId12" w:type="default"/>
      <w:footerReference r:id="rId13" w:type="default"/>
      <w:pgSz w:w="11905" w:h="16838"/>
      <w:pgMar w:top="1803" w:right="1440" w:bottom="1803" w:left="1440" w:header="1247" w:footer="1247" w:gutter="0"/>
      <w:pgBorders>
        <w:top w:val="none" w:sz="0" w:space="0"/>
        <w:left w:val="none" w:sz="0" w:space="0"/>
        <w:bottom w:val="none" w:sz="0" w:space="0"/>
        <w:right w:val="none" w:sz="0" w:space="0"/>
      </w:pgBorders>
      <w:pgNumType w:fmt="decimal"/>
      <w:cols w:space="0" w:num="1"/>
      <w:rtlGutter w:val="0"/>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0"/>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_GB2312">
    <w:altName w:val="楷体"/>
    <w:panose1 w:val="02010609030101010101"/>
    <w:charset w:val="86"/>
    <w:family w:val="modern"/>
    <w:pitch w:val="default"/>
    <w:sig w:usb0="00000000" w:usb1="00000000" w:usb2="00000000" w:usb3="00000000" w:csb0="00040000" w:csb1="00000000"/>
  </w:font>
  <w:font w:name="新宋体-18030">
    <w:altName w:val="方正书宋_GBK"/>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Tms Rmn">
    <w:altName w:val="FreeSerif"/>
    <w:panose1 w:val="02020603040505020304"/>
    <w:charset w:val="00"/>
    <w:family w:val="roman"/>
    <w:pitch w:val="default"/>
    <w:sig w:usb0="00000000" w:usb1="00000000" w:usb2="00000000" w:usb3="00000000" w:csb0="00000001" w:csb1="00000000"/>
  </w:font>
  <w:font w:name="微软雅黑">
    <w:altName w:val="黑体"/>
    <w:panose1 w:val="020B0503020204020204"/>
    <w:charset w:val="86"/>
    <w:family w:val="swiss"/>
    <w:pitch w:val="default"/>
    <w:sig w:usb0="00000000" w:usb1="00000000" w:usb2="00000016" w:usb3="00000000" w:csb0="0004001F" w:csb1="00000000"/>
  </w:font>
  <w:font w:name="仿宋">
    <w:panose1 w:val="02010609060101010101"/>
    <w:charset w:val="86"/>
    <w:family w:val="modern"/>
    <w:pitch w:val="default"/>
    <w:sig w:usb0="800002BF" w:usb1="38CF7CFA" w:usb2="00000016" w:usb3="00000000" w:csb0="00040001" w:csb1="00000000"/>
  </w:font>
  <w:font w:name="Arial Unicode MS">
    <w:altName w:val="Nimbus Roman No9 L"/>
    <w:panose1 w:val="020B0604020202020204"/>
    <w:charset w:val="86"/>
    <w:family w:val="auto"/>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 w:name="方正仿宋_GB2312">
    <w:altName w:val="方正仿宋_GBK"/>
    <w:panose1 w:val="02000000000000000000"/>
    <w:charset w:val="86"/>
    <w:family w:val="auto"/>
    <w:pitch w:val="default"/>
    <w:sig w:usb0="00000000" w:usb1="00000000" w:usb2="00000012" w:usb3="00000000" w:csb0="00040001" w:csb1="00000000"/>
  </w:font>
  <w:font w:name="新宋体">
    <w:altName w:val="方正书宋_GBK"/>
    <w:panose1 w:val="02010609030101010101"/>
    <w:charset w:val="86"/>
    <w:family w:val="auto"/>
    <w:pitch w:val="default"/>
    <w:sig w:usb0="00000000" w:usb1="00000000" w:usb2="0000000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2"/>
      </w:rPr>
    </w:pPr>
    <w:r>
      <w:fldChar w:fldCharType="begin"/>
    </w:r>
    <w:r>
      <w:rPr>
        <w:rStyle w:val="32"/>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pRBKGwIAACsEAAAOAAAAZHJz&#10;L2Uyb0RvYy54bWytU8uO0zAU3SPxD5b3NGkRo1I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zpRBKGwIAACsEAAAOAAAAAAAAAAEAIAAAADUBAABkcnMvZTJvRG9jLnhtbFBLBQYA&#10;AAAABgAGAFkBAADCBQAAAAA=&#10;">
              <v:fill on="f" focussize="0,0"/>
              <v:stroke on="f" weight="0.5pt"/>
              <v:imagedata o:title=""/>
              <o:lock v:ext="edit" aspectratio="f"/>
              <v:textbox inset="0mm,0mm,0mm,0mm" style="mso-fit-shape-to-text:t;">
                <w:txbxContent>
                  <w:p>
                    <w:pPr>
                      <w:pStyle w:val="2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auto" w:sz="4" w:space="1"/>
        <w:left w:val="none" w:color="auto" w:sz="0" w:space="4"/>
        <w:bottom w:val="none" w:color="auto" w:sz="0" w:space="1"/>
        <w:right w:val="none" w:color="auto" w:sz="0" w:space="4"/>
      </w:pBdr>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A/AhHQIAACs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8D8CEdAgAAKwQAAA4AAAAAAAAAAQAgAAAANQEAAGRycy9lMm9Eb2MueG1sUEsF&#10;BgAAAAAGAAYAWQEAAMQ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r>
      <w:rPr>
        <w:rFonts w:hint="eastAsia"/>
        <w:lang w:val="en-US" w:eastAsia="zh-CN"/>
      </w:rPr>
      <w:t xml:space="preserve">                                   </w:t>
    </w:r>
    <w:r>
      <w:rPr>
        <w:rStyle w:val="32"/>
        <w:rFonts w:hint="eastAsia"/>
        <w:b/>
        <w:i/>
      </w:rPr>
      <w:t xml:space="preserve">众旺达（宁夏）技术咨询有限公司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 </w:t>
                          </w:r>
                          <w:r>
                            <w:fldChar w:fldCharType="begin"/>
                          </w:r>
                          <w:r>
                            <w:instrText xml:space="preserve"> PAGE  \* MERGEFORMAT </w:instrText>
                          </w:r>
                          <w:r>
                            <w:fldChar w:fldCharType="separate"/>
                          </w:r>
                          <w:r>
                            <w:t>41</w:t>
                          </w:r>
                          <w:r>
                            <w:fldChar w:fldCharType="end"/>
                          </w:r>
                          <w: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BEOMHAIAACk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wRDjBwCAAApBAAADgAAAAAAAAABACAAAAA1AQAAZHJzL2Uyb0RvYy54bWxQSwUG&#10;AAAAAAYABgBZAQAAwwUAAAAA&#10;">
              <v:fill on="f" focussize="0,0"/>
              <v:stroke on="f" weight="0.5pt"/>
              <v:imagedata o:title=""/>
              <o:lock v:ext="edit" aspectratio="f"/>
              <v:textbox inset="0mm,0mm,0mm,0mm" style="mso-fit-shape-to-text:t;">
                <w:txbxContent>
                  <w:p>
                    <w:pPr>
                      <w:pStyle w:val="20"/>
                    </w:pPr>
                    <w:r>
                      <w:t xml:space="preserve">— </w:t>
                    </w:r>
                    <w:r>
                      <w:fldChar w:fldCharType="begin"/>
                    </w:r>
                    <w:r>
                      <w:instrText xml:space="preserve"> PAGE  \* MERGEFORMAT </w:instrText>
                    </w:r>
                    <w:r>
                      <w:fldChar w:fldCharType="separate"/>
                    </w:r>
                    <w:r>
                      <w:t>41</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 </w:t>
                          </w:r>
                          <w:r>
                            <w:fldChar w:fldCharType="begin"/>
                          </w:r>
                          <w:r>
                            <w:instrText xml:space="preserve"> PAGE  \* MERGEFORMAT </w:instrText>
                          </w:r>
                          <w:r>
                            <w:fldChar w:fldCharType="separate"/>
                          </w:r>
                          <w:r>
                            <w:t>80</w:t>
                          </w:r>
                          <w:r>
                            <w:fldChar w:fldCharType="end"/>
                          </w:r>
                          <w: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20"/>
                    </w:pPr>
                    <w:r>
                      <w:t xml:space="preserve">— </w:t>
                    </w:r>
                    <w:r>
                      <w:fldChar w:fldCharType="begin"/>
                    </w:r>
                    <w:r>
                      <w:instrText xml:space="preserve"> PAGE  \* MERGEFORMAT </w:instrText>
                    </w:r>
                    <w:r>
                      <w:fldChar w:fldCharType="separate"/>
                    </w:r>
                    <w:r>
                      <w:t>80</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E502C5"/>
    <w:multiLevelType w:val="singleLevel"/>
    <w:tmpl w:val="C2E502C5"/>
    <w:lvl w:ilvl="0" w:tentative="0">
      <w:start w:val="1"/>
      <w:numFmt w:val="bullet"/>
      <w:pStyle w:val="12"/>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false"/>
  <w:bordersDoNotSurroundFooter w:val="false"/>
  <w:documentProtection w:enforcement="0"/>
  <w:defaultTabStop w:val="420"/>
  <w:drawingGridHorizontalSpacing w:val="21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5MGFlNTdlZjkzNjdlYzUyMzQ3OTY0OTRlZmU5N2IifQ=="/>
  </w:docVars>
  <w:rsids>
    <w:rsidRoot w:val="00172A27"/>
    <w:rsid w:val="00005402"/>
    <w:rsid w:val="000A002F"/>
    <w:rsid w:val="000E5D71"/>
    <w:rsid w:val="0011157B"/>
    <w:rsid w:val="00114E2A"/>
    <w:rsid w:val="00155351"/>
    <w:rsid w:val="001A4DE8"/>
    <w:rsid w:val="001D4FE5"/>
    <w:rsid w:val="00207D7F"/>
    <w:rsid w:val="002235CA"/>
    <w:rsid w:val="002C1819"/>
    <w:rsid w:val="002C383C"/>
    <w:rsid w:val="002E1F6F"/>
    <w:rsid w:val="00330D26"/>
    <w:rsid w:val="00364667"/>
    <w:rsid w:val="00382DEE"/>
    <w:rsid w:val="003C7C35"/>
    <w:rsid w:val="003E6974"/>
    <w:rsid w:val="00441793"/>
    <w:rsid w:val="00443541"/>
    <w:rsid w:val="004B2C7B"/>
    <w:rsid w:val="004E43BF"/>
    <w:rsid w:val="0050638A"/>
    <w:rsid w:val="005A7801"/>
    <w:rsid w:val="006154D3"/>
    <w:rsid w:val="00661709"/>
    <w:rsid w:val="0069744B"/>
    <w:rsid w:val="006A2456"/>
    <w:rsid w:val="006E4A62"/>
    <w:rsid w:val="00761D56"/>
    <w:rsid w:val="00795A2D"/>
    <w:rsid w:val="007B5E5A"/>
    <w:rsid w:val="007E4CA5"/>
    <w:rsid w:val="00813BDB"/>
    <w:rsid w:val="0090270C"/>
    <w:rsid w:val="00920750"/>
    <w:rsid w:val="0094210E"/>
    <w:rsid w:val="00A10993"/>
    <w:rsid w:val="00A31832"/>
    <w:rsid w:val="00A42231"/>
    <w:rsid w:val="00A526BB"/>
    <w:rsid w:val="00B0507A"/>
    <w:rsid w:val="00B16BA8"/>
    <w:rsid w:val="00B9263C"/>
    <w:rsid w:val="00BA08B9"/>
    <w:rsid w:val="00BA7CA7"/>
    <w:rsid w:val="00BE1545"/>
    <w:rsid w:val="00C528D4"/>
    <w:rsid w:val="00C603FA"/>
    <w:rsid w:val="00D01C9D"/>
    <w:rsid w:val="00D323A0"/>
    <w:rsid w:val="00DD5592"/>
    <w:rsid w:val="00DE4B50"/>
    <w:rsid w:val="00EC0286"/>
    <w:rsid w:val="00EF2344"/>
    <w:rsid w:val="00F1191B"/>
    <w:rsid w:val="00F211EF"/>
    <w:rsid w:val="00F61C24"/>
    <w:rsid w:val="00F932C9"/>
    <w:rsid w:val="00FC0D5E"/>
    <w:rsid w:val="01057174"/>
    <w:rsid w:val="010A6538"/>
    <w:rsid w:val="011253ED"/>
    <w:rsid w:val="01132720"/>
    <w:rsid w:val="011534AB"/>
    <w:rsid w:val="0118309B"/>
    <w:rsid w:val="01283BE8"/>
    <w:rsid w:val="01287748"/>
    <w:rsid w:val="012B04C8"/>
    <w:rsid w:val="012B626D"/>
    <w:rsid w:val="01316C40"/>
    <w:rsid w:val="01341DE3"/>
    <w:rsid w:val="01396E1E"/>
    <w:rsid w:val="013A1A54"/>
    <w:rsid w:val="01407DFE"/>
    <w:rsid w:val="01415CD2"/>
    <w:rsid w:val="014514A3"/>
    <w:rsid w:val="01536744"/>
    <w:rsid w:val="01542D3D"/>
    <w:rsid w:val="01547517"/>
    <w:rsid w:val="015B6D94"/>
    <w:rsid w:val="015F75A6"/>
    <w:rsid w:val="01623198"/>
    <w:rsid w:val="01675739"/>
    <w:rsid w:val="0168325F"/>
    <w:rsid w:val="016C71F3"/>
    <w:rsid w:val="0170579C"/>
    <w:rsid w:val="017240DE"/>
    <w:rsid w:val="017B2F92"/>
    <w:rsid w:val="017E5331"/>
    <w:rsid w:val="017F5714"/>
    <w:rsid w:val="017F5A80"/>
    <w:rsid w:val="017F5C35"/>
    <w:rsid w:val="01825879"/>
    <w:rsid w:val="0187402D"/>
    <w:rsid w:val="01877B89"/>
    <w:rsid w:val="018A58CB"/>
    <w:rsid w:val="019404F8"/>
    <w:rsid w:val="019C2519"/>
    <w:rsid w:val="01A249C3"/>
    <w:rsid w:val="01A93FA3"/>
    <w:rsid w:val="01AA4475"/>
    <w:rsid w:val="01AA7D1B"/>
    <w:rsid w:val="01B1654F"/>
    <w:rsid w:val="01B6046E"/>
    <w:rsid w:val="01BA61B0"/>
    <w:rsid w:val="01C205FE"/>
    <w:rsid w:val="01C20BC1"/>
    <w:rsid w:val="01C25065"/>
    <w:rsid w:val="01C54B55"/>
    <w:rsid w:val="01C95043"/>
    <w:rsid w:val="01CA3F1A"/>
    <w:rsid w:val="01CE57B8"/>
    <w:rsid w:val="01D1354E"/>
    <w:rsid w:val="01D6466C"/>
    <w:rsid w:val="01DD5537"/>
    <w:rsid w:val="01DE4D61"/>
    <w:rsid w:val="01E16E78"/>
    <w:rsid w:val="01E21263"/>
    <w:rsid w:val="01E376AC"/>
    <w:rsid w:val="01E46073"/>
    <w:rsid w:val="01E51B2E"/>
    <w:rsid w:val="01E70628"/>
    <w:rsid w:val="01F01F8D"/>
    <w:rsid w:val="01F3521E"/>
    <w:rsid w:val="01F40E8A"/>
    <w:rsid w:val="01F64D0F"/>
    <w:rsid w:val="01FD42EF"/>
    <w:rsid w:val="020016E9"/>
    <w:rsid w:val="02005B8D"/>
    <w:rsid w:val="02013399"/>
    <w:rsid w:val="02013A6F"/>
    <w:rsid w:val="02021905"/>
    <w:rsid w:val="020C396B"/>
    <w:rsid w:val="020E71AE"/>
    <w:rsid w:val="02153FF2"/>
    <w:rsid w:val="02183119"/>
    <w:rsid w:val="021F7DC1"/>
    <w:rsid w:val="02223D56"/>
    <w:rsid w:val="022A6766"/>
    <w:rsid w:val="02310126"/>
    <w:rsid w:val="02355837"/>
    <w:rsid w:val="023A2E4D"/>
    <w:rsid w:val="023A582E"/>
    <w:rsid w:val="023C4E17"/>
    <w:rsid w:val="024261A6"/>
    <w:rsid w:val="02447828"/>
    <w:rsid w:val="02515359"/>
    <w:rsid w:val="02535CBD"/>
    <w:rsid w:val="0255244C"/>
    <w:rsid w:val="025722C7"/>
    <w:rsid w:val="02581365"/>
    <w:rsid w:val="025D08EA"/>
    <w:rsid w:val="02624152"/>
    <w:rsid w:val="026507F7"/>
    <w:rsid w:val="02661E94"/>
    <w:rsid w:val="02664D53"/>
    <w:rsid w:val="02761592"/>
    <w:rsid w:val="027619AC"/>
    <w:rsid w:val="027F2F56"/>
    <w:rsid w:val="02867E41"/>
    <w:rsid w:val="02906F11"/>
    <w:rsid w:val="029702A0"/>
    <w:rsid w:val="02974AD8"/>
    <w:rsid w:val="029A38EC"/>
    <w:rsid w:val="029B0DDF"/>
    <w:rsid w:val="02A53FFE"/>
    <w:rsid w:val="02AE622E"/>
    <w:rsid w:val="02BD239A"/>
    <w:rsid w:val="02C24BF1"/>
    <w:rsid w:val="02C32E43"/>
    <w:rsid w:val="02C447F9"/>
    <w:rsid w:val="02C646E1"/>
    <w:rsid w:val="02C92423"/>
    <w:rsid w:val="02CB619B"/>
    <w:rsid w:val="02CC7BBA"/>
    <w:rsid w:val="02CD5A6F"/>
    <w:rsid w:val="02D0730E"/>
    <w:rsid w:val="02D23086"/>
    <w:rsid w:val="02D87994"/>
    <w:rsid w:val="02DB5E00"/>
    <w:rsid w:val="02E1776D"/>
    <w:rsid w:val="02E23A9C"/>
    <w:rsid w:val="02E44052"/>
    <w:rsid w:val="02EA7AB7"/>
    <w:rsid w:val="02EB7901"/>
    <w:rsid w:val="02F72AEC"/>
    <w:rsid w:val="02F91D73"/>
    <w:rsid w:val="02F92D08"/>
    <w:rsid w:val="02F96864"/>
    <w:rsid w:val="0303235D"/>
    <w:rsid w:val="030A18D1"/>
    <w:rsid w:val="030A6CC4"/>
    <w:rsid w:val="030D40BE"/>
    <w:rsid w:val="03125B78"/>
    <w:rsid w:val="03204B4E"/>
    <w:rsid w:val="03241F4C"/>
    <w:rsid w:val="03262948"/>
    <w:rsid w:val="03324729"/>
    <w:rsid w:val="033479E0"/>
    <w:rsid w:val="033B547E"/>
    <w:rsid w:val="033C2BF5"/>
    <w:rsid w:val="033E4BBF"/>
    <w:rsid w:val="0341020B"/>
    <w:rsid w:val="03411FB9"/>
    <w:rsid w:val="034A37BA"/>
    <w:rsid w:val="034B11BF"/>
    <w:rsid w:val="034D4E02"/>
    <w:rsid w:val="034E5A78"/>
    <w:rsid w:val="03500E46"/>
    <w:rsid w:val="035E0DBD"/>
    <w:rsid w:val="035E2F5E"/>
    <w:rsid w:val="035F21B1"/>
    <w:rsid w:val="03681C3C"/>
    <w:rsid w:val="0368458E"/>
    <w:rsid w:val="036C66E1"/>
    <w:rsid w:val="036D2DAF"/>
    <w:rsid w:val="03726617"/>
    <w:rsid w:val="037979A5"/>
    <w:rsid w:val="037C672A"/>
    <w:rsid w:val="03821A33"/>
    <w:rsid w:val="038500F8"/>
    <w:rsid w:val="03864EFF"/>
    <w:rsid w:val="038D16A3"/>
    <w:rsid w:val="03906A9D"/>
    <w:rsid w:val="03912F41"/>
    <w:rsid w:val="03977E2B"/>
    <w:rsid w:val="03990047"/>
    <w:rsid w:val="03A8028B"/>
    <w:rsid w:val="03A85C19"/>
    <w:rsid w:val="03AF5994"/>
    <w:rsid w:val="03AF786B"/>
    <w:rsid w:val="03B409DD"/>
    <w:rsid w:val="03C86237"/>
    <w:rsid w:val="03CC06C2"/>
    <w:rsid w:val="03D814FB"/>
    <w:rsid w:val="03D8291E"/>
    <w:rsid w:val="03DF17D9"/>
    <w:rsid w:val="03DF6F89"/>
    <w:rsid w:val="03E5328D"/>
    <w:rsid w:val="03ED7188"/>
    <w:rsid w:val="03EF781B"/>
    <w:rsid w:val="03F014FB"/>
    <w:rsid w:val="03F44718"/>
    <w:rsid w:val="03F86B1C"/>
    <w:rsid w:val="040A2CF3"/>
    <w:rsid w:val="0414147C"/>
    <w:rsid w:val="041D6583"/>
    <w:rsid w:val="042B2878"/>
    <w:rsid w:val="042D7EDC"/>
    <w:rsid w:val="042E64B6"/>
    <w:rsid w:val="042F4508"/>
    <w:rsid w:val="043372F3"/>
    <w:rsid w:val="04441CDE"/>
    <w:rsid w:val="04455AD9"/>
    <w:rsid w:val="04473600"/>
    <w:rsid w:val="044C50BA"/>
    <w:rsid w:val="044E2BE0"/>
    <w:rsid w:val="04506958"/>
    <w:rsid w:val="04511EA2"/>
    <w:rsid w:val="04526EE6"/>
    <w:rsid w:val="045954B6"/>
    <w:rsid w:val="045D4EAD"/>
    <w:rsid w:val="045E2334"/>
    <w:rsid w:val="04620439"/>
    <w:rsid w:val="04667B06"/>
    <w:rsid w:val="046B64CF"/>
    <w:rsid w:val="047168CE"/>
    <w:rsid w:val="04733276"/>
    <w:rsid w:val="0473553C"/>
    <w:rsid w:val="047B3C8D"/>
    <w:rsid w:val="047C599F"/>
    <w:rsid w:val="047F2D99"/>
    <w:rsid w:val="04825AB3"/>
    <w:rsid w:val="04855289"/>
    <w:rsid w:val="048D195A"/>
    <w:rsid w:val="04904FA7"/>
    <w:rsid w:val="04983022"/>
    <w:rsid w:val="04983E5B"/>
    <w:rsid w:val="049D5915"/>
    <w:rsid w:val="04AB0032"/>
    <w:rsid w:val="04B05649"/>
    <w:rsid w:val="04B30C95"/>
    <w:rsid w:val="04B43E48"/>
    <w:rsid w:val="04B844FD"/>
    <w:rsid w:val="04B9495B"/>
    <w:rsid w:val="04BD6A50"/>
    <w:rsid w:val="04C335CE"/>
    <w:rsid w:val="04C80BE4"/>
    <w:rsid w:val="04CA3668"/>
    <w:rsid w:val="04CB5FDF"/>
    <w:rsid w:val="04CC1D57"/>
    <w:rsid w:val="04D550AF"/>
    <w:rsid w:val="04D8613B"/>
    <w:rsid w:val="04DA26C6"/>
    <w:rsid w:val="04DF5F2E"/>
    <w:rsid w:val="04E14AB9"/>
    <w:rsid w:val="04E15802"/>
    <w:rsid w:val="04E868C1"/>
    <w:rsid w:val="04EC4DC2"/>
    <w:rsid w:val="04F1535D"/>
    <w:rsid w:val="04F512AE"/>
    <w:rsid w:val="04F5472C"/>
    <w:rsid w:val="04F80B8D"/>
    <w:rsid w:val="04FC088E"/>
    <w:rsid w:val="05046312"/>
    <w:rsid w:val="05074D82"/>
    <w:rsid w:val="050B287F"/>
    <w:rsid w:val="050F6813"/>
    <w:rsid w:val="0511189C"/>
    <w:rsid w:val="05183DDF"/>
    <w:rsid w:val="051A035F"/>
    <w:rsid w:val="051F2984"/>
    <w:rsid w:val="05243941"/>
    <w:rsid w:val="052676B9"/>
    <w:rsid w:val="052A1BD0"/>
    <w:rsid w:val="052F2A11"/>
    <w:rsid w:val="053668F8"/>
    <w:rsid w:val="053830FA"/>
    <w:rsid w:val="053A4F12"/>
    <w:rsid w:val="053E4A03"/>
    <w:rsid w:val="0541414F"/>
    <w:rsid w:val="054D3ADB"/>
    <w:rsid w:val="0551404A"/>
    <w:rsid w:val="05541611"/>
    <w:rsid w:val="05544226"/>
    <w:rsid w:val="05571F68"/>
    <w:rsid w:val="055B06EB"/>
    <w:rsid w:val="055B42DF"/>
    <w:rsid w:val="05600D40"/>
    <w:rsid w:val="056A49EE"/>
    <w:rsid w:val="056A5EC4"/>
    <w:rsid w:val="056B51D5"/>
    <w:rsid w:val="05783516"/>
    <w:rsid w:val="05785D0C"/>
    <w:rsid w:val="05793C8D"/>
    <w:rsid w:val="05816F08"/>
    <w:rsid w:val="05854B8E"/>
    <w:rsid w:val="058B39C0"/>
    <w:rsid w:val="0595565C"/>
    <w:rsid w:val="05964C1A"/>
    <w:rsid w:val="05967AD2"/>
    <w:rsid w:val="05972365"/>
    <w:rsid w:val="05972BB7"/>
    <w:rsid w:val="05990487"/>
    <w:rsid w:val="059B00A7"/>
    <w:rsid w:val="05A23FE4"/>
    <w:rsid w:val="05A30D9B"/>
    <w:rsid w:val="05A32D8D"/>
    <w:rsid w:val="05A351AD"/>
    <w:rsid w:val="05A827C4"/>
    <w:rsid w:val="05AC4062"/>
    <w:rsid w:val="05AD556A"/>
    <w:rsid w:val="05AE73F2"/>
    <w:rsid w:val="05B63617"/>
    <w:rsid w:val="05B819DC"/>
    <w:rsid w:val="05BB1A2C"/>
    <w:rsid w:val="05BE6B16"/>
    <w:rsid w:val="05C0515E"/>
    <w:rsid w:val="05C221A2"/>
    <w:rsid w:val="05C80770"/>
    <w:rsid w:val="05CA273A"/>
    <w:rsid w:val="05D9297D"/>
    <w:rsid w:val="05DC421B"/>
    <w:rsid w:val="05E10B83"/>
    <w:rsid w:val="05E82BC0"/>
    <w:rsid w:val="05EA057C"/>
    <w:rsid w:val="05EA4B8A"/>
    <w:rsid w:val="05EB2F41"/>
    <w:rsid w:val="05EC445F"/>
    <w:rsid w:val="05ED287B"/>
    <w:rsid w:val="05F61781"/>
    <w:rsid w:val="05F6352F"/>
    <w:rsid w:val="05FC53C3"/>
    <w:rsid w:val="06063852"/>
    <w:rsid w:val="0609596A"/>
    <w:rsid w:val="060C045C"/>
    <w:rsid w:val="060C3E7B"/>
    <w:rsid w:val="061858B5"/>
    <w:rsid w:val="06316315"/>
    <w:rsid w:val="06344057"/>
    <w:rsid w:val="063663D5"/>
    <w:rsid w:val="063714DC"/>
    <w:rsid w:val="063A1DEA"/>
    <w:rsid w:val="064B2CB0"/>
    <w:rsid w:val="06510766"/>
    <w:rsid w:val="06523C1F"/>
    <w:rsid w:val="065B15E4"/>
    <w:rsid w:val="065B3392"/>
    <w:rsid w:val="0661309E"/>
    <w:rsid w:val="06615ED8"/>
    <w:rsid w:val="0662512B"/>
    <w:rsid w:val="066C559F"/>
    <w:rsid w:val="066F0F20"/>
    <w:rsid w:val="0677057C"/>
    <w:rsid w:val="067B3A34"/>
    <w:rsid w:val="0680104B"/>
    <w:rsid w:val="068428E9"/>
    <w:rsid w:val="06930D7E"/>
    <w:rsid w:val="0697456F"/>
    <w:rsid w:val="069B7C33"/>
    <w:rsid w:val="06A50AB1"/>
    <w:rsid w:val="06A72333"/>
    <w:rsid w:val="06AD2B52"/>
    <w:rsid w:val="06B2784E"/>
    <w:rsid w:val="06C07699"/>
    <w:rsid w:val="06C47189"/>
    <w:rsid w:val="06CD2C9A"/>
    <w:rsid w:val="06D41F76"/>
    <w:rsid w:val="06D67EFC"/>
    <w:rsid w:val="06D73361"/>
    <w:rsid w:val="06DD2008"/>
    <w:rsid w:val="06E24753"/>
    <w:rsid w:val="06E67100"/>
    <w:rsid w:val="06E94E42"/>
    <w:rsid w:val="06EA1B0A"/>
    <w:rsid w:val="06F130E3"/>
    <w:rsid w:val="06F37A6F"/>
    <w:rsid w:val="06F402A1"/>
    <w:rsid w:val="06F71DB7"/>
    <w:rsid w:val="06FC4B75"/>
    <w:rsid w:val="07017BB4"/>
    <w:rsid w:val="070A2FBC"/>
    <w:rsid w:val="070B4DB8"/>
    <w:rsid w:val="070F6035"/>
    <w:rsid w:val="07131EBF"/>
    <w:rsid w:val="071A4FFB"/>
    <w:rsid w:val="071D399E"/>
    <w:rsid w:val="07247C28"/>
    <w:rsid w:val="07283BBC"/>
    <w:rsid w:val="072E4015"/>
    <w:rsid w:val="07351E35"/>
    <w:rsid w:val="0736320D"/>
    <w:rsid w:val="07375BAD"/>
    <w:rsid w:val="07397B77"/>
    <w:rsid w:val="073A744C"/>
    <w:rsid w:val="07437267"/>
    <w:rsid w:val="07487DBA"/>
    <w:rsid w:val="07520C39"/>
    <w:rsid w:val="075475E5"/>
    <w:rsid w:val="07554285"/>
    <w:rsid w:val="075946FD"/>
    <w:rsid w:val="076369A2"/>
    <w:rsid w:val="076622AE"/>
    <w:rsid w:val="07666855"/>
    <w:rsid w:val="076B3AA9"/>
    <w:rsid w:val="07740BAF"/>
    <w:rsid w:val="077435CE"/>
    <w:rsid w:val="07773F7A"/>
    <w:rsid w:val="077B1074"/>
    <w:rsid w:val="077B5E33"/>
    <w:rsid w:val="07834C41"/>
    <w:rsid w:val="078F37D7"/>
    <w:rsid w:val="079528D4"/>
    <w:rsid w:val="079A5410"/>
    <w:rsid w:val="079C0106"/>
    <w:rsid w:val="079C3C62"/>
    <w:rsid w:val="079C4B54"/>
    <w:rsid w:val="07A729E5"/>
    <w:rsid w:val="07A82607"/>
    <w:rsid w:val="07BD3A9C"/>
    <w:rsid w:val="07CD0AC8"/>
    <w:rsid w:val="07D009B9"/>
    <w:rsid w:val="07D11836"/>
    <w:rsid w:val="07D63618"/>
    <w:rsid w:val="07DC1AF5"/>
    <w:rsid w:val="07DF15EF"/>
    <w:rsid w:val="07E13E6C"/>
    <w:rsid w:val="07E35D35"/>
    <w:rsid w:val="07E61381"/>
    <w:rsid w:val="07E76ED4"/>
    <w:rsid w:val="07E8584F"/>
    <w:rsid w:val="07EA2C20"/>
    <w:rsid w:val="07F7533D"/>
    <w:rsid w:val="07FD6DF7"/>
    <w:rsid w:val="0807295E"/>
    <w:rsid w:val="08096ED2"/>
    <w:rsid w:val="080C0E25"/>
    <w:rsid w:val="08153A69"/>
    <w:rsid w:val="08153DCE"/>
    <w:rsid w:val="081B102B"/>
    <w:rsid w:val="081B54CF"/>
    <w:rsid w:val="0822685D"/>
    <w:rsid w:val="08246246"/>
    <w:rsid w:val="08273E74"/>
    <w:rsid w:val="082B7D80"/>
    <w:rsid w:val="082C2F0D"/>
    <w:rsid w:val="08342A7D"/>
    <w:rsid w:val="0837398B"/>
    <w:rsid w:val="08380931"/>
    <w:rsid w:val="084A78A3"/>
    <w:rsid w:val="08510BE6"/>
    <w:rsid w:val="08536A17"/>
    <w:rsid w:val="085539E3"/>
    <w:rsid w:val="085D1644"/>
    <w:rsid w:val="086724C2"/>
    <w:rsid w:val="0869623A"/>
    <w:rsid w:val="086F07A7"/>
    <w:rsid w:val="08730E67"/>
    <w:rsid w:val="0874020F"/>
    <w:rsid w:val="087B43C8"/>
    <w:rsid w:val="087D22FB"/>
    <w:rsid w:val="08854B4B"/>
    <w:rsid w:val="088F5575"/>
    <w:rsid w:val="089112ED"/>
    <w:rsid w:val="08915791"/>
    <w:rsid w:val="08962EAD"/>
    <w:rsid w:val="08964EF7"/>
    <w:rsid w:val="08990786"/>
    <w:rsid w:val="089D4136"/>
    <w:rsid w:val="08BF40AC"/>
    <w:rsid w:val="08C400EB"/>
    <w:rsid w:val="08CE2541"/>
    <w:rsid w:val="08D13662"/>
    <w:rsid w:val="08DD3BC7"/>
    <w:rsid w:val="08E04023"/>
    <w:rsid w:val="08EB0F21"/>
    <w:rsid w:val="08ED64C0"/>
    <w:rsid w:val="08F312A6"/>
    <w:rsid w:val="08F57ACE"/>
    <w:rsid w:val="08F63846"/>
    <w:rsid w:val="08F75D7F"/>
    <w:rsid w:val="0902043D"/>
    <w:rsid w:val="090349DF"/>
    <w:rsid w:val="090441B5"/>
    <w:rsid w:val="090917CB"/>
    <w:rsid w:val="090B4D3A"/>
    <w:rsid w:val="09173EE8"/>
    <w:rsid w:val="091C13C7"/>
    <w:rsid w:val="091F2D9D"/>
    <w:rsid w:val="09297778"/>
    <w:rsid w:val="0937514F"/>
    <w:rsid w:val="09382F93"/>
    <w:rsid w:val="093929F5"/>
    <w:rsid w:val="093C2632"/>
    <w:rsid w:val="093F6F9B"/>
    <w:rsid w:val="094115E1"/>
    <w:rsid w:val="09535A1B"/>
    <w:rsid w:val="09561F7E"/>
    <w:rsid w:val="095809AD"/>
    <w:rsid w:val="09596F94"/>
    <w:rsid w:val="095A1B0F"/>
    <w:rsid w:val="0972399A"/>
    <w:rsid w:val="09745647"/>
    <w:rsid w:val="0978425B"/>
    <w:rsid w:val="097906FF"/>
    <w:rsid w:val="09816C22"/>
    <w:rsid w:val="09863BAB"/>
    <w:rsid w:val="098826F0"/>
    <w:rsid w:val="09906519"/>
    <w:rsid w:val="0992531D"/>
    <w:rsid w:val="09973CC1"/>
    <w:rsid w:val="09976DD7"/>
    <w:rsid w:val="099C1F0D"/>
    <w:rsid w:val="09A56073"/>
    <w:rsid w:val="09A6701A"/>
    <w:rsid w:val="09B039F5"/>
    <w:rsid w:val="09B06758"/>
    <w:rsid w:val="09B3330D"/>
    <w:rsid w:val="09C61CC7"/>
    <w:rsid w:val="09C65DF0"/>
    <w:rsid w:val="09C83435"/>
    <w:rsid w:val="09C94AB7"/>
    <w:rsid w:val="09CA0180"/>
    <w:rsid w:val="09CA2ED4"/>
    <w:rsid w:val="09CD0A4B"/>
    <w:rsid w:val="09CD45A7"/>
    <w:rsid w:val="09CF6571"/>
    <w:rsid w:val="09CF7F71"/>
    <w:rsid w:val="09D403DB"/>
    <w:rsid w:val="09D81C01"/>
    <w:rsid w:val="09D973F0"/>
    <w:rsid w:val="09E244F6"/>
    <w:rsid w:val="09E258C2"/>
    <w:rsid w:val="09E65607"/>
    <w:rsid w:val="09E85885"/>
    <w:rsid w:val="09EA6F07"/>
    <w:rsid w:val="09ED412F"/>
    <w:rsid w:val="09ED4C49"/>
    <w:rsid w:val="09F14739"/>
    <w:rsid w:val="09F5224A"/>
    <w:rsid w:val="09F675A4"/>
    <w:rsid w:val="09F91840"/>
    <w:rsid w:val="09FC1363"/>
    <w:rsid w:val="0A033204"/>
    <w:rsid w:val="0A03446D"/>
    <w:rsid w:val="0A0D7099"/>
    <w:rsid w:val="0A0F40C1"/>
    <w:rsid w:val="0A171CC6"/>
    <w:rsid w:val="0A183A20"/>
    <w:rsid w:val="0A1846AD"/>
    <w:rsid w:val="0A1B3564"/>
    <w:rsid w:val="0A232419"/>
    <w:rsid w:val="0A27518B"/>
    <w:rsid w:val="0A29573B"/>
    <w:rsid w:val="0A296CB3"/>
    <w:rsid w:val="0A2F5774"/>
    <w:rsid w:val="0A2F7010"/>
    <w:rsid w:val="0A322F50"/>
    <w:rsid w:val="0A324805"/>
    <w:rsid w:val="0A342878"/>
    <w:rsid w:val="0A3948A3"/>
    <w:rsid w:val="0A40746F"/>
    <w:rsid w:val="0A5151D8"/>
    <w:rsid w:val="0A56459C"/>
    <w:rsid w:val="0A590531"/>
    <w:rsid w:val="0A59408D"/>
    <w:rsid w:val="0A5B1BB3"/>
    <w:rsid w:val="0A5D524B"/>
    <w:rsid w:val="0A6071C9"/>
    <w:rsid w:val="0A634F0B"/>
    <w:rsid w:val="0A640151"/>
    <w:rsid w:val="0A6558BE"/>
    <w:rsid w:val="0A6842D0"/>
    <w:rsid w:val="0A6D0D3A"/>
    <w:rsid w:val="0A6D382C"/>
    <w:rsid w:val="0A6E5D8A"/>
    <w:rsid w:val="0A756CB3"/>
    <w:rsid w:val="0A7648BF"/>
    <w:rsid w:val="0A766BCC"/>
    <w:rsid w:val="0A790C60"/>
    <w:rsid w:val="0A7E3AF3"/>
    <w:rsid w:val="0A882BAE"/>
    <w:rsid w:val="0A8C5E53"/>
    <w:rsid w:val="0A8D13DF"/>
    <w:rsid w:val="0A93759F"/>
    <w:rsid w:val="0A9521E2"/>
    <w:rsid w:val="0AA5290E"/>
    <w:rsid w:val="0AA572D2"/>
    <w:rsid w:val="0AA96DC2"/>
    <w:rsid w:val="0AB67731"/>
    <w:rsid w:val="0ABD461B"/>
    <w:rsid w:val="0ABF65E6"/>
    <w:rsid w:val="0AC0410C"/>
    <w:rsid w:val="0AC40A5A"/>
    <w:rsid w:val="0AC52104"/>
    <w:rsid w:val="0AC534D0"/>
    <w:rsid w:val="0ACA2F86"/>
    <w:rsid w:val="0AD45054"/>
    <w:rsid w:val="0AE05E8C"/>
    <w:rsid w:val="0AE40B42"/>
    <w:rsid w:val="0AEE6ECB"/>
    <w:rsid w:val="0AF142C5"/>
    <w:rsid w:val="0AFB6824"/>
    <w:rsid w:val="0B0009AC"/>
    <w:rsid w:val="0B0841C3"/>
    <w:rsid w:val="0B106E41"/>
    <w:rsid w:val="0B15135B"/>
    <w:rsid w:val="0B16053C"/>
    <w:rsid w:val="0B160C13"/>
    <w:rsid w:val="0B1F0D10"/>
    <w:rsid w:val="0B2428ED"/>
    <w:rsid w:val="0B2800A8"/>
    <w:rsid w:val="0B2C17A1"/>
    <w:rsid w:val="0B301A96"/>
    <w:rsid w:val="0B316389"/>
    <w:rsid w:val="0B335CF7"/>
    <w:rsid w:val="0B3545A0"/>
    <w:rsid w:val="0B3C7C36"/>
    <w:rsid w:val="0B3F14D4"/>
    <w:rsid w:val="0B470389"/>
    <w:rsid w:val="0B486169"/>
    <w:rsid w:val="0B4B1C27"/>
    <w:rsid w:val="0B567477"/>
    <w:rsid w:val="0B5A00BC"/>
    <w:rsid w:val="0B5D7BAD"/>
    <w:rsid w:val="0B610433"/>
    <w:rsid w:val="0B723658"/>
    <w:rsid w:val="0B7373D0"/>
    <w:rsid w:val="0B7A075E"/>
    <w:rsid w:val="0B7C6285"/>
    <w:rsid w:val="0B867103"/>
    <w:rsid w:val="0B8D0F28"/>
    <w:rsid w:val="0B8E5FB8"/>
    <w:rsid w:val="0B8F1ED3"/>
    <w:rsid w:val="0B900744"/>
    <w:rsid w:val="0B901D30"/>
    <w:rsid w:val="0B9335CE"/>
    <w:rsid w:val="0B955598"/>
    <w:rsid w:val="0B9F6417"/>
    <w:rsid w:val="0BA24AC6"/>
    <w:rsid w:val="0BA650B0"/>
    <w:rsid w:val="0BAF62FB"/>
    <w:rsid w:val="0BBE689D"/>
    <w:rsid w:val="0BC32105"/>
    <w:rsid w:val="0BC47C2C"/>
    <w:rsid w:val="0BC56DB6"/>
    <w:rsid w:val="0BCB2D68"/>
    <w:rsid w:val="0BCC3378"/>
    <w:rsid w:val="0BD64717"/>
    <w:rsid w:val="0BD73B30"/>
    <w:rsid w:val="0BDB744F"/>
    <w:rsid w:val="0BE45BD8"/>
    <w:rsid w:val="0BEB6A3C"/>
    <w:rsid w:val="0BEE30CD"/>
    <w:rsid w:val="0BEF6A57"/>
    <w:rsid w:val="0C012C2E"/>
    <w:rsid w:val="0C0B53B3"/>
    <w:rsid w:val="0C136440"/>
    <w:rsid w:val="0C1464BD"/>
    <w:rsid w:val="0C184BF9"/>
    <w:rsid w:val="0C1E00BB"/>
    <w:rsid w:val="0C2049E5"/>
    <w:rsid w:val="0C230DF6"/>
    <w:rsid w:val="0C232647"/>
    <w:rsid w:val="0C25691C"/>
    <w:rsid w:val="0C2A0BF5"/>
    <w:rsid w:val="0C2B45A8"/>
    <w:rsid w:val="0C2D3A23"/>
    <w:rsid w:val="0C2F3131"/>
    <w:rsid w:val="0C3152C1"/>
    <w:rsid w:val="0C324B95"/>
    <w:rsid w:val="0C371869"/>
    <w:rsid w:val="0C395F24"/>
    <w:rsid w:val="0C3F7BB0"/>
    <w:rsid w:val="0C4112ED"/>
    <w:rsid w:val="0C48260B"/>
    <w:rsid w:val="0C483CE5"/>
    <w:rsid w:val="0C5058F0"/>
    <w:rsid w:val="0C590374"/>
    <w:rsid w:val="0C5B233E"/>
    <w:rsid w:val="0C5E1E2E"/>
    <w:rsid w:val="0C630FC6"/>
    <w:rsid w:val="0C634800"/>
    <w:rsid w:val="0C6644A2"/>
    <w:rsid w:val="0C6801AB"/>
    <w:rsid w:val="0C7156BE"/>
    <w:rsid w:val="0C764B54"/>
    <w:rsid w:val="0C765B67"/>
    <w:rsid w:val="0C797C21"/>
    <w:rsid w:val="0C7C448E"/>
    <w:rsid w:val="0C850278"/>
    <w:rsid w:val="0C880C59"/>
    <w:rsid w:val="0C886EAB"/>
    <w:rsid w:val="0C8A677F"/>
    <w:rsid w:val="0C9238CE"/>
    <w:rsid w:val="0C9616B9"/>
    <w:rsid w:val="0C970E9C"/>
    <w:rsid w:val="0C9D4705"/>
    <w:rsid w:val="0CA02447"/>
    <w:rsid w:val="0CAA0BCF"/>
    <w:rsid w:val="0CAC0DEC"/>
    <w:rsid w:val="0CAD06C0"/>
    <w:rsid w:val="0CB101B0"/>
    <w:rsid w:val="0CB11F5E"/>
    <w:rsid w:val="0CB60C95"/>
    <w:rsid w:val="0CBA24AA"/>
    <w:rsid w:val="0CC17C52"/>
    <w:rsid w:val="0CC469FF"/>
    <w:rsid w:val="0CC71781"/>
    <w:rsid w:val="0CCC6D98"/>
    <w:rsid w:val="0CD143AE"/>
    <w:rsid w:val="0CD36378"/>
    <w:rsid w:val="0CD45A1D"/>
    <w:rsid w:val="0CDC5A84"/>
    <w:rsid w:val="0CDD0FA5"/>
    <w:rsid w:val="0CDF2F6F"/>
    <w:rsid w:val="0CE20369"/>
    <w:rsid w:val="0CE30634"/>
    <w:rsid w:val="0CEA5470"/>
    <w:rsid w:val="0CEE31B2"/>
    <w:rsid w:val="0CF737BA"/>
    <w:rsid w:val="0CF91902"/>
    <w:rsid w:val="0CFB142B"/>
    <w:rsid w:val="0CFB767D"/>
    <w:rsid w:val="0CFD33F5"/>
    <w:rsid w:val="0D0429D6"/>
    <w:rsid w:val="0D044784"/>
    <w:rsid w:val="0D0E5602"/>
    <w:rsid w:val="0D0F4ED6"/>
    <w:rsid w:val="0D185A68"/>
    <w:rsid w:val="0D192D09"/>
    <w:rsid w:val="0D1E0763"/>
    <w:rsid w:val="0D1E5CB6"/>
    <w:rsid w:val="0D222E5C"/>
    <w:rsid w:val="0D232A61"/>
    <w:rsid w:val="0D2332ED"/>
    <w:rsid w:val="0D2546FA"/>
    <w:rsid w:val="0D2A0538"/>
    <w:rsid w:val="0D2C59C1"/>
    <w:rsid w:val="0D2E35AF"/>
    <w:rsid w:val="0D3037CB"/>
    <w:rsid w:val="0D32523E"/>
    <w:rsid w:val="0D350DE1"/>
    <w:rsid w:val="0D3C4B60"/>
    <w:rsid w:val="0D3F756A"/>
    <w:rsid w:val="0D472FFD"/>
    <w:rsid w:val="0D4B4161"/>
    <w:rsid w:val="0D500F2B"/>
    <w:rsid w:val="0D533015"/>
    <w:rsid w:val="0D5C4EF6"/>
    <w:rsid w:val="0D5F0A83"/>
    <w:rsid w:val="0D6276FC"/>
    <w:rsid w:val="0D6671EC"/>
    <w:rsid w:val="0D6F00F1"/>
    <w:rsid w:val="0D7731A8"/>
    <w:rsid w:val="0D7E2AE6"/>
    <w:rsid w:val="0D7E51F2"/>
    <w:rsid w:val="0D8238FA"/>
    <w:rsid w:val="0D860802"/>
    <w:rsid w:val="0D8A34B8"/>
    <w:rsid w:val="0D8B0A01"/>
    <w:rsid w:val="0D9378B6"/>
    <w:rsid w:val="0DA5374E"/>
    <w:rsid w:val="0DA601C5"/>
    <w:rsid w:val="0DA63A8D"/>
    <w:rsid w:val="0DA7094D"/>
    <w:rsid w:val="0DA73361"/>
    <w:rsid w:val="0DB35341"/>
    <w:rsid w:val="0DB52D2F"/>
    <w:rsid w:val="0DBB17A6"/>
    <w:rsid w:val="0DBC6E0C"/>
    <w:rsid w:val="0DBE6FD3"/>
    <w:rsid w:val="0DC2517F"/>
    <w:rsid w:val="0DCB324F"/>
    <w:rsid w:val="0DCF4D92"/>
    <w:rsid w:val="0DD203DE"/>
    <w:rsid w:val="0DD3660C"/>
    <w:rsid w:val="0DD405FA"/>
    <w:rsid w:val="0DD51C7C"/>
    <w:rsid w:val="0DD6470C"/>
    <w:rsid w:val="0DED346A"/>
    <w:rsid w:val="0DF5231E"/>
    <w:rsid w:val="0DF86B73"/>
    <w:rsid w:val="0DF90060"/>
    <w:rsid w:val="0DF95B46"/>
    <w:rsid w:val="0E012A71"/>
    <w:rsid w:val="0E083E00"/>
    <w:rsid w:val="0E0A401C"/>
    <w:rsid w:val="0E0A7BE8"/>
    <w:rsid w:val="0E0D40F9"/>
    <w:rsid w:val="0E0F4EB8"/>
    <w:rsid w:val="0E122ED0"/>
    <w:rsid w:val="0E15476E"/>
    <w:rsid w:val="0E1924B1"/>
    <w:rsid w:val="0E193CE2"/>
    <w:rsid w:val="0E1C459B"/>
    <w:rsid w:val="0E1C677F"/>
    <w:rsid w:val="0E1D53EF"/>
    <w:rsid w:val="0E1E3623"/>
    <w:rsid w:val="0E1F1468"/>
    <w:rsid w:val="0E211365"/>
    <w:rsid w:val="0E2D1AB8"/>
    <w:rsid w:val="0E327D1B"/>
    <w:rsid w:val="0E330ED4"/>
    <w:rsid w:val="0E3610CB"/>
    <w:rsid w:val="0E3A41D5"/>
    <w:rsid w:val="0E3C6626"/>
    <w:rsid w:val="0E3C7F4D"/>
    <w:rsid w:val="0E3E3568"/>
    <w:rsid w:val="0E407A3D"/>
    <w:rsid w:val="0E456E02"/>
    <w:rsid w:val="0E484B44"/>
    <w:rsid w:val="0E497FFD"/>
    <w:rsid w:val="0E56100F"/>
    <w:rsid w:val="0E6059EA"/>
    <w:rsid w:val="0E6179B4"/>
    <w:rsid w:val="0E644A75"/>
    <w:rsid w:val="0E680D42"/>
    <w:rsid w:val="0E686F94"/>
    <w:rsid w:val="0E697FB4"/>
    <w:rsid w:val="0E6A6868"/>
    <w:rsid w:val="0E6C21DF"/>
    <w:rsid w:val="0E6D45AA"/>
    <w:rsid w:val="0E726A09"/>
    <w:rsid w:val="0E8042DE"/>
    <w:rsid w:val="0E87566C"/>
    <w:rsid w:val="0E895060"/>
    <w:rsid w:val="0E8B67DF"/>
    <w:rsid w:val="0E8F7D40"/>
    <w:rsid w:val="0E947D89"/>
    <w:rsid w:val="0E953933"/>
    <w:rsid w:val="0E9733D5"/>
    <w:rsid w:val="0E9C01D8"/>
    <w:rsid w:val="0EAA11F9"/>
    <w:rsid w:val="0EAA135B"/>
    <w:rsid w:val="0EAB2129"/>
    <w:rsid w:val="0EBA4230"/>
    <w:rsid w:val="0EBB32CD"/>
    <w:rsid w:val="0EBB7522"/>
    <w:rsid w:val="0EBC108C"/>
    <w:rsid w:val="0EBC26D6"/>
    <w:rsid w:val="0EBE0962"/>
    <w:rsid w:val="0EC0292C"/>
    <w:rsid w:val="0EC20452"/>
    <w:rsid w:val="0ECA37AB"/>
    <w:rsid w:val="0ECA456B"/>
    <w:rsid w:val="0ED2440E"/>
    <w:rsid w:val="0ED713A0"/>
    <w:rsid w:val="0ED85EC8"/>
    <w:rsid w:val="0EDE2DB2"/>
    <w:rsid w:val="0EE26D46"/>
    <w:rsid w:val="0EE7435D"/>
    <w:rsid w:val="0EF23E17"/>
    <w:rsid w:val="0EF34AB0"/>
    <w:rsid w:val="0EF40F53"/>
    <w:rsid w:val="0EF82647"/>
    <w:rsid w:val="0EF91A2E"/>
    <w:rsid w:val="0EFC3981"/>
    <w:rsid w:val="0EFF5A98"/>
    <w:rsid w:val="0F0C4EF7"/>
    <w:rsid w:val="0F1054BD"/>
    <w:rsid w:val="0F121B26"/>
    <w:rsid w:val="0F22536C"/>
    <w:rsid w:val="0F2A5FF8"/>
    <w:rsid w:val="0F2B249C"/>
    <w:rsid w:val="0F307AB2"/>
    <w:rsid w:val="0F362BEE"/>
    <w:rsid w:val="0F3C0B05"/>
    <w:rsid w:val="0F3C1EB4"/>
    <w:rsid w:val="0F3F1AA3"/>
    <w:rsid w:val="0F4075C9"/>
    <w:rsid w:val="0F467500"/>
    <w:rsid w:val="0F4A0448"/>
    <w:rsid w:val="0F4C0664"/>
    <w:rsid w:val="0F4C2CED"/>
    <w:rsid w:val="0F553B7C"/>
    <w:rsid w:val="0F59042D"/>
    <w:rsid w:val="0F704352"/>
    <w:rsid w:val="0F7363A4"/>
    <w:rsid w:val="0F7D081D"/>
    <w:rsid w:val="0F864741"/>
    <w:rsid w:val="0F873473"/>
    <w:rsid w:val="0F873629"/>
    <w:rsid w:val="0F8B4CE8"/>
    <w:rsid w:val="0F900551"/>
    <w:rsid w:val="0F900A8A"/>
    <w:rsid w:val="0F997115"/>
    <w:rsid w:val="0F9B0CA3"/>
    <w:rsid w:val="0F9C6EF5"/>
    <w:rsid w:val="0F9D0C26"/>
    <w:rsid w:val="0FA31390"/>
    <w:rsid w:val="0FA43FFC"/>
    <w:rsid w:val="0FA45DAA"/>
    <w:rsid w:val="0FA57836"/>
    <w:rsid w:val="0FAB4813"/>
    <w:rsid w:val="0FBF64FF"/>
    <w:rsid w:val="0FBF71DA"/>
    <w:rsid w:val="0FC1070A"/>
    <w:rsid w:val="0FD65D79"/>
    <w:rsid w:val="0FD83CA6"/>
    <w:rsid w:val="0FE25086"/>
    <w:rsid w:val="0FE4264A"/>
    <w:rsid w:val="0FE443F8"/>
    <w:rsid w:val="0FEA55AD"/>
    <w:rsid w:val="0FF27915"/>
    <w:rsid w:val="0FF36F9B"/>
    <w:rsid w:val="0FFF2388"/>
    <w:rsid w:val="100131FC"/>
    <w:rsid w:val="10014FAA"/>
    <w:rsid w:val="10060813"/>
    <w:rsid w:val="100D0C7D"/>
    <w:rsid w:val="10101691"/>
    <w:rsid w:val="10104DB0"/>
    <w:rsid w:val="101271B8"/>
    <w:rsid w:val="1021389E"/>
    <w:rsid w:val="102F556C"/>
    <w:rsid w:val="10376C1E"/>
    <w:rsid w:val="10387D70"/>
    <w:rsid w:val="10394D13"/>
    <w:rsid w:val="103A0073"/>
    <w:rsid w:val="103C4234"/>
    <w:rsid w:val="103F53B9"/>
    <w:rsid w:val="10480E2B"/>
    <w:rsid w:val="104F70F7"/>
    <w:rsid w:val="10517C2D"/>
    <w:rsid w:val="10524210"/>
    <w:rsid w:val="10533463"/>
    <w:rsid w:val="105477D0"/>
    <w:rsid w:val="10575182"/>
    <w:rsid w:val="105F7F23"/>
    <w:rsid w:val="10616837"/>
    <w:rsid w:val="1063632A"/>
    <w:rsid w:val="10637A13"/>
    <w:rsid w:val="106C2D6C"/>
    <w:rsid w:val="106D3814"/>
    <w:rsid w:val="106D43EE"/>
    <w:rsid w:val="106D4C24"/>
    <w:rsid w:val="10802373"/>
    <w:rsid w:val="10817E99"/>
    <w:rsid w:val="108856CC"/>
    <w:rsid w:val="10894124"/>
    <w:rsid w:val="10914580"/>
    <w:rsid w:val="10944070"/>
    <w:rsid w:val="10965DD0"/>
    <w:rsid w:val="109776BD"/>
    <w:rsid w:val="109813C2"/>
    <w:rsid w:val="109B7BB5"/>
    <w:rsid w:val="109F4075"/>
    <w:rsid w:val="10A83B80"/>
    <w:rsid w:val="10A95523"/>
    <w:rsid w:val="10AF0EAA"/>
    <w:rsid w:val="10B244F7"/>
    <w:rsid w:val="10B60A0F"/>
    <w:rsid w:val="10B82071"/>
    <w:rsid w:val="10BB15FD"/>
    <w:rsid w:val="10BB784F"/>
    <w:rsid w:val="10BD35C7"/>
    <w:rsid w:val="10BE733F"/>
    <w:rsid w:val="10C50464"/>
    <w:rsid w:val="10C64491"/>
    <w:rsid w:val="10CD1330"/>
    <w:rsid w:val="10D0497D"/>
    <w:rsid w:val="10D51B29"/>
    <w:rsid w:val="10D8419A"/>
    <w:rsid w:val="10DB451B"/>
    <w:rsid w:val="10E04EA0"/>
    <w:rsid w:val="10E30B54"/>
    <w:rsid w:val="11001476"/>
    <w:rsid w:val="11021117"/>
    <w:rsid w:val="11074842"/>
    <w:rsid w:val="110A60E1"/>
    <w:rsid w:val="110B7CE6"/>
    <w:rsid w:val="110D797F"/>
    <w:rsid w:val="111156C1"/>
    <w:rsid w:val="111215DA"/>
    <w:rsid w:val="11131439"/>
    <w:rsid w:val="11292A0B"/>
    <w:rsid w:val="11295CD8"/>
    <w:rsid w:val="112F5B47"/>
    <w:rsid w:val="113413B0"/>
    <w:rsid w:val="113B273E"/>
    <w:rsid w:val="11403F27"/>
    <w:rsid w:val="11423ACC"/>
    <w:rsid w:val="114415F3"/>
    <w:rsid w:val="11477335"/>
    <w:rsid w:val="114C66F9"/>
    <w:rsid w:val="11511160"/>
    <w:rsid w:val="115135FC"/>
    <w:rsid w:val="115349B0"/>
    <w:rsid w:val="115832F0"/>
    <w:rsid w:val="115F57E9"/>
    <w:rsid w:val="11613948"/>
    <w:rsid w:val="11627CCB"/>
    <w:rsid w:val="116457F1"/>
    <w:rsid w:val="11651DD5"/>
    <w:rsid w:val="116A526D"/>
    <w:rsid w:val="116C28F7"/>
    <w:rsid w:val="11780488"/>
    <w:rsid w:val="117874EE"/>
    <w:rsid w:val="117A285D"/>
    <w:rsid w:val="117B40FD"/>
    <w:rsid w:val="118511BA"/>
    <w:rsid w:val="118769CB"/>
    <w:rsid w:val="118E0AC0"/>
    <w:rsid w:val="11904BF8"/>
    <w:rsid w:val="119A1FCA"/>
    <w:rsid w:val="119B31DD"/>
    <w:rsid w:val="119F2CCD"/>
    <w:rsid w:val="11A936D4"/>
    <w:rsid w:val="11A958FA"/>
    <w:rsid w:val="11AE1162"/>
    <w:rsid w:val="11B042DD"/>
    <w:rsid w:val="11B61DC5"/>
    <w:rsid w:val="11C10E95"/>
    <w:rsid w:val="11C97B52"/>
    <w:rsid w:val="11CC1466"/>
    <w:rsid w:val="11D0732A"/>
    <w:rsid w:val="11D22345"/>
    <w:rsid w:val="11DC1820"/>
    <w:rsid w:val="11EE5A02"/>
    <w:rsid w:val="11EE77B0"/>
    <w:rsid w:val="11F34DC7"/>
    <w:rsid w:val="11F748B7"/>
    <w:rsid w:val="11F7576D"/>
    <w:rsid w:val="11F823DD"/>
    <w:rsid w:val="11FB6DC8"/>
    <w:rsid w:val="11FC0B91"/>
    <w:rsid w:val="12064AFA"/>
    <w:rsid w:val="120945EA"/>
    <w:rsid w:val="120E5CA1"/>
    <w:rsid w:val="12170AB5"/>
    <w:rsid w:val="121A05A5"/>
    <w:rsid w:val="121B418D"/>
    <w:rsid w:val="121D48EB"/>
    <w:rsid w:val="122225D7"/>
    <w:rsid w:val="12296A3A"/>
    <w:rsid w:val="122E62E4"/>
    <w:rsid w:val="122F28C3"/>
    <w:rsid w:val="122F69BB"/>
    <w:rsid w:val="123A029E"/>
    <w:rsid w:val="123E1EC7"/>
    <w:rsid w:val="124245C1"/>
    <w:rsid w:val="12430AD8"/>
    <w:rsid w:val="12477B58"/>
    <w:rsid w:val="125735A8"/>
    <w:rsid w:val="12597320"/>
    <w:rsid w:val="126A32DB"/>
    <w:rsid w:val="126B0E01"/>
    <w:rsid w:val="126F08F1"/>
    <w:rsid w:val="12705D8B"/>
    <w:rsid w:val="12755EEA"/>
    <w:rsid w:val="127777A6"/>
    <w:rsid w:val="127952CC"/>
    <w:rsid w:val="127B61EA"/>
    <w:rsid w:val="128820E1"/>
    <w:rsid w:val="12922832"/>
    <w:rsid w:val="129A3715"/>
    <w:rsid w:val="129B7938"/>
    <w:rsid w:val="12A06CFD"/>
    <w:rsid w:val="12A365AA"/>
    <w:rsid w:val="12A52565"/>
    <w:rsid w:val="12A8795F"/>
    <w:rsid w:val="12AF2959"/>
    <w:rsid w:val="12B24BE1"/>
    <w:rsid w:val="12B502CE"/>
    <w:rsid w:val="12B62F8F"/>
    <w:rsid w:val="12BA5360"/>
    <w:rsid w:val="12BE7183"/>
    <w:rsid w:val="12C00E0F"/>
    <w:rsid w:val="12C717C1"/>
    <w:rsid w:val="12CD386A"/>
    <w:rsid w:val="12D4066C"/>
    <w:rsid w:val="12D55F11"/>
    <w:rsid w:val="12D65E66"/>
    <w:rsid w:val="12D746E8"/>
    <w:rsid w:val="12DC3AAD"/>
    <w:rsid w:val="12DD62D4"/>
    <w:rsid w:val="12DE7825"/>
    <w:rsid w:val="12E41216"/>
    <w:rsid w:val="12E666D9"/>
    <w:rsid w:val="12E978C1"/>
    <w:rsid w:val="12EE06F0"/>
    <w:rsid w:val="12EE3867"/>
    <w:rsid w:val="12F708E7"/>
    <w:rsid w:val="12F75041"/>
    <w:rsid w:val="12FE11BE"/>
    <w:rsid w:val="12FE7EC7"/>
    <w:rsid w:val="13024F2E"/>
    <w:rsid w:val="130848A2"/>
    <w:rsid w:val="130C0557"/>
    <w:rsid w:val="130D0014"/>
    <w:rsid w:val="131328B0"/>
    <w:rsid w:val="13167D62"/>
    <w:rsid w:val="13180F89"/>
    <w:rsid w:val="131915BB"/>
    <w:rsid w:val="13217712"/>
    <w:rsid w:val="132C019B"/>
    <w:rsid w:val="132D60B6"/>
    <w:rsid w:val="132E043C"/>
    <w:rsid w:val="132F28D0"/>
    <w:rsid w:val="1332534F"/>
    <w:rsid w:val="13346759"/>
    <w:rsid w:val="133509F9"/>
    <w:rsid w:val="13386F35"/>
    <w:rsid w:val="134E0964"/>
    <w:rsid w:val="13503426"/>
    <w:rsid w:val="13655850"/>
    <w:rsid w:val="13685340"/>
    <w:rsid w:val="136A2E67"/>
    <w:rsid w:val="136F089E"/>
    <w:rsid w:val="137361BF"/>
    <w:rsid w:val="13765528"/>
    <w:rsid w:val="137666E0"/>
    <w:rsid w:val="137837D5"/>
    <w:rsid w:val="137B1518"/>
    <w:rsid w:val="137D2B9A"/>
    <w:rsid w:val="13855EF2"/>
    <w:rsid w:val="13857CA0"/>
    <w:rsid w:val="13890547"/>
    <w:rsid w:val="138B2017"/>
    <w:rsid w:val="138E23CC"/>
    <w:rsid w:val="139029BB"/>
    <w:rsid w:val="13912AE9"/>
    <w:rsid w:val="139221E1"/>
    <w:rsid w:val="13954B4D"/>
    <w:rsid w:val="13961EAE"/>
    <w:rsid w:val="13972729"/>
    <w:rsid w:val="13977400"/>
    <w:rsid w:val="139831BB"/>
    <w:rsid w:val="139B6544"/>
    <w:rsid w:val="139E2E9A"/>
    <w:rsid w:val="13A04ADA"/>
    <w:rsid w:val="13A91BE1"/>
    <w:rsid w:val="13A9398F"/>
    <w:rsid w:val="13B7188E"/>
    <w:rsid w:val="13BD35E6"/>
    <w:rsid w:val="13CC1D73"/>
    <w:rsid w:val="13CC3B21"/>
    <w:rsid w:val="13CE21C6"/>
    <w:rsid w:val="13D12EE6"/>
    <w:rsid w:val="13D749A0"/>
    <w:rsid w:val="13D84274"/>
    <w:rsid w:val="13D86B6B"/>
    <w:rsid w:val="13DD2BC4"/>
    <w:rsid w:val="13E250F3"/>
    <w:rsid w:val="13E604E2"/>
    <w:rsid w:val="13E9022F"/>
    <w:rsid w:val="13EC5383"/>
    <w:rsid w:val="13F015BE"/>
    <w:rsid w:val="13F26994"/>
    <w:rsid w:val="13F5101B"/>
    <w:rsid w:val="13FA068E"/>
    <w:rsid w:val="13FC61B5"/>
    <w:rsid w:val="14011A1D"/>
    <w:rsid w:val="140A39B3"/>
    <w:rsid w:val="140D3617"/>
    <w:rsid w:val="140E7208"/>
    <w:rsid w:val="14156B47"/>
    <w:rsid w:val="141D7875"/>
    <w:rsid w:val="141F1EA3"/>
    <w:rsid w:val="142411FB"/>
    <w:rsid w:val="14294AD0"/>
    <w:rsid w:val="142D2812"/>
    <w:rsid w:val="14320C18"/>
    <w:rsid w:val="14327E28"/>
    <w:rsid w:val="143376FC"/>
    <w:rsid w:val="14373691"/>
    <w:rsid w:val="14382F65"/>
    <w:rsid w:val="143C0CA7"/>
    <w:rsid w:val="14434391"/>
    <w:rsid w:val="144638D4"/>
    <w:rsid w:val="144C76BE"/>
    <w:rsid w:val="144E09DA"/>
    <w:rsid w:val="14537D9F"/>
    <w:rsid w:val="145429CC"/>
    <w:rsid w:val="145533A6"/>
    <w:rsid w:val="145A16CA"/>
    <w:rsid w:val="145F4995"/>
    <w:rsid w:val="14693FA2"/>
    <w:rsid w:val="146B6E96"/>
    <w:rsid w:val="146E7573"/>
    <w:rsid w:val="14770888"/>
    <w:rsid w:val="147E16A4"/>
    <w:rsid w:val="14830684"/>
    <w:rsid w:val="14860BF1"/>
    <w:rsid w:val="14877402"/>
    <w:rsid w:val="148B578A"/>
    <w:rsid w:val="14956609"/>
    <w:rsid w:val="149E030E"/>
    <w:rsid w:val="14A5684C"/>
    <w:rsid w:val="14B00D4D"/>
    <w:rsid w:val="14B17CB1"/>
    <w:rsid w:val="14B22D17"/>
    <w:rsid w:val="14B60A59"/>
    <w:rsid w:val="14B65B66"/>
    <w:rsid w:val="14BB272F"/>
    <w:rsid w:val="14C72A25"/>
    <w:rsid w:val="14CA3957"/>
    <w:rsid w:val="14D9663A"/>
    <w:rsid w:val="14DB1649"/>
    <w:rsid w:val="14DE4F06"/>
    <w:rsid w:val="14DE58BA"/>
    <w:rsid w:val="14E37374"/>
    <w:rsid w:val="14E86739"/>
    <w:rsid w:val="14E97B50"/>
    <w:rsid w:val="14EA24B1"/>
    <w:rsid w:val="14F0383F"/>
    <w:rsid w:val="14F74019"/>
    <w:rsid w:val="14F90946"/>
    <w:rsid w:val="14FE41AE"/>
    <w:rsid w:val="15033573"/>
    <w:rsid w:val="15043163"/>
    <w:rsid w:val="1505741E"/>
    <w:rsid w:val="150C68CB"/>
    <w:rsid w:val="150D619F"/>
    <w:rsid w:val="151353C3"/>
    <w:rsid w:val="151412DC"/>
    <w:rsid w:val="15187863"/>
    <w:rsid w:val="152D6842"/>
    <w:rsid w:val="15436924"/>
    <w:rsid w:val="15542020"/>
    <w:rsid w:val="155669BC"/>
    <w:rsid w:val="155B0092"/>
    <w:rsid w:val="155B23FC"/>
    <w:rsid w:val="155B515D"/>
    <w:rsid w:val="155C2C83"/>
    <w:rsid w:val="15610299"/>
    <w:rsid w:val="15611198"/>
    <w:rsid w:val="1565422D"/>
    <w:rsid w:val="15681628"/>
    <w:rsid w:val="156E30E2"/>
    <w:rsid w:val="156E6E68"/>
    <w:rsid w:val="15732BFE"/>
    <w:rsid w:val="157466D4"/>
    <w:rsid w:val="15763D45"/>
    <w:rsid w:val="157B135B"/>
    <w:rsid w:val="158E72E0"/>
    <w:rsid w:val="158F3058"/>
    <w:rsid w:val="159152B2"/>
    <w:rsid w:val="15966195"/>
    <w:rsid w:val="15982039"/>
    <w:rsid w:val="15994905"/>
    <w:rsid w:val="159C0FCE"/>
    <w:rsid w:val="15A24B3A"/>
    <w:rsid w:val="15A41C61"/>
    <w:rsid w:val="15A45C82"/>
    <w:rsid w:val="15A5462A"/>
    <w:rsid w:val="15A97283"/>
    <w:rsid w:val="15AA3DF3"/>
    <w:rsid w:val="15B11221"/>
    <w:rsid w:val="15B200CF"/>
    <w:rsid w:val="15B34F99"/>
    <w:rsid w:val="15B97F07"/>
    <w:rsid w:val="15C01464"/>
    <w:rsid w:val="15C02DDF"/>
    <w:rsid w:val="15C22E6B"/>
    <w:rsid w:val="15C2342E"/>
    <w:rsid w:val="15C251DC"/>
    <w:rsid w:val="15C471A6"/>
    <w:rsid w:val="15CD7A9E"/>
    <w:rsid w:val="15CE1DD3"/>
    <w:rsid w:val="15D649A0"/>
    <w:rsid w:val="15D66983"/>
    <w:rsid w:val="15D75342"/>
    <w:rsid w:val="15D942D4"/>
    <w:rsid w:val="15DC0633"/>
    <w:rsid w:val="15DD4CF8"/>
    <w:rsid w:val="15DF28B9"/>
    <w:rsid w:val="15E213DA"/>
    <w:rsid w:val="15E50DBC"/>
    <w:rsid w:val="15E52C78"/>
    <w:rsid w:val="15EE7D7F"/>
    <w:rsid w:val="15F15AC1"/>
    <w:rsid w:val="15F51685"/>
    <w:rsid w:val="15F5735F"/>
    <w:rsid w:val="15FC23FE"/>
    <w:rsid w:val="15FF3B4E"/>
    <w:rsid w:val="160238AB"/>
    <w:rsid w:val="16054060"/>
    <w:rsid w:val="16054C24"/>
    <w:rsid w:val="160C6457"/>
    <w:rsid w:val="160E0624"/>
    <w:rsid w:val="160F7CF5"/>
    <w:rsid w:val="161377E5"/>
    <w:rsid w:val="161539CC"/>
    <w:rsid w:val="16175B9C"/>
    <w:rsid w:val="16201F02"/>
    <w:rsid w:val="16261842"/>
    <w:rsid w:val="16367C8F"/>
    <w:rsid w:val="16381757"/>
    <w:rsid w:val="163A1216"/>
    <w:rsid w:val="163C6D3C"/>
    <w:rsid w:val="163D0D06"/>
    <w:rsid w:val="163D62F3"/>
    <w:rsid w:val="16405D59"/>
    <w:rsid w:val="164200CB"/>
    <w:rsid w:val="16426169"/>
    <w:rsid w:val="165110B9"/>
    <w:rsid w:val="16513102"/>
    <w:rsid w:val="1652605F"/>
    <w:rsid w:val="16565924"/>
    <w:rsid w:val="16573C5D"/>
    <w:rsid w:val="16575312"/>
    <w:rsid w:val="165B2F3A"/>
    <w:rsid w:val="165D6CB3"/>
    <w:rsid w:val="165F0C7D"/>
    <w:rsid w:val="16625582"/>
    <w:rsid w:val="1663210B"/>
    <w:rsid w:val="166718DF"/>
    <w:rsid w:val="1667245B"/>
    <w:rsid w:val="166817B1"/>
    <w:rsid w:val="16685D83"/>
    <w:rsid w:val="16737128"/>
    <w:rsid w:val="1675224E"/>
    <w:rsid w:val="16781D3E"/>
    <w:rsid w:val="167A2592"/>
    <w:rsid w:val="167A7865"/>
    <w:rsid w:val="168129A1"/>
    <w:rsid w:val="1683496B"/>
    <w:rsid w:val="1695644C"/>
    <w:rsid w:val="16981026"/>
    <w:rsid w:val="169839BA"/>
    <w:rsid w:val="169A0EAB"/>
    <w:rsid w:val="169A2C48"/>
    <w:rsid w:val="169F551D"/>
    <w:rsid w:val="16A416A1"/>
    <w:rsid w:val="16A545F0"/>
    <w:rsid w:val="16A843D2"/>
    <w:rsid w:val="16AB3EC2"/>
    <w:rsid w:val="16AE5760"/>
    <w:rsid w:val="16AF05F0"/>
    <w:rsid w:val="16AF39B2"/>
    <w:rsid w:val="16AF64EE"/>
    <w:rsid w:val="16B0708C"/>
    <w:rsid w:val="16B15CA2"/>
    <w:rsid w:val="16BF21A1"/>
    <w:rsid w:val="16C15493"/>
    <w:rsid w:val="16C531D6"/>
    <w:rsid w:val="16D026BB"/>
    <w:rsid w:val="16D61FC6"/>
    <w:rsid w:val="16D9120B"/>
    <w:rsid w:val="16DA00F3"/>
    <w:rsid w:val="16E34270"/>
    <w:rsid w:val="16E41182"/>
    <w:rsid w:val="16E42F30"/>
    <w:rsid w:val="16F5338F"/>
    <w:rsid w:val="16FD761E"/>
    <w:rsid w:val="1705751F"/>
    <w:rsid w:val="171C4F8B"/>
    <w:rsid w:val="17221F62"/>
    <w:rsid w:val="172227F2"/>
    <w:rsid w:val="17247DCA"/>
    <w:rsid w:val="1726179A"/>
    <w:rsid w:val="17263548"/>
    <w:rsid w:val="17277DCB"/>
    <w:rsid w:val="17345C65"/>
    <w:rsid w:val="173A4AA3"/>
    <w:rsid w:val="173E0892"/>
    <w:rsid w:val="17426B8D"/>
    <w:rsid w:val="17444A5A"/>
    <w:rsid w:val="174E33E4"/>
    <w:rsid w:val="175F3471"/>
    <w:rsid w:val="17784968"/>
    <w:rsid w:val="17784B61"/>
    <w:rsid w:val="177B042B"/>
    <w:rsid w:val="177B7D38"/>
    <w:rsid w:val="177E5132"/>
    <w:rsid w:val="17843670"/>
    <w:rsid w:val="178A1D29"/>
    <w:rsid w:val="178E7A6B"/>
    <w:rsid w:val="178F5592"/>
    <w:rsid w:val="178F7340"/>
    <w:rsid w:val="179240F0"/>
    <w:rsid w:val="179761F4"/>
    <w:rsid w:val="179844C5"/>
    <w:rsid w:val="179C0A16"/>
    <w:rsid w:val="17A74689"/>
    <w:rsid w:val="17A830E2"/>
    <w:rsid w:val="17AA4179"/>
    <w:rsid w:val="17AD77C6"/>
    <w:rsid w:val="17B31280"/>
    <w:rsid w:val="17B615F2"/>
    <w:rsid w:val="17C074F9"/>
    <w:rsid w:val="17CA65CA"/>
    <w:rsid w:val="17D17D9B"/>
    <w:rsid w:val="17D35D21"/>
    <w:rsid w:val="17D45C0F"/>
    <w:rsid w:val="17DF301F"/>
    <w:rsid w:val="17E56F60"/>
    <w:rsid w:val="17E8444C"/>
    <w:rsid w:val="17EC02EE"/>
    <w:rsid w:val="17F75412"/>
    <w:rsid w:val="180B17EE"/>
    <w:rsid w:val="180B23B7"/>
    <w:rsid w:val="181810E3"/>
    <w:rsid w:val="18181D10"/>
    <w:rsid w:val="181D2442"/>
    <w:rsid w:val="18212433"/>
    <w:rsid w:val="182C2DE0"/>
    <w:rsid w:val="182C6276"/>
    <w:rsid w:val="18300B23"/>
    <w:rsid w:val="18383EAD"/>
    <w:rsid w:val="18387277"/>
    <w:rsid w:val="1839079F"/>
    <w:rsid w:val="183964CA"/>
    <w:rsid w:val="183B3024"/>
    <w:rsid w:val="183F5345"/>
    <w:rsid w:val="18404F57"/>
    <w:rsid w:val="18414CB6"/>
    <w:rsid w:val="184A6410"/>
    <w:rsid w:val="184E2D57"/>
    <w:rsid w:val="185540E5"/>
    <w:rsid w:val="185B5474"/>
    <w:rsid w:val="18622CA6"/>
    <w:rsid w:val="186407CC"/>
    <w:rsid w:val="18646F61"/>
    <w:rsid w:val="18695DE3"/>
    <w:rsid w:val="18702CCD"/>
    <w:rsid w:val="18787DD4"/>
    <w:rsid w:val="187A3B4C"/>
    <w:rsid w:val="187D363C"/>
    <w:rsid w:val="189F09FB"/>
    <w:rsid w:val="189F7A56"/>
    <w:rsid w:val="18A26E83"/>
    <w:rsid w:val="18A27F6E"/>
    <w:rsid w:val="18A425D0"/>
    <w:rsid w:val="18A706B9"/>
    <w:rsid w:val="18B21538"/>
    <w:rsid w:val="18B66808"/>
    <w:rsid w:val="18B835D1"/>
    <w:rsid w:val="18BA03EC"/>
    <w:rsid w:val="18BD4DB0"/>
    <w:rsid w:val="18C33745"/>
    <w:rsid w:val="18C64FE3"/>
    <w:rsid w:val="18D524FF"/>
    <w:rsid w:val="18D751B2"/>
    <w:rsid w:val="18D94773"/>
    <w:rsid w:val="18DD1761"/>
    <w:rsid w:val="18DE057F"/>
    <w:rsid w:val="18DF7E53"/>
    <w:rsid w:val="18E81B33"/>
    <w:rsid w:val="18F356AC"/>
    <w:rsid w:val="18FA2EDF"/>
    <w:rsid w:val="190159DF"/>
    <w:rsid w:val="190475D2"/>
    <w:rsid w:val="1909092B"/>
    <w:rsid w:val="190F1931"/>
    <w:rsid w:val="1913123F"/>
    <w:rsid w:val="19145D4E"/>
    <w:rsid w:val="191A5E87"/>
    <w:rsid w:val="191A7623"/>
    <w:rsid w:val="191C083B"/>
    <w:rsid w:val="191F46F3"/>
    <w:rsid w:val="19205183"/>
    <w:rsid w:val="19246104"/>
    <w:rsid w:val="19267830"/>
    <w:rsid w:val="19297320"/>
    <w:rsid w:val="19324427"/>
    <w:rsid w:val="19332FA3"/>
    <w:rsid w:val="193C52A5"/>
    <w:rsid w:val="193D78C0"/>
    <w:rsid w:val="19404D95"/>
    <w:rsid w:val="19461C80"/>
    <w:rsid w:val="19483C4A"/>
    <w:rsid w:val="194B4A95"/>
    <w:rsid w:val="194D2CE1"/>
    <w:rsid w:val="194E3880"/>
    <w:rsid w:val="194F2D94"/>
    <w:rsid w:val="19557E86"/>
    <w:rsid w:val="195A29A1"/>
    <w:rsid w:val="195E521C"/>
    <w:rsid w:val="19611E60"/>
    <w:rsid w:val="1965563C"/>
    <w:rsid w:val="19696175"/>
    <w:rsid w:val="19762565"/>
    <w:rsid w:val="19784182"/>
    <w:rsid w:val="19797114"/>
    <w:rsid w:val="19814CCA"/>
    <w:rsid w:val="19834C82"/>
    <w:rsid w:val="198452E5"/>
    <w:rsid w:val="19897784"/>
    <w:rsid w:val="198A4263"/>
    <w:rsid w:val="198D3D53"/>
    <w:rsid w:val="199724DC"/>
    <w:rsid w:val="19973E6A"/>
    <w:rsid w:val="199944A6"/>
    <w:rsid w:val="199E0B12"/>
    <w:rsid w:val="19A4350C"/>
    <w:rsid w:val="19A50196"/>
    <w:rsid w:val="19B27315"/>
    <w:rsid w:val="19B4308D"/>
    <w:rsid w:val="19B72B7E"/>
    <w:rsid w:val="19BA3865"/>
    <w:rsid w:val="19BD517D"/>
    <w:rsid w:val="19BE4881"/>
    <w:rsid w:val="19C57049"/>
    <w:rsid w:val="19CF1C75"/>
    <w:rsid w:val="19D454DE"/>
    <w:rsid w:val="19DB12DE"/>
    <w:rsid w:val="19DB3D80"/>
    <w:rsid w:val="19DE010A"/>
    <w:rsid w:val="19DF509A"/>
    <w:rsid w:val="19E6489E"/>
    <w:rsid w:val="19EA2F53"/>
    <w:rsid w:val="19F0253A"/>
    <w:rsid w:val="19FE05BC"/>
    <w:rsid w:val="19FE07AD"/>
    <w:rsid w:val="1A02029D"/>
    <w:rsid w:val="1A027489"/>
    <w:rsid w:val="1A034F10"/>
    <w:rsid w:val="1A07140F"/>
    <w:rsid w:val="1A071979"/>
    <w:rsid w:val="1A0758B3"/>
    <w:rsid w:val="1A077661"/>
    <w:rsid w:val="1A0A0EFF"/>
    <w:rsid w:val="1A0C1235"/>
    <w:rsid w:val="1A0C7826"/>
    <w:rsid w:val="1A0D279E"/>
    <w:rsid w:val="1A116732"/>
    <w:rsid w:val="1A14446F"/>
    <w:rsid w:val="1A192F67"/>
    <w:rsid w:val="1A2F0966"/>
    <w:rsid w:val="1A2F6BB8"/>
    <w:rsid w:val="1A3418C5"/>
    <w:rsid w:val="1A393593"/>
    <w:rsid w:val="1A4377A1"/>
    <w:rsid w:val="1A4A57A0"/>
    <w:rsid w:val="1A4B1A4C"/>
    <w:rsid w:val="1A4C59BC"/>
    <w:rsid w:val="1A4F2DB6"/>
    <w:rsid w:val="1A513916"/>
    <w:rsid w:val="1A53412E"/>
    <w:rsid w:val="1A5C6187"/>
    <w:rsid w:val="1A5F2FF9"/>
    <w:rsid w:val="1A662169"/>
    <w:rsid w:val="1A793ECD"/>
    <w:rsid w:val="1A7C004F"/>
    <w:rsid w:val="1A7E3DDA"/>
    <w:rsid w:val="1A8213DE"/>
    <w:rsid w:val="1A8567D8"/>
    <w:rsid w:val="1A871B80"/>
    <w:rsid w:val="1A8F3B63"/>
    <w:rsid w:val="1A907657"/>
    <w:rsid w:val="1A933FFE"/>
    <w:rsid w:val="1A9A5EF7"/>
    <w:rsid w:val="1A9B487D"/>
    <w:rsid w:val="1AA41354"/>
    <w:rsid w:val="1AAA402B"/>
    <w:rsid w:val="1AB8095B"/>
    <w:rsid w:val="1AB86BAD"/>
    <w:rsid w:val="1ABD5C4D"/>
    <w:rsid w:val="1AC5618D"/>
    <w:rsid w:val="1AC67CAC"/>
    <w:rsid w:val="1ACB3AF6"/>
    <w:rsid w:val="1ACF6C99"/>
    <w:rsid w:val="1AD14F83"/>
    <w:rsid w:val="1AD75285"/>
    <w:rsid w:val="1ADA2FC8"/>
    <w:rsid w:val="1ADA4D76"/>
    <w:rsid w:val="1ADC289C"/>
    <w:rsid w:val="1ADE4866"/>
    <w:rsid w:val="1ADF2787"/>
    <w:rsid w:val="1AE70ACE"/>
    <w:rsid w:val="1AE856E5"/>
    <w:rsid w:val="1AF077EF"/>
    <w:rsid w:val="1AF264E1"/>
    <w:rsid w:val="1AF75928"/>
    <w:rsid w:val="1AFC5A84"/>
    <w:rsid w:val="1B027AE9"/>
    <w:rsid w:val="1B082A8D"/>
    <w:rsid w:val="1B0D0CA7"/>
    <w:rsid w:val="1B100797"/>
    <w:rsid w:val="1B102545"/>
    <w:rsid w:val="1B124510"/>
    <w:rsid w:val="1B155DAE"/>
    <w:rsid w:val="1B163E0D"/>
    <w:rsid w:val="1B1C2D33"/>
    <w:rsid w:val="1B1E748F"/>
    <w:rsid w:val="1B2B0976"/>
    <w:rsid w:val="1B2E1125"/>
    <w:rsid w:val="1B2F34FC"/>
    <w:rsid w:val="1B393D4A"/>
    <w:rsid w:val="1B397CEE"/>
    <w:rsid w:val="1B3B1C95"/>
    <w:rsid w:val="1B3C158C"/>
    <w:rsid w:val="1B410A4A"/>
    <w:rsid w:val="1B476371"/>
    <w:rsid w:val="1B485AE5"/>
    <w:rsid w:val="1B4B2131"/>
    <w:rsid w:val="1B4D379A"/>
    <w:rsid w:val="1B4D4249"/>
    <w:rsid w:val="1B4F57C2"/>
    <w:rsid w:val="1B510FEE"/>
    <w:rsid w:val="1B542D7A"/>
    <w:rsid w:val="1B55264E"/>
    <w:rsid w:val="1B567899"/>
    <w:rsid w:val="1B5A1A13"/>
    <w:rsid w:val="1B632B9C"/>
    <w:rsid w:val="1B654CB8"/>
    <w:rsid w:val="1B682698"/>
    <w:rsid w:val="1B684130"/>
    <w:rsid w:val="1B6F680A"/>
    <w:rsid w:val="1B762976"/>
    <w:rsid w:val="1B762B2C"/>
    <w:rsid w:val="1B762CF0"/>
    <w:rsid w:val="1B766B87"/>
    <w:rsid w:val="1B79633D"/>
    <w:rsid w:val="1B7D7315"/>
    <w:rsid w:val="1B8A0CEC"/>
    <w:rsid w:val="1B99078D"/>
    <w:rsid w:val="1BA11A37"/>
    <w:rsid w:val="1BA15893"/>
    <w:rsid w:val="1BAE5A03"/>
    <w:rsid w:val="1BB27AA1"/>
    <w:rsid w:val="1BBE6686"/>
    <w:rsid w:val="1BCA43D1"/>
    <w:rsid w:val="1BD610B9"/>
    <w:rsid w:val="1BD871E7"/>
    <w:rsid w:val="1BDC68CC"/>
    <w:rsid w:val="1BE36FBF"/>
    <w:rsid w:val="1BEF2AA3"/>
    <w:rsid w:val="1BF0232B"/>
    <w:rsid w:val="1BF80966"/>
    <w:rsid w:val="1BFD0D1C"/>
    <w:rsid w:val="1BFF20F5"/>
    <w:rsid w:val="1C006A5E"/>
    <w:rsid w:val="1C042A47"/>
    <w:rsid w:val="1C04306F"/>
    <w:rsid w:val="1C095F13"/>
    <w:rsid w:val="1C0E5F9A"/>
    <w:rsid w:val="1C1059AD"/>
    <w:rsid w:val="1C1B2F7B"/>
    <w:rsid w:val="1C1C7000"/>
    <w:rsid w:val="1C33298F"/>
    <w:rsid w:val="1C3404B6"/>
    <w:rsid w:val="1C340CA6"/>
    <w:rsid w:val="1C385D2F"/>
    <w:rsid w:val="1C3E4468"/>
    <w:rsid w:val="1C424981"/>
    <w:rsid w:val="1C440CF5"/>
    <w:rsid w:val="1C503005"/>
    <w:rsid w:val="1C533032"/>
    <w:rsid w:val="1C5841A4"/>
    <w:rsid w:val="1C5B250F"/>
    <w:rsid w:val="1C6C2EF7"/>
    <w:rsid w:val="1C6E7E6B"/>
    <w:rsid w:val="1C784846"/>
    <w:rsid w:val="1C805D1C"/>
    <w:rsid w:val="1C817B9F"/>
    <w:rsid w:val="1C837C6F"/>
    <w:rsid w:val="1C84143D"/>
    <w:rsid w:val="1C890801"/>
    <w:rsid w:val="1C99656B"/>
    <w:rsid w:val="1CA473E9"/>
    <w:rsid w:val="1CA94A00"/>
    <w:rsid w:val="1CAC7AB8"/>
    <w:rsid w:val="1CBB4733"/>
    <w:rsid w:val="1CC96B83"/>
    <w:rsid w:val="1CCB0E1A"/>
    <w:rsid w:val="1CCE4466"/>
    <w:rsid w:val="1CD14095"/>
    <w:rsid w:val="1CD23133"/>
    <w:rsid w:val="1CDA2E0B"/>
    <w:rsid w:val="1CE53331"/>
    <w:rsid w:val="1CE67A02"/>
    <w:rsid w:val="1CE7377A"/>
    <w:rsid w:val="1CED6FE2"/>
    <w:rsid w:val="1CF0718B"/>
    <w:rsid w:val="1CFC7225"/>
    <w:rsid w:val="1D0460DA"/>
    <w:rsid w:val="1D09272C"/>
    <w:rsid w:val="1D0B1216"/>
    <w:rsid w:val="1D1539C4"/>
    <w:rsid w:val="1D1722B1"/>
    <w:rsid w:val="1D1C76D4"/>
    <w:rsid w:val="1D1E2965"/>
    <w:rsid w:val="1D1F2F14"/>
    <w:rsid w:val="1D241D81"/>
    <w:rsid w:val="1D2B7B0B"/>
    <w:rsid w:val="1D303373"/>
    <w:rsid w:val="1D314F5D"/>
    <w:rsid w:val="1D3249F5"/>
    <w:rsid w:val="1D3544E5"/>
    <w:rsid w:val="1D3B4453"/>
    <w:rsid w:val="1D4604A0"/>
    <w:rsid w:val="1D485652"/>
    <w:rsid w:val="1D563CCA"/>
    <w:rsid w:val="1D57445C"/>
    <w:rsid w:val="1D5C7CC4"/>
    <w:rsid w:val="1D632E00"/>
    <w:rsid w:val="1D6A20D8"/>
    <w:rsid w:val="1D6A4D23"/>
    <w:rsid w:val="1D6D41EF"/>
    <w:rsid w:val="1D7065FD"/>
    <w:rsid w:val="1D724738"/>
    <w:rsid w:val="1D752B34"/>
    <w:rsid w:val="1D7B207F"/>
    <w:rsid w:val="1D7B2840"/>
    <w:rsid w:val="1D8D6E28"/>
    <w:rsid w:val="1D8E3BF5"/>
    <w:rsid w:val="1D900E67"/>
    <w:rsid w:val="1D9456B0"/>
    <w:rsid w:val="1D976F4E"/>
    <w:rsid w:val="1D9B6A3E"/>
    <w:rsid w:val="1D9C3202"/>
    <w:rsid w:val="1D9E3FC5"/>
    <w:rsid w:val="1DAC27BE"/>
    <w:rsid w:val="1DB61742"/>
    <w:rsid w:val="1DB8103A"/>
    <w:rsid w:val="1DC00253"/>
    <w:rsid w:val="1DC15D79"/>
    <w:rsid w:val="1DC37D43"/>
    <w:rsid w:val="1DCA028F"/>
    <w:rsid w:val="1DD67347"/>
    <w:rsid w:val="1DDD6BA9"/>
    <w:rsid w:val="1DE06B47"/>
    <w:rsid w:val="1DE63A32"/>
    <w:rsid w:val="1DEB53CD"/>
    <w:rsid w:val="1DF431F5"/>
    <w:rsid w:val="1DFB128B"/>
    <w:rsid w:val="1DFD64E3"/>
    <w:rsid w:val="1DFF2482"/>
    <w:rsid w:val="1E0345E3"/>
    <w:rsid w:val="1E0738A7"/>
    <w:rsid w:val="1E124D0F"/>
    <w:rsid w:val="1E1422D2"/>
    <w:rsid w:val="1E1B75CE"/>
    <w:rsid w:val="1E1C2390"/>
    <w:rsid w:val="1E237E7E"/>
    <w:rsid w:val="1E2D1660"/>
    <w:rsid w:val="1E2D469C"/>
    <w:rsid w:val="1E385288"/>
    <w:rsid w:val="1E396257"/>
    <w:rsid w:val="1E3C465E"/>
    <w:rsid w:val="1E3F0AA6"/>
    <w:rsid w:val="1E4476CD"/>
    <w:rsid w:val="1E4A3E53"/>
    <w:rsid w:val="1E4A3FC0"/>
    <w:rsid w:val="1E4E3AB1"/>
    <w:rsid w:val="1E5170FD"/>
    <w:rsid w:val="1E522E75"/>
    <w:rsid w:val="1E544E3F"/>
    <w:rsid w:val="1E576CB3"/>
    <w:rsid w:val="1E580DC1"/>
    <w:rsid w:val="1E591960"/>
    <w:rsid w:val="1E5B61CE"/>
    <w:rsid w:val="1E641BF9"/>
    <w:rsid w:val="1E652BA8"/>
    <w:rsid w:val="1E661B47"/>
    <w:rsid w:val="1E6A23CD"/>
    <w:rsid w:val="1E6E1383"/>
    <w:rsid w:val="1E707ECB"/>
    <w:rsid w:val="1E751D37"/>
    <w:rsid w:val="1E77039E"/>
    <w:rsid w:val="1E832B63"/>
    <w:rsid w:val="1E845724"/>
    <w:rsid w:val="1E854FF8"/>
    <w:rsid w:val="1E86504C"/>
    <w:rsid w:val="1EA1723B"/>
    <w:rsid w:val="1EA30F61"/>
    <w:rsid w:val="1EA71413"/>
    <w:rsid w:val="1EAD7DE2"/>
    <w:rsid w:val="1EB2002F"/>
    <w:rsid w:val="1EB658BE"/>
    <w:rsid w:val="1EC93137"/>
    <w:rsid w:val="1ECE4BF1"/>
    <w:rsid w:val="1ECF0BC9"/>
    <w:rsid w:val="1ED1023E"/>
    <w:rsid w:val="1ED32208"/>
    <w:rsid w:val="1ED63AA6"/>
    <w:rsid w:val="1ED865BE"/>
    <w:rsid w:val="1ED95820"/>
    <w:rsid w:val="1EDA5128"/>
    <w:rsid w:val="1EE12243"/>
    <w:rsid w:val="1EEE0DF0"/>
    <w:rsid w:val="1EF328AA"/>
    <w:rsid w:val="1F122D30"/>
    <w:rsid w:val="1F1619B2"/>
    <w:rsid w:val="1F176598"/>
    <w:rsid w:val="1F182311"/>
    <w:rsid w:val="1F1D7927"/>
    <w:rsid w:val="1F26058A"/>
    <w:rsid w:val="1F271230"/>
    <w:rsid w:val="1F2D6070"/>
    <w:rsid w:val="1F332CA6"/>
    <w:rsid w:val="1F372797"/>
    <w:rsid w:val="1F3802BD"/>
    <w:rsid w:val="1F38650F"/>
    <w:rsid w:val="1F3A6F67"/>
    <w:rsid w:val="1F3F789D"/>
    <w:rsid w:val="1F437284"/>
    <w:rsid w:val="1F460552"/>
    <w:rsid w:val="1F462BA1"/>
    <w:rsid w:val="1F4F29B7"/>
    <w:rsid w:val="1F511F82"/>
    <w:rsid w:val="1F5122ED"/>
    <w:rsid w:val="1F5124A3"/>
    <w:rsid w:val="1F5A46D7"/>
    <w:rsid w:val="1F5E41C7"/>
    <w:rsid w:val="1F5F1CED"/>
    <w:rsid w:val="1F5F550C"/>
    <w:rsid w:val="1F7B6F6A"/>
    <w:rsid w:val="1F7C215B"/>
    <w:rsid w:val="1F807554"/>
    <w:rsid w:val="1F88428B"/>
    <w:rsid w:val="1F925C1F"/>
    <w:rsid w:val="1F9E2816"/>
    <w:rsid w:val="1F9F20EA"/>
    <w:rsid w:val="1FA3607E"/>
    <w:rsid w:val="1FA45952"/>
    <w:rsid w:val="1FAA740D"/>
    <w:rsid w:val="1FB05EDC"/>
    <w:rsid w:val="1FB43DE7"/>
    <w:rsid w:val="1FB913FE"/>
    <w:rsid w:val="1FBC4A4A"/>
    <w:rsid w:val="1FBE6A14"/>
    <w:rsid w:val="1FC009DE"/>
    <w:rsid w:val="1FC47E35"/>
    <w:rsid w:val="1FCC468B"/>
    <w:rsid w:val="1FCE183D"/>
    <w:rsid w:val="1FD82270"/>
    <w:rsid w:val="1FDC4240"/>
    <w:rsid w:val="1FDC564F"/>
    <w:rsid w:val="1FE24047"/>
    <w:rsid w:val="1FE3647B"/>
    <w:rsid w:val="1FEE3EF7"/>
    <w:rsid w:val="1FEF3071"/>
    <w:rsid w:val="1FFC12EA"/>
    <w:rsid w:val="1FFE20B7"/>
    <w:rsid w:val="1FFE32B4"/>
    <w:rsid w:val="1FFF695C"/>
    <w:rsid w:val="20014B53"/>
    <w:rsid w:val="20052895"/>
    <w:rsid w:val="200563F1"/>
    <w:rsid w:val="200C3C23"/>
    <w:rsid w:val="20150C7D"/>
    <w:rsid w:val="20190AB5"/>
    <w:rsid w:val="201A2D1C"/>
    <w:rsid w:val="20215AB5"/>
    <w:rsid w:val="20250D05"/>
    <w:rsid w:val="20252704"/>
    <w:rsid w:val="2026530A"/>
    <w:rsid w:val="2027280B"/>
    <w:rsid w:val="20272E39"/>
    <w:rsid w:val="202820DF"/>
    <w:rsid w:val="202D3637"/>
    <w:rsid w:val="202D37ED"/>
    <w:rsid w:val="20312AEB"/>
    <w:rsid w:val="20347D76"/>
    <w:rsid w:val="203770D9"/>
    <w:rsid w:val="203945B9"/>
    <w:rsid w:val="203A51A7"/>
    <w:rsid w:val="203A6A0B"/>
    <w:rsid w:val="203B62B7"/>
    <w:rsid w:val="203B6335"/>
    <w:rsid w:val="2043583C"/>
    <w:rsid w:val="20436F19"/>
    <w:rsid w:val="205C3A33"/>
    <w:rsid w:val="20621A95"/>
    <w:rsid w:val="20653333"/>
    <w:rsid w:val="206550E2"/>
    <w:rsid w:val="206C2914"/>
    <w:rsid w:val="206E1E82"/>
    <w:rsid w:val="20740615"/>
    <w:rsid w:val="20755AF0"/>
    <w:rsid w:val="20784E15"/>
    <w:rsid w:val="208319DF"/>
    <w:rsid w:val="20846070"/>
    <w:rsid w:val="20857532"/>
    <w:rsid w:val="20895274"/>
    <w:rsid w:val="208F2F74"/>
    <w:rsid w:val="20983709"/>
    <w:rsid w:val="20A25B7C"/>
    <w:rsid w:val="20A7394C"/>
    <w:rsid w:val="20A74E31"/>
    <w:rsid w:val="20AA51EA"/>
    <w:rsid w:val="20B0050F"/>
    <w:rsid w:val="20B63B8F"/>
    <w:rsid w:val="20B91875"/>
    <w:rsid w:val="20BD63E7"/>
    <w:rsid w:val="20BD6CCC"/>
    <w:rsid w:val="20BF5AA4"/>
    <w:rsid w:val="20C0056A"/>
    <w:rsid w:val="20C067BC"/>
    <w:rsid w:val="20CB71D8"/>
    <w:rsid w:val="20CF4C51"/>
    <w:rsid w:val="20D364EF"/>
    <w:rsid w:val="20D64231"/>
    <w:rsid w:val="20E83230"/>
    <w:rsid w:val="20E9477C"/>
    <w:rsid w:val="20EA1A41"/>
    <w:rsid w:val="20EC5803"/>
    <w:rsid w:val="20EF2BFD"/>
    <w:rsid w:val="20F07B67"/>
    <w:rsid w:val="20F44A16"/>
    <w:rsid w:val="20F555B5"/>
    <w:rsid w:val="20F55779"/>
    <w:rsid w:val="20FA3A7C"/>
    <w:rsid w:val="20FC5D2A"/>
    <w:rsid w:val="20FD4772"/>
    <w:rsid w:val="21075FBA"/>
    <w:rsid w:val="21093CBF"/>
    <w:rsid w:val="210E45C5"/>
    <w:rsid w:val="211156FF"/>
    <w:rsid w:val="21154D5A"/>
    <w:rsid w:val="212154AC"/>
    <w:rsid w:val="21313216"/>
    <w:rsid w:val="21337A9C"/>
    <w:rsid w:val="2139763B"/>
    <w:rsid w:val="213A656E"/>
    <w:rsid w:val="213F171D"/>
    <w:rsid w:val="21400E91"/>
    <w:rsid w:val="214174ED"/>
    <w:rsid w:val="21431371"/>
    <w:rsid w:val="21434918"/>
    <w:rsid w:val="2144119B"/>
    <w:rsid w:val="214967B1"/>
    <w:rsid w:val="214B7D38"/>
    <w:rsid w:val="215565AE"/>
    <w:rsid w:val="21586079"/>
    <w:rsid w:val="215E639F"/>
    <w:rsid w:val="215F6BAA"/>
    <w:rsid w:val="21621461"/>
    <w:rsid w:val="216655B5"/>
    <w:rsid w:val="216C1B85"/>
    <w:rsid w:val="21747CD2"/>
    <w:rsid w:val="217557F8"/>
    <w:rsid w:val="21765973"/>
    <w:rsid w:val="217B1461"/>
    <w:rsid w:val="217C21A9"/>
    <w:rsid w:val="21893DF4"/>
    <w:rsid w:val="21894314"/>
    <w:rsid w:val="218B1BCA"/>
    <w:rsid w:val="21902632"/>
    <w:rsid w:val="2190618E"/>
    <w:rsid w:val="21937A2C"/>
    <w:rsid w:val="219736C9"/>
    <w:rsid w:val="219739C1"/>
    <w:rsid w:val="219B39C7"/>
    <w:rsid w:val="21A25EC1"/>
    <w:rsid w:val="21A35416"/>
    <w:rsid w:val="21A812C1"/>
    <w:rsid w:val="21A97250"/>
    <w:rsid w:val="21AD0AEE"/>
    <w:rsid w:val="21B52099"/>
    <w:rsid w:val="21B93937"/>
    <w:rsid w:val="21B979E0"/>
    <w:rsid w:val="21BA6329"/>
    <w:rsid w:val="21BE19B9"/>
    <w:rsid w:val="21C127EB"/>
    <w:rsid w:val="21C244AB"/>
    <w:rsid w:val="21C4472F"/>
    <w:rsid w:val="21C44D90"/>
    <w:rsid w:val="21C85928"/>
    <w:rsid w:val="21C910B4"/>
    <w:rsid w:val="21CD1190"/>
    <w:rsid w:val="21D00F87"/>
    <w:rsid w:val="21D06ED2"/>
    <w:rsid w:val="21D20555"/>
    <w:rsid w:val="21D7200F"/>
    <w:rsid w:val="21DF0CC5"/>
    <w:rsid w:val="21DF3FDD"/>
    <w:rsid w:val="21E85FCA"/>
    <w:rsid w:val="21F46E37"/>
    <w:rsid w:val="21F65217"/>
    <w:rsid w:val="21F7620D"/>
    <w:rsid w:val="21FC3824"/>
    <w:rsid w:val="21FC6E36"/>
    <w:rsid w:val="22090649"/>
    <w:rsid w:val="220A5F40"/>
    <w:rsid w:val="220D5A31"/>
    <w:rsid w:val="22105FB5"/>
    <w:rsid w:val="221072CF"/>
    <w:rsid w:val="22121299"/>
    <w:rsid w:val="221729FA"/>
    <w:rsid w:val="22244B28"/>
    <w:rsid w:val="22266AF2"/>
    <w:rsid w:val="222D1C2F"/>
    <w:rsid w:val="2232322B"/>
    <w:rsid w:val="22341B77"/>
    <w:rsid w:val="22347EC0"/>
    <w:rsid w:val="22402F79"/>
    <w:rsid w:val="22572153"/>
    <w:rsid w:val="22574EFE"/>
    <w:rsid w:val="2264488C"/>
    <w:rsid w:val="2265761B"/>
    <w:rsid w:val="22673393"/>
    <w:rsid w:val="226D462F"/>
    <w:rsid w:val="226F2A18"/>
    <w:rsid w:val="22723AE6"/>
    <w:rsid w:val="2275323C"/>
    <w:rsid w:val="227E248B"/>
    <w:rsid w:val="227E692E"/>
    <w:rsid w:val="228133C5"/>
    <w:rsid w:val="22823B5E"/>
    <w:rsid w:val="228850B7"/>
    <w:rsid w:val="22885BF9"/>
    <w:rsid w:val="228B1ECD"/>
    <w:rsid w:val="228E6279"/>
    <w:rsid w:val="228F7C4F"/>
    <w:rsid w:val="229879F0"/>
    <w:rsid w:val="229B7A15"/>
    <w:rsid w:val="22A238FE"/>
    <w:rsid w:val="22A746D9"/>
    <w:rsid w:val="22A9674F"/>
    <w:rsid w:val="22B40E75"/>
    <w:rsid w:val="22BB548D"/>
    <w:rsid w:val="22BC5D17"/>
    <w:rsid w:val="22BF646D"/>
    <w:rsid w:val="22C07DB6"/>
    <w:rsid w:val="22C2681B"/>
    <w:rsid w:val="22CA6328"/>
    <w:rsid w:val="22CB5549"/>
    <w:rsid w:val="22D74DB9"/>
    <w:rsid w:val="22D8603F"/>
    <w:rsid w:val="22DB5B2F"/>
    <w:rsid w:val="22E26EBD"/>
    <w:rsid w:val="22E551A7"/>
    <w:rsid w:val="22EC5646"/>
    <w:rsid w:val="22EE4940"/>
    <w:rsid w:val="22EE5862"/>
    <w:rsid w:val="22F0182A"/>
    <w:rsid w:val="22F132C7"/>
    <w:rsid w:val="22F17F9F"/>
    <w:rsid w:val="22F563A0"/>
    <w:rsid w:val="22FD7853"/>
    <w:rsid w:val="22FF7A6F"/>
    <w:rsid w:val="23016E57"/>
    <w:rsid w:val="23050980"/>
    <w:rsid w:val="23070FA7"/>
    <w:rsid w:val="231150AD"/>
    <w:rsid w:val="231177A3"/>
    <w:rsid w:val="231828DF"/>
    <w:rsid w:val="23185F22"/>
    <w:rsid w:val="23192CDB"/>
    <w:rsid w:val="231C0452"/>
    <w:rsid w:val="231F41F1"/>
    <w:rsid w:val="232A616E"/>
    <w:rsid w:val="23316C48"/>
    <w:rsid w:val="233314C7"/>
    <w:rsid w:val="23333275"/>
    <w:rsid w:val="233D1985"/>
    <w:rsid w:val="23425BAE"/>
    <w:rsid w:val="234436D4"/>
    <w:rsid w:val="234731C4"/>
    <w:rsid w:val="23492A98"/>
    <w:rsid w:val="23494ECF"/>
    <w:rsid w:val="23496F3C"/>
    <w:rsid w:val="234C2589"/>
    <w:rsid w:val="234F5BD5"/>
    <w:rsid w:val="23502C6C"/>
    <w:rsid w:val="23511F89"/>
    <w:rsid w:val="235A0D1F"/>
    <w:rsid w:val="236118E9"/>
    <w:rsid w:val="236930C6"/>
    <w:rsid w:val="23694EE9"/>
    <w:rsid w:val="236D6760"/>
    <w:rsid w:val="23713D9D"/>
    <w:rsid w:val="23727B73"/>
    <w:rsid w:val="2379410A"/>
    <w:rsid w:val="23865695"/>
    <w:rsid w:val="238705A1"/>
    <w:rsid w:val="23963804"/>
    <w:rsid w:val="239E7120"/>
    <w:rsid w:val="239F4DAE"/>
    <w:rsid w:val="23A10B26"/>
    <w:rsid w:val="23A3664D"/>
    <w:rsid w:val="23A4497D"/>
    <w:rsid w:val="23A87387"/>
    <w:rsid w:val="23A91789"/>
    <w:rsid w:val="23AF2323"/>
    <w:rsid w:val="23B00D6A"/>
    <w:rsid w:val="23C14D25"/>
    <w:rsid w:val="23C67966"/>
    <w:rsid w:val="23C92B4F"/>
    <w:rsid w:val="23CD191B"/>
    <w:rsid w:val="23CF0DA6"/>
    <w:rsid w:val="23CF684B"/>
    <w:rsid w:val="23D902C0"/>
    <w:rsid w:val="23DA2A9C"/>
    <w:rsid w:val="23DA5DE6"/>
    <w:rsid w:val="23E12CD1"/>
    <w:rsid w:val="23E822B1"/>
    <w:rsid w:val="23F24EDE"/>
    <w:rsid w:val="23F416FC"/>
    <w:rsid w:val="23FA1FE5"/>
    <w:rsid w:val="23FA3D93"/>
    <w:rsid w:val="23FB76B9"/>
    <w:rsid w:val="23FC5D5D"/>
    <w:rsid w:val="23FC763B"/>
    <w:rsid w:val="23FD3AC2"/>
    <w:rsid w:val="23FF124B"/>
    <w:rsid w:val="23FF75FB"/>
    <w:rsid w:val="24003A9F"/>
    <w:rsid w:val="240655DE"/>
    <w:rsid w:val="24080C27"/>
    <w:rsid w:val="240C3EE1"/>
    <w:rsid w:val="24107F86"/>
    <w:rsid w:val="24165E61"/>
    <w:rsid w:val="241906BD"/>
    <w:rsid w:val="241C77B7"/>
    <w:rsid w:val="242552B4"/>
    <w:rsid w:val="24264234"/>
    <w:rsid w:val="243279D1"/>
    <w:rsid w:val="243840DE"/>
    <w:rsid w:val="243954FA"/>
    <w:rsid w:val="2439660D"/>
    <w:rsid w:val="245244EF"/>
    <w:rsid w:val="24561911"/>
    <w:rsid w:val="245B4A0F"/>
    <w:rsid w:val="245B6F27"/>
    <w:rsid w:val="24651B54"/>
    <w:rsid w:val="24661428"/>
    <w:rsid w:val="246A1D00"/>
    <w:rsid w:val="246A53BC"/>
    <w:rsid w:val="247026F4"/>
    <w:rsid w:val="247C302F"/>
    <w:rsid w:val="247D4AB1"/>
    <w:rsid w:val="248A5117"/>
    <w:rsid w:val="248C6BB8"/>
    <w:rsid w:val="249064A5"/>
    <w:rsid w:val="24957DD5"/>
    <w:rsid w:val="249D7540"/>
    <w:rsid w:val="24AA3A0B"/>
    <w:rsid w:val="24AC7783"/>
    <w:rsid w:val="24AD2696"/>
    <w:rsid w:val="24B228BF"/>
    <w:rsid w:val="24B47D22"/>
    <w:rsid w:val="24BA63DB"/>
    <w:rsid w:val="24BE6297"/>
    <w:rsid w:val="24CA1191"/>
    <w:rsid w:val="24CD14A7"/>
    <w:rsid w:val="24D42836"/>
    <w:rsid w:val="24D64800"/>
    <w:rsid w:val="24DB32B6"/>
    <w:rsid w:val="24DB3BC4"/>
    <w:rsid w:val="24DB5972"/>
    <w:rsid w:val="24DD56B0"/>
    <w:rsid w:val="24E0567E"/>
    <w:rsid w:val="24E56F56"/>
    <w:rsid w:val="24EA02AB"/>
    <w:rsid w:val="24F00B4F"/>
    <w:rsid w:val="24F12100"/>
    <w:rsid w:val="24F66C50"/>
    <w:rsid w:val="24F829C8"/>
    <w:rsid w:val="24FA29B1"/>
    <w:rsid w:val="25011468"/>
    <w:rsid w:val="25056E93"/>
    <w:rsid w:val="2507251A"/>
    <w:rsid w:val="250C4069"/>
    <w:rsid w:val="250E032E"/>
    <w:rsid w:val="250E5D48"/>
    <w:rsid w:val="25130BC6"/>
    <w:rsid w:val="251B66B7"/>
    <w:rsid w:val="25231FD5"/>
    <w:rsid w:val="25292B82"/>
    <w:rsid w:val="252964DC"/>
    <w:rsid w:val="252D66FD"/>
    <w:rsid w:val="253A2AB3"/>
    <w:rsid w:val="25476E87"/>
    <w:rsid w:val="254D6B89"/>
    <w:rsid w:val="254E4396"/>
    <w:rsid w:val="2551032A"/>
    <w:rsid w:val="2552384A"/>
    <w:rsid w:val="25551BC9"/>
    <w:rsid w:val="25561143"/>
    <w:rsid w:val="25587434"/>
    <w:rsid w:val="255A45B0"/>
    <w:rsid w:val="255C2A9C"/>
    <w:rsid w:val="256767C9"/>
    <w:rsid w:val="2568096A"/>
    <w:rsid w:val="25733194"/>
    <w:rsid w:val="25755DC7"/>
    <w:rsid w:val="257638ED"/>
    <w:rsid w:val="2578063F"/>
    <w:rsid w:val="258A1146"/>
    <w:rsid w:val="25901034"/>
    <w:rsid w:val="259124D5"/>
    <w:rsid w:val="25A0096A"/>
    <w:rsid w:val="25A246E2"/>
    <w:rsid w:val="25A477D9"/>
    <w:rsid w:val="25B83F05"/>
    <w:rsid w:val="25BA0C9E"/>
    <w:rsid w:val="25BA5578"/>
    <w:rsid w:val="25BB3C89"/>
    <w:rsid w:val="25C04ADE"/>
    <w:rsid w:val="25C44658"/>
    <w:rsid w:val="25CA437B"/>
    <w:rsid w:val="25D32AED"/>
    <w:rsid w:val="25D836B3"/>
    <w:rsid w:val="25E02770"/>
    <w:rsid w:val="25E168A9"/>
    <w:rsid w:val="25E7577D"/>
    <w:rsid w:val="25E8295B"/>
    <w:rsid w:val="25EE433E"/>
    <w:rsid w:val="25F82554"/>
    <w:rsid w:val="25F85512"/>
    <w:rsid w:val="25F969F8"/>
    <w:rsid w:val="260B7449"/>
    <w:rsid w:val="26127ABA"/>
    <w:rsid w:val="26150C6D"/>
    <w:rsid w:val="261538C2"/>
    <w:rsid w:val="261C4494"/>
    <w:rsid w:val="26215F4F"/>
    <w:rsid w:val="262275D1"/>
    <w:rsid w:val="26230386"/>
    <w:rsid w:val="2623053C"/>
    <w:rsid w:val="262F5BC1"/>
    <w:rsid w:val="26310FE6"/>
    <w:rsid w:val="2633152B"/>
    <w:rsid w:val="26355556"/>
    <w:rsid w:val="2635758C"/>
    <w:rsid w:val="263B1146"/>
    <w:rsid w:val="263E265D"/>
    <w:rsid w:val="264054F6"/>
    <w:rsid w:val="264659B5"/>
    <w:rsid w:val="26485289"/>
    <w:rsid w:val="264942D3"/>
    <w:rsid w:val="264B2324"/>
    <w:rsid w:val="264C6538"/>
    <w:rsid w:val="264D685D"/>
    <w:rsid w:val="264E443C"/>
    <w:rsid w:val="2657371E"/>
    <w:rsid w:val="265D1C24"/>
    <w:rsid w:val="265D1DDA"/>
    <w:rsid w:val="26631158"/>
    <w:rsid w:val="2663431E"/>
    <w:rsid w:val="267267AA"/>
    <w:rsid w:val="26797620"/>
    <w:rsid w:val="267B5F8E"/>
    <w:rsid w:val="267E0CAB"/>
    <w:rsid w:val="268266AD"/>
    <w:rsid w:val="26833001"/>
    <w:rsid w:val="268564DD"/>
    <w:rsid w:val="268C261C"/>
    <w:rsid w:val="26920BFA"/>
    <w:rsid w:val="26946721"/>
    <w:rsid w:val="26955FF5"/>
    <w:rsid w:val="269B185D"/>
    <w:rsid w:val="269E30FB"/>
    <w:rsid w:val="26A4077D"/>
    <w:rsid w:val="26A526DC"/>
    <w:rsid w:val="26A61FB0"/>
    <w:rsid w:val="26A86D7E"/>
    <w:rsid w:val="26AA7CF2"/>
    <w:rsid w:val="26B26BA7"/>
    <w:rsid w:val="26B474A7"/>
    <w:rsid w:val="26B57A9E"/>
    <w:rsid w:val="26BB5A5B"/>
    <w:rsid w:val="26BE554B"/>
    <w:rsid w:val="26BE763B"/>
    <w:rsid w:val="26C002DA"/>
    <w:rsid w:val="26C0493F"/>
    <w:rsid w:val="26C22C59"/>
    <w:rsid w:val="26C358C3"/>
    <w:rsid w:val="26CA3EF0"/>
    <w:rsid w:val="26CC5EBA"/>
    <w:rsid w:val="26CD578F"/>
    <w:rsid w:val="26D22DA5"/>
    <w:rsid w:val="26D44D6F"/>
    <w:rsid w:val="26DF2689"/>
    <w:rsid w:val="26E50978"/>
    <w:rsid w:val="26E8081A"/>
    <w:rsid w:val="26E91355"/>
    <w:rsid w:val="26EA00EF"/>
    <w:rsid w:val="26EC030B"/>
    <w:rsid w:val="26F37BD8"/>
    <w:rsid w:val="26FB62F7"/>
    <w:rsid w:val="26FD2314"/>
    <w:rsid w:val="26FF6A0B"/>
    <w:rsid w:val="270537D9"/>
    <w:rsid w:val="270858F0"/>
    <w:rsid w:val="270C03E2"/>
    <w:rsid w:val="270C4FC5"/>
    <w:rsid w:val="270F7969"/>
    <w:rsid w:val="27165388"/>
    <w:rsid w:val="27167136"/>
    <w:rsid w:val="27233601"/>
    <w:rsid w:val="27275C00"/>
    <w:rsid w:val="27365875"/>
    <w:rsid w:val="273677D8"/>
    <w:rsid w:val="273A72C8"/>
    <w:rsid w:val="27455C6D"/>
    <w:rsid w:val="27476ED0"/>
    <w:rsid w:val="274F0899"/>
    <w:rsid w:val="27544FA9"/>
    <w:rsid w:val="2762237B"/>
    <w:rsid w:val="27642706"/>
    <w:rsid w:val="27644345"/>
    <w:rsid w:val="27684462"/>
    <w:rsid w:val="276E2ACE"/>
    <w:rsid w:val="27716366"/>
    <w:rsid w:val="27734657"/>
    <w:rsid w:val="27767BD4"/>
    <w:rsid w:val="277A3B68"/>
    <w:rsid w:val="277C40BD"/>
    <w:rsid w:val="277D0F63"/>
    <w:rsid w:val="27840543"/>
    <w:rsid w:val="278422F1"/>
    <w:rsid w:val="27870B27"/>
    <w:rsid w:val="278A4DF4"/>
    <w:rsid w:val="278E13AB"/>
    <w:rsid w:val="27906EE8"/>
    <w:rsid w:val="27962024"/>
    <w:rsid w:val="279844D8"/>
    <w:rsid w:val="279B763B"/>
    <w:rsid w:val="279D1605"/>
    <w:rsid w:val="27A056B0"/>
    <w:rsid w:val="27A83832"/>
    <w:rsid w:val="27B029EF"/>
    <w:rsid w:val="27B54BA0"/>
    <w:rsid w:val="27B575B2"/>
    <w:rsid w:val="27B8253B"/>
    <w:rsid w:val="27B84691"/>
    <w:rsid w:val="27B97CFB"/>
    <w:rsid w:val="27C160FB"/>
    <w:rsid w:val="27C72271"/>
    <w:rsid w:val="27CF4492"/>
    <w:rsid w:val="27D86AE1"/>
    <w:rsid w:val="27E47999"/>
    <w:rsid w:val="27E50F81"/>
    <w:rsid w:val="27E51136"/>
    <w:rsid w:val="27E54BC2"/>
    <w:rsid w:val="27E746D9"/>
    <w:rsid w:val="27E965F8"/>
    <w:rsid w:val="27EE3C0E"/>
    <w:rsid w:val="27F03715"/>
    <w:rsid w:val="27F6425C"/>
    <w:rsid w:val="27FE55BF"/>
    <w:rsid w:val="280653FC"/>
    <w:rsid w:val="280777BA"/>
    <w:rsid w:val="280F2F92"/>
    <w:rsid w:val="281178FD"/>
    <w:rsid w:val="281B425C"/>
    <w:rsid w:val="281F6A3D"/>
    <w:rsid w:val="282615FA"/>
    <w:rsid w:val="282910EA"/>
    <w:rsid w:val="282A31F1"/>
    <w:rsid w:val="282D36E8"/>
    <w:rsid w:val="282E4323"/>
    <w:rsid w:val="28304227"/>
    <w:rsid w:val="283042CA"/>
    <w:rsid w:val="283122A8"/>
    <w:rsid w:val="2832082A"/>
    <w:rsid w:val="283940D8"/>
    <w:rsid w:val="28394B73"/>
    <w:rsid w:val="283A50A6"/>
    <w:rsid w:val="283E4ED3"/>
    <w:rsid w:val="28414686"/>
    <w:rsid w:val="284D5A9D"/>
    <w:rsid w:val="284F637D"/>
    <w:rsid w:val="2852419D"/>
    <w:rsid w:val="28620159"/>
    <w:rsid w:val="28690F59"/>
    <w:rsid w:val="286B525F"/>
    <w:rsid w:val="28722A91"/>
    <w:rsid w:val="28771E56"/>
    <w:rsid w:val="287B7B98"/>
    <w:rsid w:val="2886146E"/>
    <w:rsid w:val="288B3B53"/>
    <w:rsid w:val="288B6CD2"/>
    <w:rsid w:val="28930C7B"/>
    <w:rsid w:val="28983C59"/>
    <w:rsid w:val="289F6231"/>
    <w:rsid w:val="28AB23FE"/>
    <w:rsid w:val="28AB7D51"/>
    <w:rsid w:val="28B16468"/>
    <w:rsid w:val="28B212D8"/>
    <w:rsid w:val="28B44E58"/>
    <w:rsid w:val="28B60B0F"/>
    <w:rsid w:val="28C03598"/>
    <w:rsid w:val="28C13C48"/>
    <w:rsid w:val="28C4406E"/>
    <w:rsid w:val="28CD64C9"/>
    <w:rsid w:val="28CE5BC0"/>
    <w:rsid w:val="28CF4308"/>
    <w:rsid w:val="28D64DCE"/>
    <w:rsid w:val="28DC114A"/>
    <w:rsid w:val="28E521EF"/>
    <w:rsid w:val="28E62B38"/>
    <w:rsid w:val="28EA2F04"/>
    <w:rsid w:val="28EB0C2F"/>
    <w:rsid w:val="28EC16F7"/>
    <w:rsid w:val="28FA4F22"/>
    <w:rsid w:val="28FB3ED4"/>
    <w:rsid w:val="2900009D"/>
    <w:rsid w:val="290A5C6F"/>
    <w:rsid w:val="290E30C3"/>
    <w:rsid w:val="2914146A"/>
    <w:rsid w:val="291476A5"/>
    <w:rsid w:val="29254939"/>
    <w:rsid w:val="292A6EC8"/>
    <w:rsid w:val="292C0E92"/>
    <w:rsid w:val="292D2EFA"/>
    <w:rsid w:val="29355251"/>
    <w:rsid w:val="29373393"/>
    <w:rsid w:val="29387837"/>
    <w:rsid w:val="29420625"/>
    <w:rsid w:val="294921DF"/>
    <w:rsid w:val="294C297E"/>
    <w:rsid w:val="294C32E2"/>
    <w:rsid w:val="294F2DD3"/>
    <w:rsid w:val="29516821"/>
    <w:rsid w:val="29564161"/>
    <w:rsid w:val="29583A35"/>
    <w:rsid w:val="2959155B"/>
    <w:rsid w:val="295E4DC4"/>
    <w:rsid w:val="296074BF"/>
    <w:rsid w:val="2962248F"/>
    <w:rsid w:val="296A3769"/>
    <w:rsid w:val="296A5517"/>
    <w:rsid w:val="296E71C5"/>
    <w:rsid w:val="29785E86"/>
    <w:rsid w:val="297A7E50"/>
    <w:rsid w:val="297C2ABA"/>
    <w:rsid w:val="29820AB2"/>
    <w:rsid w:val="29894A4B"/>
    <w:rsid w:val="298C36DF"/>
    <w:rsid w:val="298D27DC"/>
    <w:rsid w:val="29995DFC"/>
    <w:rsid w:val="299A08C7"/>
    <w:rsid w:val="299E0557"/>
    <w:rsid w:val="29A50C45"/>
    <w:rsid w:val="29A65A75"/>
    <w:rsid w:val="29AF0534"/>
    <w:rsid w:val="29B21197"/>
    <w:rsid w:val="29BB2501"/>
    <w:rsid w:val="29C5361A"/>
    <w:rsid w:val="29CE019B"/>
    <w:rsid w:val="29CE021D"/>
    <w:rsid w:val="29D85AED"/>
    <w:rsid w:val="29DC62E2"/>
    <w:rsid w:val="29DF094E"/>
    <w:rsid w:val="29E03A2B"/>
    <w:rsid w:val="29E34941"/>
    <w:rsid w:val="29EA7630"/>
    <w:rsid w:val="29EC0622"/>
    <w:rsid w:val="29F04FFF"/>
    <w:rsid w:val="29F22B5B"/>
    <w:rsid w:val="29F251DE"/>
    <w:rsid w:val="29F41C21"/>
    <w:rsid w:val="29F5733B"/>
    <w:rsid w:val="29FE3744"/>
    <w:rsid w:val="2A0609B2"/>
    <w:rsid w:val="2A073006"/>
    <w:rsid w:val="2A0B6CFA"/>
    <w:rsid w:val="2A0D1C4E"/>
    <w:rsid w:val="2A0D1E04"/>
    <w:rsid w:val="2A0E120D"/>
    <w:rsid w:val="2A1758D5"/>
    <w:rsid w:val="2A247DBB"/>
    <w:rsid w:val="2A2B739C"/>
    <w:rsid w:val="2A2C49D8"/>
    <w:rsid w:val="2A3049B2"/>
    <w:rsid w:val="2A3F341C"/>
    <w:rsid w:val="2A4346E5"/>
    <w:rsid w:val="2A47392C"/>
    <w:rsid w:val="2A473AAA"/>
    <w:rsid w:val="2A47477C"/>
    <w:rsid w:val="2A4A0BE6"/>
    <w:rsid w:val="2A4A7DC1"/>
    <w:rsid w:val="2A4F43BB"/>
    <w:rsid w:val="2A50295E"/>
    <w:rsid w:val="2A5319FD"/>
    <w:rsid w:val="2A540E61"/>
    <w:rsid w:val="2A5B5B5E"/>
    <w:rsid w:val="2A5C071E"/>
    <w:rsid w:val="2A5E11B3"/>
    <w:rsid w:val="2A6033D4"/>
    <w:rsid w:val="2A614B6C"/>
    <w:rsid w:val="2A6401B8"/>
    <w:rsid w:val="2A657603"/>
    <w:rsid w:val="2A6C52BE"/>
    <w:rsid w:val="2A785209"/>
    <w:rsid w:val="2A7A3E7F"/>
    <w:rsid w:val="2A7C6C68"/>
    <w:rsid w:val="2A7D5A6F"/>
    <w:rsid w:val="2A8108DE"/>
    <w:rsid w:val="2A8B7E3A"/>
    <w:rsid w:val="2A90047E"/>
    <w:rsid w:val="2A95250A"/>
    <w:rsid w:val="2A9D0851"/>
    <w:rsid w:val="2A9E652F"/>
    <w:rsid w:val="2AA21442"/>
    <w:rsid w:val="2AA34A80"/>
    <w:rsid w:val="2AA92E6B"/>
    <w:rsid w:val="2AAB2C02"/>
    <w:rsid w:val="2AAC7F06"/>
    <w:rsid w:val="2AB6495A"/>
    <w:rsid w:val="2AB949A8"/>
    <w:rsid w:val="2ABA5D17"/>
    <w:rsid w:val="2ABC4498"/>
    <w:rsid w:val="2ABC51A5"/>
    <w:rsid w:val="2ABD578D"/>
    <w:rsid w:val="2ABE5B1A"/>
    <w:rsid w:val="2ABF7AE4"/>
    <w:rsid w:val="2AC5334C"/>
    <w:rsid w:val="2AC86999"/>
    <w:rsid w:val="2AD410C5"/>
    <w:rsid w:val="2AD52E64"/>
    <w:rsid w:val="2ADE297A"/>
    <w:rsid w:val="2ADF135E"/>
    <w:rsid w:val="2AE23476"/>
    <w:rsid w:val="2AE31A25"/>
    <w:rsid w:val="2AE52A61"/>
    <w:rsid w:val="2AE5579D"/>
    <w:rsid w:val="2AE92F72"/>
    <w:rsid w:val="2AEB77C9"/>
    <w:rsid w:val="2AF3793F"/>
    <w:rsid w:val="2AF43C32"/>
    <w:rsid w:val="2AF56183"/>
    <w:rsid w:val="2AF725F5"/>
    <w:rsid w:val="2B013C59"/>
    <w:rsid w:val="2B0674C1"/>
    <w:rsid w:val="2B083239"/>
    <w:rsid w:val="2B0B1774"/>
    <w:rsid w:val="2B0D0850"/>
    <w:rsid w:val="2B0F3CBA"/>
    <w:rsid w:val="2B17178A"/>
    <w:rsid w:val="2B181536"/>
    <w:rsid w:val="2B2273D9"/>
    <w:rsid w:val="2B256796"/>
    <w:rsid w:val="2B30453E"/>
    <w:rsid w:val="2B32564C"/>
    <w:rsid w:val="2B32641C"/>
    <w:rsid w:val="2B330D0F"/>
    <w:rsid w:val="2B342280"/>
    <w:rsid w:val="2B364A98"/>
    <w:rsid w:val="2B395AE8"/>
    <w:rsid w:val="2B3E6C5B"/>
    <w:rsid w:val="2B4104F9"/>
    <w:rsid w:val="2B4270DD"/>
    <w:rsid w:val="2B4F286E"/>
    <w:rsid w:val="2B514BE0"/>
    <w:rsid w:val="2B536BAA"/>
    <w:rsid w:val="2B59251B"/>
    <w:rsid w:val="2B597F39"/>
    <w:rsid w:val="2B5D13AB"/>
    <w:rsid w:val="2B5E554F"/>
    <w:rsid w:val="2B722069"/>
    <w:rsid w:val="2B722141"/>
    <w:rsid w:val="2B770F05"/>
    <w:rsid w:val="2B7D34A8"/>
    <w:rsid w:val="2B805104"/>
    <w:rsid w:val="2B85488A"/>
    <w:rsid w:val="2B854CEE"/>
    <w:rsid w:val="2B880C74"/>
    <w:rsid w:val="2B88534B"/>
    <w:rsid w:val="2B885BD7"/>
    <w:rsid w:val="2B962CCA"/>
    <w:rsid w:val="2B977972"/>
    <w:rsid w:val="2B9D2AF6"/>
    <w:rsid w:val="2BA271EA"/>
    <w:rsid w:val="2BA46C8F"/>
    <w:rsid w:val="2BA80578"/>
    <w:rsid w:val="2BB31E55"/>
    <w:rsid w:val="2BB37649"/>
    <w:rsid w:val="2BB533C1"/>
    <w:rsid w:val="2BBF0B82"/>
    <w:rsid w:val="2BC45245"/>
    <w:rsid w:val="2BC51EC5"/>
    <w:rsid w:val="2BC65895"/>
    <w:rsid w:val="2BCD78C0"/>
    <w:rsid w:val="2BD01FBD"/>
    <w:rsid w:val="2BD650E5"/>
    <w:rsid w:val="2BD77907"/>
    <w:rsid w:val="2BEC5442"/>
    <w:rsid w:val="2BEF51D6"/>
    <w:rsid w:val="2BF437BD"/>
    <w:rsid w:val="2BF65788"/>
    <w:rsid w:val="2BFF6617"/>
    <w:rsid w:val="2C0916E4"/>
    <w:rsid w:val="2C165AE7"/>
    <w:rsid w:val="2C1F083A"/>
    <w:rsid w:val="2C1F6A8C"/>
    <w:rsid w:val="2C286B06"/>
    <w:rsid w:val="2C2B3683"/>
    <w:rsid w:val="2C2E295F"/>
    <w:rsid w:val="2C2F3578"/>
    <w:rsid w:val="2C3342E6"/>
    <w:rsid w:val="2C35005E"/>
    <w:rsid w:val="2C38455D"/>
    <w:rsid w:val="2C387B4E"/>
    <w:rsid w:val="2C3A38C6"/>
    <w:rsid w:val="2C3B13EC"/>
    <w:rsid w:val="2C5030EA"/>
    <w:rsid w:val="2C534988"/>
    <w:rsid w:val="2C5876E7"/>
    <w:rsid w:val="2C5A31D9"/>
    <w:rsid w:val="2C5D75B5"/>
    <w:rsid w:val="2C620039"/>
    <w:rsid w:val="2C62428A"/>
    <w:rsid w:val="2C6426F1"/>
    <w:rsid w:val="2C6C6E55"/>
    <w:rsid w:val="2C701FB1"/>
    <w:rsid w:val="2C712DC0"/>
    <w:rsid w:val="2C7C3EDF"/>
    <w:rsid w:val="2C8148F3"/>
    <w:rsid w:val="2C844B41"/>
    <w:rsid w:val="2C846846"/>
    <w:rsid w:val="2C903974"/>
    <w:rsid w:val="2C9169BC"/>
    <w:rsid w:val="2C9D5C03"/>
    <w:rsid w:val="2CA15BD1"/>
    <w:rsid w:val="2CA451E4"/>
    <w:rsid w:val="2CA60F5C"/>
    <w:rsid w:val="2CA64B3B"/>
    <w:rsid w:val="2CA90A4C"/>
    <w:rsid w:val="2CAB45AB"/>
    <w:rsid w:val="2CAF4979"/>
    <w:rsid w:val="2CB371D5"/>
    <w:rsid w:val="2CB76337"/>
    <w:rsid w:val="2CBB6EF5"/>
    <w:rsid w:val="2CC3523C"/>
    <w:rsid w:val="2CC91630"/>
    <w:rsid w:val="2CD72A9E"/>
    <w:rsid w:val="2CD81B3C"/>
    <w:rsid w:val="2CDA29B3"/>
    <w:rsid w:val="2CE05F21"/>
    <w:rsid w:val="2CE101E6"/>
    <w:rsid w:val="2CE4026B"/>
    <w:rsid w:val="2CE51A84"/>
    <w:rsid w:val="2CE5533E"/>
    <w:rsid w:val="2CE90E48"/>
    <w:rsid w:val="2CEA2186"/>
    <w:rsid w:val="2CF00429"/>
    <w:rsid w:val="2CF47017"/>
    <w:rsid w:val="2CF6225B"/>
    <w:rsid w:val="2CFE66A2"/>
    <w:rsid w:val="2D033DF6"/>
    <w:rsid w:val="2D043452"/>
    <w:rsid w:val="2D0839C4"/>
    <w:rsid w:val="2D1050E9"/>
    <w:rsid w:val="2D194E5C"/>
    <w:rsid w:val="2D1B54A6"/>
    <w:rsid w:val="2D234D52"/>
    <w:rsid w:val="2D252283"/>
    <w:rsid w:val="2D2C76B3"/>
    <w:rsid w:val="2D3172B9"/>
    <w:rsid w:val="2D3227EF"/>
    <w:rsid w:val="2D376058"/>
    <w:rsid w:val="2D377E06"/>
    <w:rsid w:val="2D395F46"/>
    <w:rsid w:val="2D3E1194"/>
    <w:rsid w:val="2D4452D1"/>
    <w:rsid w:val="2D4744ED"/>
    <w:rsid w:val="2D483DC1"/>
    <w:rsid w:val="2D4B565F"/>
    <w:rsid w:val="2D4B5A24"/>
    <w:rsid w:val="2D4B6F37"/>
    <w:rsid w:val="2D5C5B9B"/>
    <w:rsid w:val="2D614E83"/>
    <w:rsid w:val="2D656721"/>
    <w:rsid w:val="2D662499"/>
    <w:rsid w:val="2D687FBF"/>
    <w:rsid w:val="2D6A3D37"/>
    <w:rsid w:val="2D734326"/>
    <w:rsid w:val="2D764930"/>
    <w:rsid w:val="2D7828F8"/>
    <w:rsid w:val="2D796670"/>
    <w:rsid w:val="2D833E1B"/>
    <w:rsid w:val="2D856BEC"/>
    <w:rsid w:val="2D8C2630"/>
    <w:rsid w:val="2D9D3448"/>
    <w:rsid w:val="2D9D45BF"/>
    <w:rsid w:val="2DA03BFD"/>
    <w:rsid w:val="2DA84860"/>
    <w:rsid w:val="2DA86345"/>
    <w:rsid w:val="2DAD00C8"/>
    <w:rsid w:val="2DB800CF"/>
    <w:rsid w:val="2DBB27E5"/>
    <w:rsid w:val="2DBE5C85"/>
    <w:rsid w:val="2DBE7C66"/>
    <w:rsid w:val="2DC071FE"/>
    <w:rsid w:val="2DC23B73"/>
    <w:rsid w:val="2DC7118A"/>
    <w:rsid w:val="2DD04C09"/>
    <w:rsid w:val="2DD218DC"/>
    <w:rsid w:val="2DDB4C35"/>
    <w:rsid w:val="2DDC55FA"/>
    <w:rsid w:val="2DDE64D3"/>
    <w:rsid w:val="2DE55AB4"/>
    <w:rsid w:val="2DE55E6C"/>
    <w:rsid w:val="2DE81B39"/>
    <w:rsid w:val="2E0940C9"/>
    <w:rsid w:val="2E0A0E72"/>
    <w:rsid w:val="2E1343CF"/>
    <w:rsid w:val="2E1C5DF1"/>
    <w:rsid w:val="2E20089A"/>
    <w:rsid w:val="2E204D3E"/>
    <w:rsid w:val="2E222864"/>
    <w:rsid w:val="2E24482E"/>
    <w:rsid w:val="2E254FB4"/>
    <w:rsid w:val="2E2760CC"/>
    <w:rsid w:val="2E2E04D2"/>
    <w:rsid w:val="2E3305CD"/>
    <w:rsid w:val="2E3A7BAD"/>
    <w:rsid w:val="2E3D3B3A"/>
    <w:rsid w:val="2E3F3416"/>
    <w:rsid w:val="2E47051C"/>
    <w:rsid w:val="2E50117F"/>
    <w:rsid w:val="2E530C6F"/>
    <w:rsid w:val="2E5365C6"/>
    <w:rsid w:val="2E565881"/>
    <w:rsid w:val="2E5A0250"/>
    <w:rsid w:val="2E6A7D67"/>
    <w:rsid w:val="2E6E7857"/>
    <w:rsid w:val="2E7207E5"/>
    <w:rsid w:val="2E786DB1"/>
    <w:rsid w:val="2E8157DC"/>
    <w:rsid w:val="2E880375"/>
    <w:rsid w:val="2E89643F"/>
    <w:rsid w:val="2E8A3797"/>
    <w:rsid w:val="2E8F74A9"/>
    <w:rsid w:val="2E9279E9"/>
    <w:rsid w:val="2E982B26"/>
    <w:rsid w:val="2EA27501"/>
    <w:rsid w:val="2EA47D89"/>
    <w:rsid w:val="2EA944D2"/>
    <w:rsid w:val="2EA97D83"/>
    <w:rsid w:val="2EAE2A4C"/>
    <w:rsid w:val="2EB07208"/>
    <w:rsid w:val="2EB15996"/>
    <w:rsid w:val="2EB84F76"/>
    <w:rsid w:val="2EB9643D"/>
    <w:rsid w:val="2EC102CF"/>
    <w:rsid w:val="2EC1207D"/>
    <w:rsid w:val="2ED022C0"/>
    <w:rsid w:val="2ED27DE6"/>
    <w:rsid w:val="2ED55B28"/>
    <w:rsid w:val="2ED85923"/>
    <w:rsid w:val="2EDB23D1"/>
    <w:rsid w:val="2EE05A21"/>
    <w:rsid w:val="2EE1150A"/>
    <w:rsid w:val="2EEE2746"/>
    <w:rsid w:val="2EF00F19"/>
    <w:rsid w:val="2EF0219C"/>
    <w:rsid w:val="2EF966B0"/>
    <w:rsid w:val="2F120B2A"/>
    <w:rsid w:val="2F1403FE"/>
    <w:rsid w:val="2F1856C3"/>
    <w:rsid w:val="2F1C6FCF"/>
    <w:rsid w:val="2F1D6D82"/>
    <w:rsid w:val="2F305B22"/>
    <w:rsid w:val="2F37730B"/>
    <w:rsid w:val="2F3842D0"/>
    <w:rsid w:val="2F3B32FA"/>
    <w:rsid w:val="2F3E36CD"/>
    <w:rsid w:val="2F4A4EE0"/>
    <w:rsid w:val="2F4C5D0E"/>
    <w:rsid w:val="2F4D56BE"/>
    <w:rsid w:val="2F512F41"/>
    <w:rsid w:val="2F546A4D"/>
    <w:rsid w:val="2F57098B"/>
    <w:rsid w:val="2F587352"/>
    <w:rsid w:val="2F593AD5"/>
    <w:rsid w:val="2F5B602D"/>
    <w:rsid w:val="2F650C5A"/>
    <w:rsid w:val="2F6F22FA"/>
    <w:rsid w:val="2F715851"/>
    <w:rsid w:val="2F73653C"/>
    <w:rsid w:val="2F767A17"/>
    <w:rsid w:val="2F827A5E"/>
    <w:rsid w:val="2F83752B"/>
    <w:rsid w:val="2F875074"/>
    <w:rsid w:val="2F8A246F"/>
    <w:rsid w:val="2F9217E7"/>
    <w:rsid w:val="2F923A19"/>
    <w:rsid w:val="2FA01C92"/>
    <w:rsid w:val="2FA12CF7"/>
    <w:rsid w:val="2FA21EAE"/>
    <w:rsid w:val="2FA379D4"/>
    <w:rsid w:val="2FA572A9"/>
    <w:rsid w:val="2FA7156F"/>
    <w:rsid w:val="2FA774C5"/>
    <w:rsid w:val="2FAF0127"/>
    <w:rsid w:val="2FB13E9F"/>
    <w:rsid w:val="2FBC1D2B"/>
    <w:rsid w:val="2FBC45F2"/>
    <w:rsid w:val="2FBC4F11"/>
    <w:rsid w:val="2FBE7790"/>
    <w:rsid w:val="2FC53494"/>
    <w:rsid w:val="2FC53897"/>
    <w:rsid w:val="2FCD159E"/>
    <w:rsid w:val="2FCF07C9"/>
    <w:rsid w:val="2FCF2577"/>
    <w:rsid w:val="2FD1009E"/>
    <w:rsid w:val="2FD45DE0"/>
    <w:rsid w:val="2FEC4A36"/>
    <w:rsid w:val="2FEC64BE"/>
    <w:rsid w:val="2FED1556"/>
    <w:rsid w:val="2FF124EE"/>
    <w:rsid w:val="2FF63FA8"/>
    <w:rsid w:val="2FF65D56"/>
    <w:rsid w:val="2FF7387C"/>
    <w:rsid w:val="2FF823FB"/>
    <w:rsid w:val="300264A9"/>
    <w:rsid w:val="30085A89"/>
    <w:rsid w:val="300D4E4E"/>
    <w:rsid w:val="300E30A0"/>
    <w:rsid w:val="301306B6"/>
    <w:rsid w:val="30147CC8"/>
    <w:rsid w:val="30157B85"/>
    <w:rsid w:val="301601A6"/>
    <w:rsid w:val="30163A3F"/>
    <w:rsid w:val="30187880"/>
    <w:rsid w:val="301F409E"/>
    <w:rsid w:val="30393E95"/>
    <w:rsid w:val="30405223"/>
    <w:rsid w:val="30406FD1"/>
    <w:rsid w:val="30427B90"/>
    <w:rsid w:val="304765B2"/>
    <w:rsid w:val="304C5976"/>
    <w:rsid w:val="30521C16"/>
    <w:rsid w:val="30550CCF"/>
    <w:rsid w:val="305A353B"/>
    <w:rsid w:val="305B3BBD"/>
    <w:rsid w:val="305D28EF"/>
    <w:rsid w:val="305F38FB"/>
    <w:rsid w:val="30603B8E"/>
    <w:rsid w:val="3069482A"/>
    <w:rsid w:val="306E7FE2"/>
    <w:rsid w:val="30744ECD"/>
    <w:rsid w:val="30751371"/>
    <w:rsid w:val="30764E18"/>
    <w:rsid w:val="30790135"/>
    <w:rsid w:val="307B625B"/>
    <w:rsid w:val="307D1FD3"/>
    <w:rsid w:val="30875B6C"/>
    <w:rsid w:val="308C054E"/>
    <w:rsid w:val="308C20BB"/>
    <w:rsid w:val="308E41E1"/>
    <w:rsid w:val="308E5F8F"/>
    <w:rsid w:val="309E452C"/>
    <w:rsid w:val="30A47B90"/>
    <w:rsid w:val="30A722F9"/>
    <w:rsid w:val="30B0159E"/>
    <w:rsid w:val="30B44927"/>
    <w:rsid w:val="30B654E5"/>
    <w:rsid w:val="30B860DB"/>
    <w:rsid w:val="30BA3228"/>
    <w:rsid w:val="30BE6C79"/>
    <w:rsid w:val="30C92998"/>
    <w:rsid w:val="30D330AB"/>
    <w:rsid w:val="30E06ACA"/>
    <w:rsid w:val="30E43E01"/>
    <w:rsid w:val="30E70735"/>
    <w:rsid w:val="30E92EDE"/>
    <w:rsid w:val="30EB33E1"/>
    <w:rsid w:val="30F66A79"/>
    <w:rsid w:val="30FC55EE"/>
    <w:rsid w:val="30FC739C"/>
    <w:rsid w:val="3102072B"/>
    <w:rsid w:val="311346E6"/>
    <w:rsid w:val="31152B35"/>
    <w:rsid w:val="311918F0"/>
    <w:rsid w:val="311C584B"/>
    <w:rsid w:val="312566B9"/>
    <w:rsid w:val="31275E90"/>
    <w:rsid w:val="312A5215"/>
    <w:rsid w:val="312B5ED3"/>
    <w:rsid w:val="312D57A8"/>
    <w:rsid w:val="313A7EC4"/>
    <w:rsid w:val="313C778B"/>
    <w:rsid w:val="31402948"/>
    <w:rsid w:val="31453715"/>
    <w:rsid w:val="314D6E54"/>
    <w:rsid w:val="314F1BC2"/>
    <w:rsid w:val="31520047"/>
    <w:rsid w:val="315C608D"/>
    <w:rsid w:val="315F57E8"/>
    <w:rsid w:val="31627E2E"/>
    <w:rsid w:val="316C3231"/>
    <w:rsid w:val="316D029A"/>
    <w:rsid w:val="316D188C"/>
    <w:rsid w:val="316F5BA4"/>
    <w:rsid w:val="31701B38"/>
    <w:rsid w:val="3175714F"/>
    <w:rsid w:val="3176279D"/>
    <w:rsid w:val="31794E91"/>
    <w:rsid w:val="318168E7"/>
    <w:rsid w:val="318765DF"/>
    <w:rsid w:val="31886E82"/>
    <w:rsid w:val="318B0720"/>
    <w:rsid w:val="318E3C80"/>
    <w:rsid w:val="31945827"/>
    <w:rsid w:val="319B288F"/>
    <w:rsid w:val="31A43590"/>
    <w:rsid w:val="31AE34DE"/>
    <w:rsid w:val="31B371B6"/>
    <w:rsid w:val="31B9528D"/>
    <w:rsid w:val="31BB7257"/>
    <w:rsid w:val="31CB6DB2"/>
    <w:rsid w:val="31CD6F8B"/>
    <w:rsid w:val="31CE2772"/>
    <w:rsid w:val="31D200FD"/>
    <w:rsid w:val="31D67624"/>
    <w:rsid w:val="31D75713"/>
    <w:rsid w:val="31DB3455"/>
    <w:rsid w:val="31E63BA8"/>
    <w:rsid w:val="31ED3189"/>
    <w:rsid w:val="31F167D5"/>
    <w:rsid w:val="31F75EFF"/>
    <w:rsid w:val="31F97D80"/>
    <w:rsid w:val="31FA1DA0"/>
    <w:rsid w:val="31FB7654"/>
    <w:rsid w:val="31FC517A"/>
    <w:rsid w:val="31FF4887"/>
    <w:rsid w:val="320274E7"/>
    <w:rsid w:val="32035938"/>
    <w:rsid w:val="32051053"/>
    <w:rsid w:val="320A5AE9"/>
    <w:rsid w:val="320D55D9"/>
    <w:rsid w:val="32130E41"/>
    <w:rsid w:val="321610B2"/>
    <w:rsid w:val="321D6FE5"/>
    <w:rsid w:val="32250B75"/>
    <w:rsid w:val="32263D45"/>
    <w:rsid w:val="3227669B"/>
    <w:rsid w:val="32291420"/>
    <w:rsid w:val="322E5285"/>
    <w:rsid w:val="322E5C7B"/>
    <w:rsid w:val="32356A97"/>
    <w:rsid w:val="323D7C6C"/>
    <w:rsid w:val="323F3DA7"/>
    <w:rsid w:val="3240150B"/>
    <w:rsid w:val="32463124"/>
    <w:rsid w:val="324E499A"/>
    <w:rsid w:val="324F1E45"/>
    <w:rsid w:val="3251196A"/>
    <w:rsid w:val="325D3E6B"/>
    <w:rsid w:val="325F1EA9"/>
    <w:rsid w:val="3260395B"/>
    <w:rsid w:val="32607DFF"/>
    <w:rsid w:val="32625925"/>
    <w:rsid w:val="326276D3"/>
    <w:rsid w:val="3267118D"/>
    <w:rsid w:val="32690A61"/>
    <w:rsid w:val="3276317E"/>
    <w:rsid w:val="32817D7B"/>
    <w:rsid w:val="3282506A"/>
    <w:rsid w:val="32847649"/>
    <w:rsid w:val="328855E4"/>
    <w:rsid w:val="328C72C2"/>
    <w:rsid w:val="32944A6A"/>
    <w:rsid w:val="329456C3"/>
    <w:rsid w:val="32955609"/>
    <w:rsid w:val="32957AA8"/>
    <w:rsid w:val="329A50BF"/>
    <w:rsid w:val="32A81D43"/>
    <w:rsid w:val="32A95302"/>
    <w:rsid w:val="32AF52C6"/>
    <w:rsid w:val="32B17973"/>
    <w:rsid w:val="32B31CDC"/>
    <w:rsid w:val="32B36180"/>
    <w:rsid w:val="32BB5035"/>
    <w:rsid w:val="32C1089D"/>
    <w:rsid w:val="32C12C2B"/>
    <w:rsid w:val="32C57C62"/>
    <w:rsid w:val="32C95A8C"/>
    <w:rsid w:val="32CE6445"/>
    <w:rsid w:val="32CF509C"/>
    <w:rsid w:val="32D3237F"/>
    <w:rsid w:val="32DC0EB2"/>
    <w:rsid w:val="32E427DE"/>
    <w:rsid w:val="32E71A40"/>
    <w:rsid w:val="32EB591A"/>
    <w:rsid w:val="32EB76C8"/>
    <w:rsid w:val="32EC51EE"/>
    <w:rsid w:val="32F02B12"/>
    <w:rsid w:val="32F742BF"/>
    <w:rsid w:val="33041FD3"/>
    <w:rsid w:val="33087C08"/>
    <w:rsid w:val="330F28A5"/>
    <w:rsid w:val="33182487"/>
    <w:rsid w:val="331D35FA"/>
    <w:rsid w:val="33240E2C"/>
    <w:rsid w:val="33244988"/>
    <w:rsid w:val="3328091C"/>
    <w:rsid w:val="3330332D"/>
    <w:rsid w:val="33357C1C"/>
    <w:rsid w:val="333948D8"/>
    <w:rsid w:val="33436D97"/>
    <w:rsid w:val="33484B1B"/>
    <w:rsid w:val="33501C21"/>
    <w:rsid w:val="33515C8A"/>
    <w:rsid w:val="33524AF4"/>
    <w:rsid w:val="33524ECE"/>
    <w:rsid w:val="33525999"/>
    <w:rsid w:val="33590DE0"/>
    <w:rsid w:val="335B3615"/>
    <w:rsid w:val="335F3C12"/>
    <w:rsid w:val="33605348"/>
    <w:rsid w:val="33631D5F"/>
    <w:rsid w:val="336743E3"/>
    <w:rsid w:val="33701575"/>
    <w:rsid w:val="33713DD4"/>
    <w:rsid w:val="337218E7"/>
    <w:rsid w:val="33727DEA"/>
    <w:rsid w:val="33747C08"/>
    <w:rsid w:val="33752ADF"/>
    <w:rsid w:val="337544E7"/>
    <w:rsid w:val="33784CD4"/>
    <w:rsid w:val="3381002D"/>
    <w:rsid w:val="33833DA5"/>
    <w:rsid w:val="33843679"/>
    <w:rsid w:val="33845AEF"/>
    <w:rsid w:val="338A1C5E"/>
    <w:rsid w:val="338C365C"/>
    <w:rsid w:val="338D02E2"/>
    <w:rsid w:val="33916300"/>
    <w:rsid w:val="33951EF8"/>
    <w:rsid w:val="339D5D33"/>
    <w:rsid w:val="339E2ACB"/>
    <w:rsid w:val="33A23246"/>
    <w:rsid w:val="33AB32FB"/>
    <w:rsid w:val="33AC1339"/>
    <w:rsid w:val="33AE48CC"/>
    <w:rsid w:val="33B201E6"/>
    <w:rsid w:val="33B45D0C"/>
    <w:rsid w:val="33B51311"/>
    <w:rsid w:val="33B73A4E"/>
    <w:rsid w:val="33B9293B"/>
    <w:rsid w:val="33BF2903"/>
    <w:rsid w:val="33C5616B"/>
    <w:rsid w:val="33D26ADA"/>
    <w:rsid w:val="33D55500"/>
    <w:rsid w:val="33D62126"/>
    <w:rsid w:val="33DB798F"/>
    <w:rsid w:val="33DC27C9"/>
    <w:rsid w:val="33DFA62C"/>
    <w:rsid w:val="33E10ACB"/>
    <w:rsid w:val="33E32A95"/>
    <w:rsid w:val="33ED56C2"/>
    <w:rsid w:val="33F3732D"/>
    <w:rsid w:val="34034EE6"/>
    <w:rsid w:val="34056007"/>
    <w:rsid w:val="34074FA3"/>
    <w:rsid w:val="340903D1"/>
    <w:rsid w:val="340E1496"/>
    <w:rsid w:val="34115391"/>
    <w:rsid w:val="341D2EC6"/>
    <w:rsid w:val="341E27F0"/>
    <w:rsid w:val="341E587B"/>
    <w:rsid w:val="342121ED"/>
    <w:rsid w:val="342B1D46"/>
    <w:rsid w:val="34332832"/>
    <w:rsid w:val="34384B8F"/>
    <w:rsid w:val="343A0557"/>
    <w:rsid w:val="343B01DB"/>
    <w:rsid w:val="34443F98"/>
    <w:rsid w:val="344D6161"/>
    <w:rsid w:val="3456587C"/>
    <w:rsid w:val="345839B8"/>
    <w:rsid w:val="34713BFD"/>
    <w:rsid w:val="34796F56"/>
    <w:rsid w:val="347E567B"/>
    <w:rsid w:val="34823EFC"/>
    <w:rsid w:val="34824267"/>
    <w:rsid w:val="3486725C"/>
    <w:rsid w:val="34884436"/>
    <w:rsid w:val="34891977"/>
    <w:rsid w:val="34891A92"/>
    <w:rsid w:val="348A2F11"/>
    <w:rsid w:val="348D35C7"/>
    <w:rsid w:val="348E2A01"/>
    <w:rsid w:val="348F2F18"/>
    <w:rsid w:val="34906DAF"/>
    <w:rsid w:val="34930017"/>
    <w:rsid w:val="3493286A"/>
    <w:rsid w:val="34943D90"/>
    <w:rsid w:val="34B14942"/>
    <w:rsid w:val="34B561E0"/>
    <w:rsid w:val="34B65AB4"/>
    <w:rsid w:val="34BD0A45"/>
    <w:rsid w:val="34BD4BA2"/>
    <w:rsid w:val="34C46423"/>
    <w:rsid w:val="34E22D4D"/>
    <w:rsid w:val="34EB2D5E"/>
    <w:rsid w:val="34F12F90"/>
    <w:rsid w:val="34F76B17"/>
    <w:rsid w:val="34FA3BF3"/>
    <w:rsid w:val="35022D2E"/>
    <w:rsid w:val="3504212C"/>
    <w:rsid w:val="350608B2"/>
    <w:rsid w:val="350C08BE"/>
    <w:rsid w:val="350E3B42"/>
    <w:rsid w:val="350E58F0"/>
    <w:rsid w:val="35131158"/>
    <w:rsid w:val="3515212D"/>
    <w:rsid w:val="35156C7E"/>
    <w:rsid w:val="351B0B66"/>
    <w:rsid w:val="351F3659"/>
    <w:rsid w:val="352073D1"/>
    <w:rsid w:val="35245113"/>
    <w:rsid w:val="35250261"/>
    <w:rsid w:val="3529097C"/>
    <w:rsid w:val="352B64A2"/>
    <w:rsid w:val="35352E7D"/>
    <w:rsid w:val="35365E57"/>
    <w:rsid w:val="353741CE"/>
    <w:rsid w:val="35447564"/>
    <w:rsid w:val="354632DC"/>
    <w:rsid w:val="35496928"/>
    <w:rsid w:val="354D466A"/>
    <w:rsid w:val="354F3A03"/>
    <w:rsid w:val="35563ECB"/>
    <w:rsid w:val="355D23D3"/>
    <w:rsid w:val="355D66C9"/>
    <w:rsid w:val="35607689"/>
    <w:rsid w:val="3561037B"/>
    <w:rsid w:val="35693C08"/>
    <w:rsid w:val="3569521C"/>
    <w:rsid w:val="356A2329"/>
    <w:rsid w:val="356C7D8E"/>
    <w:rsid w:val="356E5D01"/>
    <w:rsid w:val="357320AE"/>
    <w:rsid w:val="357C7EED"/>
    <w:rsid w:val="357D4824"/>
    <w:rsid w:val="35841E81"/>
    <w:rsid w:val="35891A89"/>
    <w:rsid w:val="358A7C04"/>
    <w:rsid w:val="358B29C0"/>
    <w:rsid w:val="3596063D"/>
    <w:rsid w:val="35977693"/>
    <w:rsid w:val="359953B3"/>
    <w:rsid w:val="359B00FB"/>
    <w:rsid w:val="35AA241A"/>
    <w:rsid w:val="35AD0EA2"/>
    <w:rsid w:val="35BD2BA5"/>
    <w:rsid w:val="35BF159A"/>
    <w:rsid w:val="35C366DA"/>
    <w:rsid w:val="35CD7559"/>
    <w:rsid w:val="35CE46AE"/>
    <w:rsid w:val="35DC779C"/>
    <w:rsid w:val="35E02ECA"/>
    <w:rsid w:val="35E054DE"/>
    <w:rsid w:val="35E23668"/>
    <w:rsid w:val="35ED7BFB"/>
    <w:rsid w:val="35F226EB"/>
    <w:rsid w:val="35F26FC0"/>
    <w:rsid w:val="35FB2318"/>
    <w:rsid w:val="35FE3BB6"/>
    <w:rsid w:val="36022C46"/>
    <w:rsid w:val="36034D29"/>
    <w:rsid w:val="36107BED"/>
    <w:rsid w:val="361113D0"/>
    <w:rsid w:val="361115A1"/>
    <w:rsid w:val="36193992"/>
    <w:rsid w:val="361E6007"/>
    <w:rsid w:val="362D7FF8"/>
    <w:rsid w:val="362F5B1E"/>
    <w:rsid w:val="363470C6"/>
    <w:rsid w:val="36380454"/>
    <w:rsid w:val="363E0E3B"/>
    <w:rsid w:val="36415E89"/>
    <w:rsid w:val="36445C13"/>
    <w:rsid w:val="36464CCC"/>
    <w:rsid w:val="36466F20"/>
    <w:rsid w:val="3651512A"/>
    <w:rsid w:val="365A3153"/>
    <w:rsid w:val="36604C3B"/>
    <w:rsid w:val="366215F3"/>
    <w:rsid w:val="36642B6C"/>
    <w:rsid w:val="36647515"/>
    <w:rsid w:val="366D26E7"/>
    <w:rsid w:val="366D3A16"/>
    <w:rsid w:val="366E2ED3"/>
    <w:rsid w:val="36786CDC"/>
    <w:rsid w:val="367B6FB5"/>
    <w:rsid w:val="367F5432"/>
    <w:rsid w:val="367F55E7"/>
    <w:rsid w:val="36914A2B"/>
    <w:rsid w:val="369A3EC3"/>
    <w:rsid w:val="369D1B80"/>
    <w:rsid w:val="369E0EF6"/>
    <w:rsid w:val="36A007CA"/>
    <w:rsid w:val="36A50EB6"/>
    <w:rsid w:val="36A807AE"/>
    <w:rsid w:val="36B15179"/>
    <w:rsid w:val="36B85B13"/>
    <w:rsid w:val="36C175C6"/>
    <w:rsid w:val="36C21264"/>
    <w:rsid w:val="36C82C47"/>
    <w:rsid w:val="36CE17DB"/>
    <w:rsid w:val="36D8295A"/>
    <w:rsid w:val="36D87F64"/>
    <w:rsid w:val="36D93CDC"/>
    <w:rsid w:val="36DD557A"/>
    <w:rsid w:val="36E65199"/>
    <w:rsid w:val="36E745A2"/>
    <w:rsid w:val="36E83F1F"/>
    <w:rsid w:val="36EC3A0F"/>
    <w:rsid w:val="36EE3C2B"/>
    <w:rsid w:val="36F81D0E"/>
    <w:rsid w:val="36FE4069"/>
    <w:rsid w:val="36FF4C08"/>
    <w:rsid w:val="37023232"/>
    <w:rsid w:val="370A20E7"/>
    <w:rsid w:val="371F4BBF"/>
    <w:rsid w:val="371F7B4F"/>
    <w:rsid w:val="37296A11"/>
    <w:rsid w:val="372D7B0B"/>
    <w:rsid w:val="372E1735"/>
    <w:rsid w:val="37390A3C"/>
    <w:rsid w:val="37397F6D"/>
    <w:rsid w:val="373F724F"/>
    <w:rsid w:val="374455F9"/>
    <w:rsid w:val="37460AB5"/>
    <w:rsid w:val="374B1A5B"/>
    <w:rsid w:val="37557806"/>
    <w:rsid w:val="37565214"/>
    <w:rsid w:val="375A12C0"/>
    <w:rsid w:val="375A306E"/>
    <w:rsid w:val="375B3C7B"/>
    <w:rsid w:val="37645C9B"/>
    <w:rsid w:val="37691503"/>
    <w:rsid w:val="376C6090"/>
    <w:rsid w:val="37732382"/>
    <w:rsid w:val="37805E9B"/>
    <w:rsid w:val="378325C5"/>
    <w:rsid w:val="378571E0"/>
    <w:rsid w:val="37887BDC"/>
    <w:rsid w:val="378A2E2C"/>
    <w:rsid w:val="3795053A"/>
    <w:rsid w:val="379530C6"/>
    <w:rsid w:val="37976071"/>
    <w:rsid w:val="3798282D"/>
    <w:rsid w:val="37AF33BA"/>
    <w:rsid w:val="37B248FD"/>
    <w:rsid w:val="37B24AB3"/>
    <w:rsid w:val="37B564F7"/>
    <w:rsid w:val="37B7401D"/>
    <w:rsid w:val="37BA1D5F"/>
    <w:rsid w:val="37BC7885"/>
    <w:rsid w:val="37C60704"/>
    <w:rsid w:val="37C9239D"/>
    <w:rsid w:val="37CD55EE"/>
    <w:rsid w:val="37D20E57"/>
    <w:rsid w:val="37D2266D"/>
    <w:rsid w:val="37DD4C8C"/>
    <w:rsid w:val="37E40B8A"/>
    <w:rsid w:val="37E868CC"/>
    <w:rsid w:val="37EA7BDA"/>
    <w:rsid w:val="37EB3CC7"/>
    <w:rsid w:val="37EE798C"/>
    <w:rsid w:val="37F05750"/>
    <w:rsid w:val="37F40CE9"/>
    <w:rsid w:val="37F44FFE"/>
    <w:rsid w:val="37F82ABC"/>
    <w:rsid w:val="37FC04AB"/>
    <w:rsid w:val="37FC4126"/>
    <w:rsid w:val="37FF5EC8"/>
    <w:rsid w:val="3806155D"/>
    <w:rsid w:val="3809330B"/>
    <w:rsid w:val="380B6117"/>
    <w:rsid w:val="380E28C0"/>
    <w:rsid w:val="380F3E59"/>
    <w:rsid w:val="381A58BA"/>
    <w:rsid w:val="381E22EE"/>
    <w:rsid w:val="38244B3F"/>
    <w:rsid w:val="38256634"/>
    <w:rsid w:val="382A0C93"/>
    <w:rsid w:val="383A4409"/>
    <w:rsid w:val="383E51B3"/>
    <w:rsid w:val="38402B7E"/>
    <w:rsid w:val="38404012"/>
    <w:rsid w:val="3847158B"/>
    <w:rsid w:val="3849678C"/>
    <w:rsid w:val="384F7AA2"/>
    <w:rsid w:val="385201EA"/>
    <w:rsid w:val="385505E5"/>
    <w:rsid w:val="385555E4"/>
    <w:rsid w:val="385D074F"/>
    <w:rsid w:val="38602906"/>
    <w:rsid w:val="386106E0"/>
    <w:rsid w:val="386121DB"/>
    <w:rsid w:val="38654298"/>
    <w:rsid w:val="386D4F37"/>
    <w:rsid w:val="386E5BFC"/>
    <w:rsid w:val="386F06F8"/>
    <w:rsid w:val="386F48F8"/>
    <w:rsid w:val="38714543"/>
    <w:rsid w:val="387E5850"/>
    <w:rsid w:val="38884D2F"/>
    <w:rsid w:val="38886858"/>
    <w:rsid w:val="388A1666"/>
    <w:rsid w:val="388A1EF2"/>
    <w:rsid w:val="388F0AF6"/>
    <w:rsid w:val="388F6D48"/>
    <w:rsid w:val="38995E18"/>
    <w:rsid w:val="389967FD"/>
    <w:rsid w:val="389D1465"/>
    <w:rsid w:val="38B6115D"/>
    <w:rsid w:val="38BE762D"/>
    <w:rsid w:val="38C810A2"/>
    <w:rsid w:val="38CB2E0B"/>
    <w:rsid w:val="38CE00EA"/>
    <w:rsid w:val="38D56570"/>
    <w:rsid w:val="38D94467"/>
    <w:rsid w:val="38D96215"/>
    <w:rsid w:val="38E173A8"/>
    <w:rsid w:val="38E70932"/>
    <w:rsid w:val="38E726E0"/>
    <w:rsid w:val="38EC7806"/>
    <w:rsid w:val="38F00953"/>
    <w:rsid w:val="38F31085"/>
    <w:rsid w:val="39023538"/>
    <w:rsid w:val="390750D9"/>
    <w:rsid w:val="390A2872"/>
    <w:rsid w:val="390D653D"/>
    <w:rsid w:val="390E5CB1"/>
    <w:rsid w:val="390F1A9A"/>
    <w:rsid w:val="39194863"/>
    <w:rsid w:val="391B3FFA"/>
    <w:rsid w:val="39253208"/>
    <w:rsid w:val="39284E12"/>
    <w:rsid w:val="39290F4A"/>
    <w:rsid w:val="392A2FD2"/>
    <w:rsid w:val="392A3862"/>
    <w:rsid w:val="392B61FC"/>
    <w:rsid w:val="392F2027"/>
    <w:rsid w:val="39381C3E"/>
    <w:rsid w:val="394418E0"/>
    <w:rsid w:val="394F4928"/>
    <w:rsid w:val="3950297B"/>
    <w:rsid w:val="39517B4B"/>
    <w:rsid w:val="39542518"/>
    <w:rsid w:val="395568D4"/>
    <w:rsid w:val="39567866"/>
    <w:rsid w:val="395801D3"/>
    <w:rsid w:val="395974E0"/>
    <w:rsid w:val="395D72F1"/>
    <w:rsid w:val="396635A7"/>
    <w:rsid w:val="396E2E01"/>
    <w:rsid w:val="39706B79"/>
    <w:rsid w:val="39723EC5"/>
    <w:rsid w:val="39737051"/>
    <w:rsid w:val="397E633A"/>
    <w:rsid w:val="39835B15"/>
    <w:rsid w:val="39840742"/>
    <w:rsid w:val="39846181"/>
    <w:rsid w:val="39900FC9"/>
    <w:rsid w:val="399F120C"/>
    <w:rsid w:val="39A14F85"/>
    <w:rsid w:val="39A22AAB"/>
    <w:rsid w:val="39A27F0D"/>
    <w:rsid w:val="39A909A1"/>
    <w:rsid w:val="39B06F76"/>
    <w:rsid w:val="39B51940"/>
    <w:rsid w:val="39BE516B"/>
    <w:rsid w:val="39CE7FD9"/>
    <w:rsid w:val="39D215E2"/>
    <w:rsid w:val="39D7744C"/>
    <w:rsid w:val="39D864CC"/>
    <w:rsid w:val="39DE1D35"/>
    <w:rsid w:val="39DF3CFF"/>
    <w:rsid w:val="39E60BE9"/>
    <w:rsid w:val="39EC3D26"/>
    <w:rsid w:val="39F257E0"/>
    <w:rsid w:val="39FF6177"/>
    <w:rsid w:val="3A015A23"/>
    <w:rsid w:val="3A0B68A2"/>
    <w:rsid w:val="3A0D63F8"/>
    <w:rsid w:val="3A0F6392"/>
    <w:rsid w:val="3A173499"/>
    <w:rsid w:val="3A173CF6"/>
    <w:rsid w:val="3A1C70CB"/>
    <w:rsid w:val="3A211C22"/>
    <w:rsid w:val="3A23240B"/>
    <w:rsid w:val="3A253286"/>
    <w:rsid w:val="3A2636DC"/>
    <w:rsid w:val="3A281202"/>
    <w:rsid w:val="3A296D28"/>
    <w:rsid w:val="3A2C12A6"/>
    <w:rsid w:val="3A2C4FAA"/>
    <w:rsid w:val="3A2D31FD"/>
    <w:rsid w:val="3A306308"/>
    <w:rsid w:val="3A32374C"/>
    <w:rsid w:val="3A323E2F"/>
    <w:rsid w:val="3A347611"/>
    <w:rsid w:val="3A3C3AC3"/>
    <w:rsid w:val="3A43428E"/>
    <w:rsid w:val="3A4554C0"/>
    <w:rsid w:val="3A480BD6"/>
    <w:rsid w:val="3A4F795A"/>
    <w:rsid w:val="3A583C64"/>
    <w:rsid w:val="3A661D2A"/>
    <w:rsid w:val="3A667F7C"/>
    <w:rsid w:val="3A6A67D9"/>
    <w:rsid w:val="3A7015E5"/>
    <w:rsid w:val="3A7461F5"/>
    <w:rsid w:val="3A7A6F3C"/>
    <w:rsid w:val="3A7A70F1"/>
    <w:rsid w:val="3A7D42E7"/>
    <w:rsid w:val="3A7D670E"/>
    <w:rsid w:val="3A810912"/>
    <w:rsid w:val="3A824DB6"/>
    <w:rsid w:val="3A856654"/>
    <w:rsid w:val="3A895F1A"/>
    <w:rsid w:val="3A8A3C6B"/>
    <w:rsid w:val="3A8D5509"/>
    <w:rsid w:val="3A8E52DD"/>
    <w:rsid w:val="3A922B1F"/>
    <w:rsid w:val="3AA47EC1"/>
    <w:rsid w:val="3AAD1707"/>
    <w:rsid w:val="3AAD5BAB"/>
    <w:rsid w:val="3AAF38F1"/>
    <w:rsid w:val="3AB413D1"/>
    <w:rsid w:val="3AC05C10"/>
    <w:rsid w:val="3AC555D8"/>
    <w:rsid w:val="3AC75562"/>
    <w:rsid w:val="3AC94911"/>
    <w:rsid w:val="3ACC7DDF"/>
    <w:rsid w:val="3ACE216B"/>
    <w:rsid w:val="3ACE7FFB"/>
    <w:rsid w:val="3AD072FD"/>
    <w:rsid w:val="3AD15428"/>
    <w:rsid w:val="3AD44EE6"/>
    <w:rsid w:val="3AD9074E"/>
    <w:rsid w:val="3ADC02DB"/>
    <w:rsid w:val="3ADD50BB"/>
    <w:rsid w:val="3ADE5D64"/>
    <w:rsid w:val="3AE25855"/>
    <w:rsid w:val="3AED318F"/>
    <w:rsid w:val="3AF17393"/>
    <w:rsid w:val="3AF410E4"/>
    <w:rsid w:val="3AFB6916"/>
    <w:rsid w:val="3AFC4F2B"/>
    <w:rsid w:val="3B051543"/>
    <w:rsid w:val="3B0633B9"/>
    <w:rsid w:val="3B085695"/>
    <w:rsid w:val="3B095C9D"/>
    <w:rsid w:val="3B1B48C3"/>
    <w:rsid w:val="3B263535"/>
    <w:rsid w:val="3B2B1381"/>
    <w:rsid w:val="3B2D429E"/>
    <w:rsid w:val="3B304E32"/>
    <w:rsid w:val="3B31058A"/>
    <w:rsid w:val="3B342DF9"/>
    <w:rsid w:val="3B381919"/>
    <w:rsid w:val="3B3F6BB2"/>
    <w:rsid w:val="3B44206B"/>
    <w:rsid w:val="3B4770E1"/>
    <w:rsid w:val="3B503443"/>
    <w:rsid w:val="3B551C29"/>
    <w:rsid w:val="3B561D9F"/>
    <w:rsid w:val="3B5A1C91"/>
    <w:rsid w:val="3B5D7034"/>
    <w:rsid w:val="3B626996"/>
    <w:rsid w:val="3B6312E8"/>
    <w:rsid w:val="3B667C69"/>
    <w:rsid w:val="3B700067"/>
    <w:rsid w:val="3B716BE4"/>
    <w:rsid w:val="3B750477"/>
    <w:rsid w:val="3B7B1805"/>
    <w:rsid w:val="3B7D732B"/>
    <w:rsid w:val="3B7F30A4"/>
    <w:rsid w:val="3B814871"/>
    <w:rsid w:val="3B8A6F41"/>
    <w:rsid w:val="3B8C57C0"/>
    <w:rsid w:val="3B8E3B9E"/>
    <w:rsid w:val="3B8F3603"/>
    <w:rsid w:val="3B954675"/>
    <w:rsid w:val="3B9A2BA5"/>
    <w:rsid w:val="3BA0301A"/>
    <w:rsid w:val="3BA23236"/>
    <w:rsid w:val="3BA64AD4"/>
    <w:rsid w:val="3BB158CF"/>
    <w:rsid w:val="3BB30F9F"/>
    <w:rsid w:val="3BB5751B"/>
    <w:rsid w:val="3BBA0580"/>
    <w:rsid w:val="3BBB7E54"/>
    <w:rsid w:val="3BC00874"/>
    <w:rsid w:val="3BC14B4C"/>
    <w:rsid w:val="3BC431AC"/>
    <w:rsid w:val="3BCC15F6"/>
    <w:rsid w:val="3BD00198"/>
    <w:rsid w:val="3BD056AD"/>
    <w:rsid w:val="3BD31641"/>
    <w:rsid w:val="3BD86C58"/>
    <w:rsid w:val="3BE431A3"/>
    <w:rsid w:val="3BE473AB"/>
    <w:rsid w:val="3BE718EA"/>
    <w:rsid w:val="3BF07AFD"/>
    <w:rsid w:val="3BF70E8C"/>
    <w:rsid w:val="3C101F4E"/>
    <w:rsid w:val="3C11114C"/>
    <w:rsid w:val="3C1201E9"/>
    <w:rsid w:val="3C174336"/>
    <w:rsid w:val="3C213BF5"/>
    <w:rsid w:val="3C2146D1"/>
    <w:rsid w:val="3C241E9D"/>
    <w:rsid w:val="3C291261"/>
    <w:rsid w:val="3C2B322B"/>
    <w:rsid w:val="3C2B4835"/>
    <w:rsid w:val="3C2E56C4"/>
    <w:rsid w:val="3C326368"/>
    <w:rsid w:val="3C3814A4"/>
    <w:rsid w:val="3C394A07"/>
    <w:rsid w:val="3C3976F6"/>
    <w:rsid w:val="3C3C0CD2"/>
    <w:rsid w:val="3C3E5CA8"/>
    <w:rsid w:val="3C402C41"/>
    <w:rsid w:val="3C430575"/>
    <w:rsid w:val="3C43474B"/>
    <w:rsid w:val="3C4758CA"/>
    <w:rsid w:val="3C495460"/>
    <w:rsid w:val="3C4B19C7"/>
    <w:rsid w:val="3C4B2834"/>
    <w:rsid w:val="3C4B567C"/>
    <w:rsid w:val="3C4D13F4"/>
    <w:rsid w:val="3C5203FE"/>
    <w:rsid w:val="3C5D5557"/>
    <w:rsid w:val="3C6504EB"/>
    <w:rsid w:val="3C6978B0"/>
    <w:rsid w:val="3C6C4528"/>
    <w:rsid w:val="3C6D55F2"/>
    <w:rsid w:val="3C6F3118"/>
    <w:rsid w:val="3C7526A2"/>
    <w:rsid w:val="3C776471"/>
    <w:rsid w:val="3C7E15AD"/>
    <w:rsid w:val="3C853D67"/>
    <w:rsid w:val="3C8D7A42"/>
    <w:rsid w:val="3C926E07"/>
    <w:rsid w:val="3C950F0C"/>
    <w:rsid w:val="3C9A24A2"/>
    <w:rsid w:val="3C9C1A33"/>
    <w:rsid w:val="3C9E1825"/>
    <w:rsid w:val="3CA1529C"/>
    <w:rsid w:val="3CB274A9"/>
    <w:rsid w:val="3CB7061B"/>
    <w:rsid w:val="3CBC3285"/>
    <w:rsid w:val="3CBE7BFC"/>
    <w:rsid w:val="3CC01CE8"/>
    <w:rsid w:val="3CC11CFC"/>
    <w:rsid w:val="3CC64D02"/>
    <w:rsid w:val="3CCA6B71"/>
    <w:rsid w:val="3CCF35B3"/>
    <w:rsid w:val="3CDD2778"/>
    <w:rsid w:val="3CE138EA"/>
    <w:rsid w:val="3CE807A0"/>
    <w:rsid w:val="3CEC29B6"/>
    <w:rsid w:val="3CED6733"/>
    <w:rsid w:val="3CF25AF7"/>
    <w:rsid w:val="3D033860"/>
    <w:rsid w:val="3D096A38"/>
    <w:rsid w:val="3D0A1093"/>
    <w:rsid w:val="3D0A7413"/>
    <w:rsid w:val="3D0E0B83"/>
    <w:rsid w:val="3D0F48FB"/>
    <w:rsid w:val="3D0F66A9"/>
    <w:rsid w:val="3D136199"/>
    <w:rsid w:val="3D17331F"/>
    <w:rsid w:val="3D1E5236"/>
    <w:rsid w:val="3D213F73"/>
    <w:rsid w:val="3D287393"/>
    <w:rsid w:val="3D2959BD"/>
    <w:rsid w:val="3D2F2AD1"/>
    <w:rsid w:val="3D332398"/>
    <w:rsid w:val="3D3A6D34"/>
    <w:rsid w:val="3D3D4A23"/>
    <w:rsid w:val="3D42082D"/>
    <w:rsid w:val="3D430101"/>
    <w:rsid w:val="3D45031D"/>
    <w:rsid w:val="3D4520CB"/>
    <w:rsid w:val="3D477BF1"/>
    <w:rsid w:val="3D491BBB"/>
    <w:rsid w:val="3D501E56"/>
    <w:rsid w:val="3D567E34"/>
    <w:rsid w:val="3D610D50"/>
    <w:rsid w:val="3D6407A3"/>
    <w:rsid w:val="3D6562C9"/>
    <w:rsid w:val="3D6A1B31"/>
    <w:rsid w:val="3D6B695F"/>
    <w:rsid w:val="3D7274DF"/>
    <w:rsid w:val="3D766728"/>
    <w:rsid w:val="3D7B244D"/>
    <w:rsid w:val="3D7B5AED"/>
    <w:rsid w:val="3D803103"/>
    <w:rsid w:val="3D830958"/>
    <w:rsid w:val="3D850719"/>
    <w:rsid w:val="3D8C4172"/>
    <w:rsid w:val="3D8E3A72"/>
    <w:rsid w:val="3D9A2417"/>
    <w:rsid w:val="3D9D1F07"/>
    <w:rsid w:val="3DA33C32"/>
    <w:rsid w:val="3DA46DF1"/>
    <w:rsid w:val="3DAB4624"/>
    <w:rsid w:val="3DAC3EF8"/>
    <w:rsid w:val="3DB04FD3"/>
    <w:rsid w:val="3DB334D8"/>
    <w:rsid w:val="3DB646B6"/>
    <w:rsid w:val="3DB8289D"/>
    <w:rsid w:val="3DB82EC7"/>
    <w:rsid w:val="3DBA03C3"/>
    <w:rsid w:val="3DC93D93"/>
    <w:rsid w:val="3DCB25D0"/>
    <w:rsid w:val="3DCC7E1D"/>
    <w:rsid w:val="3DD00D25"/>
    <w:rsid w:val="3DDA5C90"/>
    <w:rsid w:val="3DE477C2"/>
    <w:rsid w:val="3DE6565C"/>
    <w:rsid w:val="3DEB4A20"/>
    <w:rsid w:val="3DEC0798"/>
    <w:rsid w:val="3DF134AA"/>
    <w:rsid w:val="3DF371D0"/>
    <w:rsid w:val="3DF37D79"/>
    <w:rsid w:val="3DF462C3"/>
    <w:rsid w:val="3DF5589F"/>
    <w:rsid w:val="3DFF005A"/>
    <w:rsid w:val="3E025B80"/>
    <w:rsid w:val="3E0755D2"/>
    <w:rsid w:val="3E0A7640"/>
    <w:rsid w:val="3E0B50C2"/>
    <w:rsid w:val="3E0E69B8"/>
    <w:rsid w:val="3E101D1C"/>
    <w:rsid w:val="3E1877DF"/>
    <w:rsid w:val="3E20310F"/>
    <w:rsid w:val="3E2B6CD1"/>
    <w:rsid w:val="3E2D55BB"/>
    <w:rsid w:val="3E3642DC"/>
    <w:rsid w:val="3E3A0EB7"/>
    <w:rsid w:val="3E4D1237"/>
    <w:rsid w:val="3E4D56DB"/>
    <w:rsid w:val="3E502AD5"/>
    <w:rsid w:val="3E54124D"/>
    <w:rsid w:val="3E5527E2"/>
    <w:rsid w:val="3E5668B2"/>
    <w:rsid w:val="3E5C76CC"/>
    <w:rsid w:val="3E612F34"/>
    <w:rsid w:val="3E614CE2"/>
    <w:rsid w:val="3E630A5B"/>
    <w:rsid w:val="3E6807DB"/>
    <w:rsid w:val="3E686071"/>
    <w:rsid w:val="3E6B3DB3"/>
    <w:rsid w:val="3E6F5651"/>
    <w:rsid w:val="3E706473"/>
    <w:rsid w:val="3E764224"/>
    <w:rsid w:val="3E7762B4"/>
    <w:rsid w:val="3E78202C"/>
    <w:rsid w:val="3E7D1FAF"/>
    <w:rsid w:val="3E81245D"/>
    <w:rsid w:val="3E883D6C"/>
    <w:rsid w:val="3E8B7FB1"/>
    <w:rsid w:val="3E8D1F7B"/>
    <w:rsid w:val="3E95498C"/>
    <w:rsid w:val="3E9A0C95"/>
    <w:rsid w:val="3E9B4698"/>
    <w:rsid w:val="3EA132AC"/>
    <w:rsid w:val="3EA8373C"/>
    <w:rsid w:val="3EAD58D5"/>
    <w:rsid w:val="3EAD5DCC"/>
    <w:rsid w:val="3EAE33E2"/>
    <w:rsid w:val="3EB04EF5"/>
    <w:rsid w:val="3EB968CD"/>
    <w:rsid w:val="3EBA43F3"/>
    <w:rsid w:val="3EC040FF"/>
    <w:rsid w:val="3EC170E6"/>
    <w:rsid w:val="3EC70F45"/>
    <w:rsid w:val="3ECA6D2C"/>
    <w:rsid w:val="3EE75DB1"/>
    <w:rsid w:val="3EE762D2"/>
    <w:rsid w:val="3EE81050"/>
    <w:rsid w:val="3EE93B81"/>
    <w:rsid w:val="3EF45B57"/>
    <w:rsid w:val="3EFB0C93"/>
    <w:rsid w:val="3EFE4C27"/>
    <w:rsid w:val="3F010273"/>
    <w:rsid w:val="3F011085"/>
    <w:rsid w:val="3F104BA9"/>
    <w:rsid w:val="3F1434CE"/>
    <w:rsid w:val="3F1D5E36"/>
    <w:rsid w:val="3F281CA4"/>
    <w:rsid w:val="3F282BD9"/>
    <w:rsid w:val="3F285800"/>
    <w:rsid w:val="3F2F1C77"/>
    <w:rsid w:val="3F395C5F"/>
    <w:rsid w:val="3F3C12AC"/>
    <w:rsid w:val="3F422D66"/>
    <w:rsid w:val="3F47037C"/>
    <w:rsid w:val="3F485DF7"/>
    <w:rsid w:val="3F512FA9"/>
    <w:rsid w:val="3F520ACF"/>
    <w:rsid w:val="3F561D6A"/>
    <w:rsid w:val="3F56236D"/>
    <w:rsid w:val="3F5642B0"/>
    <w:rsid w:val="3F5E627C"/>
    <w:rsid w:val="3F6637D6"/>
    <w:rsid w:val="3F6D76B7"/>
    <w:rsid w:val="3F710F55"/>
    <w:rsid w:val="3F7153F9"/>
    <w:rsid w:val="3F727EFE"/>
    <w:rsid w:val="3F74457F"/>
    <w:rsid w:val="3F7F5270"/>
    <w:rsid w:val="3F7F7B16"/>
    <w:rsid w:val="3F80563C"/>
    <w:rsid w:val="3F8073EA"/>
    <w:rsid w:val="3F836EDA"/>
    <w:rsid w:val="3F850EA5"/>
    <w:rsid w:val="3F896774"/>
    <w:rsid w:val="3F8C5D8F"/>
    <w:rsid w:val="3F93711E"/>
    <w:rsid w:val="3F9410E8"/>
    <w:rsid w:val="3F962049"/>
    <w:rsid w:val="3F966D63"/>
    <w:rsid w:val="3F9E05F1"/>
    <w:rsid w:val="3FA255B3"/>
    <w:rsid w:val="3FA37EA3"/>
    <w:rsid w:val="3FA4737A"/>
    <w:rsid w:val="3FA4761E"/>
    <w:rsid w:val="3FA7706D"/>
    <w:rsid w:val="3FA806EF"/>
    <w:rsid w:val="3FAB3F3C"/>
    <w:rsid w:val="3FAE03FB"/>
    <w:rsid w:val="3FB451AA"/>
    <w:rsid w:val="3FB543FD"/>
    <w:rsid w:val="3FBA6DA0"/>
    <w:rsid w:val="3FD124CF"/>
    <w:rsid w:val="3FD44D7F"/>
    <w:rsid w:val="3FD45853"/>
    <w:rsid w:val="3FD612A7"/>
    <w:rsid w:val="3FD65C04"/>
    <w:rsid w:val="3FD80FD4"/>
    <w:rsid w:val="3FE012B4"/>
    <w:rsid w:val="3FEA088C"/>
    <w:rsid w:val="3FED73CA"/>
    <w:rsid w:val="3FEF48C3"/>
    <w:rsid w:val="3FF04570"/>
    <w:rsid w:val="3FF42936"/>
    <w:rsid w:val="3FF658FE"/>
    <w:rsid w:val="3FF97C22"/>
    <w:rsid w:val="3FFA0DA1"/>
    <w:rsid w:val="4001677D"/>
    <w:rsid w:val="400C4038"/>
    <w:rsid w:val="400F2F37"/>
    <w:rsid w:val="402002DC"/>
    <w:rsid w:val="402204A1"/>
    <w:rsid w:val="4025169F"/>
    <w:rsid w:val="40271F5C"/>
    <w:rsid w:val="40291830"/>
    <w:rsid w:val="40297018"/>
    <w:rsid w:val="402B1A4C"/>
    <w:rsid w:val="402B4C75"/>
    <w:rsid w:val="402D7572"/>
    <w:rsid w:val="402E32EA"/>
    <w:rsid w:val="40302BBE"/>
    <w:rsid w:val="403B2A9D"/>
    <w:rsid w:val="403C5CDE"/>
    <w:rsid w:val="40445377"/>
    <w:rsid w:val="4047615A"/>
    <w:rsid w:val="40477F08"/>
    <w:rsid w:val="404E1296"/>
    <w:rsid w:val="40502771"/>
    <w:rsid w:val="40534544"/>
    <w:rsid w:val="40550877"/>
    <w:rsid w:val="4058639A"/>
    <w:rsid w:val="40632DD5"/>
    <w:rsid w:val="406367F6"/>
    <w:rsid w:val="4064002A"/>
    <w:rsid w:val="40662A84"/>
    <w:rsid w:val="40675117"/>
    <w:rsid w:val="4070745F"/>
    <w:rsid w:val="40736CE4"/>
    <w:rsid w:val="40736F4F"/>
    <w:rsid w:val="40750F19"/>
    <w:rsid w:val="407927B7"/>
    <w:rsid w:val="407A208B"/>
    <w:rsid w:val="407A652F"/>
    <w:rsid w:val="407F0314"/>
    <w:rsid w:val="4081166C"/>
    <w:rsid w:val="4090365D"/>
    <w:rsid w:val="40A37834"/>
    <w:rsid w:val="40A67324"/>
    <w:rsid w:val="40A94775"/>
    <w:rsid w:val="40B21825"/>
    <w:rsid w:val="40BA4B7E"/>
    <w:rsid w:val="40C0617F"/>
    <w:rsid w:val="40C33A2D"/>
    <w:rsid w:val="40C477AB"/>
    <w:rsid w:val="40CB28E7"/>
    <w:rsid w:val="40CF687B"/>
    <w:rsid w:val="40D93256"/>
    <w:rsid w:val="40DE09B8"/>
    <w:rsid w:val="40F005A0"/>
    <w:rsid w:val="40FA4F7A"/>
    <w:rsid w:val="40FF64E3"/>
    <w:rsid w:val="410302D3"/>
    <w:rsid w:val="410C3E3F"/>
    <w:rsid w:val="410D2F00"/>
    <w:rsid w:val="41123E0D"/>
    <w:rsid w:val="411A4C6D"/>
    <w:rsid w:val="411A73CB"/>
    <w:rsid w:val="41271307"/>
    <w:rsid w:val="412A3AB2"/>
    <w:rsid w:val="412A45D8"/>
    <w:rsid w:val="412A691E"/>
    <w:rsid w:val="412B5F23"/>
    <w:rsid w:val="412C782A"/>
    <w:rsid w:val="412D2400"/>
    <w:rsid w:val="41306BEE"/>
    <w:rsid w:val="413B561F"/>
    <w:rsid w:val="41456B3D"/>
    <w:rsid w:val="41510AA7"/>
    <w:rsid w:val="415121A7"/>
    <w:rsid w:val="415D5C35"/>
    <w:rsid w:val="41610E51"/>
    <w:rsid w:val="41614FF9"/>
    <w:rsid w:val="41636FC4"/>
    <w:rsid w:val="4168282C"/>
    <w:rsid w:val="416B7C26"/>
    <w:rsid w:val="416C5E78"/>
    <w:rsid w:val="416E58CE"/>
    <w:rsid w:val="416E7E42"/>
    <w:rsid w:val="4171348E"/>
    <w:rsid w:val="417B430D"/>
    <w:rsid w:val="417D4941"/>
    <w:rsid w:val="417E4998"/>
    <w:rsid w:val="41870F04"/>
    <w:rsid w:val="418D1221"/>
    <w:rsid w:val="4191198C"/>
    <w:rsid w:val="419B49AF"/>
    <w:rsid w:val="41A15696"/>
    <w:rsid w:val="41A53056"/>
    <w:rsid w:val="41A76DD3"/>
    <w:rsid w:val="41AC44C7"/>
    <w:rsid w:val="41AC4AD8"/>
    <w:rsid w:val="41B2577E"/>
    <w:rsid w:val="41B63597"/>
    <w:rsid w:val="41B76C22"/>
    <w:rsid w:val="41C645C6"/>
    <w:rsid w:val="41CA0DF1"/>
    <w:rsid w:val="41CA7043"/>
    <w:rsid w:val="41D140CE"/>
    <w:rsid w:val="41D53675"/>
    <w:rsid w:val="41DA0CA1"/>
    <w:rsid w:val="41DB68B9"/>
    <w:rsid w:val="41DC6703"/>
    <w:rsid w:val="41DF1AEB"/>
    <w:rsid w:val="41E2737F"/>
    <w:rsid w:val="41E53E7C"/>
    <w:rsid w:val="41F12885"/>
    <w:rsid w:val="41F66C78"/>
    <w:rsid w:val="41FA1D1A"/>
    <w:rsid w:val="4202776C"/>
    <w:rsid w:val="420E33D3"/>
    <w:rsid w:val="42134546"/>
    <w:rsid w:val="421546B0"/>
    <w:rsid w:val="421A3B26"/>
    <w:rsid w:val="421F738E"/>
    <w:rsid w:val="4221640B"/>
    <w:rsid w:val="422608BA"/>
    <w:rsid w:val="42291FBB"/>
    <w:rsid w:val="422C5607"/>
    <w:rsid w:val="4230334A"/>
    <w:rsid w:val="42312C1E"/>
    <w:rsid w:val="42350960"/>
    <w:rsid w:val="42366486"/>
    <w:rsid w:val="42380450"/>
    <w:rsid w:val="423D15C3"/>
    <w:rsid w:val="42446DF5"/>
    <w:rsid w:val="42471EF1"/>
    <w:rsid w:val="424757AB"/>
    <w:rsid w:val="424E1A22"/>
    <w:rsid w:val="424E37D0"/>
    <w:rsid w:val="42500A93"/>
    <w:rsid w:val="425012F6"/>
    <w:rsid w:val="42525EAF"/>
    <w:rsid w:val="42574A5A"/>
    <w:rsid w:val="425A6618"/>
    <w:rsid w:val="42664FBD"/>
    <w:rsid w:val="426C3C56"/>
    <w:rsid w:val="426E3E72"/>
    <w:rsid w:val="42771FC5"/>
    <w:rsid w:val="42871D37"/>
    <w:rsid w:val="42894808"/>
    <w:rsid w:val="428A217B"/>
    <w:rsid w:val="428A31E3"/>
    <w:rsid w:val="428D4A64"/>
    <w:rsid w:val="428D5136"/>
    <w:rsid w:val="428E3302"/>
    <w:rsid w:val="429409DC"/>
    <w:rsid w:val="4296401C"/>
    <w:rsid w:val="42976F25"/>
    <w:rsid w:val="42994ADF"/>
    <w:rsid w:val="429D65A5"/>
    <w:rsid w:val="42A038DB"/>
    <w:rsid w:val="42A72EE0"/>
    <w:rsid w:val="42A81C22"/>
    <w:rsid w:val="42AD642A"/>
    <w:rsid w:val="42AD752A"/>
    <w:rsid w:val="42AE0712"/>
    <w:rsid w:val="42AE5E51"/>
    <w:rsid w:val="42AE784B"/>
    <w:rsid w:val="42B23D5F"/>
    <w:rsid w:val="42B76A4F"/>
    <w:rsid w:val="42BC4F5E"/>
    <w:rsid w:val="42C121F4"/>
    <w:rsid w:val="42C53A9C"/>
    <w:rsid w:val="42C6780A"/>
    <w:rsid w:val="42C711D8"/>
    <w:rsid w:val="42C84800"/>
    <w:rsid w:val="42C97A8B"/>
    <w:rsid w:val="42DA361B"/>
    <w:rsid w:val="42DD2F74"/>
    <w:rsid w:val="42DF0F29"/>
    <w:rsid w:val="42E36438"/>
    <w:rsid w:val="42E83C24"/>
    <w:rsid w:val="42EA3629"/>
    <w:rsid w:val="42EA799C"/>
    <w:rsid w:val="42F425C9"/>
    <w:rsid w:val="42F779C3"/>
    <w:rsid w:val="42FB2F2B"/>
    <w:rsid w:val="42FF1E08"/>
    <w:rsid w:val="43030A5E"/>
    <w:rsid w:val="43052C44"/>
    <w:rsid w:val="4306692E"/>
    <w:rsid w:val="430D5439"/>
    <w:rsid w:val="430F5343"/>
    <w:rsid w:val="431542ED"/>
    <w:rsid w:val="431A7B56"/>
    <w:rsid w:val="431F75E1"/>
    <w:rsid w:val="43210EE4"/>
    <w:rsid w:val="432A7D99"/>
    <w:rsid w:val="432D5ADB"/>
    <w:rsid w:val="43397FDC"/>
    <w:rsid w:val="433A4C90"/>
    <w:rsid w:val="433C3B8B"/>
    <w:rsid w:val="433F136A"/>
    <w:rsid w:val="434075BC"/>
    <w:rsid w:val="43414752"/>
    <w:rsid w:val="43432C09"/>
    <w:rsid w:val="434370AD"/>
    <w:rsid w:val="434444D3"/>
    <w:rsid w:val="434703D0"/>
    <w:rsid w:val="434B5204"/>
    <w:rsid w:val="434B5F61"/>
    <w:rsid w:val="4352109E"/>
    <w:rsid w:val="43537EC6"/>
    <w:rsid w:val="43582AB4"/>
    <w:rsid w:val="435A5694"/>
    <w:rsid w:val="435A7F52"/>
    <w:rsid w:val="435F0BB2"/>
    <w:rsid w:val="435F6699"/>
    <w:rsid w:val="436314FD"/>
    <w:rsid w:val="436D5ED7"/>
    <w:rsid w:val="43811AB8"/>
    <w:rsid w:val="43852784"/>
    <w:rsid w:val="43911BC6"/>
    <w:rsid w:val="439C056B"/>
    <w:rsid w:val="43A001CA"/>
    <w:rsid w:val="43A7763B"/>
    <w:rsid w:val="43AA0EDA"/>
    <w:rsid w:val="43AC6A00"/>
    <w:rsid w:val="43AD0658"/>
    <w:rsid w:val="43AD2778"/>
    <w:rsid w:val="43B35FE0"/>
    <w:rsid w:val="43BD6E5F"/>
    <w:rsid w:val="43C33DCA"/>
    <w:rsid w:val="43CA332A"/>
    <w:rsid w:val="43CB4345"/>
    <w:rsid w:val="43CC52F4"/>
    <w:rsid w:val="43D63A7D"/>
    <w:rsid w:val="43D74E11"/>
    <w:rsid w:val="43D96E6A"/>
    <w:rsid w:val="43DB5141"/>
    <w:rsid w:val="43DD12AF"/>
    <w:rsid w:val="43DD46A6"/>
    <w:rsid w:val="43E710B6"/>
    <w:rsid w:val="43F16B09"/>
    <w:rsid w:val="43F25EF5"/>
    <w:rsid w:val="43FA732A"/>
    <w:rsid w:val="44046CFA"/>
    <w:rsid w:val="440B79EF"/>
    <w:rsid w:val="44135B42"/>
    <w:rsid w:val="441F1474"/>
    <w:rsid w:val="4420119C"/>
    <w:rsid w:val="44235A84"/>
    <w:rsid w:val="44242A3A"/>
    <w:rsid w:val="44255188"/>
    <w:rsid w:val="442577CC"/>
    <w:rsid w:val="442A5A15"/>
    <w:rsid w:val="44315157"/>
    <w:rsid w:val="44323381"/>
    <w:rsid w:val="443553D6"/>
    <w:rsid w:val="443640EC"/>
    <w:rsid w:val="443B39D0"/>
    <w:rsid w:val="443B6ACE"/>
    <w:rsid w:val="443D1CA4"/>
    <w:rsid w:val="443D3AFC"/>
    <w:rsid w:val="443E0904"/>
    <w:rsid w:val="443E17A2"/>
    <w:rsid w:val="443F7871"/>
    <w:rsid w:val="44483EC1"/>
    <w:rsid w:val="44492562"/>
    <w:rsid w:val="444F0682"/>
    <w:rsid w:val="445157F9"/>
    <w:rsid w:val="4453331F"/>
    <w:rsid w:val="4456696C"/>
    <w:rsid w:val="44587568"/>
    <w:rsid w:val="445C6678"/>
    <w:rsid w:val="445D37BB"/>
    <w:rsid w:val="445F1470"/>
    <w:rsid w:val="445F7F16"/>
    <w:rsid w:val="446217C8"/>
    <w:rsid w:val="4462484A"/>
    <w:rsid w:val="44661ADD"/>
    <w:rsid w:val="44676DCB"/>
    <w:rsid w:val="44723EA2"/>
    <w:rsid w:val="44784B34"/>
    <w:rsid w:val="447B4624"/>
    <w:rsid w:val="447D65EE"/>
    <w:rsid w:val="448736B1"/>
    <w:rsid w:val="448E1D24"/>
    <w:rsid w:val="448F2126"/>
    <w:rsid w:val="44937BC0"/>
    <w:rsid w:val="44937E24"/>
    <w:rsid w:val="44986938"/>
    <w:rsid w:val="449A71A0"/>
    <w:rsid w:val="449C4CC6"/>
    <w:rsid w:val="449D27EC"/>
    <w:rsid w:val="44A1052F"/>
    <w:rsid w:val="44A40D42"/>
    <w:rsid w:val="44A667A7"/>
    <w:rsid w:val="44B02520"/>
    <w:rsid w:val="44BF2B1E"/>
    <w:rsid w:val="44C141C3"/>
    <w:rsid w:val="44C14C36"/>
    <w:rsid w:val="44CB6195"/>
    <w:rsid w:val="44CE0BF8"/>
    <w:rsid w:val="44CE660D"/>
    <w:rsid w:val="44D02D32"/>
    <w:rsid w:val="44D46486"/>
    <w:rsid w:val="44D501D8"/>
    <w:rsid w:val="44D73F50"/>
    <w:rsid w:val="44DC0B83"/>
    <w:rsid w:val="44DF4BB3"/>
    <w:rsid w:val="44DF6586"/>
    <w:rsid w:val="44E7318D"/>
    <w:rsid w:val="44E86501"/>
    <w:rsid w:val="44EC107E"/>
    <w:rsid w:val="44ED51DB"/>
    <w:rsid w:val="44EF214B"/>
    <w:rsid w:val="44F97EDF"/>
    <w:rsid w:val="450462A1"/>
    <w:rsid w:val="45154A79"/>
    <w:rsid w:val="45156055"/>
    <w:rsid w:val="45156827"/>
    <w:rsid w:val="45197B5B"/>
    <w:rsid w:val="452151CC"/>
    <w:rsid w:val="45232CF2"/>
    <w:rsid w:val="45246A6A"/>
    <w:rsid w:val="45280308"/>
    <w:rsid w:val="452E1696"/>
    <w:rsid w:val="453A003B"/>
    <w:rsid w:val="453C0257"/>
    <w:rsid w:val="453F4DD3"/>
    <w:rsid w:val="45450B59"/>
    <w:rsid w:val="454620AD"/>
    <w:rsid w:val="45464C32"/>
    <w:rsid w:val="454E2756"/>
    <w:rsid w:val="455B6133"/>
    <w:rsid w:val="45622B78"/>
    <w:rsid w:val="456A4DC4"/>
    <w:rsid w:val="456C1406"/>
    <w:rsid w:val="45794D6B"/>
    <w:rsid w:val="45837C34"/>
    <w:rsid w:val="4588644D"/>
    <w:rsid w:val="458D4F3F"/>
    <w:rsid w:val="458E4869"/>
    <w:rsid w:val="458F65D9"/>
    <w:rsid w:val="45943EE9"/>
    <w:rsid w:val="45965BB9"/>
    <w:rsid w:val="459D4D36"/>
    <w:rsid w:val="45A4384A"/>
    <w:rsid w:val="45A86500"/>
    <w:rsid w:val="45A96EDA"/>
    <w:rsid w:val="45AA78B4"/>
    <w:rsid w:val="45AD09A6"/>
    <w:rsid w:val="45B11308"/>
    <w:rsid w:val="45B1654F"/>
    <w:rsid w:val="45B20519"/>
    <w:rsid w:val="45B8488C"/>
    <w:rsid w:val="45BE6A33"/>
    <w:rsid w:val="45C51FFB"/>
    <w:rsid w:val="45C95510"/>
    <w:rsid w:val="45CC15DB"/>
    <w:rsid w:val="45D109A0"/>
    <w:rsid w:val="45D1274E"/>
    <w:rsid w:val="45D33185"/>
    <w:rsid w:val="45D73ADC"/>
    <w:rsid w:val="45E53379"/>
    <w:rsid w:val="45EF6980"/>
    <w:rsid w:val="45F00BF0"/>
    <w:rsid w:val="45F11042"/>
    <w:rsid w:val="45F14B9E"/>
    <w:rsid w:val="45F45869"/>
    <w:rsid w:val="45F96148"/>
    <w:rsid w:val="45FC0381"/>
    <w:rsid w:val="45FF375F"/>
    <w:rsid w:val="46024FFD"/>
    <w:rsid w:val="46035E4B"/>
    <w:rsid w:val="460525CD"/>
    <w:rsid w:val="46062C07"/>
    <w:rsid w:val="46072613"/>
    <w:rsid w:val="460C19D8"/>
    <w:rsid w:val="461710E5"/>
    <w:rsid w:val="461855F7"/>
    <w:rsid w:val="461B6DA9"/>
    <w:rsid w:val="461F3847"/>
    <w:rsid w:val="462431C5"/>
    <w:rsid w:val="46294EC2"/>
    <w:rsid w:val="463364C0"/>
    <w:rsid w:val="46367216"/>
    <w:rsid w:val="4638492B"/>
    <w:rsid w:val="463D1F4F"/>
    <w:rsid w:val="463E363B"/>
    <w:rsid w:val="46437606"/>
    <w:rsid w:val="464457BA"/>
    <w:rsid w:val="464D3FEA"/>
    <w:rsid w:val="465025C4"/>
    <w:rsid w:val="46516CA2"/>
    <w:rsid w:val="4654337F"/>
    <w:rsid w:val="46585D6C"/>
    <w:rsid w:val="465A4BC4"/>
    <w:rsid w:val="465B0A18"/>
    <w:rsid w:val="465B196D"/>
    <w:rsid w:val="46713F31"/>
    <w:rsid w:val="467579B4"/>
    <w:rsid w:val="467A2DE5"/>
    <w:rsid w:val="467C6146"/>
    <w:rsid w:val="467D4684"/>
    <w:rsid w:val="467E26E1"/>
    <w:rsid w:val="46811F3E"/>
    <w:rsid w:val="46821C9A"/>
    <w:rsid w:val="46853538"/>
    <w:rsid w:val="468C0D6B"/>
    <w:rsid w:val="469278E5"/>
    <w:rsid w:val="469D0194"/>
    <w:rsid w:val="46AB54E5"/>
    <w:rsid w:val="46AC4F69"/>
    <w:rsid w:val="46AC6D17"/>
    <w:rsid w:val="46B03E5E"/>
    <w:rsid w:val="46BF2EEE"/>
    <w:rsid w:val="46C87FF5"/>
    <w:rsid w:val="46C91677"/>
    <w:rsid w:val="46D87B0C"/>
    <w:rsid w:val="46DA1FB9"/>
    <w:rsid w:val="46DB30D4"/>
    <w:rsid w:val="46DD5122"/>
    <w:rsid w:val="46E6053D"/>
    <w:rsid w:val="46E62229"/>
    <w:rsid w:val="46E91D19"/>
    <w:rsid w:val="46EB5A91"/>
    <w:rsid w:val="46EE37D3"/>
    <w:rsid w:val="46EE655F"/>
    <w:rsid w:val="46F5246C"/>
    <w:rsid w:val="46FB55D2"/>
    <w:rsid w:val="46FD1503"/>
    <w:rsid w:val="47071C74"/>
    <w:rsid w:val="4707219F"/>
    <w:rsid w:val="471054F8"/>
    <w:rsid w:val="4719204C"/>
    <w:rsid w:val="471963AA"/>
    <w:rsid w:val="471E5E67"/>
    <w:rsid w:val="4723522B"/>
    <w:rsid w:val="472901B7"/>
    <w:rsid w:val="472E3BD0"/>
    <w:rsid w:val="472F3046"/>
    <w:rsid w:val="47352751"/>
    <w:rsid w:val="473C00AD"/>
    <w:rsid w:val="474E39F5"/>
    <w:rsid w:val="474E6020"/>
    <w:rsid w:val="47504D8D"/>
    <w:rsid w:val="475C698F"/>
    <w:rsid w:val="475F1FDB"/>
    <w:rsid w:val="476002D2"/>
    <w:rsid w:val="47605A10"/>
    <w:rsid w:val="47680E90"/>
    <w:rsid w:val="47680EBB"/>
    <w:rsid w:val="476870E2"/>
    <w:rsid w:val="477041E8"/>
    <w:rsid w:val="47744EFD"/>
    <w:rsid w:val="47745A86"/>
    <w:rsid w:val="47786CD0"/>
    <w:rsid w:val="47794E4B"/>
    <w:rsid w:val="477C24BE"/>
    <w:rsid w:val="479B74B7"/>
    <w:rsid w:val="479C6D8B"/>
    <w:rsid w:val="47A52DC3"/>
    <w:rsid w:val="47A824CD"/>
    <w:rsid w:val="47B972D2"/>
    <w:rsid w:val="47CA1B4A"/>
    <w:rsid w:val="47CD5197"/>
    <w:rsid w:val="47CE7B04"/>
    <w:rsid w:val="47D22BC7"/>
    <w:rsid w:val="47D567FA"/>
    <w:rsid w:val="47D66F89"/>
    <w:rsid w:val="47D67A5A"/>
    <w:rsid w:val="47D74267"/>
    <w:rsid w:val="47E03A30"/>
    <w:rsid w:val="47EE40C4"/>
    <w:rsid w:val="47EF3AA7"/>
    <w:rsid w:val="47EF7803"/>
    <w:rsid w:val="47F15329"/>
    <w:rsid w:val="47F33E24"/>
    <w:rsid w:val="47F60B91"/>
    <w:rsid w:val="47F6649C"/>
    <w:rsid w:val="4800012E"/>
    <w:rsid w:val="480A1F47"/>
    <w:rsid w:val="480E6E35"/>
    <w:rsid w:val="481335BB"/>
    <w:rsid w:val="481535EE"/>
    <w:rsid w:val="48175F8B"/>
    <w:rsid w:val="481D45BE"/>
    <w:rsid w:val="481D4A12"/>
    <w:rsid w:val="48205C0E"/>
    <w:rsid w:val="48223734"/>
    <w:rsid w:val="48345216"/>
    <w:rsid w:val="483C70DD"/>
    <w:rsid w:val="483F42E6"/>
    <w:rsid w:val="484721EA"/>
    <w:rsid w:val="484908DB"/>
    <w:rsid w:val="484B4D8D"/>
    <w:rsid w:val="4851461E"/>
    <w:rsid w:val="485A4A92"/>
    <w:rsid w:val="485A79CB"/>
    <w:rsid w:val="485D476D"/>
    <w:rsid w:val="485D651B"/>
    <w:rsid w:val="4868640E"/>
    <w:rsid w:val="48713109"/>
    <w:rsid w:val="4871646A"/>
    <w:rsid w:val="487970CD"/>
    <w:rsid w:val="487E2EFD"/>
    <w:rsid w:val="488022AC"/>
    <w:rsid w:val="48820171"/>
    <w:rsid w:val="4887454E"/>
    <w:rsid w:val="4888456C"/>
    <w:rsid w:val="488A12DA"/>
    <w:rsid w:val="48983AA4"/>
    <w:rsid w:val="48A51C70"/>
    <w:rsid w:val="48A524D6"/>
    <w:rsid w:val="48AA54D8"/>
    <w:rsid w:val="48AB3C02"/>
    <w:rsid w:val="48B12F1D"/>
    <w:rsid w:val="48B2721C"/>
    <w:rsid w:val="48B85E47"/>
    <w:rsid w:val="48BC66EE"/>
    <w:rsid w:val="48BF2D31"/>
    <w:rsid w:val="48C26CC5"/>
    <w:rsid w:val="48C77A88"/>
    <w:rsid w:val="48CA4EAD"/>
    <w:rsid w:val="48D93D7E"/>
    <w:rsid w:val="48DA5DBD"/>
    <w:rsid w:val="48DD3AFF"/>
    <w:rsid w:val="48E00EFA"/>
    <w:rsid w:val="48E5096A"/>
    <w:rsid w:val="48E93727"/>
    <w:rsid w:val="48F6071D"/>
    <w:rsid w:val="48F609CD"/>
    <w:rsid w:val="48FA1FBB"/>
    <w:rsid w:val="48FD7CFE"/>
    <w:rsid w:val="49025314"/>
    <w:rsid w:val="49064E04"/>
    <w:rsid w:val="49095033"/>
    <w:rsid w:val="491312CF"/>
    <w:rsid w:val="491D0608"/>
    <w:rsid w:val="49214B3A"/>
    <w:rsid w:val="492A3ABB"/>
    <w:rsid w:val="492D0FDA"/>
    <w:rsid w:val="492E6109"/>
    <w:rsid w:val="492E6360"/>
    <w:rsid w:val="492E6984"/>
    <w:rsid w:val="493108C7"/>
    <w:rsid w:val="49320E3E"/>
    <w:rsid w:val="49353CB9"/>
    <w:rsid w:val="49393B07"/>
    <w:rsid w:val="493B4F03"/>
    <w:rsid w:val="493C6A78"/>
    <w:rsid w:val="493E459E"/>
    <w:rsid w:val="493F0316"/>
    <w:rsid w:val="495101BA"/>
    <w:rsid w:val="49555444"/>
    <w:rsid w:val="495723CC"/>
    <w:rsid w:val="49586595"/>
    <w:rsid w:val="495E6D91"/>
    <w:rsid w:val="49634005"/>
    <w:rsid w:val="49656BC0"/>
    <w:rsid w:val="4968786D"/>
    <w:rsid w:val="496A5F78"/>
    <w:rsid w:val="496C1724"/>
    <w:rsid w:val="49757894"/>
    <w:rsid w:val="49785C10"/>
    <w:rsid w:val="497A6D30"/>
    <w:rsid w:val="497A75A0"/>
    <w:rsid w:val="497E0E3E"/>
    <w:rsid w:val="49883A6B"/>
    <w:rsid w:val="498A7175"/>
    <w:rsid w:val="498A77E3"/>
    <w:rsid w:val="49971F00"/>
    <w:rsid w:val="499804E8"/>
    <w:rsid w:val="499A554C"/>
    <w:rsid w:val="499D53D9"/>
    <w:rsid w:val="49A12AC4"/>
    <w:rsid w:val="49A308A5"/>
    <w:rsid w:val="49B4660E"/>
    <w:rsid w:val="49C0011B"/>
    <w:rsid w:val="49C2281B"/>
    <w:rsid w:val="49C34E2A"/>
    <w:rsid w:val="49C371CF"/>
    <w:rsid w:val="49C64593"/>
    <w:rsid w:val="49CB3958"/>
    <w:rsid w:val="49CF3D92"/>
    <w:rsid w:val="49D07257"/>
    <w:rsid w:val="49D26F45"/>
    <w:rsid w:val="49D46CB0"/>
    <w:rsid w:val="49D66254"/>
    <w:rsid w:val="49DD5ACD"/>
    <w:rsid w:val="49DE368B"/>
    <w:rsid w:val="49F66C1B"/>
    <w:rsid w:val="49F75E2D"/>
    <w:rsid w:val="49F77BEA"/>
    <w:rsid w:val="49F8145A"/>
    <w:rsid w:val="49FA5FEB"/>
    <w:rsid w:val="4A011472"/>
    <w:rsid w:val="4A050C18"/>
    <w:rsid w:val="4A054B02"/>
    <w:rsid w:val="4A064990"/>
    <w:rsid w:val="4A1672C9"/>
    <w:rsid w:val="4A17094B"/>
    <w:rsid w:val="4A182708"/>
    <w:rsid w:val="4A1F71D6"/>
    <w:rsid w:val="4A205A52"/>
    <w:rsid w:val="4A225C6E"/>
    <w:rsid w:val="4A255114"/>
    <w:rsid w:val="4A2F53F3"/>
    <w:rsid w:val="4A3414FD"/>
    <w:rsid w:val="4A370FED"/>
    <w:rsid w:val="4A3D2296"/>
    <w:rsid w:val="4A40551E"/>
    <w:rsid w:val="4A410A06"/>
    <w:rsid w:val="4A4534F8"/>
    <w:rsid w:val="4A4D0548"/>
    <w:rsid w:val="4A4F27DB"/>
    <w:rsid w:val="4A532E7E"/>
    <w:rsid w:val="4A5C2781"/>
    <w:rsid w:val="4A5E657A"/>
    <w:rsid w:val="4A6532F8"/>
    <w:rsid w:val="4A6718D3"/>
    <w:rsid w:val="4A677B24"/>
    <w:rsid w:val="4A6873F9"/>
    <w:rsid w:val="4A6F69D9"/>
    <w:rsid w:val="4A722025"/>
    <w:rsid w:val="4A771C12"/>
    <w:rsid w:val="4A795D9B"/>
    <w:rsid w:val="4A7F4E6E"/>
    <w:rsid w:val="4A863467"/>
    <w:rsid w:val="4A8D77F1"/>
    <w:rsid w:val="4A8E3303"/>
    <w:rsid w:val="4A924464"/>
    <w:rsid w:val="4A9B61E5"/>
    <w:rsid w:val="4A9E77DA"/>
    <w:rsid w:val="4AA108A3"/>
    <w:rsid w:val="4AA2290B"/>
    <w:rsid w:val="4AA30431"/>
    <w:rsid w:val="4AA956FA"/>
    <w:rsid w:val="4AAA17BF"/>
    <w:rsid w:val="4AAE4147"/>
    <w:rsid w:val="4AAE5336"/>
    <w:rsid w:val="4AB006E9"/>
    <w:rsid w:val="4AB131AC"/>
    <w:rsid w:val="4AB83EDC"/>
    <w:rsid w:val="4AB902FA"/>
    <w:rsid w:val="4AB91C59"/>
    <w:rsid w:val="4ACE31B8"/>
    <w:rsid w:val="4AD14F9E"/>
    <w:rsid w:val="4AD54C00"/>
    <w:rsid w:val="4AD60806"/>
    <w:rsid w:val="4AD64009"/>
    <w:rsid w:val="4ADD7DE7"/>
    <w:rsid w:val="4ADF590D"/>
    <w:rsid w:val="4ADF6F8E"/>
    <w:rsid w:val="4AE41175"/>
    <w:rsid w:val="4AE42F23"/>
    <w:rsid w:val="4AEE477A"/>
    <w:rsid w:val="4AEE78FE"/>
    <w:rsid w:val="4AF8077D"/>
    <w:rsid w:val="4AFA62A3"/>
    <w:rsid w:val="4AFB026D"/>
    <w:rsid w:val="4AFD2237"/>
    <w:rsid w:val="4AFD23DC"/>
    <w:rsid w:val="4B032666"/>
    <w:rsid w:val="4B0D06CC"/>
    <w:rsid w:val="4B0D4F28"/>
    <w:rsid w:val="4B1032B0"/>
    <w:rsid w:val="4B1F0217"/>
    <w:rsid w:val="4B2072B5"/>
    <w:rsid w:val="4B20746B"/>
    <w:rsid w:val="4B225D19"/>
    <w:rsid w:val="4B244232"/>
    <w:rsid w:val="4B271062"/>
    <w:rsid w:val="4B2C4CC9"/>
    <w:rsid w:val="4B2D30CB"/>
    <w:rsid w:val="4B301ACF"/>
    <w:rsid w:val="4B3135D5"/>
    <w:rsid w:val="4B337A07"/>
    <w:rsid w:val="4B3C128B"/>
    <w:rsid w:val="4B3C501C"/>
    <w:rsid w:val="4B43686F"/>
    <w:rsid w:val="4B46215F"/>
    <w:rsid w:val="4B50680B"/>
    <w:rsid w:val="4B534ADE"/>
    <w:rsid w:val="4B582BCD"/>
    <w:rsid w:val="4B5859EE"/>
    <w:rsid w:val="4B5A5567"/>
    <w:rsid w:val="4B6A35F4"/>
    <w:rsid w:val="4B6A369F"/>
    <w:rsid w:val="4B71112D"/>
    <w:rsid w:val="4B717309"/>
    <w:rsid w:val="4B72135E"/>
    <w:rsid w:val="4B8464B4"/>
    <w:rsid w:val="4B942491"/>
    <w:rsid w:val="4B97407A"/>
    <w:rsid w:val="4B985147"/>
    <w:rsid w:val="4B9C34EA"/>
    <w:rsid w:val="4BA37FEB"/>
    <w:rsid w:val="4BA426B2"/>
    <w:rsid w:val="4BA77DDA"/>
    <w:rsid w:val="4BAB1C93"/>
    <w:rsid w:val="4BAB57EF"/>
    <w:rsid w:val="4BAE4439"/>
    <w:rsid w:val="4BB24DCF"/>
    <w:rsid w:val="4BB7357F"/>
    <w:rsid w:val="4BBC7BF0"/>
    <w:rsid w:val="4BBF74EC"/>
    <w:rsid w:val="4BC62629"/>
    <w:rsid w:val="4BCD1C09"/>
    <w:rsid w:val="4BCD77D6"/>
    <w:rsid w:val="4BCF5981"/>
    <w:rsid w:val="4BD2790E"/>
    <w:rsid w:val="4BDB5F41"/>
    <w:rsid w:val="4BDE5BC4"/>
    <w:rsid w:val="4BDF36EB"/>
    <w:rsid w:val="4BE17463"/>
    <w:rsid w:val="4BE64A79"/>
    <w:rsid w:val="4BE807F1"/>
    <w:rsid w:val="4BEF7DD1"/>
    <w:rsid w:val="4BF35792"/>
    <w:rsid w:val="4BF559FF"/>
    <w:rsid w:val="4BF841D3"/>
    <w:rsid w:val="4BFE5FCA"/>
    <w:rsid w:val="4C05180D"/>
    <w:rsid w:val="4C066EC9"/>
    <w:rsid w:val="4C075DB9"/>
    <w:rsid w:val="4C08500C"/>
    <w:rsid w:val="4C1415E6"/>
    <w:rsid w:val="4C1C50AE"/>
    <w:rsid w:val="4C2061DD"/>
    <w:rsid w:val="4C2869FC"/>
    <w:rsid w:val="4C341DAE"/>
    <w:rsid w:val="4C3B4FDC"/>
    <w:rsid w:val="4C416153"/>
    <w:rsid w:val="4C456D64"/>
    <w:rsid w:val="4C4579F1"/>
    <w:rsid w:val="4C46543A"/>
    <w:rsid w:val="4C481290"/>
    <w:rsid w:val="4C4A14AC"/>
    <w:rsid w:val="4C510B66"/>
    <w:rsid w:val="4C5145E8"/>
    <w:rsid w:val="4C575977"/>
    <w:rsid w:val="4C5E497C"/>
    <w:rsid w:val="4C6B2AB3"/>
    <w:rsid w:val="4C6B4A07"/>
    <w:rsid w:val="4C6E0C92"/>
    <w:rsid w:val="4C72630D"/>
    <w:rsid w:val="4C7C7C27"/>
    <w:rsid w:val="4C7D53DD"/>
    <w:rsid w:val="4C7E2F03"/>
    <w:rsid w:val="4C8147A2"/>
    <w:rsid w:val="4C815E38"/>
    <w:rsid w:val="4C83051A"/>
    <w:rsid w:val="4C8B180D"/>
    <w:rsid w:val="4C8E5EAB"/>
    <w:rsid w:val="4C96649F"/>
    <w:rsid w:val="4C995102"/>
    <w:rsid w:val="4C997ACD"/>
    <w:rsid w:val="4C9A68E4"/>
    <w:rsid w:val="4C9C5ACA"/>
    <w:rsid w:val="4CA74208"/>
    <w:rsid w:val="4CA85360"/>
    <w:rsid w:val="4CA87053"/>
    <w:rsid w:val="4CAE37E9"/>
    <w:rsid w:val="4CB6269D"/>
    <w:rsid w:val="4CB93F3C"/>
    <w:rsid w:val="4CBB18EA"/>
    <w:rsid w:val="4CC92EED"/>
    <w:rsid w:val="4CD11285"/>
    <w:rsid w:val="4CD3115A"/>
    <w:rsid w:val="4CD40D75"/>
    <w:rsid w:val="4CD4216F"/>
    <w:rsid w:val="4CD77A52"/>
    <w:rsid w:val="4CE627DD"/>
    <w:rsid w:val="4CE74066"/>
    <w:rsid w:val="4CEA0599"/>
    <w:rsid w:val="4CEF5BAF"/>
    <w:rsid w:val="4CF431C6"/>
    <w:rsid w:val="4CF96DDA"/>
    <w:rsid w:val="4CFB0CBC"/>
    <w:rsid w:val="4D0039E7"/>
    <w:rsid w:val="4D007DBC"/>
    <w:rsid w:val="4D037E68"/>
    <w:rsid w:val="4D066AEF"/>
    <w:rsid w:val="4D067B4C"/>
    <w:rsid w:val="4D083ED2"/>
    <w:rsid w:val="4D0A4797"/>
    <w:rsid w:val="4D144ECF"/>
    <w:rsid w:val="4D1A1298"/>
    <w:rsid w:val="4D1C1903"/>
    <w:rsid w:val="4D2515D1"/>
    <w:rsid w:val="4D281F1A"/>
    <w:rsid w:val="4D2A40E0"/>
    <w:rsid w:val="4D2B308B"/>
    <w:rsid w:val="4D3A40DE"/>
    <w:rsid w:val="4D4203D5"/>
    <w:rsid w:val="4D425B8B"/>
    <w:rsid w:val="4D466E89"/>
    <w:rsid w:val="4D487C17"/>
    <w:rsid w:val="4D495A2D"/>
    <w:rsid w:val="4D497A62"/>
    <w:rsid w:val="4D4E0B28"/>
    <w:rsid w:val="4D5437E0"/>
    <w:rsid w:val="4D565C2E"/>
    <w:rsid w:val="4D5D520F"/>
    <w:rsid w:val="4D6245D3"/>
    <w:rsid w:val="4D646E93"/>
    <w:rsid w:val="4D655613"/>
    <w:rsid w:val="4D672C56"/>
    <w:rsid w:val="4D697710"/>
    <w:rsid w:val="4D6B16DA"/>
    <w:rsid w:val="4D6C7200"/>
    <w:rsid w:val="4D707DE0"/>
    <w:rsid w:val="4D752558"/>
    <w:rsid w:val="4D813083"/>
    <w:rsid w:val="4D8310ED"/>
    <w:rsid w:val="4D84279B"/>
    <w:rsid w:val="4D89273B"/>
    <w:rsid w:val="4D8C6A55"/>
    <w:rsid w:val="4D953834"/>
    <w:rsid w:val="4D9B1A27"/>
    <w:rsid w:val="4D9C1893"/>
    <w:rsid w:val="4DAF41A0"/>
    <w:rsid w:val="4DB03590"/>
    <w:rsid w:val="4DB23354"/>
    <w:rsid w:val="4DB3691B"/>
    <w:rsid w:val="4DBC2D53"/>
    <w:rsid w:val="4DBE3EFF"/>
    <w:rsid w:val="4DC1579E"/>
    <w:rsid w:val="4DC42551"/>
    <w:rsid w:val="4DC8754E"/>
    <w:rsid w:val="4DCA5F72"/>
    <w:rsid w:val="4DCC3EF8"/>
    <w:rsid w:val="4DCE7B11"/>
    <w:rsid w:val="4DD54DA5"/>
    <w:rsid w:val="4DD97EC3"/>
    <w:rsid w:val="4DDB254D"/>
    <w:rsid w:val="4DDC2AE2"/>
    <w:rsid w:val="4DDE00FE"/>
    <w:rsid w:val="4DDE38D0"/>
    <w:rsid w:val="4DE20732"/>
    <w:rsid w:val="4DE4323A"/>
    <w:rsid w:val="4DE44FE8"/>
    <w:rsid w:val="4DED4BFE"/>
    <w:rsid w:val="4DEF5972"/>
    <w:rsid w:val="4DF72F6D"/>
    <w:rsid w:val="4DFA0CB0"/>
    <w:rsid w:val="4DFA480C"/>
    <w:rsid w:val="4DFF1AA1"/>
    <w:rsid w:val="4DFF5532"/>
    <w:rsid w:val="4E013DEC"/>
    <w:rsid w:val="4E0324FD"/>
    <w:rsid w:val="4E0D470F"/>
    <w:rsid w:val="4E102281"/>
    <w:rsid w:val="4E10402F"/>
    <w:rsid w:val="4E122376"/>
    <w:rsid w:val="4E175B19"/>
    <w:rsid w:val="4E19322E"/>
    <w:rsid w:val="4E1C35CB"/>
    <w:rsid w:val="4E1C6E78"/>
    <w:rsid w:val="4E213F3E"/>
    <w:rsid w:val="4E26271C"/>
    <w:rsid w:val="4E30647F"/>
    <w:rsid w:val="4E310776"/>
    <w:rsid w:val="4E397133"/>
    <w:rsid w:val="4E3A10AC"/>
    <w:rsid w:val="4E3A6398"/>
    <w:rsid w:val="4E3C6BD2"/>
    <w:rsid w:val="4E423C1B"/>
    <w:rsid w:val="4E45017D"/>
    <w:rsid w:val="4E494691"/>
    <w:rsid w:val="4E50411F"/>
    <w:rsid w:val="4E520625"/>
    <w:rsid w:val="4E52289A"/>
    <w:rsid w:val="4E555EE6"/>
    <w:rsid w:val="4E573A0C"/>
    <w:rsid w:val="4E5B7900"/>
    <w:rsid w:val="4E5E2FEC"/>
    <w:rsid w:val="4E656129"/>
    <w:rsid w:val="4E671631"/>
    <w:rsid w:val="4E694BBA"/>
    <w:rsid w:val="4E6D29C4"/>
    <w:rsid w:val="4E807407"/>
    <w:rsid w:val="4E881E17"/>
    <w:rsid w:val="4E8B1908"/>
    <w:rsid w:val="4E901197"/>
    <w:rsid w:val="4E9702AC"/>
    <w:rsid w:val="4EA1672E"/>
    <w:rsid w:val="4EA57EB3"/>
    <w:rsid w:val="4EAC1CFB"/>
    <w:rsid w:val="4EB441DD"/>
    <w:rsid w:val="4EB470B0"/>
    <w:rsid w:val="4EB52EAD"/>
    <w:rsid w:val="4EBA2DB7"/>
    <w:rsid w:val="4EC05A55"/>
    <w:rsid w:val="4ECB67EB"/>
    <w:rsid w:val="4ECC43FA"/>
    <w:rsid w:val="4ECF3EEA"/>
    <w:rsid w:val="4ECF5C98"/>
    <w:rsid w:val="4ED07129"/>
    <w:rsid w:val="4ED11A10"/>
    <w:rsid w:val="4ED92673"/>
    <w:rsid w:val="4EDB4BC8"/>
    <w:rsid w:val="4EE10741"/>
    <w:rsid w:val="4EF46EAF"/>
    <w:rsid w:val="4EF770CB"/>
    <w:rsid w:val="4EFF5D51"/>
    <w:rsid w:val="4F0164BF"/>
    <w:rsid w:val="4F022943"/>
    <w:rsid w:val="4F033DD3"/>
    <w:rsid w:val="4F0612C4"/>
    <w:rsid w:val="4F0771E0"/>
    <w:rsid w:val="4F0A6CD0"/>
    <w:rsid w:val="4F0F42E7"/>
    <w:rsid w:val="4F1638C7"/>
    <w:rsid w:val="4F1D497A"/>
    <w:rsid w:val="4F2259D5"/>
    <w:rsid w:val="4F226CD7"/>
    <w:rsid w:val="4F2A7373"/>
    <w:rsid w:val="4F2C4E99"/>
    <w:rsid w:val="4F2C4FC8"/>
    <w:rsid w:val="4F2D3DA8"/>
    <w:rsid w:val="4F35067F"/>
    <w:rsid w:val="4F381582"/>
    <w:rsid w:val="4F396A84"/>
    <w:rsid w:val="4F3E53F4"/>
    <w:rsid w:val="4F3F2E1E"/>
    <w:rsid w:val="4F440434"/>
    <w:rsid w:val="4F477943"/>
    <w:rsid w:val="4F495A4B"/>
    <w:rsid w:val="4F4C6417"/>
    <w:rsid w:val="4F504DE9"/>
    <w:rsid w:val="4F5368C9"/>
    <w:rsid w:val="4F552641"/>
    <w:rsid w:val="4F5A37B4"/>
    <w:rsid w:val="4F626B0C"/>
    <w:rsid w:val="4F701847"/>
    <w:rsid w:val="4F717B38"/>
    <w:rsid w:val="4F717EA3"/>
    <w:rsid w:val="4F791856"/>
    <w:rsid w:val="4F7A5C04"/>
    <w:rsid w:val="4F7C7D6B"/>
    <w:rsid w:val="4F7E1699"/>
    <w:rsid w:val="4F8612AD"/>
    <w:rsid w:val="4F894099"/>
    <w:rsid w:val="4F896D48"/>
    <w:rsid w:val="4F952A3E"/>
    <w:rsid w:val="4F980780"/>
    <w:rsid w:val="4F9B0FDE"/>
    <w:rsid w:val="4FA233AD"/>
    <w:rsid w:val="4FA354E5"/>
    <w:rsid w:val="4FA40ED3"/>
    <w:rsid w:val="4FA64C4B"/>
    <w:rsid w:val="4FA86E02"/>
    <w:rsid w:val="4FAF75AB"/>
    <w:rsid w:val="4FB05ACA"/>
    <w:rsid w:val="4FB2095F"/>
    <w:rsid w:val="4FB94960"/>
    <w:rsid w:val="4FBC621D"/>
    <w:rsid w:val="4FBF5D0D"/>
    <w:rsid w:val="4FC972A7"/>
    <w:rsid w:val="4FCA33F8"/>
    <w:rsid w:val="4FCE5120"/>
    <w:rsid w:val="4FCE7CFE"/>
    <w:rsid w:val="4FDA66A3"/>
    <w:rsid w:val="4FE7363D"/>
    <w:rsid w:val="4FF359B6"/>
    <w:rsid w:val="4FF57980"/>
    <w:rsid w:val="4FF72501"/>
    <w:rsid w:val="4FF74123"/>
    <w:rsid w:val="4FF77255"/>
    <w:rsid w:val="4FFF262E"/>
    <w:rsid w:val="50083DC8"/>
    <w:rsid w:val="500E10DF"/>
    <w:rsid w:val="500F0A42"/>
    <w:rsid w:val="500F0FD4"/>
    <w:rsid w:val="501778F7"/>
    <w:rsid w:val="501871CB"/>
    <w:rsid w:val="501A73E7"/>
    <w:rsid w:val="501C7C09"/>
    <w:rsid w:val="501E02B3"/>
    <w:rsid w:val="50210776"/>
    <w:rsid w:val="50265D8C"/>
    <w:rsid w:val="50273148"/>
    <w:rsid w:val="502913D8"/>
    <w:rsid w:val="502D711A"/>
    <w:rsid w:val="5031764D"/>
    <w:rsid w:val="50324731"/>
    <w:rsid w:val="50334005"/>
    <w:rsid w:val="50416722"/>
    <w:rsid w:val="5042414A"/>
    <w:rsid w:val="50454464"/>
    <w:rsid w:val="504B341D"/>
    <w:rsid w:val="505D3ECB"/>
    <w:rsid w:val="505F6CA7"/>
    <w:rsid w:val="50605FE1"/>
    <w:rsid w:val="50632DC2"/>
    <w:rsid w:val="506B269C"/>
    <w:rsid w:val="50720FD1"/>
    <w:rsid w:val="5073345A"/>
    <w:rsid w:val="50752389"/>
    <w:rsid w:val="5076035C"/>
    <w:rsid w:val="50790FCF"/>
    <w:rsid w:val="507B7E86"/>
    <w:rsid w:val="507C59AC"/>
    <w:rsid w:val="508A631B"/>
    <w:rsid w:val="5091017C"/>
    <w:rsid w:val="50943B87"/>
    <w:rsid w:val="50952F83"/>
    <w:rsid w:val="50967210"/>
    <w:rsid w:val="50974594"/>
    <w:rsid w:val="509947B0"/>
    <w:rsid w:val="509A7982"/>
    <w:rsid w:val="509F545A"/>
    <w:rsid w:val="50A0099F"/>
    <w:rsid w:val="50A11925"/>
    <w:rsid w:val="50A126B7"/>
    <w:rsid w:val="50A92A8E"/>
    <w:rsid w:val="50AD1835"/>
    <w:rsid w:val="50AF190C"/>
    <w:rsid w:val="50AF51FF"/>
    <w:rsid w:val="50B8382A"/>
    <w:rsid w:val="50B92583"/>
    <w:rsid w:val="50BA467C"/>
    <w:rsid w:val="50BC5E30"/>
    <w:rsid w:val="50BF61EE"/>
    <w:rsid w:val="50C8299F"/>
    <w:rsid w:val="50D17AA6"/>
    <w:rsid w:val="50D43A3A"/>
    <w:rsid w:val="50E71679"/>
    <w:rsid w:val="50EA177F"/>
    <w:rsid w:val="50EA5EA6"/>
    <w:rsid w:val="50EF2622"/>
    <w:rsid w:val="50EF617E"/>
    <w:rsid w:val="50F86935"/>
    <w:rsid w:val="50FE0CB7"/>
    <w:rsid w:val="50FE4613"/>
    <w:rsid w:val="5100482F"/>
    <w:rsid w:val="51022355"/>
    <w:rsid w:val="51063B27"/>
    <w:rsid w:val="510A2FB8"/>
    <w:rsid w:val="511432A7"/>
    <w:rsid w:val="511E7808"/>
    <w:rsid w:val="51213833"/>
    <w:rsid w:val="512322CB"/>
    <w:rsid w:val="51316796"/>
    <w:rsid w:val="51346287"/>
    <w:rsid w:val="513650B0"/>
    <w:rsid w:val="513B7615"/>
    <w:rsid w:val="513D0EC1"/>
    <w:rsid w:val="513E0EB3"/>
    <w:rsid w:val="514062EE"/>
    <w:rsid w:val="514141DD"/>
    <w:rsid w:val="51431550"/>
    <w:rsid w:val="51510631"/>
    <w:rsid w:val="51510BE7"/>
    <w:rsid w:val="5153495F"/>
    <w:rsid w:val="51577749"/>
    <w:rsid w:val="515B75ED"/>
    <w:rsid w:val="515E0756"/>
    <w:rsid w:val="515F18F0"/>
    <w:rsid w:val="516923D4"/>
    <w:rsid w:val="51713037"/>
    <w:rsid w:val="51730B5D"/>
    <w:rsid w:val="51732E0C"/>
    <w:rsid w:val="517A638F"/>
    <w:rsid w:val="518420AA"/>
    <w:rsid w:val="51850890"/>
    <w:rsid w:val="51937451"/>
    <w:rsid w:val="51954F77"/>
    <w:rsid w:val="519C09E5"/>
    <w:rsid w:val="51A43C7E"/>
    <w:rsid w:val="51A52CE0"/>
    <w:rsid w:val="51AC0513"/>
    <w:rsid w:val="51B52725"/>
    <w:rsid w:val="51B55619"/>
    <w:rsid w:val="51B746A8"/>
    <w:rsid w:val="51BF3DA2"/>
    <w:rsid w:val="51C27D36"/>
    <w:rsid w:val="51CB0999"/>
    <w:rsid w:val="51D830B6"/>
    <w:rsid w:val="51E0071F"/>
    <w:rsid w:val="51E27A91"/>
    <w:rsid w:val="51E347C2"/>
    <w:rsid w:val="51EC0A38"/>
    <w:rsid w:val="51EE6435"/>
    <w:rsid w:val="51F23E8F"/>
    <w:rsid w:val="51F42B99"/>
    <w:rsid w:val="51F577C4"/>
    <w:rsid w:val="51F63F4E"/>
    <w:rsid w:val="51F837D1"/>
    <w:rsid w:val="51F84145"/>
    <w:rsid w:val="51FE1BA6"/>
    <w:rsid w:val="51FF1164"/>
    <w:rsid w:val="51FF4AE6"/>
    <w:rsid w:val="52097713"/>
    <w:rsid w:val="520E0886"/>
    <w:rsid w:val="52102850"/>
    <w:rsid w:val="52107E9A"/>
    <w:rsid w:val="52140592"/>
    <w:rsid w:val="521628AD"/>
    <w:rsid w:val="52173BDE"/>
    <w:rsid w:val="521A36CE"/>
    <w:rsid w:val="521B6ECB"/>
    <w:rsid w:val="521D4AE6"/>
    <w:rsid w:val="521F6F37"/>
    <w:rsid w:val="5224647B"/>
    <w:rsid w:val="52293911"/>
    <w:rsid w:val="522A0590"/>
    <w:rsid w:val="522C3C23"/>
    <w:rsid w:val="52311D3F"/>
    <w:rsid w:val="52320A18"/>
    <w:rsid w:val="5233653E"/>
    <w:rsid w:val="52341F98"/>
    <w:rsid w:val="5237602E"/>
    <w:rsid w:val="524C16E1"/>
    <w:rsid w:val="52630BD1"/>
    <w:rsid w:val="52645A0F"/>
    <w:rsid w:val="52697692"/>
    <w:rsid w:val="526F57C8"/>
    <w:rsid w:val="52711BCE"/>
    <w:rsid w:val="527949B6"/>
    <w:rsid w:val="527E5A0B"/>
    <w:rsid w:val="52884ADC"/>
    <w:rsid w:val="528D3D0D"/>
    <w:rsid w:val="528F15C5"/>
    <w:rsid w:val="528F7C18"/>
    <w:rsid w:val="529D77FC"/>
    <w:rsid w:val="52A13BC2"/>
    <w:rsid w:val="52A21006"/>
    <w:rsid w:val="52A35472"/>
    <w:rsid w:val="52AA6800"/>
    <w:rsid w:val="52AC6214"/>
    <w:rsid w:val="52AF3E17"/>
    <w:rsid w:val="52BC6534"/>
    <w:rsid w:val="52BD34BD"/>
    <w:rsid w:val="52C41033"/>
    <w:rsid w:val="52C87073"/>
    <w:rsid w:val="52C877E4"/>
    <w:rsid w:val="52CA2943"/>
    <w:rsid w:val="52CA6EA2"/>
    <w:rsid w:val="52DB10B0"/>
    <w:rsid w:val="52DB4C0C"/>
    <w:rsid w:val="52DC6673"/>
    <w:rsid w:val="52E64B11"/>
    <w:rsid w:val="52E7393E"/>
    <w:rsid w:val="52E910CF"/>
    <w:rsid w:val="52EA4E4F"/>
    <w:rsid w:val="52EE325A"/>
    <w:rsid w:val="52F04AE9"/>
    <w:rsid w:val="52F21F55"/>
    <w:rsid w:val="52FC5C5D"/>
    <w:rsid w:val="52FC6F07"/>
    <w:rsid w:val="53000B16"/>
    <w:rsid w:val="53032A36"/>
    <w:rsid w:val="53053B16"/>
    <w:rsid w:val="531043A0"/>
    <w:rsid w:val="5311062D"/>
    <w:rsid w:val="531225F7"/>
    <w:rsid w:val="531445C2"/>
    <w:rsid w:val="531C6FD2"/>
    <w:rsid w:val="532A5B93"/>
    <w:rsid w:val="53346859"/>
    <w:rsid w:val="533C1FF3"/>
    <w:rsid w:val="533F163E"/>
    <w:rsid w:val="53402352"/>
    <w:rsid w:val="534D6F8E"/>
    <w:rsid w:val="53511372"/>
    <w:rsid w:val="53543B21"/>
    <w:rsid w:val="535624E4"/>
    <w:rsid w:val="53566988"/>
    <w:rsid w:val="535E7C97"/>
    <w:rsid w:val="536015B5"/>
    <w:rsid w:val="53634C2A"/>
    <w:rsid w:val="53702FD3"/>
    <w:rsid w:val="53713144"/>
    <w:rsid w:val="53746E0E"/>
    <w:rsid w:val="537806AC"/>
    <w:rsid w:val="537868FE"/>
    <w:rsid w:val="537B1F4B"/>
    <w:rsid w:val="53807561"/>
    <w:rsid w:val="538434F5"/>
    <w:rsid w:val="5385213F"/>
    <w:rsid w:val="5387543C"/>
    <w:rsid w:val="538C5F06"/>
    <w:rsid w:val="538D7C23"/>
    <w:rsid w:val="538D7DE7"/>
    <w:rsid w:val="53911318"/>
    <w:rsid w:val="53980258"/>
    <w:rsid w:val="539A6875"/>
    <w:rsid w:val="53A16DA2"/>
    <w:rsid w:val="53A21BCD"/>
    <w:rsid w:val="53A25729"/>
    <w:rsid w:val="53A360D8"/>
    <w:rsid w:val="53A40E0E"/>
    <w:rsid w:val="53AC47FA"/>
    <w:rsid w:val="53B37737"/>
    <w:rsid w:val="53BA0A12"/>
    <w:rsid w:val="53BE52E3"/>
    <w:rsid w:val="53C65075"/>
    <w:rsid w:val="53C915F6"/>
    <w:rsid w:val="53CE7591"/>
    <w:rsid w:val="53D1600F"/>
    <w:rsid w:val="53DA1367"/>
    <w:rsid w:val="53E43F94"/>
    <w:rsid w:val="53E50FED"/>
    <w:rsid w:val="53E61D72"/>
    <w:rsid w:val="53E63809"/>
    <w:rsid w:val="53E723A1"/>
    <w:rsid w:val="53EB2FBE"/>
    <w:rsid w:val="53EB521C"/>
    <w:rsid w:val="53EF00E6"/>
    <w:rsid w:val="53EF6DA5"/>
    <w:rsid w:val="53FB0A6A"/>
    <w:rsid w:val="53FC269A"/>
    <w:rsid w:val="540168F4"/>
    <w:rsid w:val="54085ED4"/>
    <w:rsid w:val="541977FF"/>
    <w:rsid w:val="541D1254"/>
    <w:rsid w:val="541F37B3"/>
    <w:rsid w:val="54297BF9"/>
    <w:rsid w:val="542B3809"/>
    <w:rsid w:val="54316AAD"/>
    <w:rsid w:val="543214BB"/>
    <w:rsid w:val="54336CC9"/>
    <w:rsid w:val="543F75C3"/>
    <w:rsid w:val="544E6F61"/>
    <w:rsid w:val="54520EFE"/>
    <w:rsid w:val="5455272D"/>
    <w:rsid w:val="545C3B2A"/>
    <w:rsid w:val="545F7ABE"/>
    <w:rsid w:val="546649A9"/>
    <w:rsid w:val="546C00AE"/>
    <w:rsid w:val="54703A7A"/>
    <w:rsid w:val="54705828"/>
    <w:rsid w:val="547A5087"/>
    <w:rsid w:val="547C41CC"/>
    <w:rsid w:val="5488491F"/>
    <w:rsid w:val="548D0188"/>
    <w:rsid w:val="54931516"/>
    <w:rsid w:val="549C486F"/>
    <w:rsid w:val="54A20CF1"/>
    <w:rsid w:val="54A31759"/>
    <w:rsid w:val="54A34230"/>
    <w:rsid w:val="54AE00FE"/>
    <w:rsid w:val="54AF6350"/>
    <w:rsid w:val="54B01375"/>
    <w:rsid w:val="54B45D49"/>
    <w:rsid w:val="54B83F4D"/>
    <w:rsid w:val="54BA54C6"/>
    <w:rsid w:val="54BA6AA3"/>
    <w:rsid w:val="54BB2F47"/>
    <w:rsid w:val="54BE6593"/>
    <w:rsid w:val="54C176FB"/>
    <w:rsid w:val="54C91FB4"/>
    <w:rsid w:val="54D23DEC"/>
    <w:rsid w:val="54D24E86"/>
    <w:rsid w:val="54D44008"/>
    <w:rsid w:val="54DA0EF3"/>
    <w:rsid w:val="54DA4AA4"/>
    <w:rsid w:val="54DC4C6B"/>
    <w:rsid w:val="54DF6509"/>
    <w:rsid w:val="54E40086"/>
    <w:rsid w:val="54E86E55"/>
    <w:rsid w:val="54ED3248"/>
    <w:rsid w:val="54F3462C"/>
    <w:rsid w:val="54FC530D"/>
    <w:rsid w:val="54FD754D"/>
    <w:rsid w:val="55011664"/>
    <w:rsid w:val="550240DE"/>
    <w:rsid w:val="550541C2"/>
    <w:rsid w:val="55061CE8"/>
    <w:rsid w:val="550A17D8"/>
    <w:rsid w:val="550C37A2"/>
    <w:rsid w:val="550D12C8"/>
    <w:rsid w:val="55106513"/>
    <w:rsid w:val="55106A71"/>
    <w:rsid w:val="551750D6"/>
    <w:rsid w:val="55195EBF"/>
    <w:rsid w:val="551A0AAB"/>
    <w:rsid w:val="551B39E5"/>
    <w:rsid w:val="551E7032"/>
    <w:rsid w:val="55212F4E"/>
    <w:rsid w:val="5521466C"/>
    <w:rsid w:val="55254864"/>
    <w:rsid w:val="552863E9"/>
    <w:rsid w:val="55287EB0"/>
    <w:rsid w:val="552B4657"/>
    <w:rsid w:val="552F56E3"/>
    <w:rsid w:val="55356C1B"/>
    <w:rsid w:val="553924E0"/>
    <w:rsid w:val="553B4087"/>
    <w:rsid w:val="553B7BE4"/>
    <w:rsid w:val="553D7E00"/>
    <w:rsid w:val="55432336"/>
    <w:rsid w:val="55491426"/>
    <w:rsid w:val="554B71F7"/>
    <w:rsid w:val="554C2501"/>
    <w:rsid w:val="554D5B69"/>
    <w:rsid w:val="555869E7"/>
    <w:rsid w:val="555D2250"/>
    <w:rsid w:val="5560764A"/>
    <w:rsid w:val="5563056F"/>
    <w:rsid w:val="55674E7D"/>
    <w:rsid w:val="55676C2B"/>
    <w:rsid w:val="556876AD"/>
    <w:rsid w:val="557355CF"/>
    <w:rsid w:val="557F5291"/>
    <w:rsid w:val="55821CB6"/>
    <w:rsid w:val="55825812"/>
    <w:rsid w:val="558275C0"/>
    <w:rsid w:val="558D118A"/>
    <w:rsid w:val="55961E7F"/>
    <w:rsid w:val="559E27BF"/>
    <w:rsid w:val="559F4616"/>
    <w:rsid w:val="55A57753"/>
    <w:rsid w:val="55A75279"/>
    <w:rsid w:val="55AD6C76"/>
    <w:rsid w:val="55B1434A"/>
    <w:rsid w:val="55C723EE"/>
    <w:rsid w:val="55CA0F67"/>
    <w:rsid w:val="55CD354A"/>
    <w:rsid w:val="55CD6ACB"/>
    <w:rsid w:val="55D549F2"/>
    <w:rsid w:val="55D6582E"/>
    <w:rsid w:val="55DA0770"/>
    <w:rsid w:val="55DD366F"/>
    <w:rsid w:val="55E0078B"/>
    <w:rsid w:val="55E4027B"/>
    <w:rsid w:val="55E93AE3"/>
    <w:rsid w:val="55E95892"/>
    <w:rsid w:val="55E97640"/>
    <w:rsid w:val="55EB160A"/>
    <w:rsid w:val="55EC0491"/>
    <w:rsid w:val="55F93F3C"/>
    <w:rsid w:val="55FA184D"/>
    <w:rsid w:val="55FC4BDC"/>
    <w:rsid w:val="55FC6467"/>
    <w:rsid w:val="560763AD"/>
    <w:rsid w:val="56076C39"/>
    <w:rsid w:val="560B3A5A"/>
    <w:rsid w:val="560C77D2"/>
    <w:rsid w:val="56107D2A"/>
    <w:rsid w:val="5612303A"/>
    <w:rsid w:val="561D19DF"/>
    <w:rsid w:val="56252250"/>
    <w:rsid w:val="562C1C22"/>
    <w:rsid w:val="562C4601"/>
    <w:rsid w:val="563332FB"/>
    <w:rsid w:val="56335764"/>
    <w:rsid w:val="5645121E"/>
    <w:rsid w:val="56501D52"/>
    <w:rsid w:val="565166AD"/>
    <w:rsid w:val="56532714"/>
    <w:rsid w:val="565634E8"/>
    <w:rsid w:val="56591A8F"/>
    <w:rsid w:val="565C2ED8"/>
    <w:rsid w:val="56633E3F"/>
    <w:rsid w:val="56693BE0"/>
    <w:rsid w:val="566E2014"/>
    <w:rsid w:val="56701B0F"/>
    <w:rsid w:val="56717635"/>
    <w:rsid w:val="567530B6"/>
    <w:rsid w:val="56770AE3"/>
    <w:rsid w:val="567C04B4"/>
    <w:rsid w:val="56847368"/>
    <w:rsid w:val="56870A65"/>
    <w:rsid w:val="568B268E"/>
    <w:rsid w:val="568F6618"/>
    <w:rsid w:val="569357FD"/>
    <w:rsid w:val="56A143BE"/>
    <w:rsid w:val="56A33C92"/>
    <w:rsid w:val="56A47A0A"/>
    <w:rsid w:val="56A96DCF"/>
    <w:rsid w:val="56AD4B11"/>
    <w:rsid w:val="56AF60F7"/>
    <w:rsid w:val="56BA5480"/>
    <w:rsid w:val="56BC6B02"/>
    <w:rsid w:val="56C03B12"/>
    <w:rsid w:val="56C41E5B"/>
    <w:rsid w:val="56C43C09"/>
    <w:rsid w:val="56C55419"/>
    <w:rsid w:val="56C7422E"/>
    <w:rsid w:val="56CB31E9"/>
    <w:rsid w:val="56CC38D1"/>
    <w:rsid w:val="56D41079"/>
    <w:rsid w:val="56EF512A"/>
    <w:rsid w:val="56F12E37"/>
    <w:rsid w:val="56F24C1A"/>
    <w:rsid w:val="56F402C5"/>
    <w:rsid w:val="56FC20F7"/>
    <w:rsid w:val="57007679"/>
    <w:rsid w:val="57052631"/>
    <w:rsid w:val="570861EB"/>
    <w:rsid w:val="570C5CDB"/>
    <w:rsid w:val="570D55B0"/>
    <w:rsid w:val="570E4683"/>
    <w:rsid w:val="571C1C97"/>
    <w:rsid w:val="571C2784"/>
    <w:rsid w:val="571C3A45"/>
    <w:rsid w:val="571E77BD"/>
    <w:rsid w:val="57261A40"/>
    <w:rsid w:val="572D17AE"/>
    <w:rsid w:val="57304F35"/>
    <w:rsid w:val="573050F9"/>
    <w:rsid w:val="57311EE8"/>
    <w:rsid w:val="573214BA"/>
    <w:rsid w:val="57347BEB"/>
    <w:rsid w:val="57392849"/>
    <w:rsid w:val="573A47F4"/>
    <w:rsid w:val="57415259"/>
    <w:rsid w:val="574C257C"/>
    <w:rsid w:val="5752558D"/>
    <w:rsid w:val="575B4970"/>
    <w:rsid w:val="575D60AD"/>
    <w:rsid w:val="575F2821"/>
    <w:rsid w:val="576176AA"/>
    <w:rsid w:val="5765719A"/>
    <w:rsid w:val="577473DD"/>
    <w:rsid w:val="577B33D6"/>
    <w:rsid w:val="577C581C"/>
    <w:rsid w:val="578C4726"/>
    <w:rsid w:val="579502B5"/>
    <w:rsid w:val="57957137"/>
    <w:rsid w:val="579615CE"/>
    <w:rsid w:val="57A71560"/>
    <w:rsid w:val="57AD0F6C"/>
    <w:rsid w:val="57B34E87"/>
    <w:rsid w:val="57BD48EF"/>
    <w:rsid w:val="57C21635"/>
    <w:rsid w:val="57D04F5B"/>
    <w:rsid w:val="57D305A7"/>
    <w:rsid w:val="57D946CA"/>
    <w:rsid w:val="57DA73A0"/>
    <w:rsid w:val="57E64F8B"/>
    <w:rsid w:val="57E8209D"/>
    <w:rsid w:val="57EA58F1"/>
    <w:rsid w:val="57EC78BB"/>
    <w:rsid w:val="57F10A2D"/>
    <w:rsid w:val="57FD0048"/>
    <w:rsid w:val="57FE314A"/>
    <w:rsid w:val="58020E8D"/>
    <w:rsid w:val="580469B3"/>
    <w:rsid w:val="5805272B"/>
    <w:rsid w:val="580E15DF"/>
    <w:rsid w:val="580F7106"/>
    <w:rsid w:val="58131835"/>
    <w:rsid w:val="581563B3"/>
    <w:rsid w:val="58156E12"/>
    <w:rsid w:val="581B1F4E"/>
    <w:rsid w:val="581B5AAA"/>
    <w:rsid w:val="5828345F"/>
    <w:rsid w:val="583026E4"/>
    <w:rsid w:val="58311544"/>
    <w:rsid w:val="583152CE"/>
    <w:rsid w:val="583345AB"/>
    <w:rsid w:val="58345199"/>
    <w:rsid w:val="58354B63"/>
    <w:rsid w:val="58357612"/>
    <w:rsid w:val="58362082"/>
    <w:rsid w:val="58407628"/>
    <w:rsid w:val="584119B5"/>
    <w:rsid w:val="58421289"/>
    <w:rsid w:val="58450D79"/>
    <w:rsid w:val="58501BF8"/>
    <w:rsid w:val="5853793A"/>
    <w:rsid w:val="5855720E"/>
    <w:rsid w:val="585711D8"/>
    <w:rsid w:val="58580AAD"/>
    <w:rsid w:val="58590BB5"/>
    <w:rsid w:val="585A2A77"/>
    <w:rsid w:val="58614B55"/>
    <w:rsid w:val="5862192B"/>
    <w:rsid w:val="58627B7D"/>
    <w:rsid w:val="58631A53"/>
    <w:rsid w:val="58660CE3"/>
    <w:rsid w:val="5866141B"/>
    <w:rsid w:val="58686251"/>
    <w:rsid w:val="58722B13"/>
    <w:rsid w:val="58733B38"/>
    <w:rsid w:val="587358E6"/>
    <w:rsid w:val="5877494F"/>
    <w:rsid w:val="587A07F0"/>
    <w:rsid w:val="587F072F"/>
    <w:rsid w:val="587F428B"/>
    <w:rsid w:val="588418A2"/>
    <w:rsid w:val="58844FD6"/>
    <w:rsid w:val="58872B34"/>
    <w:rsid w:val="588751FD"/>
    <w:rsid w:val="58896EB8"/>
    <w:rsid w:val="588B432B"/>
    <w:rsid w:val="588F6E1D"/>
    <w:rsid w:val="588F6FE2"/>
    <w:rsid w:val="5898077D"/>
    <w:rsid w:val="589A2E73"/>
    <w:rsid w:val="58A0654B"/>
    <w:rsid w:val="58A21D92"/>
    <w:rsid w:val="58A40196"/>
    <w:rsid w:val="58A4140A"/>
    <w:rsid w:val="58A565DA"/>
    <w:rsid w:val="58A645EB"/>
    <w:rsid w:val="58AB7F08"/>
    <w:rsid w:val="58AC4CBD"/>
    <w:rsid w:val="58AE7FA4"/>
    <w:rsid w:val="58B3335B"/>
    <w:rsid w:val="58B8779D"/>
    <w:rsid w:val="58BC07AC"/>
    <w:rsid w:val="58C72BED"/>
    <w:rsid w:val="58CD149A"/>
    <w:rsid w:val="58CE6FC1"/>
    <w:rsid w:val="58D06B21"/>
    <w:rsid w:val="58D901AF"/>
    <w:rsid w:val="58D95C71"/>
    <w:rsid w:val="58DA3BB7"/>
    <w:rsid w:val="58E04ED5"/>
    <w:rsid w:val="58E14F46"/>
    <w:rsid w:val="58EB2E9D"/>
    <w:rsid w:val="58F32999"/>
    <w:rsid w:val="58F95A7C"/>
    <w:rsid w:val="58FA7DB6"/>
    <w:rsid w:val="5900361E"/>
    <w:rsid w:val="59012EF2"/>
    <w:rsid w:val="5902026F"/>
    <w:rsid w:val="590D1897"/>
    <w:rsid w:val="590E07A8"/>
    <w:rsid w:val="59154BEF"/>
    <w:rsid w:val="59162550"/>
    <w:rsid w:val="5919648E"/>
    <w:rsid w:val="59205A6E"/>
    <w:rsid w:val="592310BA"/>
    <w:rsid w:val="59285535"/>
    <w:rsid w:val="59301A29"/>
    <w:rsid w:val="5936007D"/>
    <w:rsid w:val="593651C5"/>
    <w:rsid w:val="593A20E1"/>
    <w:rsid w:val="593B28A8"/>
    <w:rsid w:val="593E5EF4"/>
    <w:rsid w:val="59451C63"/>
    <w:rsid w:val="594939D2"/>
    <w:rsid w:val="594D25DB"/>
    <w:rsid w:val="59543849"/>
    <w:rsid w:val="59586497"/>
    <w:rsid w:val="595C1F06"/>
    <w:rsid w:val="59603AB5"/>
    <w:rsid w:val="5964405A"/>
    <w:rsid w:val="596516D3"/>
    <w:rsid w:val="596A4F3B"/>
    <w:rsid w:val="596F4300"/>
    <w:rsid w:val="596F60AE"/>
    <w:rsid w:val="597D5AB7"/>
    <w:rsid w:val="597F7C59"/>
    <w:rsid w:val="598D76F3"/>
    <w:rsid w:val="598F1597"/>
    <w:rsid w:val="598F67FC"/>
    <w:rsid w:val="599259E9"/>
    <w:rsid w:val="59964FE0"/>
    <w:rsid w:val="599B3E92"/>
    <w:rsid w:val="599D770E"/>
    <w:rsid w:val="59A86EE7"/>
    <w:rsid w:val="59AB2256"/>
    <w:rsid w:val="59B03041"/>
    <w:rsid w:val="59B645DB"/>
    <w:rsid w:val="59BF6AD5"/>
    <w:rsid w:val="59C4289D"/>
    <w:rsid w:val="59C7015B"/>
    <w:rsid w:val="59C770EC"/>
    <w:rsid w:val="59C83A10"/>
    <w:rsid w:val="59C95F43"/>
    <w:rsid w:val="59C97EB4"/>
    <w:rsid w:val="59CD070B"/>
    <w:rsid w:val="59D12AA8"/>
    <w:rsid w:val="59D17ED3"/>
    <w:rsid w:val="59D6437F"/>
    <w:rsid w:val="59DB1995"/>
    <w:rsid w:val="59DF76D7"/>
    <w:rsid w:val="59E33AB3"/>
    <w:rsid w:val="59E96214"/>
    <w:rsid w:val="59EA1BD8"/>
    <w:rsid w:val="59F02FE1"/>
    <w:rsid w:val="59F45525"/>
    <w:rsid w:val="59FE5684"/>
    <w:rsid w:val="5A07278A"/>
    <w:rsid w:val="5A0B2A38"/>
    <w:rsid w:val="5A0E0CBD"/>
    <w:rsid w:val="5A162CB9"/>
    <w:rsid w:val="5A1B0365"/>
    <w:rsid w:val="5A1F5392"/>
    <w:rsid w:val="5A206A87"/>
    <w:rsid w:val="5A2349E1"/>
    <w:rsid w:val="5A2823FD"/>
    <w:rsid w:val="5A2D0090"/>
    <w:rsid w:val="5A3A490E"/>
    <w:rsid w:val="5A3D7F5A"/>
    <w:rsid w:val="5A4237C2"/>
    <w:rsid w:val="5A494B51"/>
    <w:rsid w:val="5A4D7FA6"/>
    <w:rsid w:val="5A5115E7"/>
    <w:rsid w:val="5A522F08"/>
    <w:rsid w:val="5A6D296A"/>
    <w:rsid w:val="5A71428A"/>
    <w:rsid w:val="5A7476F4"/>
    <w:rsid w:val="5A753B98"/>
    <w:rsid w:val="5A772767"/>
    <w:rsid w:val="5A7D2A4C"/>
    <w:rsid w:val="5A7F0572"/>
    <w:rsid w:val="5A81078E"/>
    <w:rsid w:val="5A821CC5"/>
    <w:rsid w:val="5A841270"/>
    <w:rsid w:val="5A8958B5"/>
    <w:rsid w:val="5A8E625F"/>
    <w:rsid w:val="5A913874"/>
    <w:rsid w:val="5A94756C"/>
    <w:rsid w:val="5A980B76"/>
    <w:rsid w:val="5AA1673B"/>
    <w:rsid w:val="5AA6585E"/>
    <w:rsid w:val="5AAF5B5F"/>
    <w:rsid w:val="5AB31D0A"/>
    <w:rsid w:val="5AB81CD6"/>
    <w:rsid w:val="5ABC17C7"/>
    <w:rsid w:val="5AC1682D"/>
    <w:rsid w:val="5AC60BF9"/>
    <w:rsid w:val="5AD05272"/>
    <w:rsid w:val="5ADA1C4D"/>
    <w:rsid w:val="5AE143DD"/>
    <w:rsid w:val="5AEC372E"/>
    <w:rsid w:val="5AED4F25"/>
    <w:rsid w:val="5AEE605F"/>
    <w:rsid w:val="5AF002EE"/>
    <w:rsid w:val="5AFF3461"/>
    <w:rsid w:val="5B04316E"/>
    <w:rsid w:val="5B0809A3"/>
    <w:rsid w:val="5B0A2B6C"/>
    <w:rsid w:val="5B154346"/>
    <w:rsid w:val="5B1E41F8"/>
    <w:rsid w:val="5B213CC9"/>
    <w:rsid w:val="5B270145"/>
    <w:rsid w:val="5B277F80"/>
    <w:rsid w:val="5B2E3407"/>
    <w:rsid w:val="5B2F6B51"/>
    <w:rsid w:val="5B31130A"/>
    <w:rsid w:val="5B3255E5"/>
    <w:rsid w:val="5B333B1C"/>
    <w:rsid w:val="5B345778"/>
    <w:rsid w:val="5B370E4D"/>
    <w:rsid w:val="5B3C6463"/>
    <w:rsid w:val="5B3D3F8A"/>
    <w:rsid w:val="5B432946"/>
    <w:rsid w:val="5B440AC5"/>
    <w:rsid w:val="5B4672E2"/>
    <w:rsid w:val="5B4F7164"/>
    <w:rsid w:val="5B523ED9"/>
    <w:rsid w:val="5B555777"/>
    <w:rsid w:val="5B5A2D8E"/>
    <w:rsid w:val="5B696D82"/>
    <w:rsid w:val="5B6C3892"/>
    <w:rsid w:val="5B6C3FA6"/>
    <w:rsid w:val="5B726544"/>
    <w:rsid w:val="5B7420A1"/>
    <w:rsid w:val="5B793214"/>
    <w:rsid w:val="5B7D41AB"/>
    <w:rsid w:val="5B7F3410"/>
    <w:rsid w:val="5B871DD5"/>
    <w:rsid w:val="5B885B4D"/>
    <w:rsid w:val="5B8878FB"/>
    <w:rsid w:val="5B8B1199"/>
    <w:rsid w:val="5B8E1FDE"/>
    <w:rsid w:val="5BA0638D"/>
    <w:rsid w:val="5BA30291"/>
    <w:rsid w:val="5BA30756"/>
    <w:rsid w:val="5BA67D81"/>
    <w:rsid w:val="5BA74018"/>
    <w:rsid w:val="5BAA7871"/>
    <w:rsid w:val="5BAC126E"/>
    <w:rsid w:val="5BB0683A"/>
    <w:rsid w:val="5BB75BFE"/>
    <w:rsid w:val="5BC55123"/>
    <w:rsid w:val="5BC57B50"/>
    <w:rsid w:val="5BC621D1"/>
    <w:rsid w:val="5BCA3A6F"/>
    <w:rsid w:val="5BD052BE"/>
    <w:rsid w:val="5BD243A7"/>
    <w:rsid w:val="5BDE751B"/>
    <w:rsid w:val="5BE2479E"/>
    <w:rsid w:val="5BE25DF4"/>
    <w:rsid w:val="5BE34B31"/>
    <w:rsid w:val="5BED775E"/>
    <w:rsid w:val="5BEF7144"/>
    <w:rsid w:val="5BEF797A"/>
    <w:rsid w:val="5BF7739A"/>
    <w:rsid w:val="5C05719D"/>
    <w:rsid w:val="5C0B7550"/>
    <w:rsid w:val="5C0C7656"/>
    <w:rsid w:val="5C180C7F"/>
    <w:rsid w:val="5C206FF9"/>
    <w:rsid w:val="5C210B18"/>
    <w:rsid w:val="5C2A3DC7"/>
    <w:rsid w:val="5C302BB6"/>
    <w:rsid w:val="5C3D2493"/>
    <w:rsid w:val="5C5477DD"/>
    <w:rsid w:val="5C6043D4"/>
    <w:rsid w:val="5C6171FB"/>
    <w:rsid w:val="5C675762"/>
    <w:rsid w:val="5C69772C"/>
    <w:rsid w:val="5C73667E"/>
    <w:rsid w:val="5C757E7F"/>
    <w:rsid w:val="5C7E4623"/>
    <w:rsid w:val="5C815811"/>
    <w:rsid w:val="5C835CFF"/>
    <w:rsid w:val="5C882D93"/>
    <w:rsid w:val="5C8B6116"/>
    <w:rsid w:val="5C8E5E6A"/>
    <w:rsid w:val="5C8F1BBA"/>
    <w:rsid w:val="5C9049BD"/>
    <w:rsid w:val="5C950521"/>
    <w:rsid w:val="5C9B19C2"/>
    <w:rsid w:val="5C9B365E"/>
    <w:rsid w:val="5CA770FE"/>
    <w:rsid w:val="5CA95D7B"/>
    <w:rsid w:val="5CAE3391"/>
    <w:rsid w:val="5CB36BF9"/>
    <w:rsid w:val="5CBF10FA"/>
    <w:rsid w:val="5CBF1844"/>
    <w:rsid w:val="5CC51367"/>
    <w:rsid w:val="5CCE57E1"/>
    <w:rsid w:val="5CD5091E"/>
    <w:rsid w:val="5CD5434D"/>
    <w:rsid w:val="5CD76156"/>
    <w:rsid w:val="5CDA23D8"/>
    <w:rsid w:val="5CDA5F34"/>
    <w:rsid w:val="5CDB3A5A"/>
    <w:rsid w:val="5CE6155E"/>
    <w:rsid w:val="5CE8654D"/>
    <w:rsid w:val="5CE868B8"/>
    <w:rsid w:val="5CE943C9"/>
    <w:rsid w:val="5CEA58C1"/>
    <w:rsid w:val="5CEB2603"/>
    <w:rsid w:val="5CF211B2"/>
    <w:rsid w:val="5CF95962"/>
    <w:rsid w:val="5CFC7735"/>
    <w:rsid w:val="5D052C7B"/>
    <w:rsid w:val="5D0905C7"/>
    <w:rsid w:val="5D0E2082"/>
    <w:rsid w:val="5D144052"/>
    <w:rsid w:val="5D184CAE"/>
    <w:rsid w:val="5D1A7137"/>
    <w:rsid w:val="5D1E027A"/>
    <w:rsid w:val="5D1E0517"/>
    <w:rsid w:val="5D2109E2"/>
    <w:rsid w:val="5D213B63"/>
    <w:rsid w:val="5D273DE0"/>
    <w:rsid w:val="5D290C69"/>
    <w:rsid w:val="5D29597E"/>
    <w:rsid w:val="5D296EBB"/>
    <w:rsid w:val="5D2A6606"/>
    <w:rsid w:val="5D2B4EC5"/>
    <w:rsid w:val="5D2B66A8"/>
    <w:rsid w:val="5D327B1E"/>
    <w:rsid w:val="5D333896"/>
    <w:rsid w:val="5D335644"/>
    <w:rsid w:val="5D3715D8"/>
    <w:rsid w:val="5D37777A"/>
    <w:rsid w:val="5D3975CC"/>
    <w:rsid w:val="5D40331D"/>
    <w:rsid w:val="5D405402"/>
    <w:rsid w:val="5D431D2B"/>
    <w:rsid w:val="5D4930BA"/>
    <w:rsid w:val="5D504448"/>
    <w:rsid w:val="5D5E4DB7"/>
    <w:rsid w:val="5D613110"/>
    <w:rsid w:val="5D6A1FF5"/>
    <w:rsid w:val="5D6A48A8"/>
    <w:rsid w:val="5D6A5CF1"/>
    <w:rsid w:val="5D6B74D4"/>
    <w:rsid w:val="5D6E1073"/>
    <w:rsid w:val="5D706060"/>
    <w:rsid w:val="5D746389"/>
    <w:rsid w:val="5D7F697E"/>
    <w:rsid w:val="5D7F6ADB"/>
    <w:rsid w:val="5D7F7E98"/>
    <w:rsid w:val="5D84417A"/>
    <w:rsid w:val="5D8B36D2"/>
    <w:rsid w:val="5D8D2FA6"/>
    <w:rsid w:val="5D92680F"/>
    <w:rsid w:val="5DA100D9"/>
    <w:rsid w:val="5DA6050C"/>
    <w:rsid w:val="5DA84284"/>
    <w:rsid w:val="5DA97E4D"/>
    <w:rsid w:val="5DAA1DAA"/>
    <w:rsid w:val="5DAC4052"/>
    <w:rsid w:val="5DB165CC"/>
    <w:rsid w:val="5DBA7B13"/>
    <w:rsid w:val="5DBB192F"/>
    <w:rsid w:val="5DC012A8"/>
    <w:rsid w:val="5DC36F01"/>
    <w:rsid w:val="5DC66F63"/>
    <w:rsid w:val="5DC75ECA"/>
    <w:rsid w:val="5DCA5FA9"/>
    <w:rsid w:val="5DCA7D57"/>
    <w:rsid w:val="5DCC6AFE"/>
    <w:rsid w:val="5DD1318C"/>
    <w:rsid w:val="5DD37E81"/>
    <w:rsid w:val="5DD92690"/>
    <w:rsid w:val="5DE01F55"/>
    <w:rsid w:val="5DE132F2"/>
    <w:rsid w:val="5DE60909"/>
    <w:rsid w:val="5DE66B5A"/>
    <w:rsid w:val="5DFB460D"/>
    <w:rsid w:val="5DFE20F6"/>
    <w:rsid w:val="5E055233"/>
    <w:rsid w:val="5E061A7C"/>
    <w:rsid w:val="5E0A5EAD"/>
    <w:rsid w:val="5E0D2339"/>
    <w:rsid w:val="5E0F2B18"/>
    <w:rsid w:val="5E1611EE"/>
    <w:rsid w:val="5E180D61"/>
    <w:rsid w:val="5E1A6610"/>
    <w:rsid w:val="5E225A8B"/>
    <w:rsid w:val="5E231B5D"/>
    <w:rsid w:val="5E242747"/>
    <w:rsid w:val="5E280F21"/>
    <w:rsid w:val="5E2D3676"/>
    <w:rsid w:val="5E2D4789"/>
    <w:rsid w:val="5E2E5E64"/>
    <w:rsid w:val="5E327FF5"/>
    <w:rsid w:val="5E343D6A"/>
    <w:rsid w:val="5E3706B3"/>
    <w:rsid w:val="5E3E5AF5"/>
    <w:rsid w:val="5E3E6996"/>
    <w:rsid w:val="5E455DA7"/>
    <w:rsid w:val="5E473A9D"/>
    <w:rsid w:val="5E4E6BDA"/>
    <w:rsid w:val="5E530C5B"/>
    <w:rsid w:val="5E530FC6"/>
    <w:rsid w:val="5E532442"/>
    <w:rsid w:val="5E573553"/>
    <w:rsid w:val="5E5E2B95"/>
    <w:rsid w:val="5E6924A2"/>
    <w:rsid w:val="5E695530"/>
    <w:rsid w:val="5E785A05"/>
    <w:rsid w:val="5E79352B"/>
    <w:rsid w:val="5E7E0C7E"/>
    <w:rsid w:val="5E8E5228"/>
    <w:rsid w:val="5E941D2E"/>
    <w:rsid w:val="5E954808"/>
    <w:rsid w:val="5E9B16F3"/>
    <w:rsid w:val="5EA20CD3"/>
    <w:rsid w:val="5EA27CF7"/>
    <w:rsid w:val="5EB033F0"/>
    <w:rsid w:val="5EB153BA"/>
    <w:rsid w:val="5EC61C02"/>
    <w:rsid w:val="5ECA1FD8"/>
    <w:rsid w:val="5ED03A93"/>
    <w:rsid w:val="5ED7628F"/>
    <w:rsid w:val="5EE237C6"/>
    <w:rsid w:val="5EE40F07"/>
    <w:rsid w:val="5EF23DBA"/>
    <w:rsid w:val="5EF332DD"/>
    <w:rsid w:val="5F047298"/>
    <w:rsid w:val="5F103E8F"/>
    <w:rsid w:val="5F1120BF"/>
    <w:rsid w:val="5F131BD1"/>
    <w:rsid w:val="5F132B6E"/>
    <w:rsid w:val="5F1576F7"/>
    <w:rsid w:val="5F1F2324"/>
    <w:rsid w:val="5F2150E3"/>
    <w:rsid w:val="5F28567D"/>
    <w:rsid w:val="5F2C67EF"/>
    <w:rsid w:val="5F2E2D52"/>
    <w:rsid w:val="5F321771"/>
    <w:rsid w:val="5F33214B"/>
    <w:rsid w:val="5F357D99"/>
    <w:rsid w:val="5F426012"/>
    <w:rsid w:val="5F433E77"/>
    <w:rsid w:val="5F4678B1"/>
    <w:rsid w:val="5F4B7B56"/>
    <w:rsid w:val="5F4D4D18"/>
    <w:rsid w:val="5F513729"/>
    <w:rsid w:val="5F5837B6"/>
    <w:rsid w:val="5F5D0FE7"/>
    <w:rsid w:val="5F622211"/>
    <w:rsid w:val="5F6441DB"/>
    <w:rsid w:val="5F6550BC"/>
    <w:rsid w:val="5F67389B"/>
    <w:rsid w:val="5F681F1D"/>
    <w:rsid w:val="5F6B37BB"/>
    <w:rsid w:val="5F6D1B8C"/>
    <w:rsid w:val="5F700DD2"/>
    <w:rsid w:val="5F720D05"/>
    <w:rsid w:val="5F775CBC"/>
    <w:rsid w:val="5F800986"/>
    <w:rsid w:val="5F860B68"/>
    <w:rsid w:val="5F88611B"/>
    <w:rsid w:val="5F8E3006"/>
    <w:rsid w:val="5F997955"/>
    <w:rsid w:val="5F9C1BC7"/>
    <w:rsid w:val="5F9C386D"/>
    <w:rsid w:val="5FA647F3"/>
    <w:rsid w:val="5FAA698B"/>
    <w:rsid w:val="5FB05672"/>
    <w:rsid w:val="5FB51469"/>
    <w:rsid w:val="5FBA3DFB"/>
    <w:rsid w:val="5FBC5DC5"/>
    <w:rsid w:val="5FBE3DAA"/>
    <w:rsid w:val="5FBF0F0E"/>
    <w:rsid w:val="5FBF25BC"/>
    <w:rsid w:val="5FC21A57"/>
    <w:rsid w:val="5FC90992"/>
    <w:rsid w:val="5FCD4188"/>
    <w:rsid w:val="5FDB59F9"/>
    <w:rsid w:val="5FE232F4"/>
    <w:rsid w:val="5FE32C3E"/>
    <w:rsid w:val="5FE377F5"/>
    <w:rsid w:val="5FE86BBA"/>
    <w:rsid w:val="5FF05A6E"/>
    <w:rsid w:val="5FF217E7"/>
    <w:rsid w:val="5FF23595"/>
    <w:rsid w:val="5FF44B28"/>
    <w:rsid w:val="5FF53085"/>
    <w:rsid w:val="5FF608EE"/>
    <w:rsid w:val="5FFF6A55"/>
    <w:rsid w:val="60003F04"/>
    <w:rsid w:val="600F5569"/>
    <w:rsid w:val="60123C37"/>
    <w:rsid w:val="601703D2"/>
    <w:rsid w:val="601A105C"/>
    <w:rsid w:val="601F7A80"/>
    <w:rsid w:val="60234096"/>
    <w:rsid w:val="602776E2"/>
    <w:rsid w:val="602A4CC7"/>
    <w:rsid w:val="602C2F4B"/>
    <w:rsid w:val="602D6CC3"/>
    <w:rsid w:val="603C3C36"/>
    <w:rsid w:val="604069F6"/>
    <w:rsid w:val="60413D57"/>
    <w:rsid w:val="60446731"/>
    <w:rsid w:val="604638E0"/>
    <w:rsid w:val="604907C2"/>
    <w:rsid w:val="604C539B"/>
    <w:rsid w:val="604D2EC1"/>
    <w:rsid w:val="60514A9F"/>
    <w:rsid w:val="605325BC"/>
    <w:rsid w:val="605602F3"/>
    <w:rsid w:val="6057789C"/>
    <w:rsid w:val="605E6476"/>
    <w:rsid w:val="6060406A"/>
    <w:rsid w:val="606D435A"/>
    <w:rsid w:val="606D6F96"/>
    <w:rsid w:val="60732927"/>
    <w:rsid w:val="60874625"/>
    <w:rsid w:val="60895068"/>
    <w:rsid w:val="608F662A"/>
    <w:rsid w:val="609076F3"/>
    <w:rsid w:val="60A01243"/>
    <w:rsid w:val="60A70313"/>
    <w:rsid w:val="60B81ABE"/>
    <w:rsid w:val="60B83B85"/>
    <w:rsid w:val="60BD0047"/>
    <w:rsid w:val="60C03693"/>
    <w:rsid w:val="60C2740B"/>
    <w:rsid w:val="60C848A7"/>
    <w:rsid w:val="60CC0446"/>
    <w:rsid w:val="60DD5FF3"/>
    <w:rsid w:val="60E07891"/>
    <w:rsid w:val="60E11BB1"/>
    <w:rsid w:val="60E22D91"/>
    <w:rsid w:val="60E27AAD"/>
    <w:rsid w:val="60E43825"/>
    <w:rsid w:val="60E545D3"/>
    <w:rsid w:val="60E73121"/>
    <w:rsid w:val="60ED2F15"/>
    <w:rsid w:val="60F021CA"/>
    <w:rsid w:val="60F20D7A"/>
    <w:rsid w:val="60F8107F"/>
    <w:rsid w:val="60FB291D"/>
    <w:rsid w:val="61007F33"/>
    <w:rsid w:val="6104114D"/>
    <w:rsid w:val="6109328C"/>
    <w:rsid w:val="610D0906"/>
    <w:rsid w:val="610E2650"/>
    <w:rsid w:val="61120392"/>
    <w:rsid w:val="61133E1C"/>
    <w:rsid w:val="6114373C"/>
    <w:rsid w:val="61151C31"/>
    <w:rsid w:val="6118495B"/>
    <w:rsid w:val="61190AE5"/>
    <w:rsid w:val="611B37BA"/>
    <w:rsid w:val="611C2F2E"/>
    <w:rsid w:val="611D3A4D"/>
    <w:rsid w:val="612436F4"/>
    <w:rsid w:val="61265BEC"/>
    <w:rsid w:val="612D6DEB"/>
    <w:rsid w:val="61333E65"/>
    <w:rsid w:val="613761A4"/>
    <w:rsid w:val="613876CD"/>
    <w:rsid w:val="613D220F"/>
    <w:rsid w:val="613F280A"/>
    <w:rsid w:val="614119B8"/>
    <w:rsid w:val="614147D4"/>
    <w:rsid w:val="61480D21"/>
    <w:rsid w:val="614840A7"/>
    <w:rsid w:val="615313A9"/>
    <w:rsid w:val="61534507"/>
    <w:rsid w:val="61554B37"/>
    <w:rsid w:val="615C160D"/>
    <w:rsid w:val="615C33BC"/>
    <w:rsid w:val="61642270"/>
    <w:rsid w:val="616B1851"/>
    <w:rsid w:val="616C7377"/>
    <w:rsid w:val="616D55C9"/>
    <w:rsid w:val="61717698"/>
    <w:rsid w:val="61736AEC"/>
    <w:rsid w:val="61747F98"/>
    <w:rsid w:val="617A69A4"/>
    <w:rsid w:val="617B75C0"/>
    <w:rsid w:val="6189373D"/>
    <w:rsid w:val="618D7A19"/>
    <w:rsid w:val="61903065"/>
    <w:rsid w:val="61914D9C"/>
    <w:rsid w:val="61994610"/>
    <w:rsid w:val="619E0691"/>
    <w:rsid w:val="61A11716"/>
    <w:rsid w:val="61A52461"/>
    <w:rsid w:val="61A84853"/>
    <w:rsid w:val="61A905CB"/>
    <w:rsid w:val="61AD1D56"/>
    <w:rsid w:val="61AD1E69"/>
    <w:rsid w:val="61AE524A"/>
    <w:rsid w:val="61B36598"/>
    <w:rsid w:val="61BA4586"/>
    <w:rsid w:val="61BB6DE5"/>
    <w:rsid w:val="61BF394A"/>
    <w:rsid w:val="61BF7DEE"/>
    <w:rsid w:val="61CA2A1B"/>
    <w:rsid w:val="61CB6793"/>
    <w:rsid w:val="61D504A2"/>
    <w:rsid w:val="61DF66FE"/>
    <w:rsid w:val="61DF6CF6"/>
    <w:rsid w:val="61E0242D"/>
    <w:rsid w:val="61E70167"/>
    <w:rsid w:val="61E83AEE"/>
    <w:rsid w:val="61EA5C06"/>
    <w:rsid w:val="61EC36D7"/>
    <w:rsid w:val="61ED4F51"/>
    <w:rsid w:val="61EF4230"/>
    <w:rsid w:val="61F5665D"/>
    <w:rsid w:val="61F5736C"/>
    <w:rsid w:val="61F65F50"/>
    <w:rsid w:val="62015D11"/>
    <w:rsid w:val="62047DC1"/>
    <w:rsid w:val="62147C10"/>
    <w:rsid w:val="62165C60"/>
    <w:rsid w:val="621A5025"/>
    <w:rsid w:val="621A6DD3"/>
    <w:rsid w:val="621C2B4B"/>
    <w:rsid w:val="622A170C"/>
    <w:rsid w:val="622C43C0"/>
    <w:rsid w:val="622F287E"/>
    <w:rsid w:val="623139CC"/>
    <w:rsid w:val="623C28DE"/>
    <w:rsid w:val="623E1C97"/>
    <w:rsid w:val="624625DA"/>
    <w:rsid w:val="624B0687"/>
    <w:rsid w:val="624D0F56"/>
    <w:rsid w:val="625614D2"/>
    <w:rsid w:val="62570027"/>
    <w:rsid w:val="626F35C2"/>
    <w:rsid w:val="626F6FE9"/>
    <w:rsid w:val="62724E61"/>
    <w:rsid w:val="62740BD9"/>
    <w:rsid w:val="6283706E"/>
    <w:rsid w:val="62922E0D"/>
    <w:rsid w:val="62976675"/>
    <w:rsid w:val="62A414BE"/>
    <w:rsid w:val="62AF08F4"/>
    <w:rsid w:val="62B15989"/>
    <w:rsid w:val="62B17737"/>
    <w:rsid w:val="62B5766A"/>
    <w:rsid w:val="62B611F1"/>
    <w:rsid w:val="62B72874"/>
    <w:rsid w:val="62B965EC"/>
    <w:rsid w:val="62BB6808"/>
    <w:rsid w:val="62BC40AF"/>
    <w:rsid w:val="62C21E48"/>
    <w:rsid w:val="62C6265A"/>
    <w:rsid w:val="62CC712F"/>
    <w:rsid w:val="62D578C9"/>
    <w:rsid w:val="62D77FFB"/>
    <w:rsid w:val="62DF24F6"/>
    <w:rsid w:val="62E418BB"/>
    <w:rsid w:val="62EB3428"/>
    <w:rsid w:val="62F12229"/>
    <w:rsid w:val="630261E5"/>
    <w:rsid w:val="6306451B"/>
    <w:rsid w:val="630E7E62"/>
    <w:rsid w:val="63193A22"/>
    <w:rsid w:val="631A3827"/>
    <w:rsid w:val="6320666B"/>
    <w:rsid w:val="6321796C"/>
    <w:rsid w:val="632443AD"/>
    <w:rsid w:val="63294A47"/>
    <w:rsid w:val="632A1297"/>
    <w:rsid w:val="633345F0"/>
    <w:rsid w:val="63365E8E"/>
    <w:rsid w:val="634024BF"/>
    <w:rsid w:val="634619AE"/>
    <w:rsid w:val="634E492C"/>
    <w:rsid w:val="63512CC8"/>
    <w:rsid w:val="63556314"/>
    <w:rsid w:val="63586B25"/>
    <w:rsid w:val="635B17DB"/>
    <w:rsid w:val="63617841"/>
    <w:rsid w:val="63640C4D"/>
    <w:rsid w:val="63646E4F"/>
    <w:rsid w:val="63672613"/>
    <w:rsid w:val="636A40BD"/>
    <w:rsid w:val="63714235"/>
    <w:rsid w:val="63722001"/>
    <w:rsid w:val="63732C3E"/>
    <w:rsid w:val="63746519"/>
    <w:rsid w:val="637C26FB"/>
    <w:rsid w:val="637D2331"/>
    <w:rsid w:val="637E4A58"/>
    <w:rsid w:val="637F4537"/>
    <w:rsid w:val="638210D3"/>
    <w:rsid w:val="63892462"/>
    <w:rsid w:val="638B442C"/>
    <w:rsid w:val="638B451E"/>
    <w:rsid w:val="639037F0"/>
    <w:rsid w:val="639826A5"/>
    <w:rsid w:val="63A10A72"/>
    <w:rsid w:val="63AA3E84"/>
    <w:rsid w:val="63AB2F21"/>
    <w:rsid w:val="63AD6150"/>
    <w:rsid w:val="63C632E6"/>
    <w:rsid w:val="63C67212"/>
    <w:rsid w:val="63C84FF7"/>
    <w:rsid w:val="63D20D6B"/>
    <w:rsid w:val="63D27C1D"/>
    <w:rsid w:val="63D71756"/>
    <w:rsid w:val="63D77671"/>
    <w:rsid w:val="63DC6A36"/>
    <w:rsid w:val="63DD591C"/>
    <w:rsid w:val="63E15DFA"/>
    <w:rsid w:val="63E43B3C"/>
    <w:rsid w:val="63E44E96"/>
    <w:rsid w:val="63E45201"/>
    <w:rsid w:val="63E57BC3"/>
    <w:rsid w:val="63E91153"/>
    <w:rsid w:val="63E92C01"/>
    <w:rsid w:val="63F26259"/>
    <w:rsid w:val="63FB4753"/>
    <w:rsid w:val="63FC6165"/>
    <w:rsid w:val="63FF66DD"/>
    <w:rsid w:val="64020B82"/>
    <w:rsid w:val="64044275"/>
    <w:rsid w:val="640A1ACE"/>
    <w:rsid w:val="640D4E41"/>
    <w:rsid w:val="640F0BB9"/>
    <w:rsid w:val="64103880"/>
    <w:rsid w:val="641937E6"/>
    <w:rsid w:val="641A130C"/>
    <w:rsid w:val="64202DC6"/>
    <w:rsid w:val="64264AB1"/>
    <w:rsid w:val="643423CE"/>
    <w:rsid w:val="64393E88"/>
    <w:rsid w:val="643C278B"/>
    <w:rsid w:val="644055C4"/>
    <w:rsid w:val="64437332"/>
    <w:rsid w:val="644D16E1"/>
    <w:rsid w:val="645E569D"/>
    <w:rsid w:val="645F081A"/>
    <w:rsid w:val="646507D9"/>
    <w:rsid w:val="646A2293"/>
    <w:rsid w:val="646E5DD0"/>
    <w:rsid w:val="64747D3B"/>
    <w:rsid w:val="647A1DAB"/>
    <w:rsid w:val="647D6C20"/>
    <w:rsid w:val="64881FA6"/>
    <w:rsid w:val="649030B3"/>
    <w:rsid w:val="64947318"/>
    <w:rsid w:val="64947B60"/>
    <w:rsid w:val="64966B51"/>
    <w:rsid w:val="64970BAF"/>
    <w:rsid w:val="649B10C0"/>
    <w:rsid w:val="649D0E83"/>
    <w:rsid w:val="649E1F3D"/>
    <w:rsid w:val="64A216CA"/>
    <w:rsid w:val="64A3350D"/>
    <w:rsid w:val="64A45831"/>
    <w:rsid w:val="64A832BC"/>
    <w:rsid w:val="64AC114E"/>
    <w:rsid w:val="64B04E86"/>
    <w:rsid w:val="64B4350F"/>
    <w:rsid w:val="64B654D9"/>
    <w:rsid w:val="64BF277D"/>
    <w:rsid w:val="64C25C2B"/>
    <w:rsid w:val="64CD1CA4"/>
    <w:rsid w:val="64D140C0"/>
    <w:rsid w:val="64D30F52"/>
    <w:rsid w:val="64D7429C"/>
    <w:rsid w:val="64DD2E2F"/>
    <w:rsid w:val="64E05417"/>
    <w:rsid w:val="64E262CE"/>
    <w:rsid w:val="64E3220C"/>
    <w:rsid w:val="64E738E4"/>
    <w:rsid w:val="64E75692"/>
    <w:rsid w:val="64F13BAE"/>
    <w:rsid w:val="64F403C5"/>
    <w:rsid w:val="64F97173"/>
    <w:rsid w:val="64FB113D"/>
    <w:rsid w:val="64FC6110"/>
    <w:rsid w:val="64FE478A"/>
    <w:rsid w:val="650464AB"/>
    <w:rsid w:val="65051FBC"/>
    <w:rsid w:val="650545D5"/>
    <w:rsid w:val="65064F35"/>
    <w:rsid w:val="650A5824"/>
    <w:rsid w:val="65110961"/>
    <w:rsid w:val="65113350"/>
    <w:rsid w:val="651421FF"/>
    <w:rsid w:val="65177936"/>
    <w:rsid w:val="651B533C"/>
    <w:rsid w:val="651D5558"/>
    <w:rsid w:val="65206DF6"/>
    <w:rsid w:val="652266CA"/>
    <w:rsid w:val="6530528B"/>
    <w:rsid w:val="65331F13"/>
    <w:rsid w:val="6534541F"/>
    <w:rsid w:val="65377372"/>
    <w:rsid w:val="65377F11"/>
    <w:rsid w:val="654323A1"/>
    <w:rsid w:val="654943D9"/>
    <w:rsid w:val="654A5B17"/>
    <w:rsid w:val="654C1999"/>
    <w:rsid w:val="65562818"/>
    <w:rsid w:val="6558033E"/>
    <w:rsid w:val="65646CE3"/>
    <w:rsid w:val="656B2465"/>
    <w:rsid w:val="656B62C3"/>
    <w:rsid w:val="656E190F"/>
    <w:rsid w:val="657607C4"/>
    <w:rsid w:val="657809E0"/>
    <w:rsid w:val="657B402C"/>
    <w:rsid w:val="65815AE7"/>
    <w:rsid w:val="6582360D"/>
    <w:rsid w:val="6589499B"/>
    <w:rsid w:val="658A4348"/>
    <w:rsid w:val="658B7653"/>
    <w:rsid w:val="65925606"/>
    <w:rsid w:val="659438DB"/>
    <w:rsid w:val="659550EE"/>
    <w:rsid w:val="659956BB"/>
    <w:rsid w:val="659D498D"/>
    <w:rsid w:val="65A25E80"/>
    <w:rsid w:val="65A96DEB"/>
    <w:rsid w:val="65AD68DC"/>
    <w:rsid w:val="65AF3DCA"/>
    <w:rsid w:val="65B40423"/>
    <w:rsid w:val="65C21C5B"/>
    <w:rsid w:val="65C22647"/>
    <w:rsid w:val="65CC4888"/>
    <w:rsid w:val="65CD55FB"/>
    <w:rsid w:val="65D379C4"/>
    <w:rsid w:val="65DD6A95"/>
    <w:rsid w:val="65DF6369"/>
    <w:rsid w:val="65E168ED"/>
    <w:rsid w:val="65E252B4"/>
    <w:rsid w:val="65E979BD"/>
    <w:rsid w:val="65F67148"/>
    <w:rsid w:val="65FE7073"/>
    <w:rsid w:val="660109D5"/>
    <w:rsid w:val="66014531"/>
    <w:rsid w:val="66033B3B"/>
    <w:rsid w:val="660364FC"/>
    <w:rsid w:val="66091638"/>
    <w:rsid w:val="660B3602"/>
    <w:rsid w:val="660C5D19"/>
    <w:rsid w:val="661A1E77"/>
    <w:rsid w:val="6624022E"/>
    <w:rsid w:val="66280ED6"/>
    <w:rsid w:val="662E5105"/>
    <w:rsid w:val="66377F53"/>
    <w:rsid w:val="66391F1D"/>
    <w:rsid w:val="663C1A0D"/>
    <w:rsid w:val="663E7D2D"/>
    <w:rsid w:val="664803B2"/>
    <w:rsid w:val="66524D8D"/>
    <w:rsid w:val="66552ACF"/>
    <w:rsid w:val="6655487D"/>
    <w:rsid w:val="665605A5"/>
    <w:rsid w:val="66583D09"/>
    <w:rsid w:val="665A00E6"/>
    <w:rsid w:val="6660394E"/>
    <w:rsid w:val="66611474"/>
    <w:rsid w:val="6671122B"/>
    <w:rsid w:val="667473F9"/>
    <w:rsid w:val="667642F4"/>
    <w:rsid w:val="66772A46"/>
    <w:rsid w:val="667C005C"/>
    <w:rsid w:val="668138C4"/>
    <w:rsid w:val="66825392"/>
    <w:rsid w:val="66882EA5"/>
    <w:rsid w:val="668C4743"/>
    <w:rsid w:val="66911D59"/>
    <w:rsid w:val="669826D9"/>
    <w:rsid w:val="66996E60"/>
    <w:rsid w:val="669D53CD"/>
    <w:rsid w:val="66A14498"/>
    <w:rsid w:val="66A17AC3"/>
    <w:rsid w:val="66A3383B"/>
    <w:rsid w:val="66A55799"/>
    <w:rsid w:val="66A82BFF"/>
    <w:rsid w:val="66AD63BC"/>
    <w:rsid w:val="66AD7DAE"/>
    <w:rsid w:val="66B23A7E"/>
    <w:rsid w:val="66B57E5F"/>
    <w:rsid w:val="66B61FF9"/>
    <w:rsid w:val="66C51A03"/>
    <w:rsid w:val="66C832A1"/>
    <w:rsid w:val="66D04506"/>
    <w:rsid w:val="66D41C46"/>
    <w:rsid w:val="66D439F4"/>
    <w:rsid w:val="66D734E4"/>
    <w:rsid w:val="66DC6D4D"/>
    <w:rsid w:val="66E005EB"/>
    <w:rsid w:val="66E06336"/>
    <w:rsid w:val="66E16432"/>
    <w:rsid w:val="66E225B5"/>
    <w:rsid w:val="66E51CB4"/>
    <w:rsid w:val="66EB050D"/>
    <w:rsid w:val="66ED4AB6"/>
    <w:rsid w:val="66EE0E66"/>
    <w:rsid w:val="66EF6A80"/>
    <w:rsid w:val="66F02231"/>
    <w:rsid w:val="66F127F8"/>
    <w:rsid w:val="670A1B0C"/>
    <w:rsid w:val="67103991"/>
    <w:rsid w:val="6712451C"/>
    <w:rsid w:val="6712775C"/>
    <w:rsid w:val="67140294"/>
    <w:rsid w:val="671505CA"/>
    <w:rsid w:val="67195C44"/>
    <w:rsid w:val="671D498D"/>
    <w:rsid w:val="671F55B7"/>
    <w:rsid w:val="6722022A"/>
    <w:rsid w:val="672506F4"/>
    <w:rsid w:val="6732696D"/>
    <w:rsid w:val="6733742A"/>
    <w:rsid w:val="673A4BD0"/>
    <w:rsid w:val="67424C6B"/>
    <w:rsid w:val="67486190"/>
    <w:rsid w:val="675073B3"/>
    <w:rsid w:val="67567318"/>
    <w:rsid w:val="675B3101"/>
    <w:rsid w:val="675F565F"/>
    <w:rsid w:val="6760797E"/>
    <w:rsid w:val="67627084"/>
    <w:rsid w:val="67684189"/>
    <w:rsid w:val="67692315"/>
    <w:rsid w:val="676A4610"/>
    <w:rsid w:val="677B7BCE"/>
    <w:rsid w:val="67840AE2"/>
    <w:rsid w:val="678418BE"/>
    <w:rsid w:val="678673E4"/>
    <w:rsid w:val="678809D3"/>
    <w:rsid w:val="67885DB3"/>
    <w:rsid w:val="678A67A9"/>
    <w:rsid w:val="678C0773"/>
    <w:rsid w:val="678C5B11"/>
    <w:rsid w:val="678F3DBF"/>
    <w:rsid w:val="67964D29"/>
    <w:rsid w:val="679D64DC"/>
    <w:rsid w:val="679F4A2F"/>
    <w:rsid w:val="67A463CF"/>
    <w:rsid w:val="67A4786A"/>
    <w:rsid w:val="67A54CA2"/>
    <w:rsid w:val="67A71109"/>
    <w:rsid w:val="67A755AC"/>
    <w:rsid w:val="67A7735B"/>
    <w:rsid w:val="67AC6406"/>
    <w:rsid w:val="67B04461"/>
    <w:rsid w:val="67B209F7"/>
    <w:rsid w:val="67B215EE"/>
    <w:rsid w:val="67B81568"/>
    <w:rsid w:val="67BB151A"/>
    <w:rsid w:val="67C9107F"/>
    <w:rsid w:val="67D143D7"/>
    <w:rsid w:val="67D50B62"/>
    <w:rsid w:val="67D5426E"/>
    <w:rsid w:val="67D87514"/>
    <w:rsid w:val="67E0517D"/>
    <w:rsid w:val="67E175F7"/>
    <w:rsid w:val="67E265E5"/>
    <w:rsid w:val="67E97973"/>
    <w:rsid w:val="67EA7FB0"/>
    <w:rsid w:val="67EC244A"/>
    <w:rsid w:val="67EC2FBF"/>
    <w:rsid w:val="67F500C6"/>
    <w:rsid w:val="67F971AD"/>
    <w:rsid w:val="67FA1B80"/>
    <w:rsid w:val="67FC12C5"/>
    <w:rsid w:val="67FD6F7B"/>
    <w:rsid w:val="6804220D"/>
    <w:rsid w:val="6805089A"/>
    <w:rsid w:val="68097925"/>
    <w:rsid w:val="680B1697"/>
    <w:rsid w:val="680E1188"/>
    <w:rsid w:val="68130D49"/>
    <w:rsid w:val="68142C42"/>
    <w:rsid w:val="68160749"/>
    <w:rsid w:val="6817003C"/>
    <w:rsid w:val="68183C19"/>
    <w:rsid w:val="681C54D7"/>
    <w:rsid w:val="681D761D"/>
    <w:rsid w:val="68262975"/>
    <w:rsid w:val="68307BE6"/>
    <w:rsid w:val="68355A84"/>
    <w:rsid w:val="68397461"/>
    <w:rsid w:val="683C5CF5"/>
    <w:rsid w:val="68420E31"/>
    <w:rsid w:val="684461C6"/>
    <w:rsid w:val="684F3C7A"/>
    <w:rsid w:val="685079F2"/>
    <w:rsid w:val="68555008"/>
    <w:rsid w:val="68571773"/>
    <w:rsid w:val="685968A7"/>
    <w:rsid w:val="685C1EF3"/>
    <w:rsid w:val="685F3791"/>
    <w:rsid w:val="686231A1"/>
    <w:rsid w:val="68662D72"/>
    <w:rsid w:val="68721717"/>
    <w:rsid w:val="6873052F"/>
    <w:rsid w:val="68784853"/>
    <w:rsid w:val="68792AA5"/>
    <w:rsid w:val="687A05CB"/>
    <w:rsid w:val="68813643"/>
    <w:rsid w:val="68833924"/>
    <w:rsid w:val="688F501A"/>
    <w:rsid w:val="689204FD"/>
    <w:rsid w:val="689630CE"/>
    <w:rsid w:val="68A37B22"/>
    <w:rsid w:val="68A55712"/>
    <w:rsid w:val="68A83853"/>
    <w:rsid w:val="68A96554"/>
    <w:rsid w:val="68AA0EB0"/>
    <w:rsid w:val="68AD3E95"/>
    <w:rsid w:val="68B477F1"/>
    <w:rsid w:val="68B7181F"/>
    <w:rsid w:val="68B735CD"/>
    <w:rsid w:val="68BA0A96"/>
    <w:rsid w:val="68BA2170"/>
    <w:rsid w:val="68BB30BE"/>
    <w:rsid w:val="68C10F78"/>
    <w:rsid w:val="68C64A8F"/>
    <w:rsid w:val="68C652EE"/>
    <w:rsid w:val="68C75C35"/>
    <w:rsid w:val="68CC428B"/>
    <w:rsid w:val="68CF4DBB"/>
    <w:rsid w:val="68D656F7"/>
    <w:rsid w:val="68D66492"/>
    <w:rsid w:val="68E26742"/>
    <w:rsid w:val="68E3372E"/>
    <w:rsid w:val="68EB00B3"/>
    <w:rsid w:val="68EF077E"/>
    <w:rsid w:val="68F44821"/>
    <w:rsid w:val="68FA4253"/>
    <w:rsid w:val="68FE2FAA"/>
    <w:rsid w:val="69032982"/>
    <w:rsid w:val="6905681A"/>
    <w:rsid w:val="690804F2"/>
    <w:rsid w:val="69083E29"/>
    <w:rsid w:val="690F51B7"/>
    <w:rsid w:val="690F6F65"/>
    <w:rsid w:val="69140A20"/>
    <w:rsid w:val="6918480D"/>
    <w:rsid w:val="691B1DAE"/>
    <w:rsid w:val="691B3B5C"/>
    <w:rsid w:val="69242AFE"/>
    <w:rsid w:val="69283A58"/>
    <w:rsid w:val="692C5D69"/>
    <w:rsid w:val="69342E70"/>
    <w:rsid w:val="6938470E"/>
    <w:rsid w:val="693B5FAC"/>
    <w:rsid w:val="69434E61"/>
    <w:rsid w:val="6951448C"/>
    <w:rsid w:val="69553FCE"/>
    <w:rsid w:val="695F683E"/>
    <w:rsid w:val="696564D0"/>
    <w:rsid w:val="69675991"/>
    <w:rsid w:val="69684F4F"/>
    <w:rsid w:val="696A0697"/>
    <w:rsid w:val="696A4AE4"/>
    <w:rsid w:val="696C58DC"/>
    <w:rsid w:val="697257F6"/>
    <w:rsid w:val="6974326C"/>
    <w:rsid w:val="69775D3D"/>
    <w:rsid w:val="6977627C"/>
    <w:rsid w:val="6985191D"/>
    <w:rsid w:val="69866617"/>
    <w:rsid w:val="69876ACF"/>
    <w:rsid w:val="6987794B"/>
    <w:rsid w:val="69896C4F"/>
    <w:rsid w:val="69944010"/>
    <w:rsid w:val="699A1BA3"/>
    <w:rsid w:val="699A7177"/>
    <w:rsid w:val="699B4C9D"/>
    <w:rsid w:val="699D5390"/>
    <w:rsid w:val="699F53F8"/>
    <w:rsid w:val="69A00347"/>
    <w:rsid w:val="69A578CA"/>
    <w:rsid w:val="69AB1384"/>
    <w:rsid w:val="69B01180"/>
    <w:rsid w:val="69B12712"/>
    <w:rsid w:val="69BD19A5"/>
    <w:rsid w:val="69C04E3A"/>
    <w:rsid w:val="69C53A5B"/>
    <w:rsid w:val="69C77762"/>
    <w:rsid w:val="69DD79DC"/>
    <w:rsid w:val="69DF1AC4"/>
    <w:rsid w:val="69E45863"/>
    <w:rsid w:val="69E77EE2"/>
    <w:rsid w:val="69EA4CEE"/>
    <w:rsid w:val="69EB2192"/>
    <w:rsid w:val="69EE301F"/>
    <w:rsid w:val="6A002D52"/>
    <w:rsid w:val="6A073BEB"/>
    <w:rsid w:val="6A0854EE"/>
    <w:rsid w:val="6A08670B"/>
    <w:rsid w:val="6A107439"/>
    <w:rsid w:val="6A152CA1"/>
    <w:rsid w:val="6A164324"/>
    <w:rsid w:val="6A1B0891"/>
    <w:rsid w:val="6A1E2395"/>
    <w:rsid w:val="6A2353BE"/>
    <w:rsid w:val="6A243F51"/>
    <w:rsid w:val="6A260A0B"/>
    <w:rsid w:val="6A2922A9"/>
    <w:rsid w:val="6A2D7FEB"/>
    <w:rsid w:val="6A303EE9"/>
    <w:rsid w:val="6A3F387A"/>
    <w:rsid w:val="6A3F7D1E"/>
    <w:rsid w:val="6A400E3A"/>
    <w:rsid w:val="6A466750"/>
    <w:rsid w:val="6A474B69"/>
    <w:rsid w:val="6A477C0F"/>
    <w:rsid w:val="6A49294B"/>
    <w:rsid w:val="6A542494"/>
    <w:rsid w:val="6A585B4A"/>
    <w:rsid w:val="6A5A4B58"/>
    <w:rsid w:val="6A5B6231"/>
    <w:rsid w:val="6A5C442C"/>
    <w:rsid w:val="6A5F3F1C"/>
    <w:rsid w:val="6A6652AB"/>
    <w:rsid w:val="6A675E13"/>
    <w:rsid w:val="6A6A5FED"/>
    <w:rsid w:val="6A757312"/>
    <w:rsid w:val="6A771266"/>
    <w:rsid w:val="6A792065"/>
    <w:rsid w:val="6A7B2047"/>
    <w:rsid w:val="6A7C062B"/>
    <w:rsid w:val="6A845731"/>
    <w:rsid w:val="6A8676FB"/>
    <w:rsid w:val="6A8915F0"/>
    <w:rsid w:val="6A8B2D2D"/>
    <w:rsid w:val="6A9701A5"/>
    <w:rsid w:val="6AA77654"/>
    <w:rsid w:val="6AA9175B"/>
    <w:rsid w:val="6AB029CA"/>
    <w:rsid w:val="6AB31367"/>
    <w:rsid w:val="6AB84AD3"/>
    <w:rsid w:val="6AB9187F"/>
    <w:rsid w:val="6ABE0C43"/>
    <w:rsid w:val="6ABF6769"/>
    <w:rsid w:val="6AC50223"/>
    <w:rsid w:val="6AC54347"/>
    <w:rsid w:val="6AC55036"/>
    <w:rsid w:val="6AC63F9C"/>
    <w:rsid w:val="6AC645F4"/>
    <w:rsid w:val="6AC83870"/>
    <w:rsid w:val="6ACB4585"/>
    <w:rsid w:val="6AD466B8"/>
    <w:rsid w:val="6ADB2195"/>
    <w:rsid w:val="6ADB5796"/>
    <w:rsid w:val="6ADB5BEC"/>
    <w:rsid w:val="6AE0505D"/>
    <w:rsid w:val="6AE21764"/>
    <w:rsid w:val="6AEA75E9"/>
    <w:rsid w:val="6AF503DD"/>
    <w:rsid w:val="6AF74155"/>
    <w:rsid w:val="6AFC1944"/>
    <w:rsid w:val="6AFE1987"/>
    <w:rsid w:val="6B00125C"/>
    <w:rsid w:val="6B032AFA"/>
    <w:rsid w:val="6B065627"/>
    <w:rsid w:val="6B0A37EF"/>
    <w:rsid w:val="6B0B1692"/>
    <w:rsid w:val="6B0C102F"/>
    <w:rsid w:val="6B1116BB"/>
    <w:rsid w:val="6B145140"/>
    <w:rsid w:val="6B1A47A6"/>
    <w:rsid w:val="6B1A47F0"/>
    <w:rsid w:val="6B1B411A"/>
    <w:rsid w:val="6B1B45D5"/>
    <w:rsid w:val="6B1C1E0E"/>
    <w:rsid w:val="6B2044D3"/>
    <w:rsid w:val="6B234F4A"/>
    <w:rsid w:val="6B296FCD"/>
    <w:rsid w:val="6B2A452A"/>
    <w:rsid w:val="6B336DF1"/>
    <w:rsid w:val="6B366BD0"/>
    <w:rsid w:val="6B3C600C"/>
    <w:rsid w:val="6B411367"/>
    <w:rsid w:val="6B454EC0"/>
    <w:rsid w:val="6B463DB3"/>
    <w:rsid w:val="6B47294E"/>
    <w:rsid w:val="6B4A5165"/>
    <w:rsid w:val="6B4F21E3"/>
    <w:rsid w:val="6B554CCE"/>
    <w:rsid w:val="6B564A55"/>
    <w:rsid w:val="6B5670CE"/>
    <w:rsid w:val="6B5965FE"/>
    <w:rsid w:val="6B5A0C4E"/>
    <w:rsid w:val="6B5F7EE9"/>
    <w:rsid w:val="6B607CC8"/>
    <w:rsid w:val="6B623CC4"/>
    <w:rsid w:val="6B637A3C"/>
    <w:rsid w:val="6B65611A"/>
    <w:rsid w:val="6B6F6C5A"/>
    <w:rsid w:val="6B722451"/>
    <w:rsid w:val="6B732E73"/>
    <w:rsid w:val="6B79100E"/>
    <w:rsid w:val="6B841E74"/>
    <w:rsid w:val="6B8862B9"/>
    <w:rsid w:val="6B8B373E"/>
    <w:rsid w:val="6B8E2D0B"/>
    <w:rsid w:val="6B95727D"/>
    <w:rsid w:val="6B9A2731"/>
    <w:rsid w:val="6B9A7157"/>
    <w:rsid w:val="6B9B2ACE"/>
    <w:rsid w:val="6BA808D2"/>
    <w:rsid w:val="6BA87826"/>
    <w:rsid w:val="6BB22C67"/>
    <w:rsid w:val="6BB65DBE"/>
    <w:rsid w:val="6BC04E8F"/>
    <w:rsid w:val="6BC22ABF"/>
    <w:rsid w:val="6BC47261"/>
    <w:rsid w:val="6BCA3618"/>
    <w:rsid w:val="6BD151AC"/>
    <w:rsid w:val="6BD6020E"/>
    <w:rsid w:val="6BD915C1"/>
    <w:rsid w:val="6BDD3437"/>
    <w:rsid w:val="6BDE4C2C"/>
    <w:rsid w:val="6BE309E6"/>
    <w:rsid w:val="6BE40B7D"/>
    <w:rsid w:val="6BE96194"/>
    <w:rsid w:val="6BEA6A1E"/>
    <w:rsid w:val="6BEA6B80"/>
    <w:rsid w:val="6BEC5C84"/>
    <w:rsid w:val="6BF95CAB"/>
    <w:rsid w:val="6BFB2308"/>
    <w:rsid w:val="6BFE20FA"/>
    <w:rsid w:val="6C0134DD"/>
    <w:rsid w:val="6C044D7B"/>
    <w:rsid w:val="6C156F89"/>
    <w:rsid w:val="6C293C84"/>
    <w:rsid w:val="6C2B7138"/>
    <w:rsid w:val="6C327B3B"/>
    <w:rsid w:val="6C3A0673"/>
    <w:rsid w:val="6C3E2B17"/>
    <w:rsid w:val="6C4B29AA"/>
    <w:rsid w:val="6C4C04D0"/>
    <w:rsid w:val="6C4C5660"/>
    <w:rsid w:val="6C507FC1"/>
    <w:rsid w:val="6C524A3F"/>
    <w:rsid w:val="6C5555D7"/>
    <w:rsid w:val="6C58137C"/>
    <w:rsid w:val="6C5A499B"/>
    <w:rsid w:val="6C5D0B51"/>
    <w:rsid w:val="6C5E44E0"/>
    <w:rsid w:val="6C5F0204"/>
    <w:rsid w:val="6C603C39"/>
    <w:rsid w:val="6C621AA2"/>
    <w:rsid w:val="6C753814"/>
    <w:rsid w:val="6C783B29"/>
    <w:rsid w:val="6C7C60A7"/>
    <w:rsid w:val="6C7F08A6"/>
    <w:rsid w:val="6C7F2654"/>
    <w:rsid w:val="6C8269E6"/>
    <w:rsid w:val="6C8402FA"/>
    <w:rsid w:val="6C861C34"/>
    <w:rsid w:val="6C88775B"/>
    <w:rsid w:val="6C8C6624"/>
    <w:rsid w:val="6C952B9E"/>
    <w:rsid w:val="6C9C3206"/>
    <w:rsid w:val="6CA426C9"/>
    <w:rsid w:val="6CAB3449"/>
    <w:rsid w:val="6CAD0F6F"/>
    <w:rsid w:val="6CAE2F2E"/>
    <w:rsid w:val="6CAF198C"/>
    <w:rsid w:val="6CB0280D"/>
    <w:rsid w:val="6CB06CB1"/>
    <w:rsid w:val="6CB178DD"/>
    <w:rsid w:val="6CB34986"/>
    <w:rsid w:val="6CB56076"/>
    <w:rsid w:val="6CBA654D"/>
    <w:rsid w:val="6CBD4F2A"/>
    <w:rsid w:val="6CC14A1B"/>
    <w:rsid w:val="6CC4450B"/>
    <w:rsid w:val="6CCB5899"/>
    <w:rsid w:val="6CCF2381"/>
    <w:rsid w:val="6CDB338B"/>
    <w:rsid w:val="6CE452D6"/>
    <w:rsid w:val="6CE73B06"/>
    <w:rsid w:val="6CEC0D56"/>
    <w:rsid w:val="6CEE4DA1"/>
    <w:rsid w:val="6CF50B68"/>
    <w:rsid w:val="6CF66663"/>
    <w:rsid w:val="6D064A17"/>
    <w:rsid w:val="6D0A0937"/>
    <w:rsid w:val="6D0A2952"/>
    <w:rsid w:val="6D0B1D5B"/>
    <w:rsid w:val="6D0D1D19"/>
    <w:rsid w:val="6D0E34DA"/>
    <w:rsid w:val="6D147A66"/>
    <w:rsid w:val="6D170ADE"/>
    <w:rsid w:val="6D194857"/>
    <w:rsid w:val="6D1C7EA3"/>
    <w:rsid w:val="6D1D00CD"/>
    <w:rsid w:val="6D1F063B"/>
    <w:rsid w:val="6D2356D5"/>
    <w:rsid w:val="6D2A0812"/>
    <w:rsid w:val="6D2D0302"/>
    <w:rsid w:val="6D2F5E28"/>
    <w:rsid w:val="6D321550"/>
    <w:rsid w:val="6D3527BF"/>
    <w:rsid w:val="6D3B47CD"/>
    <w:rsid w:val="6D3C6C5F"/>
    <w:rsid w:val="6D48513C"/>
    <w:rsid w:val="6D486EEA"/>
    <w:rsid w:val="6D4F2CE1"/>
    <w:rsid w:val="6D561607"/>
    <w:rsid w:val="6D5D3E8B"/>
    <w:rsid w:val="6D601880"/>
    <w:rsid w:val="6D602A51"/>
    <w:rsid w:val="6D68133A"/>
    <w:rsid w:val="6D6D0BEC"/>
    <w:rsid w:val="6D7E290C"/>
    <w:rsid w:val="6D7F41BF"/>
    <w:rsid w:val="6D8141AA"/>
    <w:rsid w:val="6D8532DC"/>
    <w:rsid w:val="6D8C0AF7"/>
    <w:rsid w:val="6D8D1723"/>
    <w:rsid w:val="6D8D6DE8"/>
    <w:rsid w:val="6D980423"/>
    <w:rsid w:val="6DA02882"/>
    <w:rsid w:val="6DA265FA"/>
    <w:rsid w:val="6DA94D04"/>
    <w:rsid w:val="6DA94EBA"/>
    <w:rsid w:val="6DAC0977"/>
    <w:rsid w:val="6DAE1443"/>
    <w:rsid w:val="6DB0087C"/>
    <w:rsid w:val="6DB91B96"/>
    <w:rsid w:val="6DBE59DF"/>
    <w:rsid w:val="6DCA3DA3"/>
    <w:rsid w:val="6DCD0BB8"/>
    <w:rsid w:val="6DCE1692"/>
    <w:rsid w:val="6DCF206C"/>
    <w:rsid w:val="6DCF2A85"/>
    <w:rsid w:val="6DD07245"/>
    <w:rsid w:val="6DD92670"/>
    <w:rsid w:val="6DE85FD7"/>
    <w:rsid w:val="6DEA68EA"/>
    <w:rsid w:val="6DEC5AC7"/>
    <w:rsid w:val="6DF37AB2"/>
    <w:rsid w:val="6DFB3F5C"/>
    <w:rsid w:val="6DFD1A82"/>
    <w:rsid w:val="6E0208A4"/>
    <w:rsid w:val="6E035F2B"/>
    <w:rsid w:val="6E041F66"/>
    <w:rsid w:val="6E0911EF"/>
    <w:rsid w:val="6E0E0C26"/>
    <w:rsid w:val="6E1B45FE"/>
    <w:rsid w:val="6E20553A"/>
    <w:rsid w:val="6E2308B8"/>
    <w:rsid w:val="6E2B60EC"/>
    <w:rsid w:val="6E2D0758"/>
    <w:rsid w:val="6E30666C"/>
    <w:rsid w:val="6E437B98"/>
    <w:rsid w:val="6E4476B1"/>
    <w:rsid w:val="6E510020"/>
    <w:rsid w:val="6E5928D7"/>
    <w:rsid w:val="6E5A6A6D"/>
    <w:rsid w:val="6E66399A"/>
    <w:rsid w:val="6E6E472E"/>
    <w:rsid w:val="6E782AD6"/>
    <w:rsid w:val="6E8126B3"/>
    <w:rsid w:val="6E8B7578"/>
    <w:rsid w:val="6E9048CA"/>
    <w:rsid w:val="6E91666F"/>
    <w:rsid w:val="6E930639"/>
    <w:rsid w:val="6E933DEA"/>
    <w:rsid w:val="6E9922D7"/>
    <w:rsid w:val="6E9F108C"/>
    <w:rsid w:val="6EA463A2"/>
    <w:rsid w:val="6EAF6592"/>
    <w:rsid w:val="6EAF7F72"/>
    <w:rsid w:val="6EB63F89"/>
    <w:rsid w:val="6EBA5BC5"/>
    <w:rsid w:val="6EC24A7A"/>
    <w:rsid w:val="6EC67E60"/>
    <w:rsid w:val="6EC922AC"/>
    <w:rsid w:val="6ECB1B80"/>
    <w:rsid w:val="6ECD23DD"/>
    <w:rsid w:val="6ECF78C3"/>
    <w:rsid w:val="6ED8604B"/>
    <w:rsid w:val="6EDA7AF8"/>
    <w:rsid w:val="6EDC5F92"/>
    <w:rsid w:val="6EE3336E"/>
    <w:rsid w:val="6EE429F1"/>
    <w:rsid w:val="6EE75CF6"/>
    <w:rsid w:val="6EE76E5E"/>
    <w:rsid w:val="6EEC3C03"/>
    <w:rsid w:val="6EEE3AC1"/>
    <w:rsid w:val="6EF03395"/>
    <w:rsid w:val="6EF2535F"/>
    <w:rsid w:val="6EF94DCA"/>
    <w:rsid w:val="6EFA0593"/>
    <w:rsid w:val="6EFF182A"/>
    <w:rsid w:val="6F0532E4"/>
    <w:rsid w:val="6F0648CA"/>
    <w:rsid w:val="6F06705D"/>
    <w:rsid w:val="6F086931"/>
    <w:rsid w:val="6F0E7CBF"/>
    <w:rsid w:val="6F173018"/>
    <w:rsid w:val="6F174CC1"/>
    <w:rsid w:val="6F2319BD"/>
    <w:rsid w:val="6F255735"/>
    <w:rsid w:val="6F265009"/>
    <w:rsid w:val="6F285225"/>
    <w:rsid w:val="6F2F1DA8"/>
    <w:rsid w:val="6F3057A3"/>
    <w:rsid w:val="6F3516F0"/>
    <w:rsid w:val="6F3965E2"/>
    <w:rsid w:val="6F437969"/>
    <w:rsid w:val="6F452128"/>
    <w:rsid w:val="6F471625"/>
    <w:rsid w:val="6F472A00"/>
    <w:rsid w:val="6F4B4449"/>
    <w:rsid w:val="6F5574FB"/>
    <w:rsid w:val="6F5C7750"/>
    <w:rsid w:val="6F5E2375"/>
    <w:rsid w:val="6F5E5AEF"/>
    <w:rsid w:val="6F5F10A7"/>
    <w:rsid w:val="6F624C36"/>
    <w:rsid w:val="6F6E0637"/>
    <w:rsid w:val="6F6E0FBF"/>
    <w:rsid w:val="6F744F9C"/>
    <w:rsid w:val="6F782B7F"/>
    <w:rsid w:val="6F7D52B5"/>
    <w:rsid w:val="6F857F81"/>
    <w:rsid w:val="6F871F4B"/>
    <w:rsid w:val="6F8821E3"/>
    <w:rsid w:val="6F9A6322"/>
    <w:rsid w:val="6FA84DB7"/>
    <w:rsid w:val="6FAC19B2"/>
    <w:rsid w:val="6FB2689C"/>
    <w:rsid w:val="6FBE22B7"/>
    <w:rsid w:val="6FC32B1E"/>
    <w:rsid w:val="6FCF56A0"/>
    <w:rsid w:val="6FD61E3A"/>
    <w:rsid w:val="6FDD2C47"/>
    <w:rsid w:val="6FDE3B35"/>
    <w:rsid w:val="6FE27182"/>
    <w:rsid w:val="6FE4739E"/>
    <w:rsid w:val="6FF24B04"/>
    <w:rsid w:val="6FF7747A"/>
    <w:rsid w:val="6FFB6CF4"/>
    <w:rsid w:val="6FFD3FBC"/>
    <w:rsid w:val="6FFD4E6E"/>
    <w:rsid w:val="700571FA"/>
    <w:rsid w:val="7007308C"/>
    <w:rsid w:val="700851FC"/>
    <w:rsid w:val="700B6F04"/>
    <w:rsid w:val="70102CD0"/>
    <w:rsid w:val="7014337E"/>
    <w:rsid w:val="70147F1E"/>
    <w:rsid w:val="70182BA3"/>
    <w:rsid w:val="70193EBC"/>
    <w:rsid w:val="701A2DBF"/>
    <w:rsid w:val="701E3F32"/>
    <w:rsid w:val="702616C9"/>
    <w:rsid w:val="7026309C"/>
    <w:rsid w:val="702754DC"/>
    <w:rsid w:val="70384FF4"/>
    <w:rsid w:val="70390D6C"/>
    <w:rsid w:val="703A36BF"/>
    <w:rsid w:val="703B1758"/>
    <w:rsid w:val="703D085C"/>
    <w:rsid w:val="70441BEA"/>
    <w:rsid w:val="704B11CB"/>
    <w:rsid w:val="704C679E"/>
    <w:rsid w:val="704E2A69"/>
    <w:rsid w:val="704E4817"/>
    <w:rsid w:val="704F058F"/>
    <w:rsid w:val="70560F05"/>
    <w:rsid w:val="7056191E"/>
    <w:rsid w:val="706A2A9F"/>
    <w:rsid w:val="70711EF0"/>
    <w:rsid w:val="70735B54"/>
    <w:rsid w:val="7074625E"/>
    <w:rsid w:val="70755580"/>
    <w:rsid w:val="70756248"/>
    <w:rsid w:val="70785D38"/>
    <w:rsid w:val="707D6EAA"/>
    <w:rsid w:val="708010DE"/>
    <w:rsid w:val="708F6BDE"/>
    <w:rsid w:val="70974410"/>
    <w:rsid w:val="709C4DBC"/>
    <w:rsid w:val="709E54A1"/>
    <w:rsid w:val="70A1528F"/>
    <w:rsid w:val="70A22DB5"/>
    <w:rsid w:val="70A36C70"/>
    <w:rsid w:val="70A408DB"/>
    <w:rsid w:val="70A66401"/>
    <w:rsid w:val="70AC7FE9"/>
    <w:rsid w:val="70AD6D1C"/>
    <w:rsid w:val="70AE2627"/>
    <w:rsid w:val="70B04B4C"/>
    <w:rsid w:val="70B10909"/>
    <w:rsid w:val="70B30B1E"/>
    <w:rsid w:val="70C1148D"/>
    <w:rsid w:val="70C60851"/>
    <w:rsid w:val="70C62C01"/>
    <w:rsid w:val="70C82DBB"/>
    <w:rsid w:val="70C96594"/>
    <w:rsid w:val="70D25C6C"/>
    <w:rsid w:val="70D64ACC"/>
    <w:rsid w:val="70D7582F"/>
    <w:rsid w:val="70DB6936"/>
    <w:rsid w:val="70DF2E13"/>
    <w:rsid w:val="70E1568B"/>
    <w:rsid w:val="70EF0D17"/>
    <w:rsid w:val="70FB720D"/>
    <w:rsid w:val="70FD7FEB"/>
    <w:rsid w:val="70FE448F"/>
    <w:rsid w:val="71014469"/>
    <w:rsid w:val="710458DF"/>
    <w:rsid w:val="710849C6"/>
    <w:rsid w:val="710B3DC7"/>
    <w:rsid w:val="710D28D7"/>
    <w:rsid w:val="711060E4"/>
    <w:rsid w:val="71110792"/>
    <w:rsid w:val="71132CA0"/>
    <w:rsid w:val="7113715A"/>
    <w:rsid w:val="711A0B94"/>
    <w:rsid w:val="711F61B4"/>
    <w:rsid w:val="71212378"/>
    <w:rsid w:val="712F47EA"/>
    <w:rsid w:val="7130216F"/>
    <w:rsid w:val="713A2FAC"/>
    <w:rsid w:val="71413A82"/>
    <w:rsid w:val="714B30BD"/>
    <w:rsid w:val="7150636D"/>
    <w:rsid w:val="715275D8"/>
    <w:rsid w:val="71530A68"/>
    <w:rsid w:val="71535E5D"/>
    <w:rsid w:val="715431A2"/>
    <w:rsid w:val="71604DD8"/>
    <w:rsid w:val="716C313B"/>
    <w:rsid w:val="717169A4"/>
    <w:rsid w:val="71783B49"/>
    <w:rsid w:val="71844269"/>
    <w:rsid w:val="718720E0"/>
    <w:rsid w:val="718A5D23"/>
    <w:rsid w:val="718C6D66"/>
    <w:rsid w:val="71900E5F"/>
    <w:rsid w:val="71967069"/>
    <w:rsid w:val="719941B8"/>
    <w:rsid w:val="719C621B"/>
    <w:rsid w:val="719D077A"/>
    <w:rsid w:val="719E4607"/>
    <w:rsid w:val="719F449E"/>
    <w:rsid w:val="71A44913"/>
    <w:rsid w:val="71A65ADA"/>
    <w:rsid w:val="71A7496F"/>
    <w:rsid w:val="71A768D5"/>
    <w:rsid w:val="71AA17BB"/>
    <w:rsid w:val="71B1539A"/>
    <w:rsid w:val="71B608C6"/>
    <w:rsid w:val="71B62F85"/>
    <w:rsid w:val="71B91357"/>
    <w:rsid w:val="71BA427F"/>
    <w:rsid w:val="71CC6099"/>
    <w:rsid w:val="71CF357D"/>
    <w:rsid w:val="71D14B22"/>
    <w:rsid w:val="71D15700"/>
    <w:rsid w:val="71D76A8E"/>
    <w:rsid w:val="71DC40A5"/>
    <w:rsid w:val="71DD11E4"/>
    <w:rsid w:val="71E033C2"/>
    <w:rsid w:val="71E65C53"/>
    <w:rsid w:val="71F35EA7"/>
    <w:rsid w:val="71F66F14"/>
    <w:rsid w:val="71F92EA9"/>
    <w:rsid w:val="71FB47DA"/>
    <w:rsid w:val="72031631"/>
    <w:rsid w:val="72071122"/>
    <w:rsid w:val="721455EC"/>
    <w:rsid w:val="721B684D"/>
    <w:rsid w:val="72200435"/>
    <w:rsid w:val="72263C29"/>
    <w:rsid w:val="722C0B88"/>
    <w:rsid w:val="723143F0"/>
    <w:rsid w:val="72395053"/>
    <w:rsid w:val="723B701D"/>
    <w:rsid w:val="723D2AC8"/>
    <w:rsid w:val="724063E2"/>
    <w:rsid w:val="72436E91"/>
    <w:rsid w:val="724C14C1"/>
    <w:rsid w:val="724F114D"/>
    <w:rsid w:val="72512C22"/>
    <w:rsid w:val="7252403F"/>
    <w:rsid w:val="725B76BF"/>
    <w:rsid w:val="725D4114"/>
    <w:rsid w:val="72646574"/>
    <w:rsid w:val="7269323A"/>
    <w:rsid w:val="726B5B54"/>
    <w:rsid w:val="726C5429"/>
    <w:rsid w:val="72700C51"/>
    <w:rsid w:val="72730565"/>
    <w:rsid w:val="72734A09"/>
    <w:rsid w:val="727442DD"/>
    <w:rsid w:val="7275610E"/>
    <w:rsid w:val="72785B7B"/>
    <w:rsid w:val="727B4EBF"/>
    <w:rsid w:val="727E6F0A"/>
    <w:rsid w:val="72824C4C"/>
    <w:rsid w:val="72834520"/>
    <w:rsid w:val="7285473C"/>
    <w:rsid w:val="728764B8"/>
    <w:rsid w:val="728C4E0A"/>
    <w:rsid w:val="728E2856"/>
    <w:rsid w:val="72966949"/>
    <w:rsid w:val="72AE5A41"/>
    <w:rsid w:val="72AF5315"/>
    <w:rsid w:val="72B34E05"/>
    <w:rsid w:val="72B8241C"/>
    <w:rsid w:val="72B9250E"/>
    <w:rsid w:val="72BF7C4E"/>
    <w:rsid w:val="72C658E2"/>
    <w:rsid w:val="72C953F9"/>
    <w:rsid w:val="72CA5DE6"/>
    <w:rsid w:val="72CB1998"/>
    <w:rsid w:val="72D0088C"/>
    <w:rsid w:val="72D07765"/>
    <w:rsid w:val="72D60AF4"/>
    <w:rsid w:val="72D82ABE"/>
    <w:rsid w:val="72D93B82"/>
    <w:rsid w:val="72DB610A"/>
    <w:rsid w:val="72E04F19"/>
    <w:rsid w:val="72E40557"/>
    <w:rsid w:val="72E6140F"/>
    <w:rsid w:val="72ED7B54"/>
    <w:rsid w:val="72F434FA"/>
    <w:rsid w:val="72F53ED4"/>
    <w:rsid w:val="72F71196"/>
    <w:rsid w:val="73012015"/>
    <w:rsid w:val="73013DC3"/>
    <w:rsid w:val="73025CFD"/>
    <w:rsid w:val="73025D8D"/>
    <w:rsid w:val="73057B87"/>
    <w:rsid w:val="7311772D"/>
    <w:rsid w:val="731634DF"/>
    <w:rsid w:val="73191C23"/>
    <w:rsid w:val="731C29AB"/>
    <w:rsid w:val="731D5861"/>
    <w:rsid w:val="7320374B"/>
    <w:rsid w:val="732301DD"/>
    <w:rsid w:val="73267CCD"/>
    <w:rsid w:val="7329331A"/>
    <w:rsid w:val="732A7B72"/>
    <w:rsid w:val="73331EF0"/>
    <w:rsid w:val="73387DB3"/>
    <w:rsid w:val="733A0D89"/>
    <w:rsid w:val="733B7FDD"/>
    <w:rsid w:val="733C4DFB"/>
    <w:rsid w:val="733F2B3D"/>
    <w:rsid w:val="734A16A2"/>
    <w:rsid w:val="734A1F2E"/>
    <w:rsid w:val="734A4C49"/>
    <w:rsid w:val="734D525A"/>
    <w:rsid w:val="73533309"/>
    <w:rsid w:val="73575302"/>
    <w:rsid w:val="735C1231"/>
    <w:rsid w:val="735E7467"/>
    <w:rsid w:val="73676D32"/>
    <w:rsid w:val="737427E7"/>
    <w:rsid w:val="737D338C"/>
    <w:rsid w:val="73844DAE"/>
    <w:rsid w:val="73926835"/>
    <w:rsid w:val="739509AF"/>
    <w:rsid w:val="739D4948"/>
    <w:rsid w:val="73A073E7"/>
    <w:rsid w:val="73A3678C"/>
    <w:rsid w:val="73A51066"/>
    <w:rsid w:val="73AE60AD"/>
    <w:rsid w:val="73AE6276"/>
    <w:rsid w:val="73BB0416"/>
    <w:rsid w:val="73C44343"/>
    <w:rsid w:val="73C445EE"/>
    <w:rsid w:val="73C53042"/>
    <w:rsid w:val="73C73A13"/>
    <w:rsid w:val="73CB43D1"/>
    <w:rsid w:val="73D4485C"/>
    <w:rsid w:val="73D4607A"/>
    <w:rsid w:val="73DA4614"/>
    <w:rsid w:val="73DC6178"/>
    <w:rsid w:val="73DC65DE"/>
    <w:rsid w:val="73DE7940"/>
    <w:rsid w:val="73E159A2"/>
    <w:rsid w:val="73E17BD6"/>
    <w:rsid w:val="73E55492"/>
    <w:rsid w:val="73EA0EDA"/>
    <w:rsid w:val="73EA4857"/>
    <w:rsid w:val="73ED07EB"/>
    <w:rsid w:val="73F61526"/>
    <w:rsid w:val="74032EFE"/>
    <w:rsid w:val="74051691"/>
    <w:rsid w:val="74142E06"/>
    <w:rsid w:val="74144743"/>
    <w:rsid w:val="74185868"/>
    <w:rsid w:val="7420471D"/>
    <w:rsid w:val="742524FB"/>
    <w:rsid w:val="74275AAB"/>
    <w:rsid w:val="742A7349"/>
    <w:rsid w:val="742C30C1"/>
    <w:rsid w:val="742F2BB2"/>
    <w:rsid w:val="74342377"/>
    <w:rsid w:val="74343D24"/>
    <w:rsid w:val="743722C7"/>
    <w:rsid w:val="743D52CE"/>
    <w:rsid w:val="7442412D"/>
    <w:rsid w:val="744D6689"/>
    <w:rsid w:val="7454756D"/>
    <w:rsid w:val="745B39A7"/>
    <w:rsid w:val="745B7503"/>
    <w:rsid w:val="745D0C66"/>
    <w:rsid w:val="74620891"/>
    <w:rsid w:val="74674561"/>
    <w:rsid w:val="746C5BB4"/>
    <w:rsid w:val="74732A9E"/>
    <w:rsid w:val="74741941"/>
    <w:rsid w:val="747F2240"/>
    <w:rsid w:val="74844CAB"/>
    <w:rsid w:val="748C590E"/>
    <w:rsid w:val="7491561A"/>
    <w:rsid w:val="74940C67"/>
    <w:rsid w:val="7497042E"/>
    <w:rsid w:val="749A44CF"/>
    <w:rsid w:val="749C3D7D"/>
    <w:rsid w:val="74A569D0"/>
    <w:rsid w:val="74A715D2"/>
    <w:rsid w:val="74B53F65"/>
    <w:rsid w:val="74B542D0"/>
    <w:rsid w:val="74B763B5"/>
    <w:rsid w:val="74B9247B"/>
    <w:rsid w:val="74BB61F3"/>
    <w:rsid w:val="74BE7A92"/>
    <w:rsid w:val="74C57072"/>
    <w:rsid w:val="74CE4179"/>
    <w:rsid w:val="74DD43BC"/>
    <w:rsid w:val="74E120FE"/>
    <w:rsid w:val="74E44775"/>
    <w:rsid w:val="74F160B9"/>
    <w:rsid w:val="74F55BA9"/>
    <w:rsid w:val="74F94ED0"/>
    <w:rsid w:val="75175B20"/>
    <w:rsid w:val="751A5573"/>
    <w:rsid w:val="751B43A3"/>
    <w:rsid w:val="751D6EAE"/>
    <w:rsid w:val="752669FD"/>
    <w:rsid w:val="752C5404"/>
    <w:rsid w:val="752D5343"/>
    <w:rsid w:val="75327179"/>
    <w:rsid w:val="7536480C"/>
    <w:rsid w:val="753B10E2"/>
    <w:rsid w:val="753D30AC"/>
    <w:rsid w:val="75436915"/>
    <w:rsid w:val="7546337F"/>
    <w:rsid w:val="75466405"/>
    <w:rsid w:val="754937FF"/>
    <w:rsid w:val="754B57C9"/>
    <w:rsid w:val="754F1272"/>
    <w:rsid w:val="75596138"/>
    <w:rsid w:val="755C3532"/>
    <w:rsid w:val="756311CB"/>
    <w:rsid w:val="756417D1"/>
    <w:rsid w:val="756A0CF5"/>
    <w:rsid w:val="756B5E6B"/>
    <w:rsid w:val="756B7C19"/>
    <w:rsid w:val="756E0253"/>
    <w:rsid w:val="75702BBC"/>
    <w:rsid w:val="75703144"/>
    <w:rsid w:val="7571731C"/>
    <w:rsid w:val="75722D56"/>
    <w:rsid w:val="7577493F"/>
    <w:rsid w:val="757F36C5"/>
    <w:rsid w:val="75956A44"/>
    <w:rsid w:val="75960453"/>
    <w:rsid w:val="7596337E"/>
    <w:rsid w:val="75973D58"/>
    <w:rsid w:val="75984ABB"/>
    <w:rsid w:val="759C1FD6"/>
    <w:rsid w:val="75A317DE"/>
    <w:rsid w:val="75A5137D"/>
    <w:rsid w:val="75A66EA3"/>
    <w:rsid w:val="75AD25C1"/>
    <w:rsid w:val="75B9389A"/>
    <w:rsid w:val="75B94E29"/>
    <w:rsid w:val="75B96BD7"/>
    <w:rsid w:val="75BA294F"/>
    <w:rsid w:val="75BC4DB1"/>
    <w:rsid w:val="75C236C5"/>
    <w:rsid w:val="75C52B44"/>
    <w:rsid w:val="75C5557C"/>
    <w:rsid w:val="75CC71DF"/>
    <w:rsid w:val="75CD2682"/>
    <w:rsid w:val="75CF2BD1"/>
    <w:rsid w:val="75D9146A"/>
    <w:rsid w:val="75DA0985"/>
    <w:rsid w:val="75DD4FC7"/>
    <w:rsid w:val="75DE488F"/>
    <w:rsid w:val="75E1612D"/>
    <w:rsid w:val="75E2374B"/>
    <w:rsid w:val="75E421E7"/>
    <w:rsid w:val="75E43528"/>
    <w:rsid w:val="75E7254A"/>
    <w:rsid w:val="75EB48B6"/>
    <w:rsid w:val="75F069EE"/>
    <w:rsid w:val="75F27239"/>
    <w:rsid w:val="75F46F71"/>
    <w:rsid w:val="75F61BD9"/>
    <w:rsid w:val="75F64149"/>
    <w:rsid w:val="75F832A4"/>
    <w:rsid w:val="75F92BF7"/>
    <w:rsid w:val="7600574C"/>
    <w:rsid w:val="760A5684"/>
    <w:rsid w:val="760F67F7"/>
    <w:rsid w:val="76120095"/>
    <w:rsid w:val="76124A8D"/>
    <w:rsid w:val="76166AA7"/>
    <w:rsid w:val="761E2EDE"/>
    <w:rsid w:val="762304F4"/>
    <w:rsid w:val="76251EFD"/>
    <w:rsid w:val="762A7B3D"/>
    <w:rsid w:val="762E130F"/>
    <w:rsid w:val="76315D26"/>
    <w:rsid w:val="76393874"/>
    <w:rsid w:val="763D608D"/>
    <w:rsid w:val="76464DAE"/>
    <w:rsid w:val="764C76B3"/>
    <w:rsid w:val="76515061"/>
    <w:rsid w:val="765863F0"/>
    <w:rsid w:val="765B7BA5"/>
    <w:rsid w:val="76612DCA"/>
    <w:rsid w:val="766F2834"/>
    <w:rsid w:val="7678411E"/>
    <w:rsid w:val="768255BE"/>
    <w:rsid w:val="76830F93"/>
    <w:rsid w:val="768371E5"/>
    <w:rsid w:val="76872831"/>
    <w:rsid w:val="768C6099"/>
    <w:rsid w:val="768E1E11"/>
    <w:rsid w:val="76916862"/>
    <w:rsid w:val="76950F22"/>
    <w:rsid w:val="76960CC6"/>
    <w:rsid w:val="769B008A"/>
    <w:rsid w:val="769B62DC"/>
    <w:rsid w:val="769C10D5"/>
    <w:rsid w:val="769D3E02"/>
    <w:rsid w:val="76AB520D"/>
    <w:rsid w:val="76B23803"/>
    <w:rsid w:val="76B64EC4"/>
    <w:rsid w:val="76B876C7"/>
    <w:rsid w:val="76C770D1"/>
    <w:rsid w:val="76C84BF7"/>
    <w:rsid w:val="76CF558F"/>
    <w:rsid w:val="76D01188"/>
    <w:rsid w:val="76D90BB3"/>
    <w:rsid w:val="76DD4DE8"/>
    <w:rsid w:val="76DE4C32"/>
    <w:rsid w:val="76E94B77"/>
    <w:rsid w:val="76EB7264"/>
    <w:rsid w:val="76F31C74"/>
    <w:rsid w:val="76F609F1"/>
    <w:rsid w:val="76F65C09"/>
    <w:rsid w:val="76FF686B"/>
    <w:rsid w:val="77094221"/>
    <w:rsid w:val="770C7E43"/>
    <w:rsid w:val="770F2826"/>
    <w:rsid w:val="7711272C"/>
    <w:rsid w:val="77127C86"/>
    <w:rsid w:val="77134DC8"/>
    <w:rsid w:val="771A36A5"/>
    <w:rsid w:val="772165DA"/>
    <w:rsid w:val="7725204A"/>
    <w:rsid w:val="772C33D8"/>
    <w:rsid w:val="772F73F8"/>
    <w:rsid w:val="773B54FF"/>
    <w:rsid w:val="773D55E5"/>
    <w:rsid w:val="773F135E"/>
    <w:rsid w:val="77434EBB"/>
    <w:rsid w:val="77512E3F"/>
    <w:rsid w:val="775A1CF3"/>
    <w:rsid w:val="775D3592"/>
    <w:rsid w:val="77601471"/>
    <w:rsid w:val="776112D4"/>
    <w:rsid w:val="77614A4C"/>
    <w:rsid w:val="77640DC4"/>
    <w:rsid w:val="77692B6F"/>
    <w:rsid w:val="776963DA"/>
    <w:rsid w:val="776F7ED6"/>
    <w:rsid w:val="777059BB"/>
    <w:rsid w:val="777577A3"/>
    <w:rsid w:val="777803CC"/>
    <w:rsid w:val="777E3905"/>
    <w:rsid w:val="77876861"/>
    <w:rsid w:val="778978E1"/>
    <w:rsid w:val="77A45665"/>
    <w:rsid w:val="77A91ADE"/>
    <w:rsid w:val="77A92C7B"/>
    <w:rsid w:val="77A94A29"/>
    <w:rsid w:val="77AB07A1"/>
    <w:rsid w:val="77AD4FDD"/>
    <w:rsid w:val="77B336A4"/>
    <w:rsid w:val="77B54D3C"/>
    <w:rsid w:val="77BA69E0"/>
    <w:rsid w:val="77C35AEB"/>
    <w:rsid w:val="77C62469"/>
    <w:rsid w:val="77C7038B"/>
    <w:rsid w:val="77C70C7A"/>
    <w:rsid w:val="77CC60A6"/>
    <w:rsid w:val="77D9530E"/>
    <w:rsid w:val="77E13575"/>
    <w:rsid w:val="77E15873"/>
    <w:rsid w:val="77E375D8"/>
    <w:rsid w:val="77E43CB3"/>
    <w:rsid w:val="77EA0D2D"/>
    <w:rsid w:val="77ED516F"/>
    <w:rsid w:val="77F04406"/>
    <w:rsid w:val="77F9061F"/>
    <w:rsid w:val="77F90CE3"/>
    <w:rsid w:val="77FA2584"/>
    <w:rsid w:val="77FA5285"/>
    <w:rsid w:val="77FC2DAB"/>
    <w:rsid w:val="78016613"/>
    <w:rsid w:val="78084936"/>
    <w:rsid w:val="78090E99"/>
    <w:rsid w:val="780A47CE"/>
    <w:rsid w:val="780A5EB9"/>
    <w:rsid w:val="780F5AA2"/>
    <w:rsid w:val="78140451"/>
    <w:rsid w:val="781861C2"/>
    <w:rsid w:val="782102AC"/>
    <w:rsid w:val="78216CB5"/>
    <w:rsid w:val="78267E28"/>
    <w:rsid w:val="78295179"/>
    <w:rsid w:val="782D126E"/>
    <w:rsid w:val="78340796"/>
    <w:rsid w:val="783A3737"/>
    <w:rsid w:val="783A5239"/>
    <w:rsid w:val="783C764B"/>
    <w:rsid w:val="783E33C3"/>
    <w:rsid w:val="7840538D"/>
    <w:rsid w:val="78454752"/>
    <w:rsid w:val="78462278"/>
    <w:rsid w:val="784655B3"/>
    <w:rsid w:val="784B67EB"/>
    <w:rsid w:val="784D7AAA"/>
    <w:rsid w:val="78511348"/>
    <w:rsid w:val="7851759A"/>
    <w:rsid w:val="7855070D"/>
    <w:rsid w:val="7860333A"/>
    <w:rsid w:val="78654A86"/>
    <w:rsid w:val="78673398"/>
    <w:rsid w:val="786B66D9"/>
    <w:rsid w:val="787465B6"/>
    <w:rsid w:val="7878641F"/>
    <w:rsid w:val="7879341E"/>
    <w:rsid w:val="787A0D3F"/>
    <w:rsid w:val="787A3D0F"/>
    <w:rsid w:val="78807F3E"/>
    <w:rsid w:val="78827754"/>
    <w:rsid w:val="78847910"/>
    <w:rsid w:val="78857244"/>
    <w:rsid w:val="788F00C3"/>
    <w:rsid w:val="78A27E89"/>
    <w:rsid w:val="78AA03B8"/>
    <w:rsid w:val="78AA0A59"/>
    <w:rsid w:val="78AD7A58"/>
    <w:rsid w:val="78AF0554"/>
    <w:rsid w:val="78AF70A8"/>
    <w:rsid w:val="78B56D31"/>
    <w:rsid w:val="78B57239"/>
    <w:rsid w:val="78BD1885"/>
    <w:rsid w:val="78BD22C6"/>
    <w:rsid w:val="78C0202A"/>
    <w:rsid w:val="78C9169B"/>
    <w:rsid w:val="78CA4C57"/>
    <w:rsid w:val="78CF04BF"/>
    <w:rsid w:val="78D14A06"/>
    <w:rsid w:val="78D15FE5"/>
    <w:rsid w:val="78D2049C"/>
    <w:rsid w:val="78D36201"/>
    <w:rsid w:val="78D51699"/>
    <w:rsid w:val="78DC3DFA"/>
    <w:rsid w:val="78DD0E2E"/>
    <w:rsid w:val="78E33F6B"/>
    <w:rsid w:val="78E8332F"/>
    <w:rsid w:val="78EC7724"/>
    <w:rsid w:val="78F932AB"/>
    <w:rsid w:val="78FF6FF6"/>
    <w:rsid w:val="79023C15"/>
    <w:rsid w:val="79065900"/>
    <w:rsid w:val="790C2242"/>
    <w:rsid w:val="79153174"/>
    <w:rsid w:val="791663CE"/>
    <w:rsid w:val="791800B8"/>
    <w:rsid w:val="791B3704"/>
    <w:rsid w:val="792627D5"/>
    <w:rsid w:val="79303951"/>
    <w:rsid w:val="793236F3"/>
    <w:rsid w:val="79334EF2"/>
    <w:rsid w:val="79346574"/>
    <w:rsid w:val="793622EC"/>
    <w:rsid w:val="793D18CD"/>
    <w:rsid w:val="793D283D"/>
    <w:rsid w:val="79444A09"/>
    <w:rsid w:val="794C7553"/>
    <w:rsid w:val="794F0BCE"/>
    <w:rsid w:val="7957532A"/>
    <w:rsid w:val="79694470"/>
    <w:rsid w:val="796B643A"/>
    <w:rsid w:val="796C5D0E"/>
    <w:rsid w:val="79725A1A"/>
    <w:rsid w:val="79733540"/>
    <w:rsid w:val="79782905"/>
    <w:rsid w:val="797B209D"/>
    <w:rsid w:val="798219D5"/>
    <w:rsid w:val="798362B3"/>
    <w:rsid w:val="79850083"/>
    <w:rsid w:val="79894B12"/>
    <w:rsid w:val="79960FDD"/>
    <w:rsid w:val="79984D55"/>
    <w:rsid w:val="799D5C9D"/>
    <w:rsid w:val="79A91CCC"/>
    <w:rsid w:val="79AF6D5B"/>
    <w:rsid w:val="79B15C6C"/>
    <w:rsid w:val="79B27A67"/>
    <w:rsid w:val="79B4054D"/>
    <w:rsid w:val="79B95C7B"/>
    <w:rsid w:val="79C4281B"/>
    <w:rsid w:val="79C97604"/>
    <w:rsid w:val="79CF141E"/>
    <w:rsid w:val="79D33FDF"/>
    <w:rsid w:val="79D67E1E"/>
    <w:rsid w:val="79D717D7"/>
    <w:rsid w:val="79DA7170"/>
    <w:rsid w:val="79DB0614"/>
    <w:rsid w:val="79DC395F"/>
    <w:rsid w:val="79E6345B"/>
    <w:rsid w:val="79EF100A"/>
    <w:rsid w:val="79F1032A"/>
    <w:rsid w:val="79F12E09"/>
    <w:rsid w:val="79F3005C"/>
    <w:rsid w:val="79F3642F"/>
    <w:rsid w:val="79FE0C3B"/>
    <w:rsid w:val="7A056BAC"/>
    <w:rsid w:val="7A072F6C"/>
    <w:rsid w:val="7A0D129F"/>
    <w:rsid w:val="7A112E07"/>
    <w:rsid w:val="7A1179E4"/>
    <w:rsid w:val="7A120583"/>
    <w:rsid w:val="7A1C7734"/>
    <w:rsid w:val="7A205476"/>
    <w:rsid w:val="7A2842FD"/>
    <w:rsid w:val="7A2F56B9"/>
    <w:rsid w:val="7A3525A4"/>
    <w:rsid w:val="7A3902E6"/>
    <w:rsid w:val="7A3B22B0"/>
    <w:rsid w:val="7A41719B"/>
    <w:rsid w:val="7A4E3666"/>
    <w:rsid w:val="7A5275FA"/>
    <w:rsid w:val="7A545CC3"/>
    <w:rsid w:val="7A552C46"/>
    <w:rsid w:val="7A585CB9"/>
    <w:rsid w:val="7A5862B2"/>
    <w:rsid w:val="7A6537B6"/>
    <w:rsid w:val="7A656783"/>
    <w:rsid w:val="7A68724D"/>
    <w:rsid w:val="7A6C6F8B"/>
    <w:rsid w:val="7A71606E"/>
    <w:rsid w:val="7A717CA2"/>
    <w:rsid w:val="7A7E03EF"/>
    <w:rsid w:val="7A826219"/>
    <w:rsid w:val="7A862E00"/>
    <w:rsid w:val="7A897628"/>
    <w:rsid w:val="7A8B22E0"/>
    <w:rsid w:val="7A8F4231"/>
    <w:rsid w:val="7A8F7170"/>
    <w:rsid w:val="7A9D7BC7"/>
    <w:rsid w:val="7A9F47C8"/>
    <w:rsid w:val="7A9F662B"/>
    <w:rsid w:val="7AA31C03"/>
    <w:rsid w:val="7AA80FC8"/>
    <w:rsid w:val="7AA86067"/>
    <w:rsid w:val="7AA977A4"/>
    <w:rsid w:val="7AB45BBF"/>
    <w:rsid w:val="7AB91427"/>
    <w:rsid w:val="7AB931D5"/>
    <w:rsid w:val="7ABA1851"/>
    <w:rsid w:val="7ABC4A73"/>
    <w:rsid w:val="7AC027B5"/>
    <w:rsid w:val="7AC322A6"/>
    <w:rsid w:val="7AC64012"/>
    <w:rsid w:val="7ACB4CB6"/>
    <w:rsid w:val="7AD33013"/>
    <w:rsid w:val="7AD46261"/>
    <w:rsid w:val="7AD81B0D"/>
    <w:rsid w:val="7ADB75EF"/>
    <w:rsid w:val="7ADD5115"/>
    <w:rsid w:val="7AE077B3"/>
    <w:rsid w:val="7AEE23C9"/>
    <w:rsid w:val="7AF444A3"/>
    <w:rsid w:val="7B073F40"/>
    <w:rsid w:val="7B09415C"/>
    <w:rsid w:val="7B096C95"/>
    <w:rsid w:val="7B0C1557"/>
    <w:rsid w:val="7B0E1773"/>
    <w:rsid w:val="7B0E3AAA"/>
    <w:rsid w:val="7B1228E5"/>
    <w:rsid w:val="7B18439F"/>
    <w:rsid w:val="7B1C3503"/>
    <w:rsid w:val="7B1F5E6F"/>
    <w:rsid w:val="7B22521E"/>
    <w:rsid w:val="7B232217"/>
    <w:rsid w:val="7B283B3B"/>
    <w:rsid w:val="7B2B4440"/>
    <w:rsid w:val="7B2F195E"/>
    <w:rsid w:val="7B302040"/>
    <w:rsid w:val="7B303CC7"/>
    <w:rsid w:val="7B304708"/>
    <w:rsid w:val="7B391AEF"/>
    <w:rsid w:val="7B3A213B"/>
    <w:rsid w:val="7B476A33"/>
    <w:rsid w:val="7B4C376C"/>
    <w:rsid w:val="7B4C5DF7"/>
    <w:rsid w:val="7B533629"/>
    <w:rsid w:val="7B546342"/>
    <w:rsid w:val="7B580C40"/>
    <w:rsid w:val="7B5C26B1"/>
    <w:rsid w:val="7B5E01A7"/>
    <w:rsid w:val="7B603CB6"/>
    <w:rsid w:val="7B684125"/>
    <w:rsid w:val="7B6C6499"/>
    <w:rsid w:val="7B6E0463"/>
    <w:rsid w:val="7B6E2211"/>
    <w:rsid w:val="7B6F409C"/>
    <w:rsid w:val="7B786BEC"/>
    <w:rsid w:val="7B7B7033"/>
    <w:rsid w:val="7B837315"/>
    <w:rsid w:val="7B863B58"/>
    <w:rsid w:val="7B892BA7"/>
    <w:rsid w:val="7B8B7243"/>
    <w:rsid w:val="7B914152"/>
    <w:rsid w:val="7B9316CE"/>
    <w:rsid w:val="7B937750"/>
    <w:rsid w:val="7B98728E"/>
    <w:rsid w:val="7B9F686F"/>
    <w:rsid w:val="7BA14395"/>
    <w:rsid w:val="7BAB5214"/>
    <w:rsid w:val="7BAE3FF7"/>
    <w:rsid w:val="7BB30B9E"/>
    <w:rsid w:val="7BB37C24"/>
    <w:rsid w:val="7BB474DC"/>
    <w:rsid w:val="7BC2430B"/>
    <w:rsid w:val="7BC260B9"/>
    <w:rsid w:val="7BC934AC"/>
    <w:rsid w:val="7BD048F2"/>
    <w:rsid w:val="7BD61B65"/>
    <w:rsid w:val="7BD6383B"/>
    <w:rsid w:val="7BD858DD"/>
    <w:rsid w:val="7BF1074D"/>
    <w:rsid w:val="7BF236E3"/>
    <w:rsid w:val="7BF546E1"/>
    <w:rsid w:val="7BF807EA"/>
    <w:rsid w:val="7BFF10BB"/>
    <w:rsid w:val="7C013085"/>
    <w:rsid w:val="7C0B664A"/>
    <w:rsid w:val="7C0B6B6A"/>
    <w:rsid w:val="7C105041"/>
    <w:rsid w:val="7C1521EF"/>
    <w:rsid w:val="7C176405"/>
    <w:rsid w:val="7C1F175E"/>
    <w:rsid w:val="7C1F350C"/>
    <w:rsid w:val="7C23124E"/>
    <w:rsid w:val="7C232FFC"/>
    <w:rsid w:val="7C2533B1"/>
    <w:rsid w:val="7C2B3597"/>
    <w:rsid w:val="7C321491"/>
    <w:rsid w:val="7C350F81"/>
    <w:rsid w:val="7C3570AE"/>
    <w:rsid w:val="7C3658C0"/>
    <w:rsid w:val="7C36796C"/>
    <w:rsid w:val="7C3A12F7"/>
    <w:rsid w:val="7C3E489E"/>
    <w:rsid w:val="7C43136B"/>
    <w:rsid w:val="7C4E3981"/>
    <w:rsid w:val="7C577FE4"/>
    <w:rsid w:val="7C5A0620"/>
    <w:rsid w:val="7C5D4A80"/>
    <w:rsid w:val="7C5E1FE9"/>
    <w:rsid w:val="7C605FFE"/>
    <w:rsid w:val="7C613B24"/>
    <w:rsid w:val="7C6B49A3"/>
    <w:rsid w:val="7C7020FB"/>
    <w:rsid w:val="7C703D67"/>
    <w:rsid w:val="7C745605"/>
    <w:rsid w:val="7C75184C"/>
    <w:rsid w:val="7C776EA4"/>
    <w:rsid w:val="7C790E6E"/>
    <w:rsid w:val="7C7F193B"/>
    <w:rsid w:val="7C80044E"/>
    <w:rsid w:val="7C8141C6"/>
    <w:rsid w:val="7C890259"/>
    <w:rsid w:val="7C8909CB"/>
    <w:rsid w:val="7C9151C3"/>
    <w:rsid w:val="7C923CDE"/>
    <w:rsid w:val="7C930A71"/>
    <w:rsid w:val="7C99506C"/>
    <w:rsid w:val="7C9C2DAE"/>
    <w:rsid w:val="7CAB33D0"/>
    <w:rsid w:val="7CB023B6"/>
    <w:rsid w:val="7CB83C1B"/>
    <w:rsid w:val="7CBA145A"/>
    <w:rsid w:val="7CBE2D25"/>
    <w:rsid w:val="7CBE7128"/>
    <w:rsid w:val="7CC52305"/>
    <w:rsid w:val="7CC62F7B"/>
    <w:rsid w:val="7CC7512A"/>
    <w:rsid w:val="7CD13BCC"/>
    <w:rsid w:val="7CD2057E"/>
    <w:rsid w:val="7CD44F2B"/>
    <w:rsid w:val="7CD479E4"/>
    <w:rsid w:val="7CD75B94"/>
    <w:rsid w:val="7CE21D95"/>
    <w:rsid w:val="7CE309DD"/>
    <w:rsid w:val="7CE315D5"/>
    <w:rsid w:val="7CE3715C"/>
    <w:rsid w:val="7CEC1640"/>
    <w:rsid w:val="7CF2566E"/>
    <w:rsid w:val="7CFB4383"/>
    <w:rsid w:val="7CFB51D0"/>
    <w:rsid w:val="7CFB7AD5"/>
    <w:rsid w:val="7D0746CC"/>
    <w:rsid w:val="7D0E20A1"/>
    <w:rsid w:val="7D0E2993"/>
    <w:rsid w:val="7D133070"/>
    <w:rsid w:val="7D19734A"/>
    <w:rsid w:val="7D1C2D4C"/>
    <w:rsid w:val="7D1E5C9A"/>
    <w:rsid w:val="7D263FE0"/>
    <w:rsid w:val="7D2D1C58"/>
    <w:rsid w:val="7D2D3A06"/>
    <w:rsid w:val="7D2D51FD"/>
    <w:rsid w:val="7D382AD7"/>
    <w:rsid w:val="7D384885"/>
    <w:rsid w:val="7D3A0AAF"/>
    <w:rsid w:val="7D427D7A"/>
    <w:rsid w:val="7D4818E9"/>
    <w:rsid w:val="7D496A92"/>
    <w:rsid w:val="7D4C20DE"/>
    <w:rsid w:val="7D4E4B7F"/>
    <w:rsid w:val="7D5B67C5"/>
    <w:rsid w:val="7D5F62B6"/>
    <w:rsid w:val="7D627B5B"/>
    <w:rsid w:val="7D690EE2"/>
    <w:rsid w:val="7D6A5169"/>
    <w:rsid w:val="7D6C4C9B"/>
    <w:rsid w:val="7D6F2271"/>
    <w:rsid w:val="7D7653AD"/>
    <w:rsid w:val="7D803E08"/>
    <w:rsid w:val="7D817587"/>
    <w:rsid w:val="7D831878"/>
    <w:rsid w:val="7D843A55"/>
    <w:rsid w:val="7D843C0B"/>
    <w:rsid w:val="7D845D1C"/>
    <w:rsid w:val="7D871368"/>
    <w:rsid w:val="7D8D658A"/>
    <w:rsid w:val="7D9046C1"/>
    <w:rsid w:val="7D9121E7"/>
    <w:rsid w:val="7D974D3C"/>
    <w:rsid w:val="7D9F2048"/>
    <w:rsid w:val="7DA51921"/>
    <w:rsid w:val="7DAE0FEB"/>
    <w:rsid w:val="7DAE2D99"/>
    <w:rsid w:val="7DB027AB"/>
    <w:rsid w:val="7DB67EA0"/>
    <w:rsid w:val="7DBC3708"/>
    <w:rsid w:val="7DC73E5B"/>
    <w:rsid w:val="7DCC7AD0"/>
    <w:rsid w:val="7DCE6F97"/>
    <w:rsid w:val="7DD87E16"/>
    <w:rsid w:val="7DDA320F"/>
    <w:rsid w:val="7DDD542C"/>
    <w:rsid w:val="7DDD71DA"/>
    <w:rsid w:val="7DE70059"/>
    <w:rsid w:val="7DE844FD"/>
    <w:rsid w:val="7DEC556A"/>
    <w:rsid w:val="7DF6029C"/>
    <w:rsid w:val="7DFD787D"/>
    <w:rsid w:val="7E0705C1"/>
    <w:rsid w:val="7E0806FB"/>
    <w:rsid w:val="7E087814"/>
    <w:rsid w:val="7E16190F"/>
    <w:rsid w:val="7E16235D"/>
    <w:rsid w:val="7E194254"/>
    <w:rsid w:val="7E2117BD"/>
    <w:rsid w:val="7E235DDE"/>
    <w:rsid w:val="7E24795C"/>
    <w:rsid w:val="7E260A84"/>
    <w:rsid w:val="7E2F3C7C"/>
    <w:rsid w:val="7E3111DC"/>
    <w:rsid w:val="7E353820"/>
    <w:rsid w:val="7E374B3D"/>
    <w:rsid w:val="7E402C0C"/>
    <w:rsid w:val="7E464D80"/>
    <w:rsid w:val="7E48012E"/>
    <w:rsid w:val="7E492AC2"/>
    <w:rsid w:val="7E4E5C75"/>
    <w:rsid w:val="7E627C54"/>
    <w:rsid w:val="7E631DD5"/>
    <w:rsid w:val="7E6379FA"/>
    <w:rsid w:val="7E667BD9"/>
    <w:rsid w:val="7E696CC0"/>
    <w:rsid w:val="7E7223E0"/>
    <w:rsid w:val="7E7318ED"/>
    <w:rsid w:val="7E7920E3"/>
    <w:rsid w:val="7E7A0ECD"/>
    <w:rsid w:val="7E7E09BD"/>
    <w:rsid w:val="7E802674"/>
    <w:rsid w:val="7E841592"/>
    <w:rsid w:val="7E8940A9"/>
    <w:rsid w:val="7E8C7359"/>
    <w:rsid w:val="7E8D4419"/>
    <w:rsid w:val="7E97572C"/>
    <w:rsid w:val="7E977CD1"/>
    <w:rsid w:val="7EA122E9"/>
    <w:rsid w:val="7EA719B1"/>
    <w:rsid w:val="7EB0669D"/>
    <w:rsid w:val="7EB31BE7"/>
    <w:rsid w:val="7EB46269"/>
    <w:rsid w:val="7EBA751C"/>
    <w:rsid w:val="7EBE04CB"/>
    <w:rsid w:val="7EBE525E"/>
    <w:rsid w:val="7EC54E07"/>
    <w:rsid w:val="7EC97D8B"/>
    <w:rsid w:val="7ED54355"/>
    <w:rsid w:val="7ED56104"/>
    <w:rsid w:val="7EDB1194"/>
    <w:rsid w:val="7EDD7D0C"/>
    <w:rsid w:val="7EDF4FBE"/>
    <w:rsid w:val="7EE2719E"/>
    <w:rsid w:val="7EE8052D"/>
    <w:rsid w:val="7EED5B43"/>
    <w:rsid w:val="7EF02F3D"/>
    <w:rsid w:val="7EF26CB5"/>
    <w:rsid w:val="7EFE0786"/>
    <w:rsid w:val="7EFE7D49"/>
    <w:rsid w:val="7F0D1C9A"/>
    <w:rsid w:val="7F0D2891"/>
    <w:rsid w:val="7F1B454B"/>
    <w:rsid w:val="7F1B620C"/>
    <w:rsid w:val="7F21759B"/>
    <w:rsid w:val="7F231565"/>
    <w:rsid w:val="7F29749B"/>
    <w:rsid w:val="7F34107C"/>
    <w:rsid w:val="7F370E72"/>
    <w:rsid w:val="7F373E96"/>
    <w:rsid w:val="7F376DBE"/>
    <w:rsid w:val="7F413799"/>
    <w:rsid w:val="7F464805"/>
    <w:rsid w:val="7F471C5D"/>
    <w:rsid w:val="7F49284B"/>
    <w:rsid w:val="7F4C4618"/>
    <w:rsid w:val="7F4E2B3D"/>
    <w:rsid w:val="7F517E80"/>
    <w:rsid w:val="7F5652D3"/>
    <w:rsid w:val="7F596D35"/>
    <w:rsid w:val="7F5D4A77"/>
    <w:rsid w:val="7F5E5BB9"/>
    <w:rsid w:val="7F5E7C2C"/>
    <w:rsid w:val="7F631B2A"/>
    <w:rsid w:val="7F647E1B"/>
    <w:rsid w:val="7F6F2A9A"/>
    <w:rsid w:val="7F7731D8"/>
    <w:rsid w:val="7F7917BB"/>
    <w:rsid w:val="7F835A8D"/>
    <w:rsid w:val="7F853FCE"/>
    <w:rsid w:val="7F8E2BA0"/>
    <w:rsid w:val="7F8F7AD3"/>
    <w:rsid w:val="7F902A52"/>
    <w:rsid w:val="7F9B10FB"/>
    <w:rsid w:val="7F9E1F45"/>
    <w:rsid w:val="7F9E2466"/>
    <w:rsid w:val="7F9E6D8D"/>
    <w:rsid w:val="7F9F6AC5"/>
    <w:rsid w:val="7FA426A6"/>
    <w:rsid w:val="7FA53D28"/>
    <w:rsid w:val="7FAC50B6"/>
    <w:rsid w:val="7FAD360A"/>
    <w:rsid w:val="7FB0104A"/>
    <w:rsid w:val="7FB87EFF"/>
    <w:rsid w:val="7FB90F14"/>
    <w:rsid w:val="7FBA7AF7"/>
    <w:rsid w:val="7FBB6308"/>
    <w:rsid w:val="7FC44AF6"/>
    <w:rsid w:val="7FC8211E"/>
    <w:rsid w:val="7FC95C68"/>
    <w:rsid w:val="7FCC7507"/>
    <w:rsid w:val="7FD14B1D"/>
    <w:rsid w:val="7FD50AB1"/>
    <w:rsid w:val="7FD60385"/>
    <w:rsid w:val="7FDD4CBC"/>
    <w:rsid w:val="7FE1147B"/>
    <w:rsid w:val="7FE26D2A"/>
    <w:rsid w:val="7FE900B8"/>
    <w:rsid w:val="7FEC212C"/>
    <w:rsid w:val="7FEF53A8"/>
    <w:rsid w:val="7FF13411"/>
    <w:rsid w:val="7FF30E56"/>
    <w:rsid w:val="7FF54CAF"/>
    <w:rsid w:val="7FFFABAF"/>
    <w:rsid w:val="A4E9DDAF"/>
    <w:rsid w:val="BECDE8C2"/>
    <w:rsid w:val="F7FB17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74"/>
    <w:qFormat/>
    <w:uiPriority w:val="0"/>
    <w:pPr>
      <w:keepNext/>
      <w:keepLines/>
      <w:jc w:val="center"/>
      <w:outlineLvl w:val="0"/>
    </w:pPr>
    <w:rPr>
      <w:rFonts w:ascii="Times New Roman" w:hAnsi="Times New Roman" w:eastAsia="黑体"/>
      <w:kern w:val="44"/>
      <w:sz w:val="30"/>
    </w:rPr>
  </w:style>
  <w:style w:type="paragraph" w:styleId="3">
    <w:name w:val="heading 2"/>
    <w:basedOn w:val="1"/>
    <w:next w:val="1"/>
    <w:unhideWhenUsed/>
    <w:qFormat/>
    <w:uiPriority w:val="0"/>
    <w:pPr>
      <w:keepNext/>
      <w:keepLines/>
      <w:adjustRightInd w:val="0"/>
      <w:snapToGrid w:val="0"/>
      <w:spacing w:before="10" w:line="360" w:lineRule="auto"/>
      <w:outlineLvl w:val="1"/>
    </w:pPr>
    <w:rPr>
      <w:rFonts w:ascii="Arial" w:hAnsi="Arial"/>
      <w:b/>
      <w:sz w:val="28"/>
    </w:rPr>
  </w:style>
  <w:style w:type="paragraph" w:styleId="4">
    <w:name w:val="heading 3"/>
    <w:basedOn w:val="1"/>
    <w:next w:val="1"/>
    <w:qFormat/>
    <w:uiPriority w:val="0"/>
    <w:pPr>
      <w:keepNext/>
      <w:keepLines/>
      <w:spacing w:line="360" w:lineRule="auto"/>
      <w:ind w:firstLine="574" w:firstLineChars="200"/>
      <w:outlineLvl w:val="2"/>
    </w:pPr>
    <w:rPr>
      <w:rFonts w:eastAsia="黑体"/>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qFormat/>
    <w:uiPriority w:val="0"/>
    <w:pPr>
      <w:ind w:firstLine="420" w:firstLineChars="200"/>
    </w:pPr>
  </w:style>
  <w:style w:type="paragraph" w:styleId="8">
    <w:name w:val="Body Text First Indent 2"/>
    <w:basedOn w:val="9"/>
    <w:next w:val="1"/>
    <w:qFormat/>
    <w:uiPriority w:val="0"/>
    <w:pPr>
      <w:spacing w:after="120"/>
      <w:ind w:left="420" w:firstLine="210"/>
    </w:pPr>
  </w:style>
  <w:style w:type="paragraph" w:styleId="9">
    <w:name w:val="Body Text Indent"/>
    <w:basedOn w:val="1"/>
    <w:next w:val="10"/>
    <w:qFormat/>
    <w:uiPriority w:val="0"/>
    <w:pPr>
      <w:spacing w:line="360" w:lineRule="auto"/>
      <w:ind w:firstLine="560" w:firstLineChars="200"/>
      <w:jc w:val="left"/>
    </w:pPr>
    <w:rPr>
      <w:rFonts w:eastAsia="楷体_GB2312"/>
      <w:sz w:val="28"/>
      <w:szCs w:val="24"/>
    </w:rPr>
  </w:style>
  <w:style w:type="paragraph" w:styleId="10">
    <w:name w:val="Body Text First Indent"/>
    <w:basedOn w:val="11"/>
    <w:next w:val="1"/>
    <w:qFormat/>
    <w:uiPriority w:val="0"/>
    <w:pPr>
      <w:spacing w:after="120"/>
      <w:ind w:firstLine="420" w:firstLineChars="100"/>
    </w:pPr>
    <w:rPr>
      <w:rFonts w:eastAsia="宋体"/>
      <w:sz w:val="21"/>
      <w:szCs w:val="20"/>
    </w:rPr>
  </w:style>
  <w:style w:type="paragraph" w:styleId="11">
    <w:name w:val="Body Text"/>
    <w:basedOn w:val="1"/>
    <w:next w:val="12"/>
    <w:qFormat/>
    <w:uiPriority w:val="0"/>
    <w:rPr>
      <w:rFonts w:eastAsia="楷体_GB2312"/>
      <w:b/>
      <w:bCs/>
      <w:sz w:val="32"/>
      <w:szCs w:val="24"/>
    </w:rPr>
  </w:style>
  <w:style w:type="paragraph" w:styleId="12">
    <w:name w:val="List Bullet 5"/>
    <w:basedOn w:val="1"/>
    <w:qFormat/>
    <w:uiPriority w:val="0"/>
    <w:pPr>
      <w:numPr>
        <w:ilvl w:val="0"/>
        <w:numId w:val="1"/>
      </w:numPr>
    </w:pPr>
  </w:style>
  <w:style w:type="paragraph" w:styleId="13">
    <w:name w:val="caption"/>
    <w:basedOn w:val="1"/>
    <w:next w:val="1"/>
    <w:qFormat/>
    <w:uiPriority w:val="0"/>
    <w:pPr>
      <w:jc w:val="center"/>
    </w:pPr>
    <w:rPr>
      <w:rFonts w:eastAsia="黑体"/>
      <w:szCs w:val="21"/>
    </w:rPr>
  </w:style>
  <w:style w:type="paragraph" w:styleId="14">
    <w:name w:val="index 5"/>
    <w:basedOn w:val="1"/>
    <w:next w:val="1"/>
    <w:qFormat/>
    <w:uiPriority w:val="99"/>
    <w:pPr>
      <w:ind w:left="1680"/>
    </w:pPr>
  </w:style>
  <w:style w:type="paragraph" w:styleId="15">
    <w:name w:val="annotation text"/>
    <w:basedOn w:val="1"/>
    <w:link w:val="82"/>
    <w:qFormat/>
    <w:uiPriority w:val="99"/>
    <w:pPr>
      <w:jc w:val="left"/>
    </w:pPr>
  </w:style>
  <w:style w:type="paragraph" w:styleId="16">
    <w:name w:val="Plain Text"/>
    <w:basedOn w:val="1"/>
    <w:next w:val="1"/>
    <w:qFormat/>
    <w:uiPriority w:val="0"/>
    <w:rPr>
      <w:rFonts w:ascii="宋体" w:hAnsi="Courier New"/>
    </w:rPr>
  </w:style>
  <w:style w:type="paragraph" w:styleId="17">
    <w:name w:val="Date"/>
    <w:basedOn w:val="1"/>
    <w:next w:val="1"/>
    <w:qFormat/>
    <w:uiPriority w:val="0"/>
    <w:rPr>
      <w:szCs w:val="21"/>
    </w:rPr>
  </w:style>
  <w:style w:type="paragraph" w:styleId="18">
    <w:name w:val="Body Text Indent 2"/>
    <w:basedOn w:val="1"/>
    <w:qFormat/>
    <w:uiPriority w:val="0"/>
    <w:pPr>
      <w:spacing w:after="120" w:afterLines="0" w:line="480" w:lineRule="auto"/>
      <w:ind w:left="420" w:leftChars="200"/>
    </w:pPr>
  </w:style>
  <w:style w:type="paragraph" w:styleId="19">
    <w:name w:val="Balloon Text"/>
    <w:basedOn w:val="1"/>
    <w:link w:val="81"/>
    <w:qFormat/>
    <w:uiPriority w:val="0"/>
    <w:rPr>
      <w:sz w:val="18"/>
      <w:szCs w:val="18"/>
    </w:rPr>
  </w:style>
  <w:style w:type="paragraph" w:styleId="20">
    <w:name w:val="footer"/>
    <w:basedOn w:val="1"/>
    <w:next w:val="1"/>
    <w:qFormat/>
    <w:uiPriority w:val="99"/>
    <w:pPr>
      <w:tabs>
        <w:tab w:val="center" w:pos="4153"/>
        <w:tab w:val="right" w:pos="8306"/>
      </w:tabs>
      <w:snapToGrid w:val="0"/>
      <w:jc w:val="left"/>
    </w:pPr>
    <w:rPr>
      <w:sz w:val="18"/>
      <w:szCs w:val="18"/>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2">
    <w:name w:val="List"/>
    <w:basedOn w:val="1"/>
    <w:qFormat/>
    <w:uiPriority w:val="0"/>
    <w:pPr>
      <w:ind w:left="200" w:hanging="200" w:hangingChars="200"/>
    </w:pPr>
  </w:style>
  <w:style w:type="paragraph" w:styleId="23">
    <w:name w:val="Body Text Indent 3"/>
    <w:basedOn w:val="1"/>
    <w:qFormat/>
    <w:uiPriority w:val="0"/>
    <w:pPr>
      <w:spacing w:line="360" w:lineRule="auto"/>
      <w:ind w:left="-91" w:firstLine="582" w:firstLineChars="208"/>
    </w:pPr>
    <w:rPr>
      <w:rFonts w:eastAsia="楷体_GB2312"/>
      <w:sz w:val="28"/>
      <w:szCs w:val="24"/>
    </w:rPr>
  </w:style>
  <w:style w:type="paragraph" w:styleId="24">
    <w:name w:val="table of figures"/>
    <w:basedOn w:val="1"/>
    <w:next w:val="1"/>
    <w:qFormat/>
    <w:uiPriority w:val="99"/>
    <w:pPr>
      <w:ind w:left="200" w:leftChars="200" w:hanging="200" w:hangingChars="200"/>
    </w:pPr>
  </w:style>
  <w:style w:type="paragraph" w:styleId="25">
    <w:name w:val="Body Text 2"/>
    <w:basedOn w:val="1"/>
    <w:qFormat/>
    <w:uiPriority w:val="0"/>
    <w:pPr>
      <w:jc w:val="left"/>
    </w:pPr>
    <w:rPr>
      <w:rFonts w:eastAsia="楷体_GB2312"/>
      <w:sz w:val="28"/>
      <w:szCs w:val="24"/>
    </w:rPr>
  </w:style>
  <w:style w:type="paragraph" w:styleId="26">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27">
    <w:name w:val="annotation subject"/>
    <w:basedOn w:val="15"/>
    <w:next w:val="15"/>
    <w:link w:val="83"/>
    <w:qFormat/>
    <w:uiPriority w:val="0"/>
    <w:rPr>
      <w:b/>
      <w:bCs/>
    </w:rPr>
  </w:style>
  <w:style w:type="table" w:styleId="29">
    <w:name w:val="Table Grid"/>
    <w:basedOn w:val="2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page number"/>
    <w:basedOn w:val="30"/>
    <w:qFormat/>
    <w:uiPriority w:val="0"/>
  </w:style>
  <w:style w:type="character" w:styleId="33">
    <w:name w:val="Hyperlink"/>
    <w:basedOn w:val="30"/>
    <w:qFormat/>
    <w:uiPriority w:val="0"/>
    <w:rPr>
      <w:color w:val="0000FF"/>
      <w:u w:val="single"/>
    </w:rPr>
  </w:style>
  <w:style w:type="character" w:styleId="34">
    <w:name w:val="annotation reference"/>
    <w:basedOn w:val="30"/>
    <w:qFormat/>
    <w:uiPriority w:val="0"/>
    <w:rPr>
      <w:sz w:val="21"/>
      <w:szCs w:val="21"/>
    </w:rPr>
  </w:style>
  <w:style w:type="paragraph" w:customStyle="1" w:styleId="35">
    <w:name w:val="xl27"/>
    <w:basedOn w:val="1"/>
    <w:next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36">
    <w:name w:val="正文（缩进）"/>
    <w:basedOn w:val="37"/>
    <w:next w:val="1"/>
    <w:qFormat/>
    <w:uiPriority w:val="99"/>
    <w:pPr>
      <w:spacing w:line="360" w:lineRule="auto"/>
      <w:ind w:firstLine="480" w:firstLineChars="200"/>
    </w:pPr>
    <w:rPr>
      <w:sz w:val="24"/>
      <w:szCs w:val="24"/>
    </w:rPr>
  </w:style>
  <w:style w:type="paragraph" w:customStyle="1" w:styleId="37">
    <w:name w:val="正文(首行缩进)"/>
    <w:basedOn w:val="1"/>
    <w:qFormat/>
    <w:uiPriority w:val="0"/>
    <w:pPr>
      <w:spacing w:line="460" w:lineRule="exact"/>
      <w:ind w:firstLine="560" w:firstLineChars="200"/>
    </w:pPr>
    <w:rPr>
      <w:rFonts w:ascii="宋体" w:hAnsi="宋体"/>
      <w:snapToGrid w:val="0"/>
      <w:color w:val="000000"/>
      <w:kern w:val="0"/>
      <w:szCs w:val="24"/>
    </w:rPr>
  </w:style>
  <w:style w:type="paragraph" w:customStyle="1" w:styleId="38">
    <w:name w:val="Date1"/>
    <w:basedOn w:val="1"/>
    <w:next w:val="1"/>
    <w:qFormat/>
    <w:uiPriority w:val="99"/>
    <w:pPr>
      <w:adjustRightInd w:val="0"/>
      <w:jc w:val="left"/>
      <w:textAlignment w:val="baseline"/>
    </w:pPr>
    <w:rPr>
      <w:rFonts w:ascii="宋体" w:hAnsi="宋体"/>
      <w:sz w:val="28"/>
    </w:rPr>
  </w:style>
  <w:style w:type="paragraph" w:customStyle="1" w:styleId="39">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40">
    <w:name w:val="正文."/>
    <w:basedOn w:val="1"/>
    <w:next w:val="1"/>
    <w:qFormat/>
    <w:uiPriority w:val="0"/>
  </w:style>
  <w:style w:type="paragraph" w:customStyle="1" w:styleId="41">
    <w:name w:val="Default"/>
    <w:basedOn w:val="42"/>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纯文本1"/>
    <w:basedOn w:val="1"/>
    <w:qFormat/>
    <w:uiPriority w:val="0"/>
    <w:rPr>
      <w:rFonts w:hint="eastAsia" w:ascii="宋体" w:hAnsi="Courier New"/>
      <w:szCs w:val="22"/>
    </w:rPr>
  </w:style>
  <w:style w:type="paragraph" w:customStyle="1" w:styleId="43">
    <w:name w:val="环评正文"/>
    <w:basedOn w:val="1"/>
    <w:next w:val="1"/>
    <w:qFormat/>
    <w:uiPriority w:val="0"/>
    <w:pPr>
      <w:spacing w:line="360" w:lineRule="auto"/>
      <w:ind w:firstLine="480" w:firstLineChars="200"/>
    </w:pPr>
    <w:rPr>
      <w:rFonts w:ascii="仿宋_GB2312" w:hAnsi="仿宋_GB2312" w:eastAsia="仿宋_GB2312"/>
      <w:sz w:val="24"/>
      <w:szCs w:val="20"/>
    </w:rPr>
  </w:style>
  <w:style w:type="paragraph" w:customStyle="1" w:styleId="44">
    <w:name w:val="表格"/>
    <w:basedOn w:val="7"/>
    <w:next w:val="1"/>
    <w:qFormat/>
    <w:uiPriority w:val="0"/>
    <w:pPr>
      <w:spacing w:line="240" w:lineRule="atLeast"/>
      <w:jc w:val="center"/>
    </w:pPr>
    <w:rPr>
      <w:szCs w:val="21"/>
    </w:rPr>
  </w:style>
  <w:style w:type="paragraph" w:customStyle="1" w:styleId="45">
    <w:name w:val="表头"/>
    <w:basedOn w:val="22"/>
    <w:next w:val="1"/>
    <w:link w:val="93"/>
    <w:qFormat/>
    <w:uiPriority w:val="0"/>
    <w:pPr>
      <w:adjustRightInd w:val="0"/>
      <w:snapToGrid w:val="0"/>
      <w:ind w:left="0" w:firstLine="0" w:firstLineChars="0"/>
    </w:pPr>
    <w:rPr>
      <w:rFonts w:ascii="Times New Roman" w:hAnsi="Times New Roman" w:eastAsia="黑体"/>
      <w:sz w:val="24"/>
      <w:szCs w:val="28"/>
    </w:rPr>
  </w:style>
  <w:style w:type="paragraph" w:customStyle="1" w:styleId="46">
    <w:name w:val="样式 正文缩进正文缩进2正文缩进 Char Char正文缩进 Char Char Char Char正文缩进 Char ..."/>
    <w:basedOn w:val="7"/>
    <w:qFormat/>
    <w:uiPriority w:val="0"/>
    <w:pPr>
      <w:spacing w:line="360" w:lineRule="auto"/>
      <w:ind w:firstLine="200"/>
    </w:pPr>
    <w:rPr>
      <w:rFonts w:cs="宋体"/>
      <w:sz w:val="24"/>
    </w:rPr>
  </w:style>
  <w:style w:type="paragraph" w:customStyle="1" w:styleId="47">
    <w:name w:val="Char Char Char Char"/>
    <w:basedOn w:val="1"/>
    <w:qFormat/>
    <w:uiPriority w:val="0"/>
    <w:pPr>
      <w:snapToGrid w:val="0"/>
      <w:spacing w:line="360" w:lineRule="auto"/>
      <w:ind w:firstLine="529" w:firstLineChars="200"/>
    </w:pPr>
  </w:style>
  <w:style w:type="paragraph" w:customStyle="1" w:styleId="48">
    <w:name w:val="4正文"/>
    <w:basedOn w:val="1"/>
    <w:qFormat/>
    <w:uiPriority w:val="0"/>
    <w:pPr>
      <w:spacing w:line="240" w:lineRule="exact"/>
      <w:jc w:val="center"/>
    </w:pPr>
    <w:rPr>
      <w:rFonts w:ascii="Calibri" w:hAnsi="Calibri"/>
      <w:szCs w:val="21"/>
    </w:rPr>
  </w:style>
  <w:style w:type="paragraph" w:customStyle="1" w:styleId="49">
    <w:name w:val="表一级标题"/>
    <w:basedOn w:val="1"/>
    <w:link w:val="98"/>
    <w:qFormat/>
    <w:uiPriority w:val="0"/>
    <w:pPr>
      <w:adjustRightInd w:val="0"/>
      <w:snapToGrid w:val="0"/>
      <w:spacing w:before="50" w:beforeLines="50" w:after="50" w:afterLines="50" w:line="240" w:lineRule="auto"/>
      <w:ind w:firstLine="0" w:firstLineChars="0"/>
      <w:jc w:val="left"/>
      <w:textAlignment w:val="baseline"/>
    </w:pPr>
    <w:rPr>
      <w:rFonts w:ascii="Times New Roman" w:hAnsi="Times New Roman" w:eastAsia="宋体"/>
      <w:b/>
      <w:sz w:val="24"/>
    </w:rPr>
  </w:style>
  <w:style w:type="paragraph" w:customStyle="1" w:styleId="50">
    <w:name w:val="报告表正文"/>
    <w:basedOn w:val="1"/>
    <w:link w:val="56"/>
    <w:qFormat/>
    <w:uiPriority w:val="0"/>
    <w:pPr>
      <w:overflowPunct w:val="0"/>
      <w:adjustRightInd w:val="0"/>
      <w:snapToGrid w:val="0"/>
      <w:spacing w:line="360" w:lineRule="auto"/>
      <w:ind w:firstLine="200" w:firstLineChars="200"/>
    </w:pPr>
    <w:rPr>
      <w:rFonts w:ascii="Times New Roman" w:hAnsi="Times New Roman" w:eastAsia="仿宋_GB2312"/>
      <w:color w:val="000000"/>
      <w:kern w:val="16"/>
      <w:sz w:val="24"/>
      <w:szCs w:val="24"/>
    </w:rPr>
  </w:style>
  <w:style w:type="paragraph" w:customStyle="1" w:styleId="51">
    <w:name w:val="表文"/>
    <w:basedOn w:val="1"/>
    <w:link w:val="89"/>
    <w:qFormat/>
    <w:uiPriority w:val="0"/>
    <w:pPr>
      <w:autoSpaceDE w:val="0"/>
      <w:autoSpaceDN w:val="0"/>
      <w:adjustRightInd w:val="0"/>
      <w:spacing w:line="360" w:lineRule="atLeast"/>
      <w:jc w:val="center"/>
      <w:textAlignment w:val="baseline"/>
    </w:pPr>
    <w:rPr>
      <w:rFonts w:ascii="宋体" w:hAnsi="Tms Rmn"/>
      <w:kern w:val="0"/>
      <w:sz w:val="24"/>
    </w:rPr>
  </w:style>
  <w:style w:type="paragraph" w:customStyle="1" w:styleId="52">
    <w:name w:val="表内文字"/>
    <w:basedOn w:val="1"/>
    <w:qFormat/>
    <w:uiPriority w:val="0"/>
    <w:pPr>
      <w:spacing w:line="320" w:lineRule="exact"/>
      <w:jc w:val="center"/>
    </w:pPr>
    <w:rPr>
      <w:rFonts w:eastAsia="仿宋_GB2312"/>
      <w:szCs w:val="24"/>
    </w:rPr>
  </w:style>
  <w:style w:type="paragraph" w:customStyle="1" w:styleId="53">
    <w:name w:val="表二级标题"/>
    <w:basedOn w:val="1"/>
    <w:qFormat/>
    <w:uiPriority w:val="0"/>
    <w:pPr>
      <w:adjustRightInd w:val="0"/>
      <w:snapToGrid w:val="0"/>
      <w:spacing w:before="50" w:beforeLines="50" w:after="50" w:afterLines="50" w:line="240" w:lineRule="auto"/>
      <w:ind w:firstLine="720" w:firstLineChars="200"/>
      <w:jc w:val="left"/>
    </w:pPr>
    <w:rPr>
      <w:rFonts w:ascii="Times New Roman" w:hAnsi="Times New Roman" w:eastAsia="宋体"/>
      <w:b/>
      <w:kern w:val="44"/>
      <w:sz w:val="24"/>
      <w:szCs w:val="24"/>
    </w:rPr>
  </w:style>
  <w:style w:type="paragraph" w:customStyle="1" w:styleId="54">
    <w:name w:val="xl26"/>
    <w:basedOn w:val="1"/>
    <w:qFormat/>
    <w:uiPriority w:val="0"/>
    <w:pPr>
      <w:widowControl/>
      <w:spacing w:before="100" w:after="100"/>
      <w:jc w:val="center"/>
    </w:pPr>
    <w:rPr>
      <w:kern w:val="0"/>
    </w:rPr>
  </w:style>
  <w:style w:type="paragraph" w:customStyle="1" w:styleId="55">
    <w:name w:val="表格文字"/>
    <w:next w:val="1"/>
    <w:qFormat/>
    <w:uiPriority w:val="0"/>
    <w:pPr>
      <w:spacing w:beforeLines="10" w:afterLines="10" w:line="0" w:lineRule="atLeast"/>
      <w:jc w:val="center"/>
    </w:pPr>
    <w:rPr>
      <w:rFonts w:ascii="Times New Roman" w:hAnsi="Times New Roman" w:eastAsia="宋体" w:cs="Times New Roman"/>
      <w:kern w:val="2"/>
      <w:sz w:val="18"/>
      <w:szCs w:val="21"/>
      <w:lang w:val="en-US" w:eastAsia="zh-CN" w:bidi="ar-SA"/>
    </w:rPr>
  </w:style>
  <w:style w:type="character" w:customStyle="1" w:styleId="56">
    <w:name w:val="报告表正文 Char"/>
    <w:link w:val="50"/>
    <w:qFormat/>
    <w:uiPriority w:val="0"/>
    <w:rPr>
      <w:rFonts w:ascii="Times New Roman" w:hAnsi="Times New Roman" w:eastAsia="仿宋_GB2312"/>
      <w:color w:val="000000"/>
      <w:kern w:val="16"/>
      <w:sz w:val="24"/>
      <w:szCs w:val="24"/>
    </w:rPr>
  </w:style>
  <w:style w:type="paragraph" w:customStyle="1" w:styleId="57">
    <w:name w:val="正文1"/>
    <w:basedOn w:val="1"/>
    <w:next w:val="1"/>
    <w:qFormat/>
    <w:uiPriority w:val="0"/>
    <w:pPr>
      <w:snapToGrid w:val="0"/>
      <w:spacing w:line="360" w:lineRule="atLeast"/>
      <w:jc w:val="center"/>
    </w:pPr>
    <w:rPr>
      <w:kern w:val="21"/>
    </w:rPr>
  </w:style>
  <w:style w:type="paragraph" w:customStyle="1" w:styleId="58">
    <w:name w:val="【正文】"/>
    <w:basedOn w:val="1"/>
    <w:qFormat/>
    <w:uiPriority w:val="0"/>
    <w:pPr>
      <w:spacing w:line="440" w:lineRule="exact"/>
      <w:ind w:firstLine="544" w:firstLineChars="200"/>
    </w:pPr>
    <w:rPr>
      <w:kern w:val="0"/>
      <w:sz w:val="24"/>
    </w:rPr>
  </w:style>
  <w:style w:type="paragraph" w:customStyle="1" w:styleId="59">
    <w:name w:val="表 一级标题"/>
    <w:basedOn w:val="1"/>
    <w:qFormat/>
    <w:uiPriority w:val="0"/>
    <w:pPr>
      <w:adjustRightInd w:val="0"/>
      <w:snapToGrid w:val="0"/>
      <w:spacing w:line="360" w:lineRule="auto"/>
    </w:pPr>
    <w:rPr>
      <w:b/>
      <w:sz w:val="24"/>
      <w:szCs w:val="28"/>
    </w:rPr>
  </w:style>
  <w:style w:type="paragraph" w:customStyle="1" w:styleId="60">
    <w:name w:val="默认段落字体 Para Char"/>
    <w:basedOn w:val="1"/>
    <w:qFormat/>
    <w:uiPriority w:val="0"/>
    <w:pPr>
      <w:adjustRightInd w:val="0"/>
      <w:snapToGrid w:val="0"/>
      <w:spacing w:line="360" w:lineRule="auto"/>
      <w:ind w:firstLine="200" w:firstLineChars="200"/>
    </w:pPr>
  </w:style>
  <w:style w:type="paragraph" w:customStyle="1" w:styleId="61">
    <w:name w:val="中文报告书样式"/>
    <w:basedOn w:val="1"/>
    <w:qFormat/>
    <w:uiPriority w:val="0"/>
    <w:pPr>
      <w:adjustRightInd w:val="0"/>
      <w:spacing w:line="480" w:lineRule="atLeast"/>
      <w:ind w:firstLine="482"/>
      <w:textAlignment w:val="baseline"/>
    </w:pPr>
    <w:rPr>
      <w:kern w:val="24"/>
      <w:sz w:val="24"/>
    </w:rPr>
  </w:style>
  <w:style w:type="paragraph" w:customStyle="1" w:styleId="62">
    <w:name w:val="表格标题"/>
    <w:basedOn w:val="4"/>
    <w:next w:val="1"/>
    <w:qFormat/>
    <w:uiPriority w:val="0"/>
    <w:pPr>
      <w:spacing w:line="240" w:lineRule="auto"/>
      <w:ind w:firstLine="0" w:firstLineChars="0"/>
      <w:jc w:val="center"/>
    </w:pPr>
    <w:rPr>
      <w:szCs w:val="21"/>
    </w:rPr>
  </w:style>
  <w:style w:type="paragraph" w:customStyle="1" w:styleId="63">
    <w:name w:val="表格内容"/>
    <w:basedOn w:val="1"/>
    <w:qFormat/>
    <w:uiPriority w:val="0"/>
    <w:pPr>
      <w:adjustRightInd w:val="0"/>
      <w:snapToGrid w:val="0"/>
      <w:spacing w:line="240" w:lineRule="atLeast"/>
      <w:jc w:val="center"/>
    </w:pPr>
    <w:rPr>
      <w:szCs w:val="21"/>
    </w:rPr>
  </w:style>
  <w:style w:type="paragraph" w:customStyle="1" w:styleId="64">
    <w:name w:val="居中正文"/>
    <w:basedOn w:val="10"/>
    <w:qFormat/>
    <w:uiPriority w:val="0"/>
    <w:pPr>
      <w:adjustRightInd w:val="0"/>
      <w:spacing w:before="120" w:after="0" w:line="360" w:lineRule="auto"/>
      <w:ind w:firstLine="0" w:firstLineChars="0"/>
      <w:jc w:val="center"/>
      <w:textAlignment w:val="baseline"/>
    </w:pPr>
    <w:rPr>
      <w:rFonts w:ascii="宋体"/>
      <w:kern w:val="28"/>
      <w:sz w:val="24"/>
    </w:rPr>
  </w:style>
  <w:style w:type="paragraph" w:customStyle="1" w:styleId="65">
    <w:name w:val="正文2"/>
    <w:qFormat/>
    <w:uiPriority w:val="0"/>
    <w:pPr>
      <w:jc w:val="both"/>
    </w:pPr>
    <w:rPr>
      <w:rFonts w:ascii="Times New Roman" w:hAnsi="Times New Roman" w:eastAsia="宋体" w:cs="Times New Roman"/>
      <w:kern w:val="2"/>
      <w:sz w:val="21"/>
      <w:szCs w:val="21"/>
      <w:lang w:val="en-US" w:eastAsia="zh-CN" w:bidi="ar-SA"/>
    </w:rPr>
  </w:style>
  <w:style w:type="paragraph" w:styleId="66">
    <w:name w:val="List Paragraph"/>
    <w:basedOn w:val="1"/>
    <w:qFormat/>
    <w:uiPriority w:val="99"/>
    <w:pPr>
      <w:ind w:firstLine="420" w:firstLineChars="200"/>
    </w:pPr>
  </w:style>
  <w:style w:type="paragraph" w:customStyle="1" w:styleId="67">
    <w:name w:val="default"/>
    <w:basedOn w:val="1"/>
    <w:qFormat/>
    <w:uiPriority w:val="99"/>
    <w:pPr>
      <w:widowControl/>
      <w:spacing w:beforeAutospacing="1" w:afterAutospacing="1" w:line="408" w:lineRule="auto"/>
      <w:jc w:val="left"/>
    </w:pPr>
    <w:rPr>
      <w:rFonts w:ascii="宋体" w:hAnsi="宋体" w:eastAsia="微软雅黑"/>
      <w:kern w:val="0"/>
      <w:sz w:val="28"/>
    </w:rPr>
  </w:style>
  <w:style w:type="paragraph" w:customStyle="1" w:styleId="68">
    <w:name w:val="表头111"/>
    <w:basedOn w:val="1"/>
    <w:qFormat/>
    <w:uiPriority w:val="0"/>
    <w:pPr>
      <w:jc w:val="center"/>
    </w:pPr>
    <w:rPr>
      <w:b/>
      <w:szCs w:val="21"/>
    </w:rPr>
  </w:style>
  <w:style w:type="paragraph" w:customStyle="1" w:styleId="69">
    <w:name w:val="报告表小标题"/>
    <w:basedOn w:val="1"/>
    <w:qFormat/>
    <w:uiPriority w:val="0"/>
    <w:pPr>
      <w:spacing w:line="360" w:lineRule="auto"/>
    </w:pPr>
    <w:rPr>
      <w:b/>
      <w:sz w:val="24"/>
    </w:rPr>
  </w:style>
  <w:style w:type="character" w:customStyle="1" w:styleId="70">
    <w:name w:val="font41"/>
    <w:qFormat/>
    <w:uiPriority w:val="0"/>
    <w:rPr>
      <w:rFonts w:hint="default" w:ascii="Times New Roman" w:hAnsi="Times New Roman" w:cs="Times New Roman"/>
      <w:color w:val="000000"/>
      <w:sz w:val="21"/>
      <w:szCs w:val="21"/>
      <w:u w:val="none"/>
    </w:rPr>
  </w:style>
  <w:style w:type="character" w:customStyle="1" w:styleId="71">
    <w:name w:val="font51"/>
    <w:qFormat/>
    <w:uiPriority w:val="0"/>
    <w:rPr>
      <w:rFonts w:hint="eastAsia" w:ascii="宋体" w:hAnsi="宋体" w:eastAsia="宋体" w:cs="宋体"/>
      <w:b/>
      <w:color w:val="000000"/>
      <w:sz w:val="21"/>
      <w:szCs w:val="21"/>
      <w:u w:val="none"/>
    </w:rPr>
  </w:style>
  <w:style w:type="character" w:customStyle="1" w:styleId="72">
    <w:name w:val="font21"/>
    <w:qFormat/>
    <w:uiPriority w:val="0"/>
    <w:rPr>
      <w:rFonts w:hint="eastAsia" w:ascii="宋体" w:hAnsi="宋体" w:eastAsia="宋体" w:cs="宋体"/>
      <w:color w:val="FF0000"/>
      <w:sz w:val="24"/>
      <w:szCs w:val="24"/>
      <w:u w:val="none"/>
    </w:rPr>
  </w:style>
  <w:style w:type="character" w:customStyle="1" w:styleId="73">
    <w:name w:val="font11"/>
    <w:qFormat/>
    <w:uiPriority w:val="0"/>
    <w:rPr>
      <w:rFonts w:hint="eastAsia" w:ascii="宋体" w:hAnsi="宋体" w:eastAsia="宋体" w:cs="宋体"/>
      <w:color w:val="000000"/>
      <w:sz w:val="21"/>
      <w:szCs w:val="21"/>
      <w:u w:val="none"/>
    </w:rPr>
  </w:style>
  <w:style w:type="character" w:customStyle="1" w:styleId="74">
    <w:name w:val="标题 1 字符"/>
    <w:link w:val="2"/>
    <w:qFormat/>
    <w:uiPriority w:val="0"/>
    <w:rPr>
      <w:rFonts w:ascii="Times New Roman" w:hAnsi="Times New Roman" w:eastAsia="黑体"/>
      <w:kern w:val="44"/>
      <w:sz w:val="30"/>
    </w:rPr>
  </w:style>
  <w:style w:type="paragraph" w:customStyle="1" w:styleId="75">
    <w:name w:val="Table Paragraph"/>
    <w:basedOn w:val="1"/>
    <w:qFormat/>
    <w:uiPriority w:val="0"/>
    <w:pPr>
      <w:autoSpaceDE w:val="0"/>
      <w:autoSpaceDN w:val="0"/>
      <w:jc w:val="center"/>
    </w:pPr>
    <w:rPr>
      <w:kern w:val="0"/>
      <w:sz w:val="22"/>
      <w:szCs w:val="22"/>
    </w:rPr>
  </w:style>
  <w:style w:type="paragraph" w:customStyle="1" w:styleId="76">
    <w:name w:val="表格字"/>
    <w:basedOn w:val="22"/>
    <w:qFormat/>
    <w:uiPriority w:val="0"/>
    <w:rPr>
      <w:rFonts w:ascii="Calibri" w:hAnsi="Calibri"/>
      <w:sz w:val="20"/>
    </w:rPr>
  </w:style>
  <w:style w:type="paragraph" w:customStyle="1" w:styleId="77">
    <w:name w:val="正文格式－表格－中"/>
    <w:basedOn w:val="1"/>
    <w:semiHidden/>
    <w:qFormat/>
    <w:uiPriority w:val="0"/>
    <w:pPr>
      <w:widowControl/>
      <w:snapToGrid w:val="0"/>
      <w:jc w:val="center"/>
      <w:textAlignment w:val="center"/>
    </w:pPr>
    <w:rPr>
      <w:sz w:val="24"/>
      <w:szCs w:val="24"/>
    </w:rPr>
  </w:style>
  <w:style w:type="paragraph" w:customStyle="1" w:styleId="78">
    <w:name w:val="环评正文2"/>
    <w:basedOn w:val="1"/>
    <w:qFormat/>
    <w:uiPriority w:val="0"/>
    <w:pPr>
      <w:spacing w:line="360" w:lineRule="auto"/>
    </w:pPr>
    <w:rPr>
      <w:rFonts w:ascii="宋体" w:hAnsi="宋体" w:eastAsia="仿宋_GB2312"/>
      <w:color w:val="000000"/>
      <w:kern w:val="16"/>
      <w:sz w:val="24"/>
      <w:szCs w:val="24"/>
    </w:rPr>
  </w:style>
  <w:style w:type="paragraph" w:customStyle="1" w:styleId="79">
    <w:name w:val="书 正文"/>
    <w:basedOn w:val="1"/>
    <w:qFormat/>
    <w:uiPriority w:val="0"/>
    <w:pPr>
      <w:ind w:firstLine="514" w:firstLineChars="200"/>
    </w:pPr>
    <w:rPr>
      <w:kern w:val="24"/>
      <w:sz w:val="24"/>
    </w:rPr>
  </w:style>
  <w:style w:type="paragraph" w:customStyle="1" w:styleId="80">
    <w:name w:val="报告表表头"/>
    <w:basedOn w:val="51"/>
    <w:next w:val="44"/>
    <w:qFormat/>
    <w:uiPriority w:val="0"/>
    <w:pPr>
      <w:snapToGrid w:val="0"/>
      <w:spacing w:line="240" w:lineRule="auto"/>
    </w:pPr>
    <w:rPr>
      <w:rFonts w:ascii="Times New Roman" w:hAnsi="Times New Roman" w:eastAsia="宋体"/>
      <w:b/>
      <w:sz w:val="21"/>
      <w:szCs w:val="28"/>
    </w:rPr>
  </w:style>
  <w:style w:type="character" w:customStyle="1" w:styleId="81">
    <w:name w:val="批注框文本 字符"/>
    <w:basedOn w:val="30"/>
    <w:link w:val="19"/>
    <w:qFormat/>
    <w:uiPriority w:val="0"/>
    <w:rPr>
      <w:rFonts w:ascii="Times New Roman" w:hAnsi="Times New Roman" w:eastAsia="宋体" w:cs="Times New Roman"/>
      <w:kern w:val="2"/>
      <w:sz w:val="18"/>
      <w:szCs w:val="18"/>
    </w:rPr>
  </w:style>
  <w:style w:type="character" w:customStyle="1" w:styleId="82">
    <w:name w:val="批注文字 字符"/>
    <w:basedOn w:val="30"/>
    <w:link w:val="15"/>
    <w:qFormat/>
    <w:uiPriority w:val="99"/>
    <w:rPr>
      <w:rFonts w:ascii="Times New Roman" w:hAnsi="Times New Roman" w:eastAsia="宋体" w:cs="Times New Roman"/>
      <w:kern w:val="2"/>
      <w:sz w:val="21"/>
    </w:rPr>
  </w:style>
  <w:style w:type="character" w:customStyle="1" w:styleId="83">
    <w:name w:val="批注主题 字符"/>
    <w:basedOn w:val="82"/>
    <w:link w:val="27"/>
    <w:qFormat/>
    <w:uiPriority w:val="0"/>
    <w:rPr>
      <w:rFonts w:ascii="Times New Roman" w:hAnsi="Times New Roman" w:eastAsia="宋体" w:cs="Times New Roman"/>
      <w:b/>
      <w:bCs/>
      <w:kern w:val="2"/>
      <w:sz w:val="21"/>
    </w:rPr>
  </w:style>
  <w:style w:type="paragraph" w:customStyle="1" w:styleId="84">
    <w:name w:val="No Spacing"/>
    <w:qFormat/>
    <w:uiPriority w:val="0"/>
    <w:pPr>
      <w:widowControl w:val="0"/>
      <w:spacing w:beforeLines="50"/>
      <w:jc w:val="both"/>
    </w:pPr>
    <w:rPr>
      <w:rFonts w:ascii="Calibri" w:hAnsi="Calibri" w:eastAsia="宋体" w:cs="Times New Roman"/>
      <w:kern w:val="2"/>
      <w:sz w:val="21"/>
      <w:szCs w:val="22"/>
      <w:lang w:val="en-US" w:eastAsia="zh-CN" w:bidi="ar-SA"/>
    </w:rPr>
  </w:style>
  <w:style w:type="character" w:customStyle="1" w:styleId="85">
    <w:name w:val="标题 2 Char Char Char Char Char Char Char Char Char Char Char Char Char Char Char Char Char Char Char Char Char Char Char Char"/>
    <w:basedOn w:val="30"/>
    <w:qFormat/>
    <w:uiPriority w:val="0"/>
    <w:rPr>
      <w:rFonts w:ascii="Arial" w:hAnsi="Arial" w:eastAsia="黑体"/>
      <w:b/>
      <w:bCs/>
      <w:kern w:val="2"/>
      <w:sz w:val="32"/>
      <w:szCs w:val="32"/>
      <w:lang w:val="en-US" w:eastAsia="zh-CN" w:bidi="ar-SA"/>
    </w:rPr>
  </w:style>
  <w:style w:type="paragraph" w:customStyle="1" w:styleId="86">
    <w:name w:val="标题　4"/>
    <w:basedOn w:val="5"/>
    <w:qFormat/>
    <w:uiPriority w:val="0"/>
    <w:pPr>
      <w:numPr>
        <w:ilvl w:val="0"/>
        <w:numId w:val="0"/>
      </w:numPr>
      <w:spacing w:before="20" w:beforeLines="20" w:after="20" w:afterLines="20"/>
    </w:pPr>
    <w:rPr>
      <w:rFonts w:ascii="Times New Roman" w:hAnsi="Times New Roman"/>
      <w:b w:val="0"/>
      <w:kern w:val="0"/>
      <w:szCs w:val="20"/>
    </w:rPr>
  </w:style>
  <w:style w:type="paragraph" w:customStyle="1" w:styleId="87">
    <w:name w:val="【表头】"/>
    <w:basedOn w:val="1"/>
    <w:qFormat/>
    <w:uiPriority w:val="0"/>
    <w:pPr>
      <w:spacing w:line="460" w:lineRule="exact"/>
      <w:jc w:val="center"/>
    </w:pPr>
    <w:rPr>
      <w:rFonts w:eastAsia="黑体" w:cs="宋体"/>
      <w:kern w:val="0"/>
      <w:szCs w:val="20"/>
    </w:rPr>
  </w:style>
  <w:style w:type="paragraph" w:customStyle="1" w:styleId="88">
    <w:name w:val="样式1"/>
    <w:basedOn w:val="1"/>
    <w:qFormat/>
    <w:uiPriority w:val="0"/>
    <w:rPr>
      <w:rFonts w:ascii="Times New Roman"/>
    </w:rPr>
  </w:style>
  <w:style w:type="character" w:customStyle="1" w:styleId="89">
    <w:name w:val="表文 Char"/>
    <w:link w:val="51"/>
    <w:qFormat/>
    <w:uiPriority w:val="0"/>
    <w:rPr>
      <w:rFonts w:ascii="宋体" w:hAnsi="Tms Rmn"/>
      <w:kern w:val="0"/>
      <w:sz w:val="24"/>
    </w:rPr>
  </w:style>
  <w:style w:type="table" w:customStyle="1" w:styleId="9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91">
    <w:name w:val="表号题注"/>
    <w:basedOn w:val="1"/>
    <w:link w:val="107"/>
    <w:qFormat/>
    <w:uiPriority w:val="0"/>
    <w:pPr>
      <w:spacing w:line="360" w:lineRule="auto"/>
    </w:pPr>
    <w:rPr>
      <w:rFonts w:hAnsi="宋体"/>
      <w:color w:val="000000"/>
      <w:lang w:bidi="en-US"/>
    </w:rPr>
  </w:style>
  <w:style w:type="character" w:customStyle="1" w:styleId="92">
    <w:name w:val="表号题注 Char Char"/>
    <w:link w:val="91"/>
    <w:qFormat/>
    <w:uiPriority w:val="0"/>
    <w:rPr>
      <w:rFonts w:hAnsi="宋体"/>
      <w:color w:val="000000"/>
      <w:lang w:bidi="en-US"/>
    </w:rPr>
  </w:style>
  <w:style w:type="character" w:customStyle="1" w:styleId="93">
    <w:name w:val="表头 Char"/>
    <w:link w:val="45"/>
    <w:qFormat/>
    <w:uiPriority w:val="0"/>
    <w:rPr>
      <w:rFonts w:ascii="Times New Roman" w:hAnsi="Times New Roman" w:eastAsia="黑体"/>
      <w:sz w:val="24"/>
      <w:szCs w:val="28"/>
    </w:rPr>
  </w:style>
  <w:style w:type="character" w:customStyle="1" w:styleId="94">
    <w:name w:val="15"/>
    <w:basedOn w:val="30"/>
    <w:qFormat/>
    <w:uiPriority w:val="0"/>
    <w:rPr>
      <w:rFonts w:hint="default" w:ascii="Times New Roman" w:hAnsi="Times New Roman" w:cs="Times New Roman"/>
      <w:color w:val="0000FF"/>
      <w:u w:val="single"/>
    </w:rPr>
  </w:style>
  <w:style w:type="paragraph" w:customStyle="1" w:styleId="95">
    <w:name w:val="预测表格"/>
    <w:basedOn w:val="1"/>
    <w:qFormat/>
    <w:uiPriority w:val="0"/>
    <w:pPr>
      <w:ind w:left="-15" w:leftChars="-15" w:right="-15" w:rightChars="-15"/>
      <w:jc w:val="center"/>
    </w:pPr>
    <w:rPr>
      <w:rFonts w:ascii="宋体" w:hAnsi="宋体"/>
      <w:spacing w:val="-5"/>
      <w:sz w:val="18"/>
      <w:szCs w:val="18"/>
    </w:rPr>
  </w:style>
  <w:style w:type="table" w:customStyle="1" w:styleId="96">
    <w:name w:val="表格主题11"/>
    <w:basedOn w:val="28"/>
    <w:qFormat/>
    <w:uiPriority w:val="0"/>
    <w:pPr>
      <w:widowControl w:val="0"/>
      <w:jc w:val="both"/>
    </w:pPr>
    <w:rPr>
      <w:rFonts w:ascii="宋体"/>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left w:w="0" w:type="dxa"/>
        <w:right w:w="0" w:type="dxa"/>
      </w:tblCellMar>
    </w:tblPr>
    <w:trPr>
      <w:jc w:val="center"/>
    </w:trPr>
    <w:tcPr>
      <w:vAlign w:val="center"/>
    </w:tcPr>
    <w:tblStylePr w:type="firstRow">
      <w:pPr>
        <w:wordWrap/>
        <w:spacing w:before="0" w:beforeLines="0" w:beforeAutospacing="0" w:after="0" w:afterLines="0" w:afterAutospacing="0"/>
        <w:ind w:left="0" w:leftChars="0" w:right="0" w:rightChars="0"/>
      </w:pPr>
      <w:rPr>
        <w:b/>
        <w:sz w:val="21"/>
      </w:rPr>
    </w:tblStylePr>
  </w:style>
  <w:style w:type="paragraph" w:customStyle="1" w:styleId="97">
    <w:name w:val="填表内容"/>
    <w:basedOn w:val="1"/>
    <w:qFormat/>
    <w:uiPriority w:val="0"/>
    <w:pPr>
      <w:adjustRightInd w:val="0"/>
      <w:spacing w:line="480" w:lineRule="exact"/>
      <w:ind w:firstLine="560" w:firstLineChars="200"/>
      <w:jc w:val="left"/>
      <w:textAlignment w:val="baseline"/>
    </w:pPr>
    <w:rPr>
      <w:rFonts w:ascii="楷体_GB2312" w:eastAsia="楷体_GB2312"/>
      <w:sz w:val="28"/>
      <w:szCs w:val="20"/>
    </w:rPr>
  </w:style>
  <w:style w:type="character" w:customStyle="1" w:styleId="98">
    <w:name w:val="表一级标题 Char"/>
    <w:link w:val="49"/>
    <w:qFormat/>
    <w:uiPriority w:val="0"/>
    <w:rPr>
      <w:rFonts w:ascii="Times New Roman" w:hAnsi="Times New Roman" w:eastAsia="宋体"/>
      <w:b/>
      <w:sz w:val="24"/>
    </w:rPr>
  </w:style>
  <w:style w:type="paragraph" w:customStyle="1" w:styleId="99">
    <w:name w:val="表 正文"/>
    <w:basedOn w:val="1"/>
    <w:qFormat/>
    <w:uiPriority w:val="0"/>
    <w:pPr>
      <w:snapToGrid w:val="0"/>
      <w:spacing w:line="360" w:lineRule="auto"/>
      <w:ind w:firstLine="200" w:firstLineChars="200"/>
    </w:pPr>
    <w:rPr>
      <w:kern w:val="44"/>
      <w:sz w:val="24"/>
      <w:szCs w:val="24"/>
    </w:rPr>
  </w:style>
  <w:style w:type="paragraph" w:customStyle="1" w:styleId="100">
    <w:name w:val="正文缩近"/>
    <w:basedOn w:val="1"/>
    <w:qFormat/>
    <w:uiPriority w:val="0"/>
    <w:pPr>
      <w:spacing w:line="360" w:lineRule="auto"/>
      <w:ind w:firstLine="560" w:firstLineChars="200"/>
    </w:pPr>
    <w:rPr>
      <w:sz w:val="28"/>
      <w:szCs w:val="28"/>
    </w:rPr>
  </w:style>
  <w:style w:type="paragraph" w:customStyle="1" w:styleId="101">
    <w:name w:val="表格文字1"/>
    <w:basedOn w:val="1"/>
    <w:qFormat/>
    <w:uiPriority w:val="0"/>
    <w:pPr>
      <w:tabs>
        <w:tab w:val="left" w:pos="0"/>
      </w:tabs>
      <w:autoSpaceDE w:val="0"/>
      <w:autoSpaceDN w:val="0"/>
      <w:adjustRightInd w:val="0"/>
      <w:spacing w:before="60"/>
      <w:ind w:left="57" w:right="57"/>
      <w:jc w:val="center"/>
      <w:textAlignment w:val="baseline"/>
    </w:pPr>
  </w:style>
  <w:style w:type="paragraph" w:customStyle="1" w:styleId="102">
    <w:name w:val="小标题"/>
    <w:basedOn w:val="1"/>
    <w:qFormat/>
    <w:uiPriority w:val="0"/>
    <w:pPr>
      <w:spacing w:line="240" w:lineRule="auto"/>
      <w:ind w:firstLine="0" w:firstLineChars="0"/>
      <w:jc w:val="center"/>
    </w:pPr>
    <w:rPr>
      <w:rFonts w:hint="eastAsia" w:cs="Times New Roman"/>
      <w:b/>
      <w:sz w:val="21"/>
    </w:rPr>
  </w:style>
  <w:style w:type="table" w:customStyle="1" w:styleId="103">
    <w:name w:val="表格主题1"/>
    <w:basedOn w:val="28"/>
    <w:qFormat/>
    <w:uiPriority w:val="0"/>
    <w:pPr>
      <w:widowControl w:val="0"/>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tblStylePr w:type="firstRow">
      <w:pPr>
        <w:wordWrap/>
        <w:spacing w:before="0" w:beforeLines="0" w:beforeAutospacing="0" w:after="0" w:afterLines="0" w:afterAutospacing="0"/>
        <w:ind w:left="0" w:leftChars="0" w:right="0" w:rightChars="0"/>
      </w:pPr>
      <w:rPr>
        <w:b/>
        <w:sz w:val="21"/>
      </w:rPr>
    </w:tblStylePr>
  </w:style>
  <w:style w:type="paragraph" w:customStyle="1" w:styleId="104">
    <w:name w:val="样式 仿宋_GB2312 小四 行距: 1.5 倍行距"/>
    <w:basedOn w:val="1"/>
    <w:qFormat/>
    <w:uiPriority w:val="0"/>
    <w:pPr>
      <w:spacing w:line="360" w:lineRule="auto"/>
      <w:ind w:firstLine="200" w:firstLineChars="200"/>
    </w:pPr>
    <w:rPr>
      <w:rFonts w:ascii="仿宋_GB2312" w:hAnsi="宋体" w:eastAsia="仿宋_GB2312"/>
      <w:sz w:val="24"/>
      <w:szCs w:val="20"/>
    </w:rPr>
  </w:style>
  <w:style w:type="character" w:customStyle="1" w:styleId="105">
    <w:name w:val="样式 仿宋_GB2312 小四5"/>
    <w:qFormat/>
    <w:uiPriority w:val="0"/>
    <w:rPr>
      <w:rFonts w:ascii="Times New Roman" w:hAnsi="Times New Roman" w:eastAsia="宋体"/>
      <w:sz w:val="24"/>
      <w:szCs w:val="24"/>
    </w:rPr>
  </w:style>
  <w:style w:type="paragraph" w:customStyle="1" w:styleId="106">
    <w:name w:val="表头 + 行距: 1.5 倍行距"/>
    <w:basedOn w:val="13"/>
    <w:qFormat/>
    <w:uiPriority w:val="0"/>
    <w:pPr>
      <w:spacing w:line="360" w:lineRule="auto"/>
      <w:jc w:val="center"/>
    </w:pPr>
    <w:rPr>
      <w:rFonts w:ascii="Arial" w:hAnsi="Arial"/>
      <w:sz w:val="21"/>
      <w:szCs w:val="24"/>
    </w:rPr>
  </w:style>
  <w:style w:type="character" w:customStyle="1" w:styleId="107">
    <w:name w:val="表号题注 Char"/>
    <w:link w:val="91"/>
    <w:qFormat/>
    <w:uiPriority w:val="0"/>
    <w:rPr>
      <w:rFonts w:ascii="宋体" w:hAnsi="仿宋_GB2312"/>
      <w:szCs w:val="21"/>
    </w:rPr>
  </w:style>
  <w:style w:type="character" w:customStyle="1" w:styleId="108">
    <w:name w:val="font14"/>
    <w:basedOn w:val="30"/>
    <w:qFormat/>
    <w:uiPriority w:val="0"/>
    <w:rPr>
      <w:rFonts w:hint="eastAsia" w:ascii="宋体" w:hAnsi="宋体" w:eastAsia="宋体" w:cs="宋体"/>
      <w:color w:val="000000"/>
      <w:sz w:val="21"/>
      <w:szCs w:val="21"/>
      <w:u w:val="none"/>
    </w:rPr>
  </w:style>
  <w:style w:type="paragraph" w:customStyle="1" w:styleId="109">
    <w:name w:val="样式 样式 标题 3(亮3) + 行距: 固定值 26 磅 + (西文) 宋体"/>
    <w:basedOn w:val="110"/>
    <w:qFormat/>
    <w:uiPriority w:val="0"/>
    <w:pPr>
      <w:spacing w:before="120" w:after="120" w:line="360" w:lineRule="auto"/>
    </w:pPr>
    <w:rPr>
      <w:rFonts w:ascii="宋体" w:hAnsi="宋体"/>
    </w:rPr>
  </w:style>
  <w:style w:type="paragraph" w:customStyle="1" w:styleId="110">
    <w:name w:val="样式 标题 3(亮3) + 行距: 固定值 26 磅"/>
    <w:basedOn w:val="4"/>
    <w:qFormat/>
    <w:uiPriority w:val="0"/>
    <w:pPr>
      <w:spacing w:before="60" w:after="60" w:line="360" w:lineRule="auto"/>
    </w:pPr>
    <w:rPr>
      <w:rFonts w:cs="宋体"/>
      <w:szCs w:val="20"/>
    </w:rPr>
  </w:style>
  <w:style w:type="paragraph" w:customStyle="1" w:styleId="111">
    <w:name w:val="正文（首行缩进两字）"/>
    <w:basedOn w:val="1"/>
    <w:qFormat/>
    <w:uiPriority w:val="0"/>
    <w:pPr>
      <w:spacing w:line="360" w:lineRule="auto"/>
      <w:ind w:firstLine="420" w:firstLineChars="200"/>
    </w:pPr>
    <w:rPr>
      <w:rFonts w:ascii="Times New Roman" w:hAnsi="Times New Roman" w:eastAsia="宋体" w:cs="Times New Roman"/>
      <w:sz w:val="28"/>
      <w:szCs w:val="21"/>
    </w:rPr>
  </w:style>
  <w:style w:type="paragraph" w:customStyle="1" w:styleId="112">
    <w:name w:val="样式 仿宋_GB2312 四号 首行缩进:  0.85 厘米 行距: 1.5 倍行距"/>
    <w:basedOn w:val="1"/>
    <w:qFormat/>
    <w:uiPriority w:val="0"/>
    <w:pPr>
      <w:spacing w:line="360" w:lineRule="auto"/>
      <w:ind w:firstLine="200" w:firstLineChars="200"/>
    </w:pPr>
    <w:rPr>
      <w:rFonts w:ascii="仿宋_GB2312" w:hAnsi="宋体" w:cs="宋体"/>
      <w:sz w:val="24"/>
      <w:szCs w:val="20"/>
    </w:rPr>
  </w:style>
  <w:style w:type="paragraph" w:customStyle="1" w:styleId="113">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14">
    <w:name w:val="列出段落1"/>
    <w:basedOn w:val="1"/>
    <w:qFormat/>
    <w:uiPriority w:val="34"/>
    <w:pPr>
      <w:ind w:firstLine="420" w:firstLineChars="200"/>
    </w:pPr>
    <w:rPr>
      <w:rFonts w:asciiTheme="minorHAnsi" w:hAnsiTheme="minorHAnsi" w:eastAsiaTheme="minorEastAsia" w:cstheme="minorBidi"/>
      <w:sz w:val="21"/>
      <w:szCs w:val="22"/>
    </w:rPr>
  </w:style>
  <w:style w:type="paragraph" w:customStyle="1" w:styleId="115">
    <w:name w:val="表头1"/>
    <w:basedOn w:val="1"/>
    <w:next w:val="1"/>
    <w:qFormat/>
    <w:uiPriority w:val="0"/>
    <w:pPr>
      <w:spacing w:line="240" w:lineRule="auto"/>
      <w:ind w:firstLine="0" w:firstLineChars="0"/>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3.wmf"/><Relationship Id="rId4" Type="http://schemas.openxmlformats.org/officeDocument/2006/relationships/footer" Target="footer1.xml"/><Relationship Id="rId39" Type="http://schemas.openxmlformats.org/officeDocument/2006/relationships/oleObject" Target="embeddings/oleObject3.bin"/><Relationship Id="rId38" Type="http://schemas.openxmlformats.org/officeDocument/2006/relationships/image" Target="media/image22.wmf"/><Relationship Id="rId37" Type="http://schemas.openxmlformats.org/officeDocument/2006/relationships/oleObject" Target="embeddings/oleObject2.bin"/><Relationship Id="rId36" Type="http://schemas.openxmlformats.org/officeDocument/2006/relationships/image" Target="media/image21.wmf"/><Relationship Id="rId35" Type="http://schemas.openxmlformats.org/officeDocument/2006/relationships/oleObject" Target="embeddings/oleObject1.bin"/><Relationship Id="rId34" Type="http://schemas.openxmlformats.org/officeDocument/2006/relationships/image" Target="media/image20.wmf"/><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49618</Words>
  <Characters>53039</Characters>
  <Lines>415</Lines>
  <Paragraphs>117</Paragraphs>
  <TotalTime>2</TotalTime>
  <ScaleCrop>false</ScaleCrop>
  <LinksUpToDate>false</LinksUpToDate>
  <CharactersWithSpaces>53588</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2020-04-02T18:31:00Z</dcterms:created>
  <dc:creator>妮娜</dc:creator>
  <cp:lastModifiedBy>zw</cp:lastModifiedBy>
  <cp:lastPrinted>2024-08-23T17:40:00Z</cp:lastPrinted>
  <dcterms:modified xsi:type="dcterms:W3CDTF">2024-11-18T15:47:00Z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F4D49D71B31D4917A5467E84D8A76512_13</vt:lpwstr>
  </property>
</Properties>
</file>