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pPr>
    </w:p>
    <w:tbl>
      <w:tblPr>
        <w:tblStyle w:val="15"/>
        <w:tblpPr w:leftFromText="180" w:rightFromText="180" w:vertAnchor="text" w:horzAnchor="page" w:tblpXSpec="center" w:tblpY="1108"/>
        <w:tblOverlap w:val="never"/>
        <w:tblW w:w="14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800"/>
        <w:gridCol w:w="735"/>
        <w:gridCol w:w="990"/>
        <w:gridCol w:w="810"/>
        <w:gridCol w:w="1695"/>
        <w:gridCol w:w="2775"/>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t>序号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t>项目名称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t>环评类别</w:t>
            </w:r>
          </w:p>
        </w:tc>
        <w:tc>
          <w:tcPr>
            <w:tcW w:w="99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32"/>
                <w:szCs w:val="32"/>
                <w:lang w:eastAsia="zh-CN" w:bidi="ar"/>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bidi="ar"/>
                <w14:textFill>
                  <w14:solidFill>
                    <w14:schemeClr w14:val="tx1"/>
                  </w14:solidFill>
                </w14:textFill>
              </w:rPr>
              <w:t>建设地点</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32"/>
                <w:szCs w:val="32"/>
                <w:lang w:eastAsia="zh-CN" w:bidi="ar"/>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t>建设</w:t>
            </w:r>
            <w:r>
              <w:rPr>
                <w:rFonts w:hint="default" w:ascii="Times New Roman" w:hAnsi="Times New Roman" w:eastAsia="仿宋_GB2312" w:cs="Times New Roman"/>
                <w:b w:val="0"/>
                <w:bCs w:val="0"/>
                <w:color w:val="000000" w:themeColor="text1"/>
                <w:sz w:val="32"/>
                <w:szCs w:val="32"/>
                <w:lang w:eastAsia="zh-CN" w:bidi="ar"/>
                <w14:textFill>
                  <w14:solidFill>
                    <w14:schemeClr w14:val="tx1"/>
                  </w14:solidFill>
                </w14:textFill>
              </w:rPr>
              <w:t>单位</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32"/>
                <w:szCs w:val="32"/>
                <w:lang w:eastAsia="zh-CN" w:bidi="ar"/>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bidi="ar"/>
                <w14:textFill>
                  <w14:solidFill>
                    <w14:schemeClr w14:val="tx1"/>
                  </w14:solidFill>
                </w14:textFill>
              </w:rPr>
              <w:t>环境影响评价机构</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t>建设项目概况</w:t>
            </w:r>
          </w:p>
        </w:tc>
        <w:tc>
          <w:tcPr>
            <w:tcW w:w="5353"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Style w:val="18"/>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pPr>
            <w:r>
              <w:rPr>
                <w:rStyle w:val="18"/>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t>主要环境影响及预防或</w:t>
            </w:r>
            <w:r>
              <w:rPr>
                <w:rStyle w:val="18"/>
                <w:rFonts w:hint="default" w:ascii="Times New Roman" w:hAnsi="Times New Roman" w:eastAsia="仿宋_GB2312" w:cs="Times New Roman"/>
                <w:b w:val="0"/>
                <w:bCs w:val="0"/>
                <w:color w:val="000000" w:themeColor="text1"/>
                <w:sz w:val="32"/>
                <w:szCs w:val="32"/>
                <w:lang w:eastAsia="zh-CN" w:bidi="ar"/>
                <w14:textFill>
                  <w14:solidFill>
                    <w14:schemeClr w14:val="tx1"/>
                  </w14:solidFill>
                </w14:textFill>
              </w:rPr>
              <w:t>者</w:t>
            </w:r>
            <w:r>
              <w:rPr>
                <w:rStyle w:val="18"/>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t>减轻不良环境影响的对策和措施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32"/>
                <w:szCs w:val="32"/>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bidi="ar"/>
                <w14:textFill>
                  <w14:solidFill>
                    <w14:schemeClr w14:val="tx1"/>
                  </w14:solidFill>
                </w14:textFill>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auto"/>
                <w:sz w:val="32"/>
                <w:szCs w:val="32"/>
                <w:lang w:val="en-US" w:eastAsia="zh-CN"/>
              </w:rPr>
              <w:t>沙坡头灌区七星渠灌域续建配套与现代化改造工程1标段—宁夏水利水电工程局有限公司临时搅拌站项目</w:t>
            </w:r>
          </w:p>
        </w:tc>
        <w:tc>
          <w:tcPr>
            <w:tcW w:w="735"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pacing w:val="-17"/>
                <w:sz w:val="32"/>
                <w:szCs w:val="32"/>
                <w14:textFill>
                  <w14:solidFill>
                    <w14:schemeClr w14:val="tx1"/>
                  </w14:solidFill>
                </w14:textFill>
              </w:rPr>
            </w:pPr>
            <w:r>
              <w:rPr>
                <w:rFonts w:hint="default" w:ascii="Times New Roman" w:hAnsi="Times New Roman" w:eastAsia="仿宋_GB2312" w:cs="Times New Roman"/>
                <w:b w:val="0"/>
                <w:bCs w:val="0"/>
                <w:caps/>
                <w:strike w:val="0"/>
                <w:dstrike w:val="0"/>
                <w:color w:val="000000" w:themeColor="text1"/>
                <w:kern w:val="2"/>
                <w:sz w:val="32"/>
                <w:szCs w:val="32"/>
                <w:u w:val="none"/>
                <w:lang w:val="en-US" w:eastAsia="zh-CN" w:bidi="ar-SA"/>
                <w14:textFill>
                  <w14:solidFill>
                    <w14:schemeClr w14:val="tx1"/>
                  </w14:solidFill>
                </w14:textFill>
              </w:rPr>
              <w:t>环境影响报告表</w:t>
            </w:r>
          </w:p>
        </w:tc>
        <w:tc>
          <w:tcPr>
            <w:tcW w:w="99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auto"/>
                <w:sz w:val="32"/>
                <w:szCs w:val="32"/>
                <w:lang w:val="en-US" w:eastAsia="zh-CN"/>
              </w:rPr>
              <w:t>中卫市沙坡头区永康镇</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auto"/>
                <w:sz w:val="32"/>
                <w:szCs w:val="32"/>
                <w:u w:val="none"/>
                <w:lang w:val="en-US" w:eastAsia="zh-CN"/>
              </w:rPr>
              <w:t>宁夏水利水电工程局有限公司</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宁夏回族自治区石油化工环境科学研究院股份有限公司</w:t>
            </w:r>
          </w:p>
        </w:tc>
        <w:tc>
          <w:tcPr>
            <w:tcW w:w="27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auto"/>
                <w:sz w:val="32"/>
                <w:szCs w:val="32"/>
                <w:lang w:val="en-US" w:eastAsia="zh-CN"/>
              </w:rPr>
              <w:t>项目建设地址位于中卫市沙坡头区永康镇，租用宁夏中卫富贵养牛厂闲置空地，临时总占地面积为8933.35平方米。项目为沙坡头灌区七星渠灌域续建配套与现代化改造工程配套建设的临时工程，运营期为450天，项目建设一座型号为2HZS180R的临时混凝土搅拌站，搅拌站配套2条临时混凝土生产线，运营周期内共生产混凝土10万立方米，为沙坡头灌区七星渠灌域续建配套与现代化改造工程1标段提供施工材料，不外售。项目主要建设原料仓、骨料计量输送系统、粉料供给计量系统、搅拌站主楼及配套的公辅工程和环保工程。</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项目总投资420万元，其中环保投资为23.8万元，占总投资的5.67%。</w:t>
            </w:r>
          </w:p>
          <w:p>
            <w:pPr>
              <w:pStyle w:val="19"/>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firstLine="640" w:firstLineChars="200"/>
              <w:jc w:val="both"/>
              <w:textAlignment w:val="auto"/>
              <w:rPr>
                <w:rStyle w:val="18"/>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pPr>
          </w:p>
        </w:tc>
        <w:tc>
          <w:tcPr>
            <w:tcW w:w="5353" w:type="dxa"/>
            <w:tcBorders>
              <w:top w:val="single" w:color="auto" w:sz="4" w:space="0"/>
              <w:left w:val="single" w:color="auto" w:sz="4" w:space="0"/>
              <w:bottom w:val="single" w:color="auto" w:sz="4" w:space="0"/>
              <w:right w:val="single" w:color="auto" w:sz="4" w:space="0"/>
            </w:tcBorders>
            <w:noWrap w:val="0"/>
            <w:vAlign w:val="top"/>
          </w:tcPr>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（一）大气环境影响减缓措施</w:t>
            </w:r>
          </w:p>
          <w:p>
            <w:pPr>
              <w:keepNext w:val="0"/>
              <w:keepLines w:val="0"/>
              <w:pageBreakBefore w:val="0"/>
              <w:widowControl w:val="0"/>
              <w:kinsoku/>
              <w:wordWrap/>
              <w:overflowPunct/>
              <w:topLinePunct w:val="0"/>
              <w:autoSpaceDE/>
              <w:autoSpaceDN/>
              <w:bidi w:val="0"/>
              <w:adjustRightInd w:val="0"/>
              <w:snapToGrid w:val="0"/>
              <w:spacing w:line="3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物料采取苫布覆盖并定期洒水降尘；厂区门口设置车辆冲洗平台</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控制汽车装载量</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并遮盖篷布</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，同时加强日常环境管理，及时洒水降尘</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。配料机顶部设置防静电挡尘帘；原料上料采用密闭输送皮带，</w:t>
            </w:r>
            <w:r>
              <w:rPr>
                <w:rFonts w:hint="default" w:ascii="Times New Roman" w:hAnsi="Times New Roman" w:eastAsia="仿宋_GB2312" w:cs="Times New Roman"/>
                <w:b w:val="0"/>
                <w:bCs w:val="0"/>
                <w:color w:val="auto"/>
                <w:kern w:val="2"/>
                <w:sz w:val="32"/>
                <w:szCs w:val="32"/>
                <w:lang w:val="en-US" w:eastAsia="zh-CN" w:bidi="ar-SA"/>
              </w:rPr>
              <w:t>废气通过骨料中间仓和搅拌机的通气管进入配套的布袋除尘器处理后排放</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；搅拌机配套布袋除尘</w:t>
            </w:r>
            <w:r>
              <w:rPr>
                <w:rFonts w:hint="default" w:ascii="Times New Roman" w:hAnsi="Times New Roman" w:eastAsia="仿宋_GB2312" w:cs="Times New Roman"/>
                <w:b w:val="0"/>
                <w:bCs w:val="0"/>
                <w:color w:val="auto"/>
                <w:kern w:val="2"/>
                <w:sz w:val="32"/>
                <w:szCs w:val="32"/>
                <w:lang w:val="en-US" w:eastAsia="zh-CN" w:bidi="ar-SA"/>
              </w:rPr>
              <w:t>器</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auto"/>
                <w:kern w:val="2"/>
                <w:sz w:val="32"/>
                <w:szCs w:val="32"/>
                <w:lang w:val="en-US" w:eastAsia="zh-CN" w:bidi="ar-SA"/>
              </w:rPr>
              <w:t>废气通过布袋除尘器处理后排放</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；筒仓顶部</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配套脉冲袋式除尘</w:t>
            </w:r>
            <w:r>
              <w:rPr>
                <w:rFonts w:hint="default" w:ascii="Times New Roman" w:hAnsi="Times New Roman" w:eastAsia="仿宋_GB2312" w:cs="Times New Roman"/>
                <w:b w:val="0"/>
                <w:bCs w:val="0"/>
                <w:color w:val="auto"/>
                <w:kern w:val="2"/>
                <w:sz w:val="32"/>
                <w:szCs w:val="32"/>
                <w:lang w:val="en-US" w:eastAsia="zh-CN" w:bidi="ar-SA"/>
              </w:rPr>
              <w:t>器</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，废气处理后经筒仓顶部呼吸孔排放，</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颗粒物排放浓度须</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满足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《水泥工业大气污染物排放标准》（GB4915-2013）</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中的</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无组织排放监控浓度限值要求。</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食堂</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餐饮油烟经油烟净化系统处理后通过烟道排放，废气排放浓度须满足《饮食业油烟排放标准》（GB18483-2001）表2标准限值要求。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b w:val="0"/>
                <w:bCs w:val="0"/>
                <w:color w:val="000000" w:themeColor="text1"/>
                <w:sz w:val="32"/>
                <w:szCs w:val="32"/>
                <w:lang w:eastAsia="zh-CN" w:bidi="en-US"/>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（二）</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水环境污染</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防治措施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both"/>
              <w:textAlignment w:val="auto"/>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车辆冲洗废水</w:t>
            </w:r>
            <w:r>
              <w:rPr>
                <w:rFonts w:hint="default" w:ascii="Times New Roman" w:hAnsi="Times New Roman" w:eastAsia="仿宋_GB2312" w:cs="Times New Roman"/>
                <w:b w:val="0"/>
                <w:bCs w:val="0"/>
                <w:color w:val="auto"/>
                <w:sz w:val="32"/>
                <w:szCs w:val="32"/>
                <w:lang w:val="en-US" w:eastAsia="zh-CN"/>
              </w:rPr>
              <w:t>、搅拌机清洗废水</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经沉淀池沉淀后回用</w:t>
            </w:r>
            <w:r>
              <w:rPr>
                <w:rFonts w:hint="default" w:ascii="Times New Roman" w:hAnsi="Times New Roman" w:eastAsia="仿宋_GB2312" w:cs="Times New Roman"/>
                <w:b w:val="0"/>
                <w:bCs w:val="0"/>
                <w:color w:val="auto"/>
                <w:sz w:val="32"/>
                <w:szCs w:val="32"/>
                <w:lang w:val="en-US" w:eastAsia="zh-CN"/>
              </w:rPr>
              <w:t>于道路洒水降尘。</w:t>
            </w:r>
            <w:r>
              <w:rPr>
                <w:rFonts w:hint="default" w:ascii="Times New Roman" w:hAnsi="Times New Roman" w:eastAsia="仿宋_GB2312" w:cs="Times New Roman"/>
                <w:b w:val="0"/>
                <w:bCs w:val="0"/>
                <w:color w:val="auto"/>
                <w:kern w:val="0"/>
                <w:sz w:val="32"/>
                <w:szCs w:val="32"/>
                <w:highlight w:val="none"/>
                <w:lang w:val="en-US" w:eastAsia="zh-CN" w:bidi="ar"/>
              </w:rPr>
              <w:t>生活污水经厂区化粪池收集处理后，由吸污车定期拉运至沙坡头区第四污水处理厂处理。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bidi="en-US"/>
                <w14:textFill>
                  <w14:solidFill>
                    <w14:schemeClr w14:val="tx1"/>
                  </w14:solidFill>
                </w14:textFill>
              </w:rPr>
              <w:t>（三）</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噪声</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污染</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防治措施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设备</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合理布局</w:t>
            </w:r>
            <w:r>
              <w:rPr>
                <w:rFonts w:hint="default" w:ascii="Times New Roman" w:hAnsi="Times New Roman" w:eastAsia="仿宋_GB2312" w:cs="Times New Roman"/>
                <w:b w:val="0"/>
                <w:bCs w:val="0"/>
                <w:sz w:val="32"/>
                <w:szCs w:val="32"/>
              </w:rPr>
              <w:t>，选用低噪声设备，</w:t>
            </w:r>
            <w:r>
              <w:rPr>
                <w:rFonts w:hint="default" w:ascii="Times New Roman" w:hAnsi="Times New Roman" w:eastAsia="仿宋_GB2312" w:cs="Times New Roman"/>
                <w:b w:val="0"/>
                <w:bCs w:val="0"/>
                <w:snapToGrid w:val="0"/>
                <w:color w:val="auto"/>
                <w:kern w:val="0"/>
                <w:sz w:val="32"/>
                <w:szCs w:val="32"/>
                <w:vertAlign w:val="baseline"/>
                <w:lang w:val="en-US" w:eastAsia="zh-CN" w:bidi="ar-SA"/>
              </w:rPr>
              <w:t>加强设备的日常维修保养，</w:t>
            </w:r>
            <w:r>
              <w:rPr>
                <w:rFonts w:hint="default" w:ascii="Times New Roman" w:hAnsi="Times New Roman" w:eastAsia="仿宋_GB2312" w:cs="Times New Roman"/>
                <w:b w:val="0"/>
                <w:bCs w:val="0"/>
                <w:color w:val="auto"/>
                <w:sz w:val="32"/>
                <w:szCs w:val="32"/>
                <w:lang w:val="en-US" w:eastAsia="zh-CN"/>
              </w:rPr>
              <w:t>采取</w:t>
            </w:r>
            <w:r>
              <w:rPr>
                <w:rFonts w:hint="default" w:ascii="Times New Roman" w:hAnsi="Times New Roman" w:eastAsia="仿宋_GB2312" w:cs="Times New Roman"/>
                <w:b w:val="0"/>
                <w:bCs w:val="0"/>
                <w:color w:val="auto"/>
                <w:sz w:val="32"/>
                <w:szCs w:val="32"/>
              </w:rPr>
              <w:t>隔声</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基础</w:t>
            </w:r>
            <w:r>
              <w:rPr>
                <w:rFonts w:hint="default" w:ascii="Times New Roman" w:hAnsi="Times New Roman" w:eastAsia="仿宋_GB2312" w:cs="Times New Roman"/>
                <w:b w:val="0"/>
                <w:bCs w:val="0"/>
                <w:color w:val="auto"/>
                <w:sz w:val="32"/>
                <w:szCs w:val="32"/>
              </w:rPr>
              <w:t>减</w:t>
            </w:r>
            <w:r>
              <w:rPr>
                <w:rFonts w:hint="default" w:ascii="Times New Roman" w:hAnsi="Times New Roman" w:eastAsia="仿宋_GB2312" w:cs="Times New Roman"/>
                <w:b w:val="0"/>
                <w:bCs w:val="0"/>
                <w:color w:val="auto"/>
                <w:sz w:val="32"/>
                <w:szCs w:val="32"/>
                <w:lang w:val="en-US" w:eastAsia="zh-CN"/>
              </w:rPr>
              <w:t>振</w:t>
            </w:r>
            <w:r>
              <w:rPr>
                <w:rFonts w:hint="default" w:ascii="Times New Roman" w:hAnsi="Times New Roman" w:eastAsia="仿宋_GB2312" w:cs="Times New Roman"/>
                <w:b w:val="0"/>
                <w:bCs w:val="0"/>
                <w:color w:val="auto"/>
                <w:sz w:val="32"/>
                <w:szCs w:val="32"/>
              </w:rPr>
              <w:t>等措施</w:t>
            </w:r>
            <w:r>
              <w:rPr>
                <w:rFonts w:hint="default" w:ascii="Times New Roman" w:hAnsi="Times New Roman" w:eastAsia="仿宋_GB2312" w:cs="Times New Roman"/>
                <w:b w:val="0"/>
                <w:bCs w:val="0"/>
                <w:sz w:val="32"/>
                <w:szCs w:val="32"/>
              </w:rPr>
              <w:t>，合理规划车辆运输路线，采取限速行驶、禁止鸣笛等综合降噪措施，</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界噪声须</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满足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《工业企业厂界环境噪声排放标准》(GB12348-2008)中</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b w:val="0"/>
                <w:bCs w:val="0"/>
                <w:color w:val="000000" w:themeColor="text1"/>
                <w:sz w:val="32"/>
                <w:szCs w:val="32"/>
                <w:lang w:eastAsia="zh-CN" w:bidi="en-US"/>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（四）固体废物处置</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措施</w:t>
            </w:r>
          </w:p>
          <w:p>
            <w:pPr>
              <w:keepNext w:val="0"/>
              <w:keepLines w:val="0"/>
              <w:pageBreakBefore w:val="0"/>
              <w:widowControl w:val="0"/>
              <w:kinsoku/>
              <w:wordWrap/>
              <w:overflowPunct/>
              <w:topLinePunct w:val="0"/>
              <w:autoSpaceDE/>
              <w:autoSpaceDN/>
              <w:bidi w:val="0"/>
              <w:adjustRightInd w:val="0"/>
              <w:snapToGrid w:val="0"/>
              <w:spacing w:line="3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除尘装置收集的粉尘及搅拌系统的拌合残渣收集后回用于生产；筛选出的废石料在原料仓暂存，由生产厂家回收；</w:t>
            </w:r>
            <w:r>
              <w:rPr>
                <w:rFonts w:hint="default" w:ascii="Times New Roman" w:hAnsi="Times New Roman" w:eastAsia="仿宋_GB2312" w:cs="Times New Roman"/>
                <w:b w:val="0"/>
                <w:bCs w:val="0"/>
                <w:color w:val="000000" w:themeColor="text1"/>
                <w:kern w:val="2"/>
                <w:sz w:val="32"/>
                <w:szCs w:val="32"/>
                <w:vertAlign w:val="baseline"/>
                <w:lang w:val="en-US" w:eastAsia="zh-CN" w:bidi="ar-SA"/>
                <w14:textFill>
                  <w14:solidFill>
                    <w14:schemeClr w14:val="tx1"/>
                  </w14:solidFill>
                </w14:textFill>
              </w:rPr>
              <w:t>沉淀池废水沉淀后沉渣</w:t>
            </w:r>
            <w:r>
              <w:rPr>
                <w:rFonts w:hint="default" w:ascii="Times New Roman" w:hAnsi="Times New Roman" w:eastAsia="仿宋_GB2312" w:cs="Times New Roman"/>
                <w:b w:val="0"/>
                <w:bCs w:val="0"/>
                <w:color w:val="auto"/>
                <w:sz w:val="32"/>
                <w:szCs w:val="32"/>
                <w:lang w:val="en-US" w:eastAsia="zh-CN"/>
              </w:rPr>
              <w:t>及搅拌站拆除后的建筑垃圾</w:t>
            </w:r>
            <w:r>
              <w:rPr>
                <w:rFonts w:hint="default" w:ascii="Times New Roman" w:hAnsi="Times New Roman" w:eastAsia="仿宋_GB2312" w:cs="Times New Roman"/>
                <w:b w:val="0"/>
                <w:bCs w:val="0"/>
                <w:color w:val="000000" w:themeColor="text1"/>
                <w:kern w:val="2"/>
                <w:sz w:val="32"/>
                <w:szCs w:val="32"/>
                <w:vertAlign w:val="baseline"/>
                <w:lang w:val="en-US" w:eastAsia="zh-CN" w:bidi="ar-SA"/>
                <w14:textFill>
                  <w14:solidFill>
                    <w14:schemeClr w14:val="tx1"/>
                  </w14:solidFill>
                </w14:textFill>
              </w:rPr>
              <w:t>收集后送至政府指定地点处置；</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生活垃圾集中收集后，及时清运至垃圾中转站交由环卫部门处置。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left"/>
              <w:textAlignment w:val="auto"/>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（五）</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环境管理措施</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及生态保护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措施</w:t>
            </w:r>
          </w:p>
          <w:p>
            <w:pPr>
              <w:keepNext w:val="0"/>
              <w:keepLines w:val="0"/>
              <w:pageBreakBefore w:val="0"/>
              <w:widowControl w:val="0"/>
              <w:kinsoku/>
              <w:wordWrap/>
              <w:overflowPunct/>
              <w:topLinePunct w:val="0"/>
              <w:autoSpaceDE/>
              <w:autoSpaceDN/>
              <w:bidi w:val="0"/>
              <w:adjustRightInd w:val="0"/>
              <w:snapToGrid w:val="0"/>
              <w:spacing w:line="3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建立健全环境管理制度，落实环保岗位责任，做好环境管理台账记录；加强环保设施的日常维护和保养，使其正常稳定运行；</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加强环境管理</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，做好</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项目运营期环境监测。项目服务期满后</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拆除</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混凝土生产线</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和临时建筑物设备</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bidi="en-US"/>
                <w14:textFill>
                  <w14:solidFill>
                    <w14:schemeClr w14:val="tx1"/>
                  </w14:solidFill>
                </w14:textFill>
              </w:rPr>
              <w:t>及时对临时区占地、扰动区域进行场地清理、平整、恢复植被</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等相应的生态恢复措施，确保项目区域生态环境逐步得到恢复。</w:t>
            </w:r>
          </w:p>
        </w:tc>
      </w:tr>
    </w:tbl>
    <w:p>
      <w:pPr>
        <w:pStyle w:val="14"/>
        <w:keepNext w:val="0"/>
        <w:keepLines w:val="0"/>
        <w:pageBreakBefore w:val="0"/>
        <w:widowControl/>
        <w:kinsoku/>
        <w:wordWrap/>
        <w:overflowPunct/>
        <w:topLinePunct w:val="0"/>
        <w:autoSpaceDE/>
        <w:autoSpaceDN/>
        <w:bidi w:val="0"/>
        <w:adjustRightInd/>
        <w:snapToGrid/>
        <w:spacing w:beforeAutospacing="0" w:afterAutospacing="0" w:line="700" w:lineRule="exact"/>
        <w:textAlignment w:val="auto"/>
        <w:rPr>
          <w:rFonts w:hint="default" w:ascii="Times New Roman" w:hAnsi="Times New Roman" w:eastAsia="仿宋_GB2312" w:cs="Times New Roman"/>
          <w:color w:val="000000"/>
          <w:sz w:val="32"/>
          <w:szCs w:val="32"/>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MGFlNTdlZjkzNjdlYzUyMzQ3OTY0OTRlZmU5N2IifQ=="/>
  </w:docVars>
  <w:rsids>
    <w:rsidRoot w:val="34F26FE8"/>
    <w:rsid w:val="00907702"/>
    <w:rsid w:val="017163D1"/>
    <w:rsid w:val="01977413"/>
    <w:rsid w:val="01BC3179"/>
    <w:rsid w:val="020D3871"/>
    <w:rsid w:val="02247ACE"/>
    <w:rsid w:val="02B80216"/>
    <w:rsid w:val="02EE3499"/>
    <w:rsid w:val="035902E9"/>
    <w:rsid w:val="03AF0689"/>
    <w:rsid w:val="045D1075"/>
    <w:rsid w:val="04811782"/>
    <w:rsid w:val="053242B0"/>
    <w:rsid w:val="0557490A"/>
    <w:rsid w:val="055B6402"/>
    <w:rsid w:val="066352CE"/>
    <w:rsid w:val="06693D01"/>
    <w:rsid w:val="069E4E1B"/>
    <w:rsid w:val="06D82C35"/>
    <w:rsid w:val="06FD4865"/>
    <w:rsid w:val="070B300A"/>
    <w:rsid w:val="072440CC"/>
    <w:rsid w:val="0760588E"/>
    <w:rsid w:val="0796093E"/>
    <w:rsid w:val="07AE141F"/>
    <w:rsid w:val="07C925B8"/>
    <w:rsid w:val="094055DE"/>
    <w:rsid w:val="09992D89"/>
    <w:rsid w:val="09A62AD4"/>
    <w:rsid w:val="09BA2701"/>
    <w:rsid w:val="09DC2A3C"/>
    <w:rsid w:val="0B187AA4"/>
    <w:rsid w:val="0B6C0FD1"/>
    <w:rsid w:val="0B756CA4"/>
    <w:rsid w:val="0C002C4A"/>
    <w:rsid w:val="0CD80A61"/>
    <w:rsid w:val="0D165B9F"/>
    <w:rsid w:val="0E0764FF"/>
    <w:rsid w:val="0E8826AD"/>
    <w:rsid w:val="0E8A0CB9"/>
    <w:rsid w:val="0EFB1BB6"/>
    <w:rsid w:val="0F104CEB"/>
    <w:rsid w:val="0F2B5443"/>
    <w:rsid w:val="0F687C02"/>
    <w:rsid w:val="0F8F5D51"/>
    <w:rsid w:val="0FE03CE6"/>
    <w:rsid w:val="10B62239"/>
    <w:rsid w:val="11001706"/>
    <w:rsid w:val="11B524F0"/>
    <w:rsid w:val="11EE5A02"/>
    <w:rsid w:val="12415CEB"/>
    <w:rsid w:val="12BC165D"/>
    <w:rsid w:val="12CC7BC5"/>
    <w:rsid w:val="12E6616C"/>
    <w:rsid w:val="12ED1816"/>
    <w:rsid w:val="130231FA"/>
    <w:rsid w:val="13D148D3"/>
    <w:rsid w:val="13EE0D22"/>
    <w:rsid w:val="147E1A93"/>
    <w:rsid w:val="148F142E"/>
    <w:rsid w:val="14BC1F34"/>
    <w:rsid w:val="16B2369D"/>
    <w:rsid w:val="16DF5EDC"/>
    <w:rsid w:val="171A1540"/>
    <w:rsid w:val="17685603"/>
    <w:rsid w:val="183B63F2"/>
    <w:rsid w:val="18876269"/>
    <w:rsid w:val="18FE652B"/>
    <w:rsid w:val="19A83F9E"/>
    <w:rsid w:val="19D23E96"/>
    <w:rsid w:val="1A9A04D5"/>
    <w:rsid w:val="1AA32E0D"/>
    <w:rsid w:val="1ACF5D3D"/>
    <w:rsid w:val="1B487F31"/>
    <w:rsid w:val="1C4C57FF"/>
    <w:rsid w:val="1CF739BD"/>
    <w:rsid w:val="1D3A2B25"/>
    <w:rsid w:val="1D5514AC"/>
    <w:rsid w:val="1D5A6E1C"/>
    <w:rsid w:val="1D7440AA"/>
    <w:rsid w:val="1EF26B32"/>
    <w:rsid w:val="1F1A746F"/>
    <w:rsid w:val="1F6B41EE"/>
    <w:rsid w:val="204C29A0"/>
    <w:rsid w:val="209E791B"/>
    <w:rsid w:val="20A0579D"/>
    <w:rsid w:val="215F3C1B"/>
    <w:rsid w:val="21FB79D4"/>
    <w:rsid w:val="224D6757"/>
    <w:rsid w:val="22877591"/>
    <w:rsid w:val="22DD2570"/>
    <w:rsid w:val="23576CFB"/>
    <w:rsid w:val="23DC4733"/>
    <w:rsid w:val="248C3262"/>
    <w:rsid w:val="24AD1486"/>
    <w:rsid w:val="24CF3471"/>
    <w:rsid w:val="25D01A77"/>
    <w:rsid w:val="26BE72FA"/>
    <w:rsid w:val="26C32B62"/>
    <w:rsid w:val="26FD1F37"/>
    <w:rsid w:val="27D51A97"/>
    <w:rsid w:val="27EC6201"/>
    <w:rsid w:val="28503734"/>
    <w:rsid w:val="287D475E"/>
    <w:rsid w:val="294E1C48"/>
    <w:rsid w:val="2B214C73"/>
    <w:rsid w:val="2B6C5576"/>
    <w:rsid w:val="2B8E1990"/>
    <w:rsid w:val="2BAC6E14"/>
    <w:rsid w:val="2C610E53"/>
    <w:rsid w:val="2C666077"/>
    <w:rsid w:val="2CA84CD4"/>
    <w:rsid w:val="2CBC5ED2"/>
    <w:rsid w:val="2CD935E2"/>
    <w:rsid w:val="2D6C4AD7"/>
    <w:rsid w:val="2D99461C"/>
    <w:rsid w:val="2DA72631"/>
    <w:rsid w:val="2DBB2E42"/>
    <w:rsid w:val="2E026666"/>
    <w:rsid w:val="2F7C5A5D"/>
    <w:rsid w:val="300A1801"/>
    <w:rsid w:val="301D62BF"/>
    <w:rsid w:val="308B06ED"/>
    <w:rsid w:val="30F85AFE"/>
    <w:rsid w:val="31B12094"/>
    <w:rsid w:val="31D2634F"/>
    <w:rsid w:val="31D71BB7"/>
    <w:rsid w:val="31E340B8"/>
    <w:rsid w:val="32266D1E"/>
    <w:rsid w:val="3230232C"/>
    <w:rsid w:val="325B0D62"/>
    <w:rsid w:val="32C861D6"/>
    <w:rsid w:val="334119DE"/>
    <w:rsid w:val="34F26FE8"/>
    <w:rsid w:val="35150D11"/>
    <w:rsid w:val="351F2803"/>
    <w:rsid w:val="35BC4B46"/>
    <w:rsid w:val="3633464F"/>
    <w:rsid w:val="368C0EAE"/>
    <w:rsid w:val="368F7963"/>
    <w:rsid w:val="36E711CA"/>
    <w:rsid w:val="37485FCA"/>
    <w:rsid w:val="37702892"/>
    <w:rsid w:val="378332AD"/>
    <w:rsid w:val="37883FC6"/>
    <w:rsid w:val="37A96833"/>
    <w:rsid w:val="37B95F7A"/>
    <w:rsid w:val="382174F0"/>
    <w:rsid w:val="38CF3B52"/>
    <w:rsid w:val="39646D5D"/>
    <w:rsid w:val="399D36E6"/>
    <w:rsid w:val="39EF6D0B"/>
    <w:rsid w:val="39F72DF7"/>
    <w:rsid w:val="3A3E3410"/>
    <w:rsid w:val="3A552DAA"/>
    <w:rsid w:val="3A941AAE"/>
    <w:rsid w:val="3AD413C5"/>
    <w:rsid w:val="3B2A389F"/>
    <w:rsid w:val="3B436316"/>
    <w:rsid w:val="3B6E533A"/>
    <w:rsid w:val="3B7434BE"/>
    <w:rsid w:val="3B930BF8"/>
    <w:rsid w:val="3BFD046C"/>
    <w:rsid w:val="3C1F09B0"/>
    <w:rsid w:val="3CEF4259"/>
    <w:rsid w:val="3D016A1B"/>
    <w:rsid w:val="3D153BD8"/>
    <w:rsid w:val="3D6466F9"/>
    <w:rsid w:val="3D827D7F"/>
    <w:rsid w:val="3F984734"/>
    <w:rsid w:val="41466412"/>
    <w:rsid w:val="42160E79"/>
    <w:rsid w:val="42616FB6"/>
    <w:rsid w:val="42DA02CE"/>
    <w:rsid w:val="42FB058D"/>
    <w:rsid w:val="432A5FEB"/>
    <w:rsid w:val="436A4B29"/>
    <w:rsid w:val="43721740"/>
    <w:rsid w:val="44511355"/>
    <w:rsid w:val="44A82AFB"/>
    <w:rsid w:val="45723E20"/>
    <w:rsid w:val="45927197"/>
    <w:rsid w:val="45BD4E21"/>
    <w:rsid w:val="45BE44EE"/>
    <w:rsid w:val="46DD674E"/>
    <w:rsid w:val="47476ADD"/>
    <w:rsid w:val="479746A1"/>
    <w:rsid w:val="47F15329"/>
    <w:rsid w:val="48074B4D"/>
    <w:rsid w:val="48611E55"/>
    <w:rsid w:val="487E74FE"/>
    <w:rsid w:val="48E234FC"/>
    <w:rsid w:val="48FD73F3"/>
    <w:rsid w:val="491017DF"/>
    <w:rsid w:val="4B887D52"/>
    <w:rsid w:val="4B8E2E8F"/>
    <w:rsid w:val="4B957026"/>
    <w:rsid w:val="4C0C12DD"/>
    <w:rsid w:val="4C4D2F43"/>
    <w:rsid w:val="4CAC7CAA"/>
    <w:rsid w:val="4CC27294"/>
    <w:rsid w:val="4CFD207A"/>
    <w:rsid w:val="4D4E2E80"/>
    <w:rsid w:val="4D525AC0"/>
    <w:rsid w:val="4D9E1367"/>
    <w:rsid w:val="4DB7251F"/>
    <w:rsid w:val="4DC0429E"/>
    <w:rsid w:val="4DD40617"/>
    <w:rsid w:val="4DD8377A"/>
    <w:rsid w:val="4E4C0A68"/>
    <w:rsid w:val="4E54216E"/>
    <w:rsid w:val="4E7310AB"/>
    <w:rsid w:val="4E8F423A"/>
    <w:rsid w:val="4ECA2FB5"/>
    <w:rsid w:val="4ED866D6"/>
    <w:rsid w:val="4EFA0F67"/>
    <w:rsid w:val="4F70440B"/>
    <w:rsid w:val="513737E2"/>
    <w:rsid w:val="513E478E"/>
    <w:rsid w:val="51700341"/>
    <w:rsid w:val="519B6306"/>
    <w:rsid w:val="51CC6EC1"/>
    <w:rsid w:val="5452714F"/>
    <w:rsid w:val="54C24E95"/>
    <w:rsid w:val="54DD22F6"/>
    <w:rsid w:val="54F77CF7"/>
    <w:rsid w:val="552D54C7"/>
    <w:rsid w:val="55394F4F"/>
    <w:rsid w:val="557B041E"/>
    <w:rsid w:val="55C22555"/>
    <w:rsid w:val="55EC0170"/>
    <w:rsid w:val="56E67FFC"/>
    <w:rsid w:val="56EA7D93"/>
    <w:rsid w:val="573E1C0D"/>
    <w:rsid w:val="58317352"/>
    <w:rsid w:val="587D5821"/>
    <w:rsid w:val="588E1CBB"/>
    <w:rsid w:val="58D04AE7"/>
    <w:rsid w:val="5A3E3CD2"/>
    <w:rsid w:val="5A4E03B9"/>
    <w:rsid w:val="5ACF5CC4"/>
    <w:rsid w:val="5C222CA6"/>
    <w:rsid w:val="5CB749BC"/>
    <w:rsid w:val="5CD15E21"/>
    <w:rsid w:val="5CFC1658"/>
    <w:rsid w:val="5D5F43EF"/>
    <w:rsid w:val="5E6C1861"/>
    <w:rsid w:val="5E8B1BDC"/>
    <w:rsid w:val="5EBA108B"/>
    <w:rsid w:val="5ED372FB"/>
    <w:rsid w:val="5ED84059"/>
    <w:rsid w:val="5F2275C5"/>
    <w:rsid w:val="5F445625"/>
    <w:rsid w:val="5F51094D"/>
    <w:rsid w:val="5F715882"/>
    <w:rsid w:val="5F8C2C3A"/>
    <w:rsid w:val="5FE5356E"/>
    <w:rsid w:val="60875AA0"/>
    <w:rsid w:val="60890469"/>
    <w:rsid w:val="60C72AAD"/>
    <w:rsid w:val="60CF51DF"/>
    <w:rsid w:val="612754C0"/>
    <w:rsid w:val="61913B54"/>
    <w:rsid w:val="61CE508D"/>
    <w:rsid w:val="621A4583"/>
    <w:rsid w:val="62261C1B"/>
    <w:rsid w:val="63116428"/>
    <w:rsid w:val="63305B9F"/>
    <w:rsid w:val="63897EDA"/>
    <w:rsid w:val="639162DE"/>
    <w:rsid w:val="63AD3924"/>
    <w:rsid w:val="64B90B25"/>
    <w:rsid w:val="64B96E71"/>
    <w:rsid w:val="64EF7314"/>
    <w:rsid w:val="65096757"/>
    <w:rsid w:val="651F1636"/>
    <w:rsid w:val="65634EC4"/>
    <w:rsid w:val="66723681"/>
    <w:rsid w:val="66774239"/>
    <w:rsid w:val="66C84152"/>
    <w:rsid w:val="6714083F"/>
    <w:rsid w:val="68552394"/>
    <w:rsid w:val="68C77CB4"/>
    <w:rsid w:val="68E436A7"/>
    <w:rsid w:val="6A07719C"/>
    <w:rsid w:val="6A3D18F3"/>
    <w:rsid w:val="6A5B488F"/>
    <w:rsid w:val="6AC30FE4"/>
    <w:rsid w:val="6B5B46E4"/>
    <w:rsid w:val="6B982B45"/>
    <w:rsid w:val="6BC24763"/>
    <w:rsid w:val="6C3A0656"/>
    <w:rsid w:val="6CAC61C2"/>
    <w:rsid w:val="6D042B59"/>
    <w:rsid w:val="6D580D3A"/>
    <w:rsid w:val="6D633D24"/>
    <w:rsid w:val="6D943EDD"/>
    <w:rsid w:val="6E331948"/>
    <w:rsid w:val="6E690CD6"/>
    <w:rsid w:val="6F0D03EB"/>
    <w:rsid w:val="6F4216DC"/>
    <w:rsid w:val="6FCF744E"/>
    <w:rsid w:val="6FF46EB5"/>
    <w:rsid w:val="702324A5"/>
    <w:rsid w:val="70235CAC"/>
    <w:rsid w:val="71771B4C"/>
    <w:rsid w:val="71BE59CD"/>
    <w:rsid w:val="723E111D"/>
    <w:rsid w:val="72691DDC"/>
    <w:rsid w:val="72E57503"/>
    <w:rsid w:val="731437B8"/>
    <w:rsid w:val="736102C3"/>
    <w:rsid w:val="73FE2024"/>
    <w:rsid w:val="760A7432"/>
    <w:rsid w:val="76242E62"/>
    <w:rsid w:val="76C450FA"/>
    <w:rsid w:val="76D57A40"/>
    <w:rsid w:val="76EB4163"/>
    <w:rsid w:val="77D623AA"/>
    <w:rsid w:val="785E75C1"/>
    <w:rsid w:val="787578B0"/>
    <w:rsid w:val="787C5C9A"/>
    <w:rsid w:val="78A552D4"/>
    <w:rsid w:val="790D4A2F"/>
    <w:rsid w:val="79877399"/>
    <w:rsid w:val="7A102B3D"/>
    <w:rsid w:val="7A7579C6"/>
    <w:rsid w:val="7B1342CC"/>
    <w:rsid w:val="7BF32717"/>
    <w:rsid w:val="7C080A39"/>
    <w:rsid w:val="7C72598F"/>
    <w:rsid w:val="7DE92023"/>
    <w:rsid w:val="7E2748F9"/>
    <w:rsid w:val="7E3E035F"/>
    <w:rsid w:val="7EFD65B5"/>
    <w:rsid w:val="7F4C286A"/>
    <w:rsid w:val="7F737DF6"/>
    <w:rsid w:val="7FC927C8"/>
    <w:rsid w:val="7FDB2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autoRedefine/>
    <w:semiHidden/>
    <w:qFormat/>
    <w:uiPriority w:val="0"/>
    <w:pPr>
      <w:spacing w:beforeAutospacing="1" w:afterAutospacing="1"/>
      <w:jc w:val="left"/>
      <w:outlineLvl w:val="1"/>
    </w:pPr>
    <w:rPr>
      <w:rFonts w:ascii="宋体" w:hAnsi="宋体"/>
      <w:b/>
      <w:kern w:val="0"/>
      <w:sz w:val="36"/>
      <w:szCs w:val="36"/>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customStyle="1" w:styleId="2">
    <w:name w:val="正文（缩进）"/>
    <w:basedOn w:val="3"/>
    <w:autoRedefine/>
    <w:qFormat/>
    <w:uiPriority w:val="0"/>
    <w:pPr>
      <w:spacing w:line="360" w:lineRule="auto"/>
      <w:ind w:firstLine="480" w:firstLineChars="200"/>
    </w:pPr>
    <w:rPr>
      <w:sz w:val="24"/>
      <w:szCs w:val="24"/>
    </w:rPr>
  </w:style>
  <w:style w:type="paragraph" w:customStyle="1" w:styleId="3">
    <w:name w:val="正文(首行缩进)"/>
    <w:basedOn w:val="1"/>
    <w:autoRedefine/>
    <w:qFormat/>
    <w:uiPriority w:val="0"/>
    <w:pPr>
      <w:spacing w:line="460" w:lineRule="exact"/>
      <w:ind w:firstLine="560" w:firstLineChars="200"/>
    </w:pPr>
    <w:rPr>
      <w:rFonts w:ascii="宋体" w:hAnsi="宋体"/>
      <w:snapToGrid w:val="0"/>
      <w:color w:val="000000"/>
      <w:kern w:val="0"/>
      <w:szCs w:val="24"/>
    </w:rPr>
  </w:style>
  <w:style w:type="paragraph" w:styleId="6">
    <w:name w:val="Normal Indent"/>
    <w:basedOn w:val="1"/>
    <w:next w:val="7"/>
    <w:autoRedefine/>
    <w:qFormat/>
    <w:uiPriority w:val="0"/>
    <w:pPr>
      <w:ind w:firstLine="420" w:firstLineChars="200"/>
    </w:pPr>
  </w:style>
  <w:style w:type="paragraph" w:customStyle="1" w:styleId="7">
    <w:name w:val="表头"/>
    <w:basedOn w:val="8"/>
    <w:next w:val="1"/>
    <w:autoRedefine/>
    <w:qFormat/>
    <w:uiPriority w:val="0"/>
    <w:pPr>
      <w:snapToGrid w:val="0"/>
      <w:spacing w:before="60" w:beforeLines="25"/>
    </w:pPr>
    <w:rPr>
      <w:rFonts w:hAnsi="宋体" w:eastAsia="仿宋_GB2312"/>
      <w:b/>
      <w:sz w:val="28"/>
      <w:szCs w:val="28"/>
    </w:rPr>
  </w:style>
  <w:style w:type="paragraph" w:styleId="8">
    <w:name w:val="Plain Text"/>
    <w:basedOn w:val="1"/>
    <w:next w:val="9"/>
    <w:autoRedefine/>
    <w:qFormat/>
    <w:uiPriority w:val="0"/>
    <w:rPr>
      <w:rFonts w:ascii="宋体" w:hAnsi="Courier New"/>
    </w:rPr>
  </w:style>
  <w:style w:type="paragraph" w:styleId="9">
    <w:name w:val="toc 1"/>
    <w:basedOn w:val="1"/>
    <w:next w:val="1"/>
    <w:autoRedefine/>
    <w:qFormat/>
    <w:uiPriority w:val="0"/>
  </w:style>
  <w:style w:type="paragraph" w:styleId="10">
    <w:name w:val="Body Text Indent"/>
    <w:basedOn w:val="1"/>
    <w:next w:val="11"/>
    <w:autoRedefine/>
    <w:qFormat/>
    <w:uiPriority w:val="0"/>
    <w:pPr>
      <w:snapToGrid w:val="0"/>
      <w:spacing w:before="120" w:line="360" w:lineRule="atLeast"/>
      <w:ind w:firstLine="539"/>
    </w:pPr>
  </w:style>
  <w:style w:type="paragraph" w:styleId="11">
    <w:name w:val="Body Text First Indent 2"/>
    <w:basedOn w:val="10"/>
    <w:next w:val="1"/>
    <w:autoRedefine/>
    <w:qFormat/>
    <w:uiPriority w:val="0"/>
    <w:pPr>
      <w:ind w:firstLine="420" w:firstLineChars="200"/>
    </w:pPr>
  </w:style>
  <w:style w:type="paragraph" w:styleId="12">
    <w:name w:val="footer"/>
    <w:basedOn w:val="1"/>
    <w:autoRedefine/>
    <w:qFormat/>
    <w:uiPriority w:val="0"/>
    <w:pPr>
      <w:tabs>
        <w:tab w:val="center" w:pos="4153"/>
        <w:tab w:val="right" w:pos="8306"/>
      </w:tabs>
      <w:snapToGrid w:val="0"/>
      <w:jc w:val="left"/>
    </w:pPr>
    <w:rPr>
      <w:rFonts w:ascii="Calibri" w:hAnsi="Calibri" w:cs="Calibri"/>
      <w:sz w:val="18"/>
      <w:szCs w:val="18"/>
    </w:rPr>
  </w:style>
  <w:style w:type="paragraph" w:styleId="13">
    <w:name w:val="Body Text 2"/>
    <w:basedOn w:val="1"/>
    <w:autoRedefine/>
    <w:qFormat/>
    <w:uiPriority w:val="0"/>
    <w:pPr>
      <w:spacing w:after="120" w:line="480" w:lineRule="auto"/>
    </w:pPr>
  </w:style>
  <w:style w:type="paragraph" w:styleId="14">
    <w:name w:val="Normal (Web)"/>
    <w:basedOn w:val="1"/>
    <w:autoRedefine/>
    <w:qFormat/>
    <w:uiPriority w:val="0"/>
    <w:pPr>
      <w:spacing w:beforeAutospacing="1" w:afterAutospacing="1"/>
      <w:jc w:val="left"/>
    </w:pPr>
    <w:rPr>
      <w:kern w:val="0"/>
      <w:sz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rFonts w:cs="Times New Roman"/>
      <w:b/>
    </w:rPr>
  </w:style>
  <w:style w:type="paragraph" w:customStyle="1" w:styleId="19">
    <w:name w:val="表格"/>
    <w:basedOn w:val="6"/>
    <w:next w:val="1"/>
    <w:autoRedefine/>
    <w:qFormat/>
    <w:uiPriority w:val="0"/>
    <w:pPr>
      <w:spacing w:line="240" w:lineRule="atLeast"/>
      <w:jc w:val="center"/>
    </w:pPr>
  </w:style>
  <w:style w:type="paragraph" w:customStyle="1" w:styleId="20">
    <w:name w:val="表格2"/>
    <w:next w:val="13"/>
    <w:autoRedefine/>
    <w:qFormat/>
    <w:uiPriority w:val="0"/>
    <w:pPr>
      <w:widowControl/>
      <w:jc w:val="center"/>
    </w:pPr>
    <w:rPr>
      <w:rFonts w:ascii="Times New Roman" w:hAnsi="Courier New" w:eastAsia="宋体" w:cs="Courier New"/>
      <w:color w:val="000000"/>
      <w:sz w:val="24"/>
      <w:szCs w:val="24"/>
      <w:lang w:val="en-US" w:eastAsia="zh-CN" w:bidi="ar-SA"/>
    </w:rPr>
  </w:style>
  <w:style w:type="paragraph" w:customStyle="1" w:styleId="2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p0"/>
    <w:basedOn w:val="1"/>
    <w:autoRedefine/>
    <w:qFormat/>
    <w:uiPriority w:val="0"/>
    <w:pPr>
      <w:widowControl/>
    </w:pPr>
    <w:rPr>
      <w:kern w:val="0"/>
      <w:szCs w:val="21"/>
    </w:rPr>
  </w:style>
  <w:style w:type="paragraph" w:customStyle="1" w:styleId="23">
    <w:name w:val="报告表正文"/>
    <w:basedOn w:val="1"/>
    <w:autoRedefine/>
    <w:qFormat/>
    <w:uiPriority w:val="0"/>
    <w:pPr>
      <w:overflowPunct w:val="0"/>
      <w:adjustRightInd w:val="0"/>
      <w:snapToGrid w:val="0"/>
      <w:spacing w:line="360" w:lineRule="auto"/>
      <w:ind w:firstLine="200" w:firstLineChars="200"/>
    </w:pPr>
    <w:rPr>
      <w:rFonts w:ascii="Times New Roman" w:hAnsi="Times New Roman" w:eastAsia="仿宋_GB2312"/>
      <w:color w:val="000000"/>
      <w:kern w:val="16"/>
      <w:sz w:val="24"/>
      <w:szCs w:val="24"/>
    </w:rPr>
  </w:style>
  <w:style w:type="paragraph" w:customStyle="1" w:styleId="24">
    <w:name w:val="样式 正文缩进正文缩进2正文缩进 Char Char正文缩进 Char Char Char Char正文缩进 Char ..."/>
    <w:basedOn w:val="6"/>
    <w:autoRedefine/>
    <w:qFormat/>
    <w:uiPriority w:val="0"/>
    <w:pPr>
      <w:spacing w:line="360" w:lineRule="auto"/>
      <w:ind w:firstLine="200"/>
    </w:pPr>
    <w:rPr>
      <w:rFonts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1520</Words>
  <Characters>1626</Characters>
  <Lines>0</Lines>
  <Paragraphs>0</Paragraphs>
  <TotalTime>2</TotalTime>
  <ScaleCrop>false</ScaleCrop>
  <LinksUpToDate>false</LinksUpToDate>
  <CharactersWithSpaces>1648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2020-08-05T07:22:00Z</dcterms:created>
  <dc:creator>鱼儿</dc:creator>
  <cp:lastModifiedBy>鱼儿</cp:lastModifiedBy>
  <cp:lastPrinted>2024-01-29T08:07:00Z</cp:lastPrinted>
  <dcterms:modified xsi:type="dcterms:W3CDTF">2024-05-31T07:04:31Z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520C81DA3F364CB98B7175746C5928F2</vt:lpwstr>
  </property>
</Properties>
</file>