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highlight w:val="yellow"/>
        </w:rPr>
      </w:pPr>
    </w:p>
    <w:p>
      <w:pPr>
        <w:rPr>
          <w:rFonts w:ascii="仿宋_GB2312" w:hAnsi="仿宋_GB2312" w:eastAsia="仿宋_GB2312" w:cs="仿宋_GB2312"/>
          <w:sz w:val="36"/>
          <w:szCs w:val="36"/>
          <w:highlight w:val="yellow"/>
        </w:rPr>
      </w:pPr>
    </w:p>
    <w:p>
      <w:pPr>
        <w:rPr>
          <w:rFonts w:ascii="仿宋_GB2312" w:hAnsi="仿宋_GB2312" w:eastAsia="仿宋_GB2312" w:cs="仿宋_GB2312"/>
          <w:sz w:val="36"/>
          <w:szCs w:val="36"/>
          <w:highlight w:val="yellow"/>
        </w:rPr>
      </w:pPr>
    </w:p>
    <w:p>
      <w:pPr>
        <w:outlineLvl w:val="0"/>
        <w:rPr>
          <w:rFonts w:ascii="方正小标宋_GBK" w:eastAsia="方正小标宋_GBK"/>
          <w:bCs/>
          <w:sz w:val="72"/>
          <w:szCs w:val="72"/>
          <w:highlight w:val="none"/>
        </w:rPr>
      </w:pPr>
      <w:r>
        <w:rPr>
          <w:rFonts w:hint="eastAsia" w:ascii="方正小标宋_GBK" w:eastAsia="方正小标宋_GBK"/>
          <w:bCs/>
          <w:sz w:val="72"/>
          <w:szCs w:val="72"/>
          <w:highlight w:val="none"/>
        </w:rPr>
        <w:t>建设项目环境影响报告表</w:t>
      </w:r>
    </w:p>
    <w:p>
      <w:pPr>
        <w:spacing w:before="249" w:beforeLines="80"/>
        <w:rPr>
          <w:rFonts w:ascii="楷体_GB2312" w:eastAsia="楷体_GB2312"/>
          <w:bCs/>
          <w:sz w:val="48"/>
          <w:szCs w:val="48"/>
          <w:highlight w:val="none"/>
        </w:rPr>
      </w:pPr>
      <w:r>
        <w:rPr>
          <w:rFonts w:hint="eastAsia" w:ascii="楷体_GB2312" w:eastAsia="楷体_GB2312"/>
          <w:bCs/>
          <w:sz w:val="48"/>
          <w:szCs w:val="48"/>
          <w:highlight w:val="none"/>
        </w:rPr>
        <w:t>（生态影响类）</w:t>
      </w:r>
    </w:p>
    <w:p>
      <w:pPr>
        <w:spacing w:line="288" w:lineRule="auto"/>
        <w:rPr>
          <w:rFonts w:ascii="华文仿宋" w:hAnsi="华文仿宋" w:eastAsia="华文仿宋" w:cs="华文仿宋"/>
          <w:kern w:val="44"/>
          <w:sz w:val="44"/>
          <w:szCs w:val="44"/>
          <w:highlight w:val="yellow"/>
        </w:rPr>
      </w:pPr>
    </w:p>
    <w:p>
      <w:pPr>
        <w:rPr>
          <w:rFonts w:eastAsia="仿宋"/>
          <w:sz w:val="52"/>
          <w:szCs w:val="52"/>
          <w:highlight w:val="yellow"/>
        </w:rPr>
      </w:pPr>
    </w:p>
    <w:p>
      <w:pPr>
        <w:rPr>
          <w:rFonts w:eastAsia="仿宋"/>
          <w:sz w:val="44"/>
          <w:szCs w:val="44"/>
          <w:highlight w:val="yellow"/>
        </w:rPr>
      </w:pPr>
    </w:p>
    <w:p>
      <w:pPr>
        <w:pStyle w:val="30"/>
        <w:rPr>
          <w:rFonts w:eastAsia="仿宋"/>
          <w:sz w:val="44"/>
          <w:szCs w:val="44"/>
          <w:highlight w:val="yellow"/>
        </w:rPr>
      </w:pPr>
    </w:p>
    <w:p>
      <w:pPr>
        <w:pStyle w:val="19"/>
        <w:rPr>
          <w:rFonts w:eastAsia="仿宋"/>
          <w:sz w:val="44"/>
          <w:szCs w:val="44"/>
          <w:highlight w:val="yellow"/>
        </w:rPr>
      </w:pPr>
    </w:p>
    <w:p>
      <w:pPr>
        <w:pStyle w:val="20"/>
        <w:rPr>
          <w:rFonts w:eastAsia="仿宋"/>
          <w:sz w:val="44"/>
          <w:szCs w:val="44"/>
          <w:highlight w:val="yellow"/>
        </w:rPr>
      </w:pPr>
    </w:p>
    <w:p/>
    <w:p>
      <w:pPr>
        <w:pStyle w:val="20"/>
        <w:rPr>
          <w:rFonts w:eastAsia="仿宋"/>
          <w:sz w:val="44"/>
          <w:szCs w:val="44"/>
          <w:highlight w:val="yellow"/>
        </w:rPr>
      </w:pPr>
    </w:p>
    <w:p/>
    <w:p>
      <w:pPr>
        <w:spacing w:line="360" w:lineRule="auto"/>
        <w:jc w:val="both"/>
        <w:rPr>
          <w:rFonts w:hint="eastAsia" w:ascii="仿宋" w:hAnsi="仿宋" w:eastAsia="仿宋" w:cs="仿宋"/>
          <w:color w:val="auto"/>
          <w:sz w:val="30"/>
          <w:szCs w:val="30"/>
          <w:highlight w:val="none"/>
          <w:u w:val="single"/>
        </w:rPr>
      </w:pPr>
      <w:r>
        <w:rPr>
          <w:rFonts w:hint="eastAsia" w:ascii="仿宋" w:hAnsi="仿宋" w:eastAsia="仿宋" w:cs="仿宋"/>
          <w:color w:val="auto"/>
          <w:sz w:val="30"/>
          <w:szCs w:val="30"/>
          <w:highlight w:val="none"/>
        </w:rPr>
        <w:t>项目名称：</w:t>
      </w:r>
      <w:r>
        <w:rPr>
          <w:rFonts w:hint="eastAsia" w:ascii="仿宋" w:hAnsi="仿宋" w:eastAsia="仿宋" w:cs="仿宋"/>
          <w:color w:val="auto"/>
          <w:sz w:val="30"/>
          <w:szCs w:val="30"/>
          <w:highlight w:val="none"/>
          <w:u w:val="single"/>
        </w:rPr>
        <w:t>沙坡头区陈水矿区废弃矿山生态修复项目(二期)</w:t>
      </w:r>
    </w:p>
    <w:p>
      <w:pPr>
        <w:spacing w:line="360" w:lineRule="auto"/>
        <w:jc w:val="both"/>
        <w:rPr>
          <w:rFonts w:hint="default" w:ascii="仿宋" w:hAnsi="仿宋" w:eastAsia="仿宋" w:cs="仿宋"/>
          <w:color w:val="auto"/>
          <w:sz w:val="30"/>
          <w:szCs w:val="30"/>
          <w:highlight w:val="none"/>
          <w:lang w:val="en-US" w:eastAsia="zh-CN"/>
        </w:rPr>
      </w:pPr>
      <w:r>
        <w:rPr>
          <w:rFonts w:hint="eastAsia" w:ascii="仿宋" w:hAnsi="仿宋" w:eastAsia="仿宋" w:cs="仿宋"/>
          <w:color w:val="auto"/>
          <w:sz w:val="30"/>
          <w:szCs w:val="30"/>
          <w:highlight w:val="none"/>
        </w:rPr>
        <w:t>建设单位（盖章）：</w:t>
      </w:r>
      <w:r>
        <w:rPr>
          <w:rFonts w:hint="eastAsia" w:ascii="仿宋" w:hAnsi="仿宋" w:eastAsia="仿宋" w:cs="仿宋"/>
          <w:color w:val="auto"/>
          <w:sz w:val="30"/>
          <w:szCs w:val="30"/>
          <w:highlight w:val="none"/>
          <w:u w:val="single"/>
          <w:lang w:val="en-US" w:eastAsia="zh-CN"/>
        </w:rPr>
        <w:t xml:space="preserve">   </w:t>
      </w:r>
      <w:r>
        <w:rPr>
          <w:rFonts w:hint="eastAsia" w:ascii="仿宋" w:hAnsi="仿宋" w:eastAsia="仿宋" w:cs="仿宋"/>
          <w:color w:val="auto"/>
          <w:sz w:val="30"/>
          <w:szCs w:val="30"/>
          <w:highlight w:val="none"/>
          <w:u w:val="single"/>
        </w:rPr>
        <w:t>中卫市沙坡头区自然资源局</w:t>
      </w:r>
      <w:r>
        <w:rPr>
          <w:rFonts w:hint="eastAsia" w:ascii="仿宋" w:hAnsi="仿宋" w:eastAsia="仿宋" w:cs="仿宋"/>
          <w:color w:val="auto"/>
          <w:sz w:val="30"/>
          <w:szCs w:val="30"/>
          <w:highlight w:val="none"/>
          <w:u w:val="single"/>
          <w:lang w:val="en-US" w:eastAsia="zh-CN"/>
        </w:rPr>
        <w:t xml:space="preserve">       </w:t>
      </w:r>
    </w:p>
    <w:p>
      <w:pPr>
        <w:spacing w:line="360" w:lineRule="auto"/>
        <w:jc w:val="both"/>
        <w:rPr>
          <w:rFonts w:hint="default" w:ascii="仿宋" w:hAnsi="仿宋" w:eastAsia="仿宋" w:cs="仿宋"/>
          <w:color w:val="auto"/>
          <w:sz w:val="30"/>
          <w:szCs w:val="30"/>
          <w:highlight w:val="none"/>
          <w:u w:val="single"/>
          <w:lang w:val="en-US" w:eastAsia="zh-CN"/>
        </w:rPr>
      </w:pPr>
      <w:r>
        <w:rPr>
          <w:rFonts w:hint="eastAsia" w:ascii="仿宋" w:hAnsi="仿宋" w:eastAsia="仿宋" w:cs="仿宋"/>
          <w:color w:val="auto"/>
          <w:sz w:val="30"/>
          <w:szCs w:val="30"/>
          <w:highlight w:val="none"/>
        </w:rPr>
        <w:t>编制日期：</w:t>
      </w:r>
      <w:r>
        <w:rPr>
          <w:rFonts w:hint="eastAsia" w:ascii="仿宋" w:hAnsi="仿宋" w:eastAsia="仿宋" w:cs="仿宋"/>
          <w:color w:val="auto"/>
          <w:sz w:val="30"/>
          <w:szCs w:val="30"/>
          <w:highlight w:val="none"/>
          <w:u w:val="single"/>
        </w:rPr>
        <w:t xml:space="preserve">                 </w:t>
      </w:r>
      <w:r>
        <w:rPr>
          <w:rFonts w:hint="default" w:ascii="Times New Roman" w:hAnsi="Times New Roman" w:eastAsia="仿宋" w:cs="Times New Roman"/>
          <w:color w:val="auto"/>
          <w:sz w:val="30"/>
          <w:szCs w:val="30"/>
          <w:highlight w:val="none"/>
          <w:u w:val="single"/>
        </w:rPr>
        <w:t>2023年</w:t>
      </w:r>
      <w:r>
        <w:rPr>
          <w:rFonts w:hint="eastAsia" w:eastAsia="仿宋" w:cs="Times New Roman"/>
          <w:color w:val="auto"/>
          <w:sz w:val="30"/>
          <w:szCs w:val="30"/>
          <w:highlight w:val="none"/>
          <w:u w:val="single"/>
          <w:lang w:val="en-US" w:eastAsia="zh-CN"/>
        </w:rPr>
        <w:t>4</w:t>
      </w:r>
      <w:r>
        <w:rPr>
          <w:rFonts w:hint="default" w:ascii="Times New Roman" w:hAnsi="Times New Roman" w:eastAsia="仿宋" w:cs="Times New Roman"/>
          <w:color w:val="auto"/>
          <w:sz w:val="30"/>
          <w:szCs w:val="30"/>
          <w:highlight w:val="none"/>
          <w:u w:val="single"/>
        </w:rPr>
        <w:t>月</w:t>
      </w:r>
      <w:r>
        <w:rPr>
          <w:rFonts w:hint="eastAsia" w:ascii="仿宋" w:hAnsi="仿宋" w:eastAsia="仿宋" w:cs="仿宋"/>
          <w:color w:val="auto"/>
          <w:sz w:val="30"/>
          <w:szCs w:val="30"/>
          <w:highlight w:val="none"/>
          <w:u w:val="single"/>
        </w:rPr>
        <w:t xml:space="preserve">        </w:t>
      </w:r>
      <w:r>
        <w:rPr>
          <w:rFonts w:hint="eastAsia" w:ascii="仿宋" w:hAnsi="仿宋" w:eastAsia="仿宋" w:cs="仿宋"/>
          <w:color w:val="auto"/>
          <w:sz w:val="30"/>
          <w:szCs w:val="30"/>
          <w:highlight w:val="none"/>
          <w:u w:val="single"/>
          <w:lang w:val="en-US" w:eastAsia="zh-CN"/>
        </w:rPr>
        <w:t xml:space="preserve">       </w:t>
      </w:r>
    </w:p>
    <w:p>
      <w:pPr>
        <w:spacing w:line="288" w:lineRule="auto"/>
        <w:rPr>
          <w:rFonts w:ascii="仿宋_GB2312" w:eastAsia="仿宋_GB2312"/>
          <w:color w:val="FF0000"/>
          <w:sz w:val="36"/>
          <w:szCs w:val="36"/>
          <w:highlight w:val="yellow"/>
        </w:rPr>
      </w:pPr>
      <w:bookmarkStart w:id="0" w:name="_Hlk57884087"/>
    </w:p>
    <w:p>
      <w:pPr>
        <w:rPr>
          <w:color w:val="FF0000"/>
          <w:highlight w:val="yellow"/>
        </w:rPr>
      </w:pPr>
    </w:p>
    <w:p>
      <w:pPr>
        <w:pStyle w:val="15"/>
        <w:ind w:firstLine="0" w:firstLineChars="0"/>
        <w:rPr>
          <w:rFonts w:ascii="仿宋_GB2312" w:eastAsia="仿宋_GB2312"/>
          <w:sz w:val="36"/>
          <w:szCs w:val="36"/>
          <w:highlight w:val="yellow"/>
        </w:rPr>
      </w:pPr>
    </w:p>
    <w:p>
      <w:pPr>
        <w:pStyle w:val="15"/>
        <w:ind w:firstLine="0" w:firstLineChars="0"/>
        <w:rPr>
          <w:rFonts w:ascii="仿宋_GB2312" w:eastAsia="仿宋_GB2312"/>
          <w:sz w:val="36"/>
          <w:szCs w:val="36"/>
          <w:highlight w:val="yellow"/>
        </w:rPr>
      </w:pPr>
    </w:p>
    <w:bookmarkEnd w:id="0"/>
    <w:p>
      <w:pPr>
        <w:keepNext w:val="0"/>
        <w:keepLines w:val="0"/>
        <w:pageBreakBefore w:val="0"/>
        <w:widowControl w:val="0"/>
        <w:kinsoku/>
        <w:wordWrap/>
        <w:overflowPunct/>
        <w:topLinePunct w:val="0"/>
        <w:autoSpaceDE/>
        <w:autoSpaceDN/>
        <w:bidi w:val="0"/>
        <w:adjustRightInd w:val="0"/>
        <w:snapToGrid w:val="0"/>
        <w:textAlignment w:val="auto"/>
        <w:rPr>
          <w:rFonts w:hint="eastAsia" w:ascii="楷体_GB2312" w:eastAsia="楷体_GB2312"/>
          <w:sz w:val="36"/>
          <w:szCs w:val="36"/>
          <w:highlight w:val="none"/>
        </w:rPr>
      </w:pPr>
      <w:r>
        <w:rPr>
          <w:rFonts w:hint="eastAsia" w:ascii="楷体_GB2312" w:eastAsia="楷体_GB2312"/>
          <w:sz w:val="36"/>
          <w:szCs w:val="36"/>
          <w:highlight w:val="none"/>
        </w:rPr>
        <w:t>中华人民共和国生态环境部制</w:t>
      </w:r>
    </w:p>
    <w:p>
      <w:pPr>
        <w:pStyle w:val="2"/>
        <w:rPr>
          <w:rFonts w:hint="eastAsia" w:ascii="楷体_GB2312" w:eastAsia="楷体_GB2312"/>
          <w:sz w:val="36"/>
          <w:szCs w:val="36"/>
          <w:highlight w:val="yellow"/>
        </w:rPr>
      </w:pPr>
    </w:p>
    <w:p>
      <w:pPr>
        <w:pStyle w:val="3"/>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4"/>
        <w:numPr>
          <w:ilvl w:val="0"/>
          <w:numId w:val="2"/>
        </w:numPr>
        <w:rPr>
          <w:highlight w:val="none"/>
        </w:rPr>
      </w:pPr>
      <w:r>
        <w:rPr>
          <w:rFonts w:hint="eastAsia"/>
          <w:highlight w:val="none"/>
        </w:rPr>
        <w:t>建设项目基本情况</w:t>
      </w:r>
    </w:p>
    <w:tbl>
      <w:tblPr>
        <w:tblStyle w:val="24"/>
        <w:tblW w:w="82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517"/>
        <w:gridCol w:w="2019"/>
        <w:gridCol w:w="1919"/>
        <w:gridCol w:w="28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33"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建设项目名称</w:t>
            </w:r>
          </w:p>
        </w:tc>
        <w:tc>
          <w:tcPr>
            <w:tcW w:w="6765" w:type="dxa"/>
            <w:gridSpan w:val="3"/>
            <w:tcBorders>
              <w:tl2br w:val="nil"/>
              <w:tr2bl w:val="nil"/>
            </w:tcBorders>
            <w:vAlign w:val="center"/>
          </w:tcPr>
          <w:p>
            <w:pPr>
              <w:rPr>
                <w:rFonts w:hint="eastAsia" w:eastAsia="宋体"/>
                <w:sz w:val="24"/>
                <w:szCs w:val="24"/>
                <w:highlight w:val="none"/>
                <w:lang w:eastAsia="zh-CN"/>
              </w:rPr>
            </w:pPr>
            <w:r>
              <w:rPr>
                <w:rFonts w:hint="eastAsia"/>
                <w:sz w:val="24"/>
                <w:szCs w:val="24"/>
                <w:highlight w:val="none"/>
                <w:lang w:val="en-US" w:eastAsia="zh-CN"/>
              </w:rPr>
              <w:t xml:space="preserve"> </w:t>
            </w:r>
            <w:r>
              <w:rPr>
                <w:rFonts w:hint="eastAsia" w:ascii="宋体" w:hAnsi="宋体" w:eastAsia="宋体" w:cs="宋体"/>
                <w:color w:val="auto"/>
                <w:sz w:val="24"/>
                <w:szCs w:val="24"/>
                <w:highlight w:val="none"/>
                <w:u w:val="none"/>
              </w:rPr>
              <w:t>沙坡头区陈水矿区废弃矿山生态修复项目(二期)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项目代码</w:t>
            </w:r>
          </w:p>
        </w:tc>
        <w:tc>
          <w:tcPr>
            <w:tcW w:w="6765" w:type="dxa"/>
            <w:gridSpan w:val="3"/>
            <w:tcBorders>
              <w:tl2br w:val="nil"/>
              <w:tr2bl w:val="nil"/>
            </w:tcBorders>
            <w:vAlign w:val="center"/>
          </w:tcPr>
          <w:p>
            <w:pPr>
              <w:rPr>
                <w:sz w:val="24"/>
                <w:szCs w:val="24"/>
                <w:highlight w:val="none"/>
              </w:rPr>
            </w:pPr>
            <w:r>
              <w:rPr>
                <w:rFonts w:hint="eastAsia"/>
                <w:sz w:val="24"/>
                <w:szCs w:val="24"/>
                <w:highlight w:val="none"/>
              </w:rPr>
              <w:t>2101-640502-15-01-530479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建设单位联系人</w:t>
            </w:r>
          </w:p>
        </w:tc>
        <w:tc>
          <w:tcPr>
            <w:tcW w:w="2019" w:type="dxa"/>
            <w:tcBorders>
              <w:tl2br w:val="nil"/>
              <w:tr2bl w:val="nil"/>
            </w:tcBorders>
            <w:vAlign w:val="center"/>
          </w:tcPr>
          <w:p>
            <w:pP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陆宇航</w:t>
            </w:r>
          </w:p>
        </w:tc>
        <w:tc>
          <w:tcPr>
            <w:tcW w:w="1919" w:type="dxa"/>
            <w:tcBorders>
              <w:tl2br w:val="nil"/>
              <w:tr2bl w:val="nil"/>
            </w:tcBorders>
            <w:vAlign w:val="center"/>
          </w:tcPr>
          <w:p>
            <w:pP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联系方式</w:t>
            </w:r>
          </w:p>
        </w:tc>
        <w:tc>
          <w:tcPr>
            <w:tcW w:w="2827" w:type="dxa"/>
            <w:tcBorders>
              <w:tl2br w:val="nil"/>
              <w:tr2bl w:val="nil"/>
            </w:tcBorders>
            <w:vAlign w:val="center"/>
          </w:tcPr>
          <w:p>
            <w:pPr>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建设地点</w:t>
            </w:r>
          </w:p>
        </w:tc>
        <w:tc>
          <w:tcPr>
            <w:tcW w:w="6765" w:type="dxa"/>
            <w:gridSpan w:val="3"/>
            <w:tcBorders>
              <w:tl2br w:val="nil"/>
              <w:tr2bl w:val="nil"/>
            </w:tcBorders>
            <w:vAlign w:val="center"/>
          </w:tcPr>
          <w:p>
            <w:pPr>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宁夏回族自治区中卫市沙坡头区</w:t>
            </w:r>
            <w:r>
              <w:rPr>
                <w:color w:val="000000" w:themeColor="text1"/>
                <w:sz w:val="24"/>
                <w:szCs w:val="24"/>
                <w:highlight w:val="none"/>
                <w14:textFill>
                  <w14:solidFill>
                    <w14:schemeClr w14:val="tx1"/>
                  </w14:solidFill>
                </w14:textFill>
              </w:rPr>
              <w:t>香山乡</w:t>
            </w:r>
            <w:r>
              <w:rPr>
                <w:rFonts w:hint="eastAsia"/>
                <w:color w:val="000000" w:themeColor="text1"/>
                <w:sz w:val="24"/>
                <w:szCs w:val="24"/>
                <w:highlight w:val="none"/>
                <w:lang w:eastAsia="zh-CN"/>
                <w14:textFill>
                  <w14:solidFill>
                    <w14:schemeClr w14:val="tx1"/>
                  </w14:solidFill>
                </w14:textFill>
              </w:rPr>
              <w:t>、常乐镇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bidi w:val="0"/>
              <w:spacing w:line="360" w:lineRule="auto"/>
              <w:jc w:val="left"/>
            </w:pPr>
            <w:r>
              <w:rPr>
                <w:rFonts w:hint="eastAsia"/>
              </w:rPr>
              <w:t>地理坐标</w:t>
            </w:r>
          </w:p>
        </w:tc>
        <w:tc>
          <w:tcPr>
            <w:tcW w:w="6765" w:type="dxa"/>
            <w:gridSpan w:val="3"/>
            <w:tcBorders>
              <w:tl2br w:val="nil"/>
              <w:tr2bl w:val="nil"/>
            </w:tcBorders>
            <w:vAlign w:val="center"/>
          </w:tcPr>
          <w:p>
            <w:pPr>
              <w:bidi w:val="0"/>
              <w:spacing w:line="240" w:lineRule="auto"/>
              <w:jc w:val="left"/>
              <w:rPr>
                <w:rFonts w:hint="default"/>
                <w:b/>
                <w:bCs/>
                <w:lang w:eastAsia="zh-CN"/>
              </w:rPr>
            </w:pPr>
            <w:r>
              <w:rPr>
                <w:rFonts w:hint="default"/>
                <w:b/>
                <w:bCs/>
              </w:rPr>
              <w:t>香山</w:t>
            </w:r>
            <w:r>
              <w:rPr>
                <w:rFonts w:hint="eastAsia"/>
                <w:b/>
                <w:bCs/>
                <w:lang w:eastAsia="zh-CN"/>
              </w:rPr>
              <w:t>乡</w:t>
            </w:r>
            <w:r>
              <w:rPr>
                <w:rFonts w:hint="default"/>
                <w:b/>
                <w:bCs/>
              </w:rPr>
              <w:t>梁水园村北生态修复治理区</w:t>
            </w:r>
            <w:r>
              <w:rPr>
                <w:rFonts w:hint="default"/>
                <w:b/>
                <w:bCs/>
                <w:lang w:eastAsia="zh-CN"/>
              </w:rPr>
              <w:t>：</w:t>
            </w:r>
          </w:p>
          <w:p>
            <w:pPr>
              <w:bidi w:val="0"/>
              <w:spacing w:line="240" w:lineRule="auto"/>
              <w:jc w:val="left"/>
              <w:rPr>
                <w:rFonts w:hint="default"/>
                <w:lang w:val="en-US" w:eastAsia="zh-CN"/>
              </w:rPr>
            </w:pPr>
            <w:r>
              <w:rPr>
                <w:rFonts w:hint="default"/>
              </w:rPr>
              <w:t>5号治理点</w:t>
            </w:r>
            <w:r>
              <w:rPr>
                <w:rFonts w:hint="eastAsia"/>
                <w:lang w:eastAsia="zh-CN"/>
              </w:rPr>
              <w:t>:</w:t>
            </w:r>
            <w:r>
              <w:rPr>
                <w:rFonts w:hint="default"/>
                <w:lang w:val="en-US" w:eastAsia="zh-CN"/>
              </w:rPr>
              <w:t>E104°51′44</w:t>
            </w:r>
            <w:r>
              <w:rPr>
                <w:rFonts w:hint="eastAsia"/>
                <w:lang w:val="en-US" w:eastAsia="zh-CN"/>
              </w:rPr>
              <w:t>2</w:t>
            </w:r>
            <w:r>
              <w:rPr>
                <w:rFonts w:hint="default"/>
                <w:lang w:val="en-US" w:eastAsia="zh-CN"/>
              </w:rPr>
              <w:t>″,N37°16′48</w:t>
            </w:r>
            <w:r>
              <w:rPr>
                <w:rFonts w:hint="eastAsia"/>
                <w:lang w:val="en-US" w:eastAsia="zh-CN"/>
              </w:rPr>
              <w:t>4</w:t>
            </w:r>
            <w:r>
              <w:rPr>
                <w:rFonts w:hint="default"/>
                <w:lang w:val="en-US" w:eastAsia="zh-CN"/>
              </w:rPr>
              <w:t>″</w:t>
            </w:r>
          </w:p>
          <w:p>
            <w:pPr>
              <w:bidi w:val="0"/>
              <w:spacing w:line="240" w:lineRule="auto"/>
              <w:jc w:val="left"/>
              <w:rPr>
                <w:rFonts w:hint="default"/>
                <w:lang w:val="en-US" w:eastAsia="zh-CN"/>
              </w:rPr>
            </w:pPr>
            <w:r>
              <w:rPr>
                <w:rFonts w:hint="default"/>
              </w:rPr>
              <w:t>6号治理点</w:t>
            </w:r>
            <w:r>
              <w:rPr>
                <w:rFonts w:hint="eastAsia"/>
                <w:lang w:eastAsia="zh-CN"/>
              </w:rPr>
              <w:t>:</w:t>
            </w:r>
            <w:r>
              <w:rPr>
                <w:rFonts w:hint="default"/>
                <w:lang w:val="en-US" w:eastAsia="zh-CN"/>
              </w:rPr>
              <w:t>E104°51′29</w:t>
            </w:r>
            <w:r>
              <w:rPr>
                <w:rFonts w:hint="eastAsia"/>
                <w:lang w:val="en-US" w:eastAsia="zh-CN"/>
              </w:rPr>
              <w:t>3</w:t>
            </w:r>
            <w:r>
              <w:rPr>
                <w:rFonts w:hint="default"/>
                <w:lang w:val="en-US" w:eastAsia="zh-CN"/>
              </w:rPr>
              <w:t>″,</w:t>
            </w:r>
            <w:r>
              <w:rPr>
                <w:rFonts w:hint="eastAsia"/>
                <w:lang w:val="en-US" w:eastAsia="zh-CN"/>
              </w:rPr>
              <w:t>N37</w:t>
            </w:r>
            <w:r>
              <w:rPr>
                <w:rFonts w:hint="default"/>
                <w:lang w:val="en-US" w:eastAsia="zh-CN"/>
              </w:rPr>
              <w:t>°16′45</w:t>
            </w:r>
            <w:r>
              <w:rPr>
                <w:rFonts w:hint="eastAsia"/>
                <w:lang w:val="en-US" w:eastAsia="zh-CN"/>
              </w:rPr>
              <w:t>9</w:t>
            </w:r>
            <w:r>
              <w:rPr>
                <w:rFonts w:hint="default"/>
                <w:lang w:val="en-US" w:eastAsia="zh-CN"/>
              </w:rPr>
              <w:t>″</w:t>
            </w:r>
          </w:p>
          <w:p>
            <w:pPr>
              <w:bidi w:val="0"/>
              <w:spacing w:line="240" w:lineRule="auto"/>
              <w:jc w:val="left"/>
              <w:rPr>
                <w:rFonts w:hint="default"/>
                <w:lang w:val="en-US" w:eastAsia="zh-CN"/>
              </w:rPr>
            </w:pPr>
            <w:r>
              <w:rPr>
                <w:rFonts w:hint="default"/>
              </w:rPr>
              <w:t>7号治理点</w:t>
            </w:r>
            <w:r>
              <w:rPr>
                <w:rFonts w:hint="eastAsia"/>
                <w:lang w:eastAsia="zh-CN"/>
              </w:rPr>
              <w:t>:</w:t>
            </w:r>
            <w:r>
              <w:rPr>
                <w:rFonts w:hint="default"/>
                <w:lang w:val="en-US" w:eastAsia="zh-CN"/>
              </w:rPr>
              <w:t>E104°51′31</w:t>
            </w:r>
            <w:r>
              <w:rPr>
                <w:rFonts w:hint="eastAsia"/>
                <w:lang w:val="en-US" w:eastAsia="zh-CN"/>
              </w:rPr>
              <w:t>5</w:t>
            </w:r>
            <w:r>
              <w:rPr>
                <w:rFonts w:hint="default"/>
                <w:lang w:val="en-US" w:eastAsia="zh-CN"/>
              </w:rPr>
              <w:t>″,</w:t>
            </w:r>
            <w:r>
              <w:rPr>
                <w:rFonts w:hint="eastAsia"/>
                <w:lang w:val="en-US" w:eastAsia="zh-CN"/>
              </w:rPr>
              <w:t>N37</w:t>
            </w:r>
            <w:r>
              <w:rPr>
                <w:rFonts w:hint="default"/>
                <w:lang w:val="en-US" w:eastAsia="zh-CN"/>
              </w:rPr>
              <w:t>°17′0</w:t>
            </w:r>
            <w:r>
              <w:rPr>
                <w:rFonts w:hint="eastAsia"/>
                <w:lang w:val="en-US" w:eastAsia="zh-CN"/>
              </w:rPr>
              <w:t>16</w:t>
            </w:r>
            <w:r>
              <w:rPr>
                <w:rFonts w:hint="default"/>
                <w:lang w:val="en-US" w:eastAsia="zh-CN"/>
              </w:rPr>
              <w:t>″</w:t>
            </w:r>
          </w:p>
          <w:p>
            <w:pPr>
              <w:bidi w:val="0"/>
              <w:spacing w:line="240" w:lineRule="auto"/>
              <w:jc w:val="left"/>
              <w:rPr>
                <w:rFonts w:hint="default"/>
                <w:lang w:eastAsia="zh-CN"/>
              </w:rPr>
            </w:pPr>
            <w:r>
              <w:rPr>
                <w:rFonts w:hint="default"/>
              </w:rPr>
              <w:t>8号治理点</w:t>
            </w:r>
            <w:r>
              <w:rPr>
                <w:rFonts w:hint="eastAsia"/>
                <w:lang w:eastAsia="zh-CN"/>
              </w:rPr>
              <w:t>:</w:t>
            </w:r>
            <w:r>
              <w:rPr>
                <w:rFonts w:hint="default"/>
                <w:lang w:val="en-US" w:eastAsia="zh-CN"/>
              </w:rPr>
              <w:t>E</w:t>
            </w:r>
            <w:r>
              <w:rPr>
                <w:rFonts w:hint="default"/>
                <w:lang w:eastAsia="zh-CN"/>
              </w:rPr>
              <w:t>104°51′51</w:t>
            </w:r>
            <w:r>
              <w:rPr>
                <w:rFonts w:hint="eastAsia"/>
                <w:lang w:val="en-US" w:eastAsia="zh-CN"/>
              </w:rPr>
              <w:t>2</w:t>
            </w:r>
            <w:r>
              <w:rPr>
                <w:rFonts w:hint="default"/>
                <w:lang w:eastAsia="zh-CN"/>
              </w:rPr>
              <w:t>″,</w:t>
            </w:r>
            <w:r>
              <w:rPr>
                <w:rFonts w:hint="eastAsia"/>
                <w:lang w:eastAsia="zh-CN"/>
              </w:rPr>
              <w:t>N37</w:t>
            </w:r>
            <w:r>
              <w:rPr>
                <w:rFonts w:hint="default"/>
                <w:lang w:eastAsia="zh-CN"/>
              </w:rPr>
              <w:t>°17′</w:t>
            </w:r>
            <w:r>
              <w:rPr>
                <w:rFonts w:hint="eastAsia"/>
                <w:lang w:val="en-US" w:eastAsia="zh-CN"/>
              </w:rPr>
              <w:t>0</w:t>
            </w:r>
            <w:r>
              <w:rPr>
                <w:rFonts w:hint="default"/>
                <w:lang w:eastAsia="zh-CN"/>
              </w:rPr>
              <w:t>9</w:t>
            </w:r>
            <w:r>
              <w:rPr>
                <w:rFonts w:hint="eastAsia"/>
                <w:lang w:val="en-US" w:eastAsia="zh-CN"/>
              </w:rPr>
              <w:t>3</w:t>
            </w:r>
            <w:r>
              <w:rPr>
                <w:rFonts w:hint="default"/>
                <w:lang w:eastAsia="zh-CN"/>
              </w:rPr>
              <w:t>″</w:t>
            </w:r>
          </w:p>
          <w:p>
            <w:pPr>
              <w:bidi w:val="0"/>
              <w:spacing w:line="240" w:lineRule="auto"/>
              <w:jc w:val="left"/>
              <w:rPr>
                <w:rFonts w:hint="default"/>
                <w:lang w:eastAsia="zh-CN"/>
              </w:rPr>
            </w:pPr>
            <w:r>
              <w:rPr>
                <w:rFonts w:hint="default"/>
              </w:rPr>
              <w:t>9号治理点</w:t>
            </w:r>
            <w:r>
              <w:rPr>
                <w:rFonts w:hint="eastAsia"/>
                <w:lang w:eastAsia="zh-CN"/>
              </w:rPr>
              <w:t>:</w:t>
            </w:r>
            <w:r>
              <w:rPr>
                <w:rFonts w:hint="default"/>
                <w:lang w:val="en-US" w:eastAsia="zh-CN"/>
              </w:rPr>
              <w:t>E</w:t>
            </w:r>
            <w:r>
              <w:rPr>
                <w:rFonts w:hint="default"/>
                <w:lang w:eastAsia="zh-CN"/>
              </w:rPr>
              <w:t>104°50′52</w:t>
            </w:r>
            <w:r>
              <w:rPr>
                <w:rFonts w:hint="eastAsia"/>
                <w:lang w:val="en-US" w:eastAsia="zh-CN"/>
              </w:rPr>
              <w:t>9</w:t>
            </w:r>
            <w:r>
              <w:rPr>
                <w:rFonts w:hint="default"/>
                <w:lang w:eastAsia="zh-CN"/>
              </w:rPr>
              <w:t>″,</w:t>
            </w:r>
            <w:r>
              <w:rPr>
                <w:rFonts w:hint="eastAsia"/>
                <w:lang w:eastAsia="zh-CN"/>
              </w:rPr>
              <w:t>N37</w:t>
            </w:r>
            <w:r>
              <w:rPr>
                <w:rFonts w:hint="default"/>
                <w:lang w:eastAsia="zh-CN"/>
              </w:rPr>
              <w:t>°17′15</w:t>
            </w:r>
            <w:r>
              <w:rPr>
                <w:rFonts w:hint="eastAsia"/>
                <w:lang w:val="en-US" w:eastAsia="zh-CN"/>
              </w:rPr>
              <w:t>4</w:t>
            </w:r>
            <w:r>
              <w:rPr>
                <w:rFonts w:hint="default"/>
                <w:lang w:eastAsia="zh-CN"/>
              </w:rPr>
              <w:t>″</w:t>
            </w:r>
          </w:p>
          <w:p>
            <w:pPr>
              <w:bidi w:val="0"/>
              <w:spacing w:line="240" w:lineRule="auto"/>
              <w:jc w:val="left"/>
              <w:rPr>
                <w:rFonts w:hint="eastAsia"/>
                <w:lang w:eastAsia="zh-CN"/>
              </w:rPr>
            </w:pPr>
            <w:r>
              <w:rPr>
                <w:rFonts w:hint="default"/>
              </w:rPr>
              <w:t>10号治理点</w:t>
            </w:r>
            <w:r>
              <w:rPr>
                <w:rFonts w:hint="eastAsia"/>
                <w:lang w:eastAsia="zh-CN"/>
              </w:rPr>
              <w:t>:</w:t>
            </w:r>
            <w:r>
              <w:rPr>
                <w:rFonts w:hint="default"/>
                <w:lang w:val="en-US" w:eastAsia="zh-CN"/>
              </w:rPr>
              <w:t>E</w:t>
            </w:r>
            <w:r>
              <w:rPr>
                <w:rFonts w:hint="default"/>
                <w:lang w:eastAsia="zh-CN"/>
              </w:rPr>
              <w:t>104°50′50</w:t>
            </w:r>
            <w:r>
              <w:rPr>
                <w:rFonts w:hint="eastAsia"/>
                <w:lang w:val="en-US" w:eastAsia="zh-CN"/>
              </w:rPr>
              <w:t>3</w:t>
            </w:r>
            <w:r>
              <w:rPr>
                <w:rFonts w:hint="default"/>
                <w:lang w:eastAsia="zh-CN"/>
              </w:rPr>
              <w:t>″,</w:t>
            </w:r>
            <w:r>
              <w:rPr>
                <w:rFonts w:hint="eastAsia"/>
                <w:lang w:eastAsia="zh-CN"/>
              </w:rPr>
              <w:t>N37</w:t>
            </w:r>
            <w:r>
              <w:rPr>
                <w:rFonts w:hint="default"/>
                <w:lang w:eastAsia="zh-CN"/>
              </w:rPr>
              <w:t>°17′23</w:t>
            </w:r>
            <w:r>
              <w:rPr>
                <w:rFonts w:hint="eastAsia"/>
                <w:lang w:val="en-US" w:eastAsia="zh-CN"/>
              </w:rPr>
              <w:t>5</w:t>
            </w:r>
            <w:r>
              <w:rPr>
                <w:rFonts w:hint="default"/>
                <w:lang w:eastAsia="zh-CN"/>
              </w:rPr>
              <w:t>″</w:t>
            </w:r>
          </w:p>
          <w:p>
            <w:pPr>
              <w:bidi w:val="0"/>
              <w:spacing w:line="240" w:lineRule="auto"/>
              <w:jc w:val="left"/>
              <w:rPr>
                <w:rFonts w:hint="eastAsia"/>
                <w:lang w:eastAsia="zh-CN"/>
              </w:rPr>
            </w:pPr>
            <w:r>
              <w:rPr>
                <w:rFonts w:hint="default"/>
              </w:rPr>
              <w:t>11号治理点</w:t>
            </w:r>
            <w:r>
              <w:rPr>
                <w:rFonts w:hint="eastAsia"/>
                <w:lang w:eastAsia="zh-CN"/>
              </w:rPr>
              <w:t>:</w:t>
            </w:r>
            <w:r>
              <w:rPr>
                <w:rFonts w:hint="default"/>
                <w:lang w:val="en-US" w:eastAsia="zh-CN"/>
              </w:rPr>
              <w:t>E</w:t>
            </w:r>
            <w:r>
              <w:rPr>
                <w:rFonts w:hint="default"/>
                <w:lang w:eastAsia="zh-CN"/>
              </w:rPr>
              <w:t>104°50′30</w:t>
            </w:r>
            <w:r>
              <w:rPr>
                <w:rFonts w:hint="eastAsia"/>
                <w:lang w:val="en-US" w:eastAsia="zh-CN"/>
              </w:rPr>
              <w:t>1</w:t>
            </w:r>
            <w:r>
              <w:rPr>
                <w:rFonts w:hint="default"/>
                <w:lang w:eastAsia="zh-CN"/>
              </w:rPr>
              <w:t>″,</w:t>
            </w:r>
            <w:r>
              <w:rPr>
                <w:rFonts w:hint="eastAsia"/>
                <w:lang w:eastAsia="zh-CN"/>
              </w:rPr>
              <w:t>N37</w:t>
            </w:r>
            <w:r>
              <w:rPr>
                <w:rFonts w:hint="default"/>
                <w:lang w:eastAsia="zh-CN"/>
              </w:rPr>
              <w:t>°17′27</w:t>
            </w:r>
            <w:r>
              <w:rPr>
                <w:rFonts w:hint="eastAsia"/>
                <w:lang w:val="en-US" w:eastAsia="zh-CN"/>
              </w:rPr>
              <w:t>7</w:t>
            </w:r>
            <w:r>
              <w:rPr>
                <w:rFonts w:hint="default"/>
                <w:lang w:eastAsia="zh-CN"/>
              </w:rPr>
              <w:t>″</w:t>
            </w:r>
          </w:p>
          <w:p>
            <w:pPr>
              <w:bidi w:val="0"/>
              <w:spacing w:line="240" w:lineRule="auto"/>
              <w:jc w:val="left"/>
              <w:rPr>
                <w:rFonts w:hint="eastAsia"/>
                <w:lang w:eastAsia="zh-CN"/>
              </w:rPr>
            </w:pPr>
            <w:r>
              <w:rPr>
                <w:rFonts w:hint="default"/>
              </w:rPr>
              <w:t>12号治理点</w:t>
            </w:r>
            <w:r>
              <w:rPr>
                <w:rFonts w:hint="eastAsia"/>
                <w:lang w:eastAsia="zh-CN"/>
              </w:rPr>
              <w:t>:</w:t>
            </w:r>
            <w:r>
              <w:rPr>
                <w:rFonts w:hint="default"/>
                <w:lang w:val="en-US" w:eastAsia="zh-CN"/>
              </w:rPr>
              <w:t>E</w:t>
            </w:r>
            <w:r>
              <w:rPr>
                <w:rFonts w:hint="default"/>
                <w:lang w:eastAsia="zh-CN"/>
              </w:rPr>
              <w:t>104°49′50</w:t>
            </w:r>
            <w:r>
              <w:rPr>
                <w:rFonts w:hint="eastAsia"/>
                <w:lang w:val="en-US" w:eastAsia="zh-CN"/>
              </w:rPr>
              <w:t>3</w:t>
            </w:r>
            <w:r>
              <w:rPr>
                <w:rFonts w:hint="default"/>
                <w:lang w:eastAsia="zh-CN"/>
              </w:rPr>
              <w:t>″,</w:t>
            </w:r>
            <w:r>
              <w:rPr>
                <w:rFonts w:hint="eastAsia"/>
                <w:lang w:eastAsia="zh-CN"/>
              </w:rPr>
              <w:t>N37</w:t>
            </w:r>
            <w:r>
              <w:rPr>
                <w:rFonts w:hint="default"/>
                <w:lang w:eastAsia="zh-CN"/>
              </w:rPr>
              <w:t>°17′36</w:t>
            </w:r>
            <w:r>
              <w:rPr>
                <w:rFonts w:hint="eastAsia"/>
                <w:lang w:val="en-US" w:eastAsia="zh-CN"/>
              </w:rPr>
              <w:t>4</w:t>
            </w:r>
            <w:r>
              <w:rPr>
                <w:rFonts w:hint="default"/>
                <w:lang w:eastAsia="zh-CN"/>
              </w:rPr>
              <w:t>″</w:t>
            </w:r>
          </w:p>
          <w:p>
            <w:pPr>
              <w:bidi w:val="0"/>
              <w:spacing w:line="240" w:lineRule="auto"/>
              <w:jc w:val="left"/>
              <w:rPr>
                <w:rFonts w:hint="default"/>
                <w:lang w:eastAsia="zh-CN"/>
              </w:rPr>
            </w:pPr>
            <w:r>
              <w:rPr>
                <w:rFonts w:hint="default"/>
              </w:rPr>
              <w:t>13号治理点</w:t>
            </w:r>
            <w:r>
              <w:rPr>
                <w:rFonts w:hint="eastAsia"/>
                <w:lang w:eastAsia="zh-CN"/>
              </w:rPr>
              <w:t>:</w:t>
            </w:r>
            <w:r>
              <w:rPr>
                <w:rFonts w:hint="default"/>
                <w:lang w:val="en-US" w:eastAsia="zh-CN"/>
              </w:rPr>
              <w:t>E</w:t>
            </w:r>
            <w:r>
              <w:rPr>
                <w:rFonts w:hint="default"/>
                <w:lang w:eastAsia="zh-CN"/>
              </w:rPr>
              <w:t>104°51′52</w:t>
            </w:r>
            <w:r>
              <w:rPr>
                <w:rFonts w:hint="eastAsia"/>
                <w:lang w:val="en-US" w:eastAsia="zh-CN"/>
              </w:rPr>
              <w:t>1</w:t>
            </w:r>
            <w:r>
              <w:rPr>
                <w:rFonts w:hint="default"/>
                <w:lang w:eastAsia="zh-CN"/>
              </w:rPr>
              <w:t>″,</w:t>
            </w:r>
            <w:r>
              <w:rPr>
                <w:rFonts w:hint="eastAsia"/>
                <w:lang w:eastAsia="zh-CN"/>
              </w:rPr>
              <w:t>N37</w:t>
            </w:r>
            <w:r>
              <w:rPr>
                <w:rFonts w:hint="default"/>
                <w:lang w:eastAsia="zh-CN"/>
              </w:rPr>
              <w:t>°16′</w:t>
            </w:r>
            <w:r>
              <w:rPr>
                <w:rFonts w:hint="eastAsia"/>
                <w:lang w:val="en-US" w:eastAsia="zh-CN"/>
              </w:rPr>
              <w:t>0</w:t>
            </w:r>
            <w:r>
              <w:rPr>
                <w:rFonts w:hint="default"/>
                <w:lang w:eastAsia="zh-CN"/>
              </w:rPr>
              <w:t>4</w:t>
            </w:r>
            <w:r>
              <w:rPr>
                <w:rFonts w:hint="eastAsia"/>
                <w:lang w:val="en-US" w:eastAsia="zh-CN"/>
              </w:rPr>
              <w:t>4</w:t>
            </w:r>
            <w:r>
              <w:rPr>
                <w:rFonts w:hint="default"/>
                <w:lang w:eastAsia="zh-CN"/>
              </w:rPr>
              <w:t>″</w:t>
            </w:r>
          </w:p>
          <w:p>
            <w:pPr>
              <w:bidi w:val="0"/>
              <w:spacing w:line="240" w:lineRule="auto"/>
              <w:jc w:val="left"/>
              <w:rPr>
                <w:rFonts w:hint="eastAsia"/>
                <w:lang w:eastAsia="zh-CN"/>
              </w:rPr>
            </w:pPr>
            <w:r>
              <w:rPr>
                <w:b/>
                <w:bCs/>
              </w:rPr>
              <w:t>香山黄泉村一采区生态修复治理区</w:t>
            </w:r>
            <w:r>
              <w:rPr>
                <w:rFonts w:hint="eastAsia"/>
                <w:b/>
                <w:bCs/>
                <w:lang w:eastAsia="zh-CN"/>
              </w:rPr>
              <w:t>：</w:t>
            </w:r>
          </w:p>
          <w:p>
            <w:pPr>
              <w:bidi w:val="0"/>
              <w:spacing w:line="240" w:lineRule="auto"/>
              <w:jc w:val="left"/>
              <w:rPr>
                <w:rFonts w:hint="default" w:ascii="Times New Roman" w:hAnsi="Times New Roman" w:cs="Times New Roman"/>
                <w:lang w:eastAsia="zh-CN"/>
              </w:rPr>
            </w:pPr>
            <w:r>
              <w:rPr>
                <w:rFonts w:hint="default" w:ascii="Times New Roman" w:hAnsi="Times New Roman" w:cs="Times New Roman"/>
                <w:lang w:val="en-US" w:eastAsia="zh-CN"/>
              </w:rPr>
              <w:t>1</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°48′41</w:t>
            </w:r>
            <w:r>
              <w:rPr>
                <w:rFonts w:hint="eastAsia" w:cs="Times New Roman"/>
                <w:lang w:val="en-US" w:eastAsia="zh-CN"/>
              </w:rPr>
              <w:t>3</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°18′45</w:t>
            </w:r>
            <w:r>
              <w:rPr>
                <w:rFonts w:hint="eastAsia" w:cs="Times New Roman"/>
                <w:lang w:val="en-US" w:eastAsia="zh-CN"/>
              </w:rPr>
              <w:t>2</w:t>
            </w:r>
            <w:r>
              <w:rPr>
                <w:rFonts w:hint="default" w:ascii="Times New Roman" w:hAnsi="Times New Roman" w:cs="Times New Roman"/>
                <w:lang w:eastAsia="zh-CN"/>
              </w:rPr>
              <w:t>″</w:t>
            </w:r>
          </w:p>
          <w:p>
            <w:pPr>
              <w:bidi w:val="0"/>
              <w:spacing w:line="240" w:lineRule="auto"/>
              <w:jc w:val="left"/>
              <w:rPr>
                <w:rFonts w:hint="default" w:ascii="Times New Roman" w:hAnsi="Times New Roman" w:eastAsia="宋体" w:cs="Times New Roman"/>
                <w:lang w:eastAsia="zh-CN"/>
              </w:rPr>
            </w:pPr>
            <w:r>
              <w:rPr>
                <w:rFonts w:hint="default" w:ascii="Times New Roman" w:hAnsi="Times New Roman" w:cs="Times New Roman"/>
                <w:lang w:val="en-US" w:eastAsia="zh-CN"/>
              </w:rPr>
              <w:t>2</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°48′58</w:t>
            </w:r>
            <w:r>
              <w:rPr>
                <w:rFonts w:hint="eastAsia" w:cs="Times New Roman"/>
                <w:lang w:val="en-US" w:eastAsia="zh-CN"/>
              </w:rPr>
              <w:t>3</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°18′54</w:t>
            </w:r>
            <w:r>
              <w:rPr>
                <w:rFonts w:hint="eastAsia" w:cs="Times New Roman"/>
                <w:lang w:val="en-US" w:eastAsia="zh-CN"/>
              </w:rPr>
              <w:t>4</w:t>
            </w:r>
            <w:r>
              <w:rPr>
                <w:rFonts w:hint="default" w:ascii="Times New Roman" w:hAnsi="Times New Roman" w:cs="Times New Roman"/>
                <w:lang w:eastAsia="zh-CN"/>
              </w:rPr>
              <w:t>″</w:t>
            </w:r>
          </w:p>
          <w:p>
            <w:pPr>
              <w:bidi w:val="0"/>
              <w:spacing w:line="240" w:lineRule="auto"/>
              <w:jc w:val="left"/>
              <w:rPr>
                <w:rFonts w:hint="default" w:ascii="Times New Roman" w:hAnsi="Times New Roman" w:eastAsia="宋体" w:cs="Times New Roman"/>
                <w:lang w:eastAsia="zh-CN"/>
              </w:rPr>
            </w:pPr>
            <w:r>
              <w:rPr>
                <w:rFonts w:hint="default" w:ascii="Times New Roman" w:hAnsi="Times New Roman" w:cs="Times New Roman"/>
                <w:lang w:val="en-US" w:eastAsia="zh-CN"/>
              </w:rPr>
              <w:t>3</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°49′12</w:t>
            </w:r>
            <w:r>
              <w:rPr>
                <w:rFonts w:hint="eastAsia" w:cs="Times New Roman"/>
                <w:lang w:val="en-US" w:eastAsia="zh-CN"/>
              </w:rPr>
              <w:t>5</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°18′51</w:t>
            </w:r>
            <w:r>
              <w:rPr>
                <w:rFonts w:hint="eastAsia" w:cs="Times New Roman"/>
                <w:lang w:val="en-US" w:eastAsia="zh-CN"/>
              </w:rPr>
              <w:t>6</w:t>
            </w:r>
            <w:r>
              <w:rPr>
                <w:rFonts w:hint="default" w:ascii="Times New Roman" w:hAnsi="Times New Roman" w:cs="Times New Roman"/>
                <w:lang w:eastAsia="zh-CN"/>
              </w:rPr>
              <w:t>″</w:t>
            </w:r>
          </w:p>
          <w:p>
            <w:pPr>
              <w:bidi w:val="0"/>
              <w:spacing w:line="240" w:lineRule="auto"/>
              <w:jc w:val="left"/>
              <w:rPr>
                <w:rFonts w:hint="default" w:ascii="Times New Roman" w:hAnsi="Times New Roman" w:eastAsia="宋体" w:cs="Times New Roman"/>
                <w:lang w:eastAsia="zh-CN"/>
              </w:rPr>
            </w:pPr>
            <w:r>
              <w:rPr>
                <w:rFonts w:hint="default" w:ascii="Times New Roman" w:hAnsi="Times New Roman" w:cs="Times New Roman"/>
                <w:lang w:val="en-US" w:eastAsia="zh-CN"/>
              </w:rPr>
              <w:t>4</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°49′28</w:t>
            </w:r>
            <w:r>
              <w:rPr>
                <w:rFonts w:hint="eastAsia" w:cs="Times New Roman"/>
                <w:lang w:val="en-US" w:eastAsia="zh-CN"/>
              </w:rPr>
              <w:t>3</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°18′56</w:t>
            </w:r>
            <w:r>
              <w:rPr>
                <w:rFonts w:hint="eastAsia" w:cs="Times New Roman"/>
                <w:lang w:val="en-US" w:eastAsia="zh-CN"/>
              </w:rPr>
              <w:t>5</w:t>
            </w:r>
            <w:r>
              <w:rPr>
                <w:rFonts w:hint="default" w:ascii="Times New Roman" w:hAnsi="Times New Roman" w:cs="Times New Roman"/>
                <w:lang w:eastAsia="zh-CN"/>
              </w:rPr>
              <w:t>″</w:t>
            </w:r>
          </w:p>
          <w:p>
            <w:pPr>
              <w:bidi w:val="0"/>
              <w:spacing w:line="240" w:lineRule="auto"/>
              <w:jc w:val="left"/>
              <w:rPr>
                <w:rFonts w:hint="default" w:ascii="Times New Roman" w:hAnsi="Times New Roman" w:eastAsia="宋体" w:cs="Times New Roman"/>
                <w:lang w:eastAsia="zh-CN"/>
              </w:rPr>
            </w:pPr>
            <w:r>
              <w:rPr>
                <w:rFonts w:hint="default" w:ascii="Times New Roman" w:hAnsi="Times New Roman" w:cs="Times New Roman"/>
                <w:lang w:val="en-US" w:eastAsia="zh-CN"/>
              </w:rPr>
              <w:t>5</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°49′46</w:t>
            </w:r>
            <w:r>
              <w:rPr>
                <w:rFonts w:hint="eastAsia" w:cs="Times New Roman"/>
                <w:lang w:val="en-US" w:eastAsia="zh-CN"/>
              </w:rPr>
              <w:t>3</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°19′</w:t>
            </w:r>
            <w:r>
              <w:rPr>
                <w:rFonts w:hint="eastAsia" w:cs="Times New Roman"/>
                <w:lang w:val="en-US" w:eastAsia="zh-CN"/>
              </w:rPr>
              <w:t>0</w:t>
            </w:r>
            <w:r>
              <w:rPr>
                <w:rFonts w:hint="default" w:ascii="Times New Roman" w:hAnsi="Times New Roman" w:cs="Times New Roman"/>
                <w:lang w:eastAsia="zh-CN"/>
              </w:rPr>
              <w:t>6</w:t>
            </w:r>
            <w:r>
              <w:rPr>
                <w:rFonts w:hint="eastAsia" w:cs="Times New Roman"/>
                <w:lang w:val="en-US" w:eastAsia="zh-CN"/>
              </w:rPr>
              <w:t>6</w:t>
            </w:r>
            <w:r>
              <w:rPr>
                <w:rFonts w:hint="default" w:ascii="Times New Roman" w:hAnsi="Times New Roman" w:cs="Times New Roman"/>
                <w:lang w:eastAsia="zh-CN"/>
              </w:rPr>
              <w:t>″</w:t>
            </w:r>
          </w:p>
          <w:p>
            <w:pPr>
              <w:bidi w:val="0"/>
              <w:spacing w:line="240" w:lineRule="auto"/>
              <w:jc w:val="left"/>
              <w:rPr>
                <w:rFonts w:hint="default" w:ascii="Times New Roman" w:hAnsi="Times New Roman" w:eastAsia="宋体" w:cs="Times New Roman"/>
                <w:lang w:eastAsia="zh-CN"/>
              </w:rPr>
            </w:pPr>
            <w:r>
              <w:rPr>
                <w:rFonts w:hint="default" w:ascii="Times New Roman" w:hAnsi="Times New Roman" w:cs="Times New Roman"/>
                <w:lang w:val="en-US" w:eastAsia="zh-CN"/>
              </w:rPr>
              <w:t>6</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°49′57</w:t>
            </w:r>
            <w:r>
              <w:rPr>
                <w:rFonts w:hint="eastAsia" w:cs="Times New Roman"/>
                <w:lang w:val="en-US" w:eastAsia="zh-CN"/>
              </w:rPr>
              <w:t>1</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°19′</w:t>
            </w:r>
            <w:r>
              <w:rPr>
                <w:rFonts w:hint="eastAsia" w:cs="Times New Roman"/>
                <w:lang w:val="en-US" w:eastAsia="zh-CN"/>
              </w:rPr>
              <w:t>0</w:t>
            </w:r>
            <w:r>
              <w:rPr>
                <w:rFonts w:hint="default" w:ascii="Times New Roman" w:hAnsi="Times New Roman" w:cs="Times New Roman"/>
                <w:lang w:eastAsia="zh-CN"/>
              </w:rPr>
              <w:t>6</w:t>
            </w:r>
            <w:r>
              <w:rPr>
                <w:rFonts w:hint="eastAsia" w:cs="Times New Roman"/>
                <w:lang w:val="en-US" w:eastAsia="zh-CN"/>
              </w:rPr>
              <w:t>2</w:t>
            </w:r>
            <w:r>
              <w:rPr>
                <w:rFonts w:hint="default" w:ascii="Times New Roman" w:hAnsi="Times New Roman" w:cs="Times New Roman"/>
                <w:lang w:eastAsia="zh-CN"/>
              </w:rPr>
              <w:t>″</w:t>
            </w:r>
          </w:p>
          <w:p>
            <w:pPr>
              <w:bidi w:val="0"/>
              <w:spacing w:line="240" w:lineRule="auto"/>
              <w:jc w:val="left"/>
              <w:rPr>
                <w:rFonts w:hint="default" w:ascii="Times New Roman" w:hAnsi="Times New Roman" w:cs="Times New Roman"/>
                <w:lang w:eastAsia="zh-CN"/>
              </w:rPr>
            </w:pPr>
            <w:r>
              <w:rPr>
                <w:rFonts w:hint="default" w:ascii="Times New Roman" w:hAnsi="Times New Roman" w:cs="Times New Roman"/>
              </w:rPr>
              <w:t>7号治理点</w:t>
            </w:r>
            <w:r>
              <w:rPr>
                <w:rFonts w:hint="eastAsia" w:cs="Times New Roman"/>
                <w:lang w:eastAsia="zh-CN"/>
              </w:rPr>
              <w:t>:E104</w:t>
            </w:r>
            <w:r>
              <w:rPr>
                <w:rFonts w:hint="default" w:ascii="Times New Roman" w:hAnsi="Times New Roman" w:cs="Times New Roman"/>
                <w:lang w:eastAsia="zh-CN"/>
              </w:rPr>
              <w:t>°50′22</w:t>
            </w:r>
            <w:r>
              <w:rPr>
                <w:rFonts w:hint="eastAsia" w:cs="Times New Roman"/>
                <w:lang w:val="en-US" w:eastAsia="zh-CN"/>
              </w:rPr>
              <w:t>4</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°19′</w:t>
            </w:r>
            <w:r>
              <w:rPr>
                <w:rFonts w:hint="eastAsia" w:cs="Times New Roman"/>
                <w:lang w:val="en-US" w:eastAsia="zh-CN"/>
              </w:rPr>
              <w:t>0</w:t>
            </w:r>
            <w:r>
              <w:rPr>
                <w:rFonts w:hint="default" w:ascii="Times New Roman" w:hAnsi="Times New Roman" w:cs="Times New Roman"/>
                <w:lang w:eastAsia="zh-CN"/>
              </w:rPr>
              <w:t>8</w:t>
            </w:r>
            <w:r>
              <w:rPr>
                <w:rFonts w:hint="eastAsia" w:cs="Times New Roman"/>
                <w:lang w:val="en-US" w:eastAsia="zh-CN"/>
              </w:rPr>
              <w:t>3</w:t>
            </w:r>
            <w:r>
              <w:rPr>
                <w:rFonts w:hint="default" w:ascii="Times New Roman" w:hAnsi="Times New Roman" w:cs="Times New Roman"/>
                <w:lang w:eastAsia="zh-CN"/>
              </w:rPr>
              <w:t>″</w:t>
            </w:r>
          </w:p>
          <w:p>
            <w:pPr>
              <w:bidi w:val="0"/>
              <w:spacing w:line="240" w:lineRule="auto"/>
              <w:jc w:val="left"/>
              <w:rPr>
                <w:rFonts w:hint="eastAsia"/>
                <w:b/>
                <w:bCs/>
                <w:lang w:eastAsia="zh-CN"/>
              </w:rPr>
            </w:pPr>
            <w:r>
              <w:rPr>
                <w:b/>
                <w:bCs/>
              </w:rPr>
              <w:t>香山</w:t>
            </w:r>
            <w:r>
              <w:rPr>
                <w:rFonts w:hint="eastAsia"/>
                <w:b/>
                <w:bCs/>
                <w:lang w:eastAsia="zh-CN"/>
              </w:rPr>
              <w:t>乡</w:t>
            </w:r>
            <w:r>
              <w:rPr>
                <w:b/>
                <w:bCs/>
              </w:rPr>
              <w:t>黄泉村二采区生态修复治理区</w:t>
            </w:r>
            <w:r>
              <w:rPr>
                <w:rFonts w:hint="eastAsia"/>
                <w:b/>
                <w:bCs/>
                <w:lang w:eastAsia="zh-CN"/>
              </w:rPr>
              <w:t>：</w:t>
            </w:r>
          </w:p>
          <w:p>
            <w:pPr>
              <w:bidi w:val="0"/>
              <w:spacing w:line="240" w:lineRule="auto"/>
              <w:jc w:val="left"/>
              <w:rPr>
                <w:rFonts w:hint="eastAsia" w:ascii="Times New Roman" w:hAnsi="Times New Roman" w:cs="Times New Roman"/>
                <w:lang w:eastAsia="zh-CN"/>
              </w:rPr>
            </w:pPr>
            <w:r>
              <w:t>6号治理点</w:t>
            </w:r>
            <w:r>
              <w:rPr>
                <w:rFonts w:hint="eastAsia"/>
                <w:lang w:val="en-US" w:eastAsia="zh-CN"/>
              </w:rPr>
              <w:t>:</w:t>
            </w:r>
            <w:r>
              <w:rPr>
                <w:rFonts w:hint="default"/>
                <w:lang w:val="en-US" w:eastAsia="zh-CN"/>
              </w:rPr>
              <w:t>E104°51′27</w:t>
            </w:r>
            <w:r>
              <w:rPr>
                <w:rFonts w:hint="eastAsia"/>
                <w:lang w:val="en-US" w:eastAsia="zh-CN"/>
              </w:rPr>
              <w:t>2</w:t>
            </w:r>
            <w:r>
              <w:rPr>
                <w:rFonts w:hint="default"/>
                <w:lang w:val="en-US" w:eastAsia="zh-CN"/>
              </w:rPr>
              <w:t>″,</w:t>
            </w:r>
            <w:r>
              <w:rPr>
                <w:rFonts w:hint="eastAsia"/>
                <w:lang w:val="en-US" w:eastAsia="zh-CN"/>
              </w:rPr>
              <w:t>N</w:t>
            </w:r>
            <w:r>
              <w:rPr>
                <w:rFonts w:hint="default"/>
                <w:lang w:val="en-US" w:eastAsia="zh-CN"/>
              </w:rPr>
              <w:t>37°18′57</w:t>
            </w:r>
            <w:r>
              <w:rPr>
                <w:rFonts w:hint="eastAsia"/>
                <w:lang w:val="en-US" w:eastAsia="zh-CN"/>
              </w:rPr>
              <w:t>2</w:t>
            </w:r>
            <w:r>
              <w:rPr>
                <w:rFonts w:hint="default"/>
                <w:lang w:val="en-US" w:eastAsia="zh-CN"/>
              </w:rPr>
              <w:t>″</w:t>
            </w:r>
          </w:p>
          <w:p>
            <w:pPr>
              <w:bidi w:val="0"/>
              <w:spacing w:line="240" w:lineRule="auto"/>
              <w:jc w:val="left"/>
              <w:rPr>
                <w:rFonts w:hint="eastAsia"/>
                <w:b/>
                <w:bCs/>
                <w:lang w:eastAsia="zh-CN"/>
              </w:rPr>
            </w:pPr>
            <w:r>
              <w:rPr>
                <w:b/>
                <w:bCs/>
              </w:rPr>
              <w:t>香山黄泉村三采区生态修复治理区</w:t>
            </w:r>
            <w:r>
              <w:rPr>
                <w:rFonts w:hint="eastAsia"/>
                <w:b/>
                <w:bCs/>
                <w:lang w:eastAsia="zh-CN"/>
              </w:rPr>
              <w:t>：</w:t>
            </w:r>
          </w:p>
          <w:p>
            <w:pPr>
              <w:bidi w:val="0"/>
              <w:spacing w:line="240" w:lineRule="auto"/>
              <w:jc w:val="left"/>
              <w:rPr>
                <w:rFonts w:hint="default" w:ascii="Times New Roman" w:hAnsi="Times New Roman" w:cs="Times New Roman"/>
                <w:lang w:eastAsia="zh-CN"/>
              </w:rPr>
            </w:pPr>
            <w:r>
              <w:rPr>
                <w:rFonts w:hint="default" w:ascii="Times New Roman" w:hAnsi="Times New Roman" w:cs="Times New Roman"/>
                <w:lang w:val="en-US" w:eastAsia="zh-CN"/>
              </w:rPr>
              <w:t>1</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°55′16</w:t>
            </w:r>
            <w:r>
              <w:rPr>
                <w:rFonts w:hint="eastAsia" w:cs="Times New Roman"/>
                <w:lang w:val="en-US" w:eastAsia="zh-CN"/>
              </w:rPr>
              <w:t>2</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°18′38</w:t>
            </w:r>
            <w:r>
              <w:rPr>
                <w:rFonts w:hint="eastAsia" w:cs="Times New Roman"/>
                <w:lang w:val="en-US" w:eastAsia="zh-CN"/>
              </w:rPr>
              <w:t>3</w:t>
            </w:r>
            <w:r>
              <w:rPr>
                <w:rFonts w:hint="default" w:ascii="Times New Roman" w:hAnsi="Times New Roman" w:cs="Times New Roman"/>
                <w:lang w:eastAsia="zh-CN"/>
              </w:rPr>
              <w:t>″</w:t>
            </w:r>
          </w:p>
          <w:p>
            <w:pPr>
              <w:bidi w:val="0"/>
              <w:spacing w:line="240" w:lineRule="auto"/>
              <w:jc w:val="left"/>
              <w:rPr>
                <w:rFonts w:hint="default" w:ascii="Times New Roman" w:hAnsi="Times New Roman" w:eastAsia="宋体" w:cs="Times New Roman"/>
                <w:lang w:eastAsia="zh-CN"/>
              </w:rPr>
            </w:pPr>
            <w:r>
              <w:rPr>
                <w:rFonts w:hint="default" w:ascii="Times New Roman" w:hAnsi="Times New Roman" w:cs="Times New Roman"/>
                <w:lang w:val="en-US" w:eastAsia="zh-CN"/>
              </w:rPr>
              <w:t>2</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°55′31</w:t>
            </w:r>
            <w:r>
              <w:rPr>
                <w:rFonts w:hint="eastAsia" w:cs="Times New Roman"/>
                <w:lang w:val="en-US" w:eastAsia="zh-CN"/>
              </w:rPr>
              <w:t>1</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°18′4</w:t>
            </w:r>
            <w:r>
              <w:rPr>
                <w:rFonts w:hint="eastAsia" w:cs="Times New Roman"/>
                <w:lang w:val="en-US" w:eastAsia="zh-CN"/>
              </w:rPr>
              <w:t>2</w:t>
            </w:r>
            <w:r>
              <w:rPr>
                <w:rFonts w:hint="default" w:ascii="Times New Roman" w:hAnsi="Times New Roman" w:cs="Times New Roman"/>
                <w:lang w:eastAsia="zh-CN"/>
              </w:rPr>
              <w:t>2″</w:t>
            </w:r>
          </w:p>
          <w:p>
            <w:pPr>
              <w:bidi w:val="0"/>
              <w:spacing w:line="240" w:lineRule="auto"/>
              <w:jc w:val="left"/>
              <w:rPr>
                <w:rFonts w:hint="default" w:ascii="Times New Roman" w:hAnsi="Times New Roman" w:cs="Times New Roman"/>
                <w:lang w:eastAsia="zh-CN"/>
              </w:rPr>
            </w:pPr>
            <w:r>
              <w:rPr>
                <w:rFonts w:hint="default" w:ascii="Times New Roman" w:hAnsi="Times New Roman" w:cs="Times New Roman"/>
                <w:lang w:val="en-US" w:eastAsia="zh-CN"/>
              </w:rPr>
              <w:t>3</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°55′2</w:t>
            </w:r>
            <w:r>
              <w:rPr>
                <w:rFonts w:hint="eastAsia" w:cs="Times New Roman"/>
                <w:lang w:val="en-US" w:eastAsia="zh-CN"/>
              </w:rPr>
              <w:t>3</w:t>
            </w:r>
            <w:r>
              <w:rPr>
                <w:rFonts w:hint="default" w:ascii="Times New Roman" w:hAnsi="Times New Roman" w:cs="Times New Roman"/>
                <w:lang w:eastAsia="zh-CN"/>
              </w:rPr>
              <w:t>8″,</w:t>
            </w:r>
            <w:r>
              <w:rPr>
                <w:rFonts w:hint="eastAsia" w:cs="Times New Roman"/>
                <w:lang w:eastAsia="zh-CN"/>
              </w:rPr>
              <w:t>N37</w:t>
            </w:r>
            <w:r>
              <w:rPr>
                <w:rFonts w:hint="default" w:ascii="Times New Roman" w:hAnsi="Times New Roman" w:cs="Times New Roman"/>
                <w:lang w:eastAsia="zh-CN"/>
              </w:rPr>
              <w:t>°18′</w:t>
            </w:r>
            <w:r>
              <w:rPr>
                <w:rFonts w:hint="default" w:ascii="Times New Roman" w:hAnsi="Times New Roman" w:cs="Times New Roman"/>
                <w:lang w:val="en-US" w:eastAsia="zh-CN"/>
              </w:rPr>
              <w:t>0</w:t>
            </w:r>
            <w:r>
              <w:rPr>
                <w:rFonts w:hint="eastAsia" w:cs="Times New Roman"/>
                <w:lang w:val="en-US" w:eastAsia="zh-CN"/>
              </w:rPr>
              <w:t>5</w:t>
            </w:r>
            <w:r>
              <w:rPr>
                <w:rFonts w:hint="default" w:ascii="Times New Roman" w:hAnsi="Times New Roman" w:cs="Times New Roman"/>
                <w:lang w:eastAsia="zh-CN"/>
              </w:rPr>
              <w:t>5″</w:t>
            </w:r>
          </w:p>
          <w:p>
            <w:pPr>
              <w:bidi w:val="0"/>
              <w:spacing w:line="240" w:lineRule="auto"/>
              <w:jc w:val="left"/>
              <w:rPr>
                <w:rFonts w:hint="default" w:ascii="Times New Roman" w:hAnsi="Times New Roman" w:eastAsia="宋体" w:cs="Times New Roman"/>
                <w:lang w:eastAsia="zh-CN"/>
              </w:rPr>
            </w:pPr>
            <w:r>
              <w:rPr>
                <w:rFonts w:hint="default" w:ascii="Times New Roman" w:hAnsi="Times New Roman" w:cs="Times New Roman"/>
                <w:lang w:val="en-US" w:eastAsia="zh-CN"/>
              </w:rPr>
              <w:t>4</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°55′3</w:t>
            </w:r>
            <w:r>
              <w:rPr>
                <w:rFonts w:hint="eastAsia" w:cs="Times New Roman"/>
                <w:lang w:val="en-US" w:eastAsia="zh-CN"/>
              </w:rPr>
              <w:t>2</w:t>
            </w:r>
            <w:r>
              <w:rPr>
                <w:rFonts w:hint="default" w:ascii="Times New Roman" w:hAnsi="Times New Roman" w:cs="Times New Roman"/>
                <w:lang w:eastAsia="zh-CN"/>
              </w:rPr>
              <w:t>5″,</w:t>
            </w:r>
            <w:r>
              <w:rPr>
                <w:rFonts w:hint="eastAsia" w:cs="Times New Roman"/>
                <w:lang w:eastAsia="zh-CN"/>
              </w:rPr>
              <w:t>N37</w:t>
            </w:r>
            <w:r>
              <w:rPr>
                <w:rFonts w:hint="default" w:ascii="Times New Roman" w:hAnsi="Times New Roman" w:cs="Times New Roman"/>
                <w:lang w:eastAsia="zh-CN"/>
              </w:rPr>
              <w:t>°18′</w:t>
            </w:r>
            <w:r>
              <w:rPr>
                <w:rFonts w:hint="default" w:ascii="Times New Roman" w:hAnsi="Times New Roman" w:cs="Times New Roman"/>
                <w:lang w:val="en-US" w:eastAsia="zh-CN"/>
              </w:rPr>
              <w:t>0</w:t>
            </w:r>
            <w:r>
              <w:rPr>
                <w:rFonts w:hint="eastAsia" w:cs="Times New Roman"/>
                <w:lang w:val="en-US" w:eastAsia="zh-CN"/>
              </w:rPr>
              <w:t>4</w:t>
            </w:r>
            <w:r>
              <w:rPr>
                <w:rFonts w:hint="default" w:ascii="Times New Roman" w:hAnsi="Times New Roman" w:cs="Times New Roman"/>
                <w:lang w:eastAsia="zh-CN"/>
              </w:rPr>
              <w:t>2″</w:t>
            </w:r>
          </w:p>
          <w:p>
            <w:pPr>
              <w:bidi w:val="0"/>
              <w:spacing w:line="240" w:lineRule="auto"/>
              <w:jc w:val="left"/>
              <w:rPr>
                <w:rFonts w:hint="default" w:ascii="Times New Roman" w:hAnsi="Times New Roman" w:cs="Times New Roman"/>
                <w:lang w:eastAsia="zh-CN"/>
              </w:rPr>
            </w:pPr>
            <w:r>
              <w:rPr>
                <w:rFonts w:hint="default" w:ascii="Times New Roman" w:hAnsi="Times New Roman" w:cs="Times New Roman"/>
                <w:lang w:val="en-US" w:eastAsia="zh-CN"/>
              </w:rPr>
              <w:t>5</w:t>
            </w:r>
            <w:r>
              <w:rPr>
                <w:rFonts w:hint="default" w:ascii="Times New Roman" w:hAnsi="Times New Roman" w:cs="Times New Roman"/>
              </w:rPr>
              <w:t>号治理点</w:t>
            </w:r>
            <w:r>
              <w:rPr>
                <w:rFonts w:hint="eastAsia" w:cs="Times New Roman"/>
                <w:lang w:eastAsia="zh-CN"/>
              </w:rPr>
              <w:t>:E104</w:t>
            </w:r>
            <w:r>
              <w:rPr>
                <w:rFonts w:hint="default" w:ascii="Times New Roman" w:hAnsi="Times New Roman" w:cs="Times New Roman"/>
                <w:lang w:eastAsia="zh-CN"/>
              </w:rPr>
              <w:t>°55′54</w:t>
            </w:r>
            <w:r>
              <w:rPr>
                <w:rFonts w:hint="eastAsia" w:cs="Times New Roman"/>
                <w:lang w:val="en-US" w:eastAsia="zh-CN"/>
              </w:rPr>
              <w:t>4</w:t>
            </w:r>
            <w:r>
              <w:rPr>
                <w:rFonts w:hint="default" w:ascii="Times New Roman" w:hAnsi="Times New Roman" w:cs="Times New Roman"/>
                <w:lang w:eastAsia="zh-CN"/>
              </w:rPr>
              <w:t>″,</w:t>
            </w:r>
            <w:r>
              <w:rPr>
                <w:rFonts w:hint="eastAsia" w:cs="Times New Roman"/>
                <w:lang w:eastAsia="zh-CN"/>
              </w:rPr>
              <w:t>N37</w:t>
            </w:r>
            <w:r>
              <w:rPr>
                <w:rFonts w:hint="default" w:ascii="Times New Roman" w:hAnsi="Times New Roman" w:cs="Times New Roman"/>
                <w:lang w:eastAsia="zh-CN"/>
              </w:rPr>
              <w:t>°18′</w:t>
            </w:r>
            <w:r>
              <w:rPr>
                <w:rFonts w:hint="default" w:ascii="Times New Roman" w:hAnsi="Times New Roman" w:cs="Times New Roman"/>
                <w:lang w:val="en-US" w:eastAsia="zh-CN"/>
              </w:rPr>
              <w:t>0</w:t>
            </w:r>
            <w:r>
              <w:rPr>
                <w:rFonts w:hint="default" w:ascii="Times New Roman" w:hAnsi="Times New Roman" w:cs="Times New Roman"/>
                <w:lang w:eastAsia="zh-CN"/>
              </w:rPr>
              <w:t>2</w:t>
            </w:r>
            <w:r>
              <w:rPr>
                <w:rFonts w:hint="eastAsia" w:cs="Times New Roman"/>
                <w:lang w:val="en-US" w:eastAsia="zh-CN"/>
              </w:rPr>
              <w:t>7</w:t>
            </w:r>
            <w:r>
              <w:rPr>
                <w:rFonts w:hint="default" w:ascii="Times New Roman" w:hAnsi="Times New Roman" w:cs="Times New Roman"/>
                <w:lang w:eastAsia="zh-CN"/>
              </w:rPr>
              <w:t>″</w:t>
            </w:r>
          </w:p>
          <w:p>
            <w:pPr>
              <w:bidi w:val="0"/>
              <w:spacing w:line="240" w:lineRule="auto"/>
              <w:jc w:val="left"/>
              <w:rPr>
                <w:rFonts w:hint="eastAsia"/>
                <w:b/>
                <w:bCs/>
                <w:lang w:eastAsia="zh-CN"/>
              </w:rPr>
            </w:pPr>
            <w:r>
              <w:rPr>
                <w:b/>
                <w:bCs/>
              </w:rPr>
              <w:t>常乐镇原上游村西生态修复治理区</w:t>
            </w:r>
            <w:r>
              <w:rPr>
                <w:rFonts w:hint="eastAsia"/>
                <w:b/>
                <w:bCs/>
                <w:lang w:eastAsia="zh-CN"/>
              </w:rPr>
              <w:t>：</w:t>
            </w:r>
          </w:p>
          <w:p>
            <w:pPr>
              <w:bidi w:val="0"/>
              <w:spacing w:line="240" w:lineRule="auto"/>
              <w:jc w:val="left"/>
              <w:rPr>
                <w:rFonts w:hint="default"/>
                <w:lang w:val="en-US" w:eastAsia="zh-CN"/>
              </w:rPr>
            </w:pPr>
            <w:r>
              <w:rPr>
                <w:rFonts w:hint="default" w:ascii="Times New Roman" w:hAnsi="Times New Roman" w:cs="Times New Roman"/>
                <w:lang w:val="en-US" w:eastAsia="zh-CN"/>
              </w:rPr>
              <w:t>1</w:t>
            </w:r>
            <w:r>
              <w:rPr>
                <w:rFonts w:hint="default" w:ascii="Times New Roman" w:hAnsi="Times New Roman" w:cs="Times New Roman"/>
                <w:lang w:eastAsia="zh-CN"/>
              </w:rPr>
              <w:t>号治理点</w:t>
            </w:r>
            <w:r>
              <w:rPr>
                <w:rFonts w:hint="default" w:ascii="Times New Roman" w:hAnsi="Times New Roman" w:cs="Times New Roman"/>
                <w:lang w:val="en-US" w:eastAsia="zh-CN"/>
              </w:rPr>
              <w:t>:</w:t>
            </w:r>
            <w:r>
              <w:rPr>
                <w:rFonts w:hint="eastAsia" w:cs="Times New Roman"/>
                <w:lang w:val="en-US" w:eastAsia="zh-CN"/>
              </w:rPr>
              <w:t>E104</w:t>
            </w:r>
            <w:r>
              <w:rPr>
                <w:rFonts w:hint="default" w:ascii="Times New Roman" w:hAnsi="Times New Roman" w:cs="Times New Roman"/>
                <w:lang w:val="en-US" w:eastAsia="zh-CN"/>
              </w:rPr>
              <w:t>°54′5</w:t>
            </w:r>
            <w:r>
              <w:rPr>
                <w:rFonts w:hint="eastAsia" w:cs="Times New Roman"/>
                <w:lang w:val="en-US" w:eastAsia="zh-CN"/>
              </w:rPr>
              <w:t>2</w:t>
            </w:r>
            <w:r>
              <w:rPr>
                <w:rFonts w:hint="default" w:ascii="Times New Roman" w:hAnsi="Times New Roman" w:cs="Times New Roman"/>
                <w:lang w:val="en-US" w:eastAsia="zh-CN"/>
              </w:rPr>
              <w:t>5″,</w:t>
            </w:r>
            <w:r>
              <w:rPr>
                <w:rFonts w:hint="eastAsia" w:cs="Times New Roman"/>
                <w:lang w:val="en-US" w:eastAsia="zh-CN"/>
              </w:rPr>
              <w:t>N37</w:t>
            </w:r>
            <w:r>
              <w:rPr>
                <w:rFonts w:hint="default" w:ascii="Times New Roman" w:hAnsi="Times New Roman" w:cs="Times New Roman"/>
                <w:lang w:val="en-US" w:eastAsia="zh-CN"/>
              </w:rPr>
              <w:t>°21′24</w:t>
            </w:r>
            <w:r>
              <w:rPr>
                <w:rFonts w:hint="eastAsia" w:cs="Times New Roman"/>
                <w:lang w:val="en-US" w:eastAsia="zh-CN"/>
              </w:rPr>
              <w:t>6</w:t>
            </w:r>
            <w:r>
              <w:rPr>
                <w:rFonts w:hint="default" w:ascii="Times New Roman" w:hAnsi="Times New Roman" w:cs="Times New Roman"/>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建设项目</w:t>
            </w:r>
          </w:p>
          <w:p>
            <w:pPr>
              <w:rPr>
                <w:sz w:val="24"/>
                <w:szCs w:val="24"/>
                <w:highlight w:val="none"/>
              </w:rPr>
            </w:pPr>
            <w:r>
              <w:rPr>
                <w:rFonts w:hint="eastAsia"/>
                <w:sz w:val="24"/>
                <w:szCs w:val="24"/>
                <w:highlight w:val="none"/>
              </w:rPr>
              <w:t>行业类别</w:t>
            </w:r>
          </w:p>
        </w:tc>
        <w:tc>
          <w:tcPr>
            <w:tcW w:w="2019" w:type="dxa"/>
            <w:tcBorders>
              <w:tl2br w:val="nil"/>
              <w:tr2bl w:val="nil"/>
            </w:tcBorders>
            <w:vAlign w:val="center"/>
          </w:tcPr>
          <w:p>
            <w:pPr>
              <w:jc w:val="left"/>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四、煤炭开采与洗选业06矿区修复治理工程(含煤矿火烧区治理工程)</w:t>
            </w:r>
          </w:p>
        </w:tc>
        <w:tc>
          <w:tcPr>
            <w:tcW w:w="1919" w:type="dxa"/>
            <w:tcBorders>
              <w:tl2br w:val="nil"/>
              <w:tr2bl w:val="nil"/>
            </w:tcBorders>
            <w:vAlign w:val="center"/>
          </w:tcPr>
          <w:p>
            <w:pP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用地面积（m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p>
        </w:tc>
        <w:tc>
          <w:tcPr>
            <w:tcW w:w="2827" w:type="dxa"/>
            <w:tcBorders>
              <w:tl2br w:val="nil"/>
              <w:tr2bl w:val="nil"/>
            </w:tcBorders>
            <w:vAlign w:val="center"/>
          </w:tcPr>
          <w:p>
            <w:pPr>
              <w:rPr>
                <w:rFonts w:hint="default"/>
                <w:color w:val="000000" w:themeColor="text1"/>
                <w:sz w:val="24"/>
                <w:szCs w:val="24"/>
                <w:highlight w:val="none"/>
                <w:lang w:val="en-US"/>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1587100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建设性质</w:t>
            </w:r>
          </w:p>
        </w:tc>
        <w:tc>
          <w:tcPr>
            <w:tcW w:w="2019" w:type="dxa"/>
            <w:tcBorders>
              <w:tl2br w:val="nil"/>
              <w:tr2bl w:val="nil"/>
            </w:tcBorders>
            <w:vAlign w:val="center"/>
          </w:tcPr>
          <w:p>
            <w:pPr>
              <w:jc w:val="left"/>
              <w:rPr>
                <w:sz w:val="24"/>
                <w:szCs w:val="24"/>
                <w:highlight w:val="none"/>
              </w:rPr>
            </w:pPr>
            <w:r>
              <w:rPr>
                <w:sz w:val="24"/>
                <w:szCs w:val="24"/>
                <w:highlight w:val="none"/>
              </w:rPr>
              <w:sym w:font="Wingdings 2" w:char="0052"/>
            </w:r>
            <w:r>
              <w:rPr>
                <w:rFonts w:hint="eastAsia"/>
                <w:sz w:val="24"/>
                <w:szCs w:val="24"/>
                <w:highlight w:val="none"/>
              </w:rPr>
              <w:t>新建（迁建）</w:t>
            </w:r>
          </w:p>
          <w:p>
            <w:pPr>
              <w:jc w:val="left"/>
              <w:rPr>
                <w:sz w:val="24"/>
                <w:szCs w:val="24"/>
                <w:highlight w:val="none"/>
              </w:rPr>
            </w:pPr>
            <w:r>
              <w:rPr>
                <w:rFonts w:hint="eastAsia"/>
                <w:sz w:val="24"/>
                <w:szCs w:val="24"/>
                <w:highlight w:val="none"/>
              </w:rPr>
              <w:sym w:font="Wingdings 2" w:char="00A3"/>
            </w:r>
            <w:r>
              <w:rPr>
                <w:rFonts w:hint="eastAsia"/>
                <w:sz w:val="24"/>
                <w:szCs w:val="24"/>
                <w:highlight w:val="none"/>
              </w:rPr>
              <w:t>改建</w:t>
            </w:r>
          </w:p>
          <w:p>
            <w:pPr>
              <w:jc w:val="left"/>
              <w:rPr>
                <w:sz w:val="24"/>
                <w:szCs w:val="24"/>
                <w:highlight w:val="none"/>
              </w:rPr>
            </w:pPr>
            <w:r>
              <w:rPr>
                <w:rFonts w:hint="eastAsia"/>
                <w:sz w:val="24"/>
                <w:szCs w:val="24"/>
                <w:highlight w:val="none"/>
              </w:rPr>
              <w:sym w:font="Wingdings 2" w:char="00A3"/>
            </w:r>
            <w:r>
              <w:rPr>
                <w:rFonts w:hint="eastAsia"/>
                <w:sz w:val="24"/>
                <w:szCs w:val="24"/>
                <w:highlight w:val="none"/>
              </w:rPr>
              <w:t>扩建</w:t>
            </w:r>
          </w:p>
          <w:p>
            <w:pPr>
              <w:jc w:val="left"/>
              <w:rPr>
                <w:sz w:val="24"/>
                <w:szCs w:val="24"/>
                <w:highlight w:val="none"/>
              </w:rPr>
            </w:pPr>
            <w:r>
              <w:rPr>
                <w:rFonts w:hint="eastAsia"/>
                <w:sz w:val="24"/>
                <w:szCs w:val="24"/>
                <w:highlight w:val="none"/>
              </w:rPr>
              <w:sym w:font="Wingdings 2" w:char="00A3"/>
            </w:r>
            <w:r>
              <w:rPr>
                <w:rFonts w:hint="eastAsia"/>
                <w:sz w:val="24"/>
                <w:szCs w:val="24"/>
                <w:highlight w:val="none"/>
              </w:rPr>
              <w:t>技术改造</w:t>
            </w:r>
          </w:p>
        </w:tc>
        <w:tc>
          <w:tcPr>
            <w:tcW w:w="1919" w:type="dxa"/>
            <w:tcBorders>
              <w:tl2br w:val="nil"/>
              <w:tr2bl w:val="nil"/>
            </w:tcBorders>
            <w:vAlign w:val="center"/>
          </w:tcPr>
          <w:p>
            <w:pPr>
              <w:rPr>
                <w:sz w:val="24"/>
                <w:szCs w:val="24"/>
                <w:highlight w:val="none"/>
              </w:rPr>
            </w:pPr>
            <w:r>
              <w:rPr>
                <w:rFonts w:hint="eastAsia"/>
                <w:sz w:val="24"/>
                <w:szCs w:val="24"/>
                <w:highlight w:val="none"/>
              </w:rPr>
              <w:t>建设项目</w:t>
            </w:r>
          </w:p>
          <w:p>
            <w:pPr>
              <w:rPr>
                <w:sz w:val="24"/>
                <w:szCs w:val="24"/>
                <w:highlight w:val="none"/>
              </w:rPr>
            </w:pPr>
            <w:r>
              <w:rPr>
                <w:rFonts w:hint="eastAsia"/>
                <w:sz w:val="24"/>
                <w:szCs w:val="24"/>
                <w:highlight w:val="none"/>
              </w:rPr>
              <w:t>申报情形</w:t>
            </w:r>
          </w:p>
        </w:tc>
        <w:tc>
          <w:tcPr>
            <w:tcW w:w="2827" w:type="dxa"/>
            <w:tcBorders>
              <w:tl2br w:val="nil"/>
              <w:tr2bl w:val="nil"/>
            </w:tcBorders>
            <w:vAlign w:val="center"/>
          </w:tcPr>
          <w:p>
            <w:pPr>
              <w:jc w:val="left"/>
              <w:rPr>
                <w:sz w:val="24"/>
                <w:szCs w:val="24"/>
                <w:highlight w:val="none"/>
              </w:rPr>
            </w:pPr>
            <w:r>
              <w:rPr>
                <w:sz w:val="24"/>
                <w:szCs w:val="24"/>
                <w:highlight w:val="none"/>
              </w:rPr>
              <w:sym w:font="Wingdings 2" w:char="0052"/>
            </w:r>
            <w:r>
              <w:rPr>
                <w:sz w:val="24"/>
                <w:szCs w:val="24"/>
                <w:highlight w:val="none"/>
              </w:rPr>
              <w:t>首次申报项目</w:t>
            </w:r>
          </w:p>
          <w:p>
            <w:pPr>
              <w:jc w:val="left"/>
              <w:rPr>
                <w:sz w:val="24"/>
                <w:szCs w:val="24"/>
                <w:highlight w:val="none"/>
              </w:rPr>
            </w:pPr>
            <w:r>
              <w:rPr>
                <w:sz w:val="24"/>
                <w:szCs w:val="24"/>
                <w:highlight w:val="none"/>
              </w:rPr>
              <w:sym w:font="Wingdings 2" w:char="00A3"/>
            </w:r>
            <w:r>
              <w:rPr>
                <w:sz w:val="24"/>
                <w:szCs w:val="24"/>
                <w:highlight w:val="none"/>
              </w:rPr>
              <w:t>不予批准后再次申报项目</w:t>
            </w:r>
          </w:p>
          <w:p>
            <w:pPr>
              <w:jc w:val="left"/>
              <w:rPr>
                <w:sz w:val="24"/>
                <w:szCs w:val="24"/>
                <w:highlight w:val="none"/>
              </w:rPr>
            </w:pPr>
            <w:r>
              <w:rPr>
                <w:sz w:val="24"/>
                <w:szCs w:val="24"/>
                <w:highlight w:val="none"/>
              </w:rPr>
              <w:sym w:font="Wingdings 2" w:char="00A3"/>
            </w:r>
            <w:r>
              <w:rPr>
                <w:sz w:val="24"/>
                <w:szCs w:val="24"/>
                <w:highlight w:val="none"/>
              </w:rPr>
              <w:t>超五年重新审核项目</w:t>
            </w:r>
          </w:p>
          <w:p>
            <w:pPr>
              <w:jc w:val="left"/>
              <w:rPr>
                <w:sz w:val="24"/>
                <w:szCs w:val="24"/>
                <w:highlight w:val="none"/>
              </w:rPr>
            </w:pPr>
            <w:r>
              <w:rPr>
                <w:sz w:val="24"/>
                <w:szCs w:val="24"/>
                <w:highlight w:val="none"/>
              </w:rPr>
              <w:sym w:font="Wingdings 2" w:char="00A3"/>
            </w:r>
            <w:r>
              <w:rPr>
                <w:sz w:val="24"/>
                <w:szCs w:val="24"/>
                <w:highlight w:val="none"/>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项目审批</w:t>
            </w:r>
          </w:p>
          <w:p>
            <w:pPr>
              <w:rPr>
                <w:sz w:val="24"/>
                <w:szCs w:val="24"/>
                <w:highlight w:val="none"/>
              </w:rPr>
            </w:pPr>
            <w:r>
              <w:rPr>
                <w:rFonts w:hint="eastAsia"/>
                <w:sz w:val="24"/>
                <w:szCs w:val="24"/>
                <w:highlight w:val="none"/>
              </w:rPr>
              <w:t>（核准/备案）部门</w:t>
            </w:r>
          </w:p>
        </w:tc>
        <w:tc>
          <w:tcPr>
            <w:tcW w:w="2019" w:type="dxa"/>
            <w:tcBorders>
              <w:tl2br w:val="nil"/>
              <w:tr2bl w:val="nil"/>
            </w:tcBorders>
            <w:vAlign w:val="center"/>
          </w:tcPr>
          <w:p>
            <w:pP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中卫市</w:t>
            </w:r>
            <w:r>
              <w:rPr>
                <w:rFonts w:hint="eastAsia"/>
                <w:color w:val="000000" w:themeColor="text1"/>
                <w:sz w:val="24"/>
                <w:szCs w:val="24"/>
                <w:highlight w:val="none"/>
                <w:lang w:eastAsia="zh-CN"/>
                <w14:textFill>
                  <w14:solidFill>
                    <w14:schemeClr w14:val="tx1"/>
                  </w14:solidFill>
                </w14:textFill>
              </w:rPr>
              <w:t>沙坡头区</w:t>
            </w:r>
            <w:r>
              <w:rPr>
                <w:color w:val="000000" w:themeColor="text1"/>
                <w:sz w:val="24"/>
                <w:szCs w:val="24"/>
                <w:highlight w:val="none"/>
                <w14:textFill>
                  <w14:solidFill>
                    <w14:schemeClr w14:val="tx1"/>
                  </w14:solidFill>
                </w14:textFill>
              </w:rPr>
              <w:t>发展和改革</w:t>
            </w:r>
            <w:r>
              <w:rPr>
                <w:rFonts w:hint="eastAsia"/>
                <w:color w:val="000000" w:themeColor="text1"/>
                <w:sz w:val="24"/>
                <w:szCs w:val="24"/>
                <w:highlight w:val="none"/>
                <w14:textFill>
                  <w14:solidFill>
                    <w14:schemeClr w14:val="tx1"/>
                  </w14:solidFill>
                </w14:textFill>
              </w:rPr>
              <w:t>局</w:t>
            </w:r>
          </w:p>
        </w:tc>
        <w:tc>
          <w:tcPr>
            <w:tcW w:w="1919" w:type="dxa"/>
            <w:tcBorders>
              <w:tl2br w:val="nil"/>
              <w:tr2bl w:val="nil"/>
            </w:tcBorders>
            <w:vAlign w:val="center"/>
          </w:tcPr>
          <w:p>
            <w:pP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项目审批</w:t>
            </w:r>
          </w:p>
          <w:p>
            <w:pP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（核准</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备案）文号</w:t>
            </w:r>
          </w:p>
        </w:tc>
        <w:tc>
          <w:tcPr>
            <w:tcW w:w="2827" w:type="dxa"/>
            <w:tcBorders>
              <w:tl2br w:val="nil"/>
              <w:tr2bl w:val="nil"/>
            </w:tcBorders>
            <w:vAlign w:val="center"/>
          </w:tcPr>
          <w:p>
            <w:pP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卫沙发改（审批）发〔2023〕</w:t>
            </w:r>
            <w:r>
              <w:rPr>
                <w:rFonts w:hint="eastAsia"/>
                <w:color w:val="000000" w:themeColor="text1"/>
                <w:sz w:val="24"/>
                <w:szCs w:val="24"/>
                <w:highlight w:val="none"/>
                <w:lang w:val="en-US" w:eastAsia="zh-CN"/>
                <w14:textFill>
                  <w14:solidFill>
                    <w14:schemeClr w14:val="tx1"/>
                  </w14:solidFill>
                </w14:textFill>
              </w:rPr>
              <w:t>20</w:t>
            </w:r>
            <w:r>
              <w:rPr>
                <w:color w:val="000000" w:themeColor="text1"/>
                <w:sz w:val="24"/>
                <w:szCs w:val="24"/>
                <w:highlight w:val="none"/>
                <w14:textFill>
                  <w14:solidFill>
                    <w14:schemeClr w14:val="tx1"/>
                  </w14:solidFill>
                </w14:textFill>
              </w:rPr>
              <w:t>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总投资（万元）</w:t>
            </w:r>
          </w:p>
        </w:tc>
        <w:tc>
          <w:tcPr>
            <w:tcW w:w="2019" w:type="dxa"/>
            <w:tcBorders>
              <w:tl2br w:val="nil"/>
              <w:tr2bl w:val="nil"/>
            </w:tcBorders>
            <w:vAlign w:val="center"/>
          </w:tcPr>
          <w:p>
            <w:pPr>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3796.16</w:t>
            </w:r>
          </w:p>
        </w:tc>
        <w:tc>
          <w:tcPr>
            <w:tcW w:w="1919" w:type="dxa"/>
            <w:tcBorders>
              <w:tl2br w:val="nil"/>
              <w:tr2bl w:val="nil"/>
            </w:tcBorders>
            <w:vAlign w:val="center"/>
          </w:tcPr>
          <w:p>
            <w:pP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环保投资（万元）</w:t>
            </w:r>
          </w:p>
        </w:tc>
        <w:tc>
          <w:tcPr>
            <w:tcW w:w="2827" w:type="dxa"/>
            <w:tcBorders>
              <w:tl2br w:val="nil"/>
              <w:tr2bl w:val="nil"/>
            </w:tcBorders>
            <w:vAlign w:val="center"/>
          </w:tcPr>
          <w:p>
            <w:pPr>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3796.16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环保投资占比（%）</w:t>
            </w:r>
          </w:p>
        </w:tc>
        <w:tc>
          <w:tcPr>
            <w:tcW w:w="2019" w:type="dxa"/>
            <w:tcBorders>
              <w:tl2br w:val="nil"/>
              <w:tr2bl w:val="nil"/>
            </w:tcBorders>
            <w:vAlign w:val="center"/>
          </w:tcPr>
          <w:p>
            <w:pP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100%</w:t>
            </w:r>
          </w:p>
        </w:tc>
        <w:tc>
          <w:tcPr>
            <w:tcW w:w="1919" w:type="dxa"/>
            <w:tcBorders>
              <w:tl2br w:val="nil"/>
              <w:tr2bl w:val="nil"/>
            </w:tcBorders>
            <w:vAlign w:val="center"/>
          </w:tcPr>
          <w:p>
            <w:pP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施工工期</w:t>
            </w:r>
          </w:p>
        </w:tc>
        <w:tc>
          <w:tcPr>
            <w:tcW w:w="2827" w:type="dxa"/>
            <w:tcBorders>
              <w:tl2br w:val="nil"/>
              <w:tr2bl w:val="nil"/>
            </w:tcBorders>
            <w:vAlign w:val="center"/>
          </w:tcPr>
          <w:p>
            <w:pPr>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20</w:t>
            </w:r>
            <w:r>
              <w:rPr>
                <w:rFonts w:hint="eastAsia"/>
                <w:color w:val="000000" w:themeColor="text1"/>
                <w:sz w:val="24"/>
                <w:szCs w:val="24"/>
                <w:highlight w:val="none"/>
                <w14:textFill>
                  <w14:solidFill>
                    <w14:schemeClr w14:val="tx1"/>
                  </w14:solidFill>
                </w14:textFill>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是否开工建设</w:t>
            </w:r>
          </w:p>
        </w:tc>
        <w:tc>
          <w:tcPr>
            <w:tcW w:w="6765" w:type="dxa"/>
            <w:gridSpan w:val="3"/>
            <w:tcBorders>
              <w:tl2br w:val="nil"/>
              <w:tr2bl w:val="nil"/>
            </w:tcBorders>
            <w:vAlign w:val="center"/>
          </w:tcPr>
          <w:p>
            <w:pPr>
              <w:jc w:val="left"/>
              <w:rPr>
                <w:sz w:val="24"/>
                <w:szCs w:val="24"/>
                <w:highlight w:val="none"/>
              </w:rPr>
            </w:pPr>
            <w:r>
              <w:rPr>
                <w:sz w:val="24"/>
                <w:szCs w:val="24"/>
                <w:highlight w:val="none"/>
              </w:rPr>
              <w:sym w:font="Wingdings 2" w:char="0052"/>
            </w:r>
            <w:r>
              <w:rPr>
                <w:rFonts w:hint="eastAsia"/>
                <w:sz w:val="24"/>
                <w:szCs w:val="24"/>
                <w:highlight w:val="none"/>
              </w:rPr>
              <w:t>否</w:t>
            </w:r>
          </w:p>
          <w:p>
            <w:pPr>
              <w:jc w:val="left"/>
              <w:rPr>
                <w:sz w:val="24"/>
                <w:szCs w:val="24"/>
                <w:highlight w:val="none"/>
                <w:u w:val="single"/>
              </w:rPr>
            </w:pPr>
            <w:r>
              <w:rPr>
                <w:rFonts w:hint="eastAsia"/>
                <w:sz w:val="24"/>
                <w:szCs w:val="24"/>
                <w:highlight w:val="none"/>
              </w:rPr>
              <w:sym w:font="Wingdings 2" w:char="00A3"/>
            </w:r>
            <w:r>
              <w:rPr>
                <w:rFonts w:hint="eastAsia"/>
                <w:sz w:val="24"/>
                <w:szCs w:val="24"/>
                <w:highlight w:val="none"/>
              </w:rPr>
              <w:t>是：</w:t>
            </w:r>
            <w:r>
              <w:rPr>
                <w:rFonts w:hint="eastAsia"/>
                <w:sz w:val="24"/>
                <w:szCs w:val="24"/>
                <w:highlight w:val="none"/>
                <w:u w:val="single"/>
              </w:rPr>
              <w:t xml:space="preserve">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专项评价设置情况</w:t>
            </w:r>
          </w:p>
        </w:tc>
        <w:tc>
          <w:tcPr>
            <w:tcW w:w="6765" w:type="dxa"/>
            <w:gridSpan w:val="3"/>
            <w:tcBorders>
              <w:tl2br w:val="nil"/>
              <w:tr2bl w:val="nil"/>
            </w:tcBorders>
            <w:vAlign w:val="center"/>
          </w:tcPr>
          <w:p>
            <w:pPr>
              <w:pStyle w:val="15"/>
              <w:bidi w:val="0"/>
              <w:rPr>
                <w:rFonts w:hint="eastAsia"/>
              </w:rPr>
            </w:pPr>
            <w:r>
              <w:rPr>
                <w:rFonts w:hint="eastAsia"/>
              </w:rPr>
              <w:t>专项评价名称：</w:t>
            </w:r>
            <w:r>
              <w:rPr>
                <w:rFonts w:hint="eastAsia"/>
                <w:sz w:val="24"/>
                <w:szCs w:val="24"/>
                <w:highlight w:val="none"/>
                <w:lang w:val="en-US" w:eastAsia="zh-CN"/>
              </w:rPr>
              <w:t xml:space="preserve"> </w:t>
            </w:r>
            <w:r>
              <w:rPr>
                <w:rFonts w:hint="eastAsia" w:ascii="宋体" w:hAnsi="宋体" w:eastAsia="宋体" w:cs="宋体"/>
                <w:color w:val="auto"/>
                <w:sz w:val="24"/>
                <w:szCs w:val="24"/>
                <w:highlight w:val="none"/>
                <w:u w:val="none"/>
              </w:rPr>
              <w:t>沙坡头区陈水矿区废弃矿山生态修复项目(二期)</w:t>
            </w:r>
            <w:r>
              <w:rPr>
                <w:rFonts w:hint="eastAsia"/>
              </w:rPr>
              <w:t>生态环境影响专项评价；</w:t>
            </w:r>
          </w:p>
          <w:p>
            <w:pPr>
              <w:pStyle w:val="15"/>
              <w:bidi w:val="0"/>
              <w:rPr>
                <w:szCs w:val="24"/>
                <w:highlight w:val="none"/>
              </w:rPr>
            </w:pPr>
            <w:r>
              <w:rPr>
                <w:rFonts w:hint="eastAsia"/>
              </w:rPr>
              <w:t>设置原因：根据《建设项目环境影响报告表编制技术指南（生态影响类）（试行）》表1专项评价设置原则，本项目香山黄泉村一采区生态修复治理区内的1号至5号治理点</w:t>
            </w:r>
            <w:r>
              <w:rPr>
                <w:rFonts w:hint="eastAsia"/>
                <w:lang w:eastAsia="zh-CN"/>
              </w:rPr>
              <w:t>在</w:t>
            </w:r>
            <w:r>
              <w:rPr>
                <w:rFonts w:hint="eastAsia"/>
              </w:rPr>
              <w:t>中卫市生态保护红线</w:t>
            </w:r>
            <w:r>
              <w:rPr>
                <w:rFonts w:hint="eastAsia"/>
                <w:lang w:eastAsia="zh-CN"/>
              </w:rPr>
              <w:t>内</w:t>
            </w:r>
            <w:r>
              <w:rPr>
                <w:rFonts w:hint="eastAsia"/>
              </w:rPr>
              <w:t>，属于涉及环境敏感区的项目，因此需设置生态</w:t>
            </w:r>
            <w:r>
              <w:rPr>
                <w:rFonts w:hint="eastAsia"/>
                <w:lang w:eastAsia="zh-CN"/>
              </w:rPr>
              <w:t>环境</w:t>
            </w:r>
            <w:r>
              <w:rPr>
                <w:rFonts w:hint="eastAsia"/>
              </w:rPr>
              <w:t>影响专项评价。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spacing w:line="360" w:lineRule="auto"/>
              <w:ind w:firstLine="480" w:firstLineChars="200"/>
              <w:jc w:val="both"/>
              <w:rPr>
                <w:rFonts w:hint="eastAsia"/>
              </w:rPr>
            </w:pPr>
            <w:r>
              <w:rPr>
                <w:rFonts w:hint="eastAsia"/>
              </w:rPr>
              <w:t>规划情况</w:t>
            </w:r>
          </w:p>
        </w:tc>
        <w:tc>
          <w:tcPr>
            <w:tcW w:w="6765" w:type="dxa"/>
            <w:gridSpan w:val="3"/>
            <w:tcBorders>
              <w:tl2br w:val="nil"/>
              <w:tr2bl w:val="nil"/>
            </w:tcBorders>
            <w:vAlign w:val="center"/>
          </w:tcPr>
          <w:p>
            <w:pPr>
              <w:spacing w:line="360" w:lineRule="auto"/>
              <w:jc w:val="both"/>
              <w:rPr>
                <w:rFonts w:hint="eastAsia"/>
              </w:rPr>
            </w:pPr>
            <w:r>
              <w:rPr>
                <w:rFonts w:hint="eastAsia"/>
                <w:lang w:eastAsia="zh-CN"/>
              </w:rPr>
              <w:t>（</w:t>
            </w:r>
            <w:r>
              <w:rPr>
                <w:rFonts w:hint="eastAsia"/>
                <w:lang w:val="en-US" w:eastAsia="zh-CN"/>
              </w:rPr>
              <w:t>1</w:t>
            </w:r>
            <w:r>
              <w:rPr>
                <w:rFonts w:hint="eastAsia"/>
                <w:lang w:eastAsia="zh-CN"/>
              </w:rPr>
              <w:t>）</w:t>
            </w:r>
            <w:r>
              <w:rPr>
                <w:rFonts w:hint="eastAsia"/>
              </w:rPr>
              <w:t>《中卫市矿产资源总体规划（2021-2025年）》</w:t>
            </w:r>
          </w:p>
          <w:p>
            <w:pPr>
              <w:spacing w:line="360" w:lineRule="auto"/>
              <w:jc w:val="both"/>
              <w:rPr>
                <w:rFonts w:hint="eastAsia"/>
              </w:rPr>
            </w:pPr>
            <w:bookmarkStart w:id="5" w:name="_GoBack"/>
            <w:bookmarkEnd w:id="5"/>
            <w:r>
              <w:rPr>
                <w:rFonts w:hint="eastAsia"/>
              </w:rPr>
              <w:t>审批单位：中卫市人民政府</w:t>
            </w:r>
            <w:r>
              <w:rPr>
                <w:rFonts w:hint="eastAsia"/>
                <w:lang w:val="en-US" w:eastAsia="zh-CN"/>
              </w:rPr>
              <w:t>，</w:t>
            </w:r>
            <w:r>
              <w:rPr>
                <w:rFonts w:hint="eastAsia"/>
              </w:rPr>
              <w:t>批复文号</w:t>
            </w:r>
            <w:r>
              <w:rPr>
                <w:rFonts w:hint="eastAsia"/>
                <w:lang w:eastAsia="zh-CN"/>
              </w:rPr>
              <w:t>：</w:t>
            </w:r>
            <w:r>
              <w:rPr>
                <w:rFonts w:hint="eastAsia"/>
              </w:rPr>
              <w:t>卫政办发〔2022〕66号</w:t>
            </w:r>
          </w:p>
          <w:p>
            <w:pPr>
              <w:spacing w:line="360" w:lineRule="auto"/>
              <w:jc w:val="both"/>
              <w:rPr>
                <w:rFonts w:hint="eastAsia"/>
                <w:lang w:val="en-US" w:eastAsia="zh-CN"/>
              </w:rPr>
            </w:pPr>
            <w:r>
              <w:rPr>
                <w:rFonts w:hint="eastAsia"/>
                <w:lang w:val="en-US" w:eastAsia="zh-CN"/>
              </w:rPr>
              <w:t>（2）宁夏矿产资源总体规划《2021-2025年》</w:t>
            </w:r>
          </w:p>
          <w:p>
            <w:pPr>
              <w:spacing w:line="360" w:lineRule="auto"/>
              <w:jc w:val="both"/>
              <w:rPr>
                <w:rFonts w:hint="eastAsia" w:eastAsia="宋体"/>
                <w:lang w:eastAsia="zh-CN"/>
              </w:rPr>
            </w:pPr>
            <w:r>
              <w:rPr>
                <w:rFonts w:hint="eastAsia"/>
                <w:lang w:eastAsia="zh-CN"/>
              </w:rPr>
              <w:t>审批</w:t>
            </w:r>
            <w:r>
              <w:rPr>
                <w:rFonts w:hint="eastAsia"/>
              </w:rPr>
              <w:t>单位：</w:t>
            </w:r>
            <w:r>
              <w:rPr>
                <w:rFonts w:hint="eastAsia"/>
                <w:lang w:eastAsia="zh-CN"/>
              </w:rPr>
              <w:t>自然</w:t>
            </w:r>
            <w:r>
              <w:rPr>
                <w:rFonts w:hint="eastAsia"/>
              </w:rPr>
              <w:t>资源部</w:t>
            </w:r>
            <w:r>
              <w:rPr>
                <w:rFonts w:hint="eastAsia"/>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sz w:val="24"/>
                <w:szCs w:val="24"/>
                <w:highlight w:val="none"/>
              </w:rPr>
            </w:pPr>
            <w:r>
              <w:rPr>
                <w:rFonts w:hint="eastAsia"/>
                <w:sz w:val="24"/>
                <w:szCs w:val="24"/>
                <w:highlight w:val="none"/>
              </w:rPr>
              <w:t>规划环境影响</w:t>
            </w:r>
          </w:p>
          <w:p>
            <w:pPr>
              <w:rPr>
                <w:sz w:val="24"/>
                <w:szCs w:val="24"/>
                <w:highlight w:val="none"/>
              </w:rPr>
            </w:pPr>
            <w:r>
              <w:rPr>
                <w:rFonts w:hint="eastAsia"/>
                <w:sz w:val="24"/>
                <w:szCs w:val="24"/>
                <w:highlight w:val="none"/>
              </w:rPr>
              <w:t>评价情况</w:t>
            </w:r>
          </w:p>
        </w:tc>
        <w:tc>
          <w:tcPr>
            <w:tcW w:w="6765" w:type="dxa"/>
            <w:gridSpan w:val="3"/>
            <w:tcBorders>
              <w:tl2br w:val="nil"/>
              <w:tr2bl w:val="nil"/>
            </w:tcBorders>
            <w:vAlign w:val="center"/>
          </w:tcPr>
          <w:p>
            <w:pPr>
              <w:rPr>
                <w:sz w:val="24"/>
                <w:szCs w:val="24"/>
                <w:highlight w:val="none"/>
              </w:rPr>
            </w:pPr>
            <w:r>
              <w:rPr>
                <w:rFonts w:hint="eastAsia"/>
                <w:sz w:val="24"/>
                <w:szCs w:val="24"/>
                <w:highlight w:val="none"/>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bidi w:val="0"/>
              <w:spacing w:line="360" w:lineRule="auto"/>
              <w:rPr>
                <w:highlight w:val="none"/>
              </w:rPr>
            </w:pPr>
            <w:r>
              <w:rPr>
                <w:sz w:val="24"/>
                <w:szCs w:val="24"/>
              </w:rPr>
              <w:t>规划及规划环境影响评价符合性分析</w:t>
            </w:r>
          </w:p>
        </w:tc>
        <w:tc>
          <w:tcPr>
            <w:tcW w:w="6765" w:type="dxa"/>
            <w:gridSpan w:val="3"/>
            <w:tcBorders>
              <w:tl2br w:val="nil"/>
              <w:tr2bl w:val="nil"/>
            </w:tcBorders>
            <w:vAlign w:val="center"/>
          </w:tcPr>
          <w:p>
            <w:pPr>
              <w:pStyle w:val="5"/>
              <w:bidi w:val="0"/>
            </w:pPr>
            <w:r>
              <w:rPr>
                <w:rFonts w:hint="eastAsia"/>
              </w:rPr>
              <w:t>1、与《</w:t>
            </w:r>
            <w:r>
              <w:t>中卫市矿产资源总体规划（2021-2025年）</w:t>
            </w:r>
            <w:r>
              <w:rPr>
                <w:rFonts w:hint="eastAsia"/>
              </w:rPr>
              <w:t>》符合性分析</w:t>
            </w:r>
          </w:p>
          <w:p>
            <w:pPr>
              <w:pStyle w:val="15"/>
              <w:ind w:firstLine="420"/>
              <w:rPr>
                <w:color w:val="0000FF"/>
                <w:highlight w:val="none"/>
              </w:rPr>
            </w:pPr>
            <w:r>
              <w:rPr>
                <w:rFonts w:hint="eastAsia"/>
                <w:color w:val="000000" w:themeColor="text1"/>
                <w:highlight w:val="none"/>
                <w14:textFill>
                  <w14:solidFill>
                    <w14:schemeClr w14:val="tx1"/>
                  </w14:solidFill>
                </w14:textFill>
              </w:rPr>
              <w:t>规划指出：“</w:t>
            </w:r>
            <w:r>
              <w:rPr>
                <w:color w:val="000000" w:themeColor="text1"/>
                <w:highlight w:val="none"/>
                <w14:textFill>
                  <w14:solidFill>
                    <w14:schemeClr w14:val="tx1"/>
                  </w14:solidFill>
                </w14:textFill>
              </w:rPr>
              <w:t>六、绿色矿山建设和矿区生态环境保护</w:t>
            </w:r>
            <w:r>
              <w:rPr>
                <w:rFonts w:hint="eastAsia"/>
                <w:color w:val="000000" w:themeColor="text1"/>
                <w:highlight w:val="none"/>
                <w14:textFill>
                  <w14:solidFill>
                    <w14:schemeClr w14:val="tx1"/>
                  </w14:solidFill>
                </w14:textFill>
              </w:rPr>
              <w:t>（二）矿区生态环境保护修复</w:t>
            </w:r>
            <w:r>
              <w:rPr>
                <w:color w:val="000000" w:themeColor="text1"/>
                <w:highlight w:val="none"/>
                <w14:textFill>
                  <w14:solidFill>
                    <w14:schemeClr w14:val="tx1"/>
                  </w14:solidFill>
                </w14:textFill>
              </w:rPr>
              <w:t>（3）推进历史遗留矿山生态修复通过政府引导，按照市场运作模式，建立多元化矿山生态修复资金投资机制和补偿机制，加大历史遗留矿山生态修复力度。按照集中连片、重点突出、全面治理的原则，以矿山环境问题类似、区域接近的大型矿山或若干小型矿山群采区为单元，部署实施重点治理项目，提升生态环境质量和水土保持能力。加强历史遗留矿山地质环境问题调查研究，区分轻重缓急，以黄河岸线治理为重点，按照“实事求是，因地制宜，对症下药，一矿一策”的原则，科学制定方案，多元化筹措基金，严格管理项目，确保治理成效。</w:t>
            </w:r>
            <w:r>
              <w:rPr>
                <w:rFonts w:hint="eastAsia"/>
                <w:color w:val="000000" w:themeColor="text1"/>
                <w:highlight w:val="none"/>
                <w14:textFill>
                  <w14:solidFill>
                    <w14:schemeClr w14:val="tx1"/>
                  </w14:solidFill>
                </w14:textFill>
              </w:rPr>
              <w:t>”</w:t>
            </w:r>
          </w:p>
          <w:p>
            <w:pPr>
              <w:pStyle w:val="15"/>
              <w:ind w:firstLine="42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性分析：通过沙坡头区陈水矿区历史遗留废弃矿山生态修复项目的实施，消除因采矿活动引发的地质灾害隐患问题，修复治理区地形地貌景观，提升生态环境质量和水土保持能力，增强生态系统服务功能，符合规划要求。</w:t>
            </w:r>
          </w:p>
          <w:p>
            <w:pPr>
              <w:pStyle w:val="15"/>
              <w:ind w:firstLine="0" w:firstLineChars="0"/>
              <w:rPr>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2、</w:t>
            </w:r>
            <w:r>
              <w:rPr>
                <w:rFonts w:hint="eastAsia"/>
                <w:b/>
                <w:bCs/>
                <w:color w:val="000000" w:themeColor="text1"/>
                <w:sz w:val="24"/>
                <w:szCs w:val="24"/>
                <w:highlight w:val="none"/>
                <w14:textFill>
                  <w14:solidFill>
                    <w14:schemeClr w14:val="tx1"/>
                  </w14:solidFill>
                </w14:textFill>
              </w:rPr>
              <w:t>与《</w:t>
            </w:r>
            <w:r>
              <w:rPr>
                <w:b/>
                <w:bCs/>
                <w:color w:val="000000" w:themeColor="text1"/>
                <w:sz w:val="24"/>
                <w:szCs w:val="24"/>
                <w:highlight w:val="none"/>
                <w14:textFill>
                  <w14:solidFill>
                    <w14:schemeClr w14:val="tx1"/>
                  </w14:solidFill>
                </w14:textFill>
              </w:rPr>
              <w:t>宁夏回族自治区矿产资源总体规划（2021-2025年）</w:t>
            </w:r>
            <w:r>
              <w:rPr>
                <w:rFonts w:hint="eastAsia"/>
                <w:b/>
                <w:bCs/>
                <w:color w:val="000000" w:themeColor="text1"/>
                <w:sz w:val="24"/>
                <w:szCs w:val="24"/>
                <w:highlight w:val="none"/>
                <w14:textFill>
                  <w14:solidFill>
                    <w14:schemeClr w14:val="tx1"/>
                  </w14:solidFill>
                </w14:textFill>
              </w:rPr>
              <w:t>》符合性分析</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规划指出：“二、规划目标：矿业转型升级绿色发展实现新进步。全面恢复治理历史遗留废弃矿山地质环境，压占损毁土地得到有效复垦，矿山“三废”治理及综合利用率全部达标，矿山生态环境明显好转。绿色矿业发展集聚规模效应、经济社会综合效益显著增强。”</w:t>
            </w:r>
          </w:p>
          <w:p>
            <w:pPr>
              <w:pStyle w:val="15"/>
              <w:ind w:firstLine="420"/>
              <w:rPr>
                <w:rFonts w:hint="eastAsia"/>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符合性分析：本项目为沙坡头区陈水矿区历史遗留废弃矿山生态修复项目，通过本项目的实施可消除因不</w:t>
            </w:r>
            <w:r>
              <w:rPr>
                <w:color w:val="000000" w:themeColor="text1"/>
                <w:sz w:val="24"/>
                <w:szCs w:val="24"/>
                <w:highlight w:val="none"/>
                <w14:textFill>
                  <w14:solidFill>
                    <w14:schemeClr w14:val="tx1"/>
                  </w14:solidFill>
                </w14:textFill>
              </w:rPr>
              <w:t>合法</w:t>
            </w:r>
            <w:r>
              <w:rPr>
                <w:rFonts w:hint="eastAsia"/>
                <w:color w:val="000000" w:themeColor="text1"/>
                <w:sz w:val="24"/>
                <w:szCs w:val="24"/>
                <w:highlight w:val="none"/>
                <w14:textFill>
                  <w14:solidFill>
                    <w14:schemeClr w14:val="tx1"/>
                  </w14:solidFill>
                </w14:textFill>
              </w:rPr>
              <w:t>采矿活动引发的地质灾害隐患，修复治理区地形地貌景观，提升生态环境质量和水土保持能力，增强生态系统服务功能，全面恢复治理历史遗留废弃矿山地质环境，压占损毁土地得到有效复垦，矿山生态环境明显好转</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符合规划要求。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1517" w:type="dxa"/>
            <w:tcBorders>
              <w:tl2br w:val="nil"/>
              <w:tr2bl w:val="nil"/>
            </w:tcBorders>
            <w:tcMar>
              <w:top w:w="16" w:type="dxa"/>
              <w:left w:w="16" w:type="dxa"/>
              <w:right w:w="16" w:type="dxa"/>
            </w:tcMar>
            <w:vAlign w:val="center"/>
          </w:tcPr>
          <w:p>
            <w:pPr>
              <w:rPr>
                <w:color w:val="000000"/>
                <w:sz w:val="24"/>
                <w:szCs w:val="24"/>
                <w:highlight w:val="none"/>
              </w:rPr>
            </w:pPr>
            <w:bookmarkStart w:id="1" w:name="_Hlk56690880"/>
            <w:r>
              <w:rPr>
                <w:color w:val="000000"/>
                <w:sz w:val="24"/>
                <w:szCs w:val="24"/>
                <w:highlight w:val="none"/>
              </w:rPr>
              <w:t>其他符合性分析</w:t>
            </w:r>
            <w:bookmarkEnd w:id="1"/>
          </w:p>
        </w:tc>
        <w:tc>
          <w:tcPr>
            <w:tcW w:w="6765" w:type="dxa"/>
            <w:gridSpan w:val="3"/>
            <w:tcBorders>
              <w:tl2br w:val="nil"/>
              <w:tr2bl w:val="nil"/>
            </w:tcBorders>
            <w:vAlign w:val="center"/>
          </w:tcPr>
          <w:p>
            <w:pPr>
              <w:pStyle w:val="15"/>
              <w:ind w:firstLine="0" w:firstLineChars="0"/>
              <w:rPr>
                <w:sz w:val="24"/>
                <w:szCs w:val="24"/>
                <w:highlight w:val="none"/>
              </w:rPr>
            </w:pPr>
            <w:r>
              <w:rPr>
                <w:rFonts w:hint="eastAsia"/>
                <w:b/>
                <w:bCs/>
                <w:sz w:val="24"/>
                <w:szCs w:val="24"/>
                <w:highlight w:val="none"/>
              </w:rPr>
              <w:t>1、产业政策符合性分析</w:t>
            </w:r>
          </w:p>
          <w:p>
            <w:pPr>
              <w:pStyle w:val="15"/>
              <w:ind w:firstLine="420"/>
              <w:rPr>
                <w:sz w:val="24"/>
                <w:szCs w:val="24"/>
                <w:highlight w:val="none"/>
              </w:rPr>
            </w:pPr>
            <w:r>
              <w:rPr>
                <w:rFonts w:hint="eastAsia"/>
                <w:sz w:val="24"/>
                <w:szCs w:val="24"/>
                <w:highlight w:val="none"/>
              </w:rPr>
              <w:t>对照《产业结构调整指导目录》（2019年本）及2021年修订版，项目属于目录中鼓励类“四十三、环境保护与资源节约综合利用”中“1、矿山生态环境恢复工程”的建设项目。</w:t>
            </w:r>
          </w:p>
          <w:p>
            <w:pPr>
              <w:pStyle w:val="15"/>
              <w:ind w:firstLine="420"/>
              <w:rPr>
                <w:sz w:val="24"/>
                <w:szCs w:val="24"/>
                <w:highlight w:val="none"/>
              </w:rPr>
            </w:pPr>
            <w:r>
              <w:rPr>
                <w:rFonts w:hint="eastAsia"/>
                <w:sz w:val="24"/>
                <w:szCs w:val="24"/>
                <w:highlight w:val="none"/>
              </w:rPr>
              <w:t>因此该项目建设符合国家产业政策要求。</w:t>
            </w:r>
          </w:p>
          <w:p>
            <w:pPr>
              <w:pStyle w:val="15"/>
              <w:ind w:left="0" w:leftChars="0" w:firstLine="0" w:firstLineChars="0"/>
              <w:rPr>
                <w:rFonts w:hint="eastAsia" w:eastAsia="宋体"/>
                <w:b/>
                <w:bCs/>
                <w:sz w:val="24"/>
                <w:szCs w:val="24"/>
                <w:highlight w:val="none"/>
                <w:lang w:eastAsia="zh-CN"/>
              </w:rPr>
            </w:pPr>
            <w:r>
              <w:rPr>
                <w:rFonts w:hint="default" w:ascii="Times New Roman" w:hAnsi="Times New Roman" w:eastAsia="宋体" w:cs="Times New Roman"/>
                <w:b/>
                <w:bCs/>
                <w:highlight w:val="none"/>
                <w:lang w:val="en-US" w:eastAsia="zh-CN"/>
              </w:rPr>
              <w:t>2、</w:t>
            </w:r>
            <w:r>
              <w:rPr>
                <w:rFonts w:hint="default" w:ascii="Times New Roman" w:hAnsi="Times New Roman" w:eastAsia="宋体" w:cs="Times New Roman"/>
                <w:b/>
                <w:bCs/>
                <w:highlight w:val="none"/>
              </w:rPr>
              <w:t>“三线一单”符合性分析</w:t>
            </w:r>
          </w:p>
          <w:p>
            <w:pPr>
              <w:pStyle w:val="15"/>
              <w:ind w:firstLine="420"/>
              <w:rPr>
                <w:rFonts w:hint="eastAsia"/>
                <w:sz w:val="24"/>
                <w:szCs w:val="24"/>
                <w:highlight w:val="none"/>
              </w:rPr>
            </w:pPr>
            <w:r>
              <w:rPr>
                <w:rFonts w:hint="eastAsia"/>
                <w:sz w:val="24"/>
                <w:szCs w:val="24"/>
                <w:highlight w:val="none"/>
                <w:lang w:eastAsia="zh-CN"/>
              </w:rPr>
              <w:t>（</w:t>
            </w:r>
            <w:r>
              <w:rPr>
                <w:rFonts w:hint="eastAsia"/>
                <w:sz w:val="24"/>
                <w:szCs w:val="24"/>
                <w:highlight w:val="none"/>
                <w:lang w:val="en-US" w:eastAsia="zh-CN"/>
              </w:rPr>
              <w:t>1</w:t>
            </w:r>
            <w:r>
              <w:rPr>
                <w:rFonts w:hint="eastAsia"/>
                <w:sz w:val="24"/>
                <w:szCs w:val="24"/>
                <w:highlight w:val="none"/>
                <w:lang w:eastAsia="zh-CN"/>
              </w:rPr>
              <w:t>）</w:t>
            </w:r>
            <w:r>
              <w:rPr>
                <w:rFonts w:hint="eastAsia"/>
                <w:sz w:val="24"/>
                <w:szCs w:val="24"/>
                <w:highlight w:val="none"/>
              </w:rPr>
              <w:t>生态保护红线及生态分区管控</w:t>
            </w:r>
          </w:p>
          <w:p>
            <w:pPr>
              <w:pStyle w:val="15"/>
              <w:ind w:firstLine="420"/>
              <w:rPr>
                <w:rFonts w:hint="eastAsia"/>
                <w:sz w:val="24"/>
                <w:szCs w:val="24"/>
                <w:highlight w:val="none"/>
              </w:rPr>
            </w:pPr>
            <w:r>
              <w:rPr>
                <w:rFonts w:hint="eastAsia"/>
                <w:sz w:val="24"/>
                <w:szCs w:val="24"/>
                <w:highlight w:val="none"/>
              </w:rPr>
              <w:t>根据《中卫市“三线一单”文本》中“2生态保护红线及生态分区管控”及《关于实施“三线一单”生态环境分区管控的通知》(卫政发(2021]31号)，基于生态保护红线划定评估工作，以生态系统功能极重要区和重要区、生态环境极敏感区和敏感区为重点，衔接自治区级及以上自然保护区，县级及以上饮用水水源保护区，自治区级及以上风景名胜区、</w:t>
            </w:r>
            <w:r>
              <w:rPr>
                <w:rFonts w:hint="eastAsia"/>
                <w:sz w:val="24"/>
                <w:szCs w:val="24"/>
                <w:highlight w:val="none"/>
                <w:lang w:eastAsia="zh-CN"/>
              </w:rPr>
              <w:t>湿地</w:t>
            </w:r>
            <w:r>
              <w:rPr>
                <w:rFonts w:hint="eastAsia"/>
                <w:sz w:val="24"/>
                <w:szCs w:val="24"/>
                <w:highlight w:val="none"/>
              </w:rPr>
              <w:t>公园、森林公园、地质公园，国家级水产种质资源保护区，国家级生态公益林等冬类自然保护地和其他保护区域，衔接相关规划及经济社会发展需求，划定中卫市生态空间总面积5284.56平方公里，占全市国土总面积的38.71%。其中生态保护红线面积约为3179.06平方公里，占全市国土总面积的23.29%；除生态保护红线以外的一般生态空间面积2105.50平方公里，占全市国土面积15.42%。</w:t>
            </w:r>
          </w:p>
          <w:p>
            <w:pPr>
              <w:pStyle w:val="15"/>
              <w:bidi w:val="0"/>
              <w:rPr>
                <w:rFonts w:hint="eastAsia"/>
                <w:b w:val="0"/>
                <w:bCs w:val="0"/>
                <w:highlight w:val="none"/>
                <w:lang w:val="en-US" w:eastAsia="zh-CN"/>
              </w:rPr>
            </w:pPr>
            <w:r>
              <w:rPr>
                <w:b/>
                <w:bCs/>
                <w:highlight w:val="none"/>
                <w:lang w:val="en-US" w:eastAsia="zh-CN"/>
              </w:rPr>
              <w:t>生态分区管控要求：</w:t>
            </w:r>
            <w:r>
              <w:rPr>
                <w:rFonts w:hint="eastAsia"/>
                <w:b w:val="0"/>
                <w:bCs w:val="0"/>
                <w:highlight w:val="none"/>
                <w:lang w:val="en-US" w:eastAsia="zh-CN"/>
              </w:rPr>
              <w:t>生态保护红线原则上按禁止开发区域的要求进行管理。严禁不符合主体功能定位的各类开发活动，严禁任意改变用</w:t>
            </w:r>
            <w:r>
              <w:rPr>
                <w:rFonts w:hint="eastAsia" w:ascii="Times New Roman" w:hAnsi="Times New Roman" w:eastAsia="宋体" w:cs="Times New Roman"/>
                <w:b w:val="0"/>
                <w:bCs w:val="0"/>
                <w:highlight w:val="none"/>
                <w:lang w:val="en-US" w:eastAsia="zh-CN"/>
              </w:rPr>
              <w:t>途，确保生态保护红线内“生态功能不降低，面积不减少，性质不改变”。</w:t>
            </w:r>
          </w:p>
          <w:p>
            <w:pPr>
              <w:pStyle w:val="15"/>
              <w:bidi w:val="0"/>
              <w:rPr>
                <w:rFonts w:hint="eastAsia"/>
                <w:highlight w:val="none"/>
              </w:rPr>
            </w:pPr>
            <w:r>
              <w:rPr>
                <w:rFonts w:hint="eastAsia"/>
                <w:highlight w:val="none"/>
              </w:rPr>
              <w:t>按照《关于在国土空间规划中统筹划定落实三条控制线的指导意见》的要求，生态保护红线内、自然保护地核心保护区原则上禁止人为活动，其他区域严格禁止开发性、生产性建设活动，在符合现行法律法规前提下，除国家重大战略项目外，仅允许对生态功能不造成破坏的有限人为活动，主要包括：</w:t>
            </w:r>
          </w:p>
          <w:p>
            <w:pPr>
              <w:pStyle w:val="15"/>
              <w:ind w:firstLine="42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1</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零星的原住居民在不扩大现有建设用地规模前提下，修缮生产生活设施，保留生活必须的少量种植、放牧、捕捞、养殖；</w:t>
            </w:r>
          </w:p>
          <w:p>
            <w:pPr>
              <w:pStyle w:val="15"/>
              <w:ind w:firstLine="42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2</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因国家重大能源资源安全需要开展的战略性能源资源勘查、公益性自然资源调查和地质勘查；</w:t>
            </w:r>
          </w:p>
          <w:p>
            <w:pPr>
              <w:pStyle w:val="15"/>
              <w:ind w:firstLine="42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3</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自然资源、生态环境监测和执法，灾害防治和应急抢险活动；</w:t>
            </w:r>
          </w:p>
          <w:p>
            <w:pPr>
              <w:pStyle w:val="15"/>
              <w:ind w:firstLine="42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4</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经依法批准进行的非破坏性科学研究观测、标本采集；</w:t>
            </w:r>
          </w:p>
          <w:p>
            <w:pPr>
              <w:pStyle w:val="15"/>
              <w:ind w:firstLine="42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5</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经依法批准的考古调查发掘和文物保护活动；</w:t>
            </w:r>
          </w:p>
          <w:p>
            <w:pPr>
              <w:pStyle w:val="15"/>
              <w:ind w:firstLine="42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6</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不破坏生态保护功能的适度参观旅游；</w:t>
            </w:r>
          </w:p>
          <w:p>
            <w:pPr>
              <w:pStyle w:val="15"/>
              <w:ind w:firstLine="42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7</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必须且无法避让、符合各级国土空间规划的线性基础设施建设、堤防防洪和供水设施建设；</w:t>
            </w:r>
          </w:p>
          <w:p>
            <w:pPr>
              <w:pStyle w:val="15"/>
              <w:ind w:firstLine="420"/>
              <w:rPr>
                <w:rFonts w:hint="default" w:ascii="Times New Roman" w:hAnsi="Times New Roman" w:cs="Times New Roman"/>
                <w:sz w:val="24"/>
                <w:szCs w:val="24"/>
                <w:highlight w:val="none"/>
              </w:rPr>
            </w:pPr>
            <w:r>
              <w:rPr>
                <w:rFonts w:hint="eastAsia" w:ascii="Times New Roman" w:hAnsi="Times New Roman" w:cs="Times New Roman"/>
                <w:sz w:val="24"/>
                <w:szCs w:val="24"/>
                <w:highlight w:val="none"/>
                <w:lang w:eastAsia="zh-CN"/>
              </w:rPr>
              <w:t>（</w:t>
            </w:r>
            <w:r>
              <w:rPr>
                <w:rFonts w:hint="eastAsia" w:ascii="Times New Roman" w:hAnsi="Times New Roman" w:cs="Times New Roman"/>
                <w:sz w:val="24"/>
                <w:szCs w:val="24"/>
                <w:highlight w:val="none"/>
                <w:lang w:val="en-US" w:eastAsia="zh-CN"/>
              </w:rPr>
              <w:t>8</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重要生态修复工程。</w:t>
            </w:r>
          </w:p>
          <w:p>
            <w:pPr>
              <w:pStyle w:val="15"/>
              <w:ind w:firstLine="420"/>
              <w:rPr>
                <w:rFonts w:hint="eastAsia"/>
                <w:color w:val="000000" w:themeColor="text1"/>
                <w:sz w:val="24"/>
                <w:szCs w:val="24"/>
                <w:highlight w:val="none"/>
                <w:lang w:eastAsia="zh-CN"/>
                <w14:textFill>
                  <w14:solidFill>
                    <w14:schemeClr w14:val="tx1"/>
                  </w14:solidFill>
                </w14:textFill>
              </w:rPr>
            </w:pPr>
            <w:r>
              <w:rPr>
                <w:rFonts w:hint="eastAsia"/>
                <w:sz w:val="24"/>
                <w:szCs w:val="24"/>
                <w:highlight w:val="none"/>
                <w:lang w:val="en-US" w:eastAsia="zh-CN"/>
              </w:rPr>
              <w:t>本项目</w:t>
            </w:r>
            <w:r>
              <w:rPr>
                <w:rFonts w:hint="eastAsia"/>
                <w:color w:val="000000" w:themeColor="text1"/>
                <w:sz w:val="24"/>
                <w:szCs w:val="24"/>
                <w:highlight w:val="none"/>
                <w14:textFill>
                  <w14:solidFill>
                    <w14:schemeClr w14:val="tx1"/>
                  </w14:solidFill>
                </w14:textFill>
              </w:rPr>
              <w:t>位于</w:t>
            </w:r>
            <w:r>
              <w:rPr>
                <w:rFonts w:hint="eastAsia"/>
                <w:color w:val="000000" w:themeColor="text1"/>
                <w:sz w:val="24"/>
                <w:szCs w:val="24"/>
                <w:highlight w:val="none"/>
                <w:lang w:eastAsia="zh-CN"/>
                <w14:textFill>
                  <w14:solidFill>
                    <w14:schemeClr w14:val="tx1"/>
                  </w14:solidFill>
                </w14:textFill>
              </w:rPr>
              <w:t>中卫市</w:t>
            </w:r>
            <w:r>
              <w:rPr>
                <w:rFonts w:hint="eastAsia"/>
                <w:color w:val="000000" w:themeColor="text1"/>
                <w:sz w:val="24"/>
                <w:szCs w:val="24"/>
                <w:highlight w:val="none"/>
                <w14:textFill>
                  <w14:solidFill>
                    <w14:schemeClr w14:val="tx1"/>
                  </w14:solidFill>
                </w14:textFill>
              </w:rPr>
              <w:t>沙坡头区香山乡</w:t>
            </w:r>
            <w:r>
              <w:rPr>
                <w:rFonts w:hint="eastAsia"/>
                <w:color w:val="000000" w:themeColor="text1"/>
                <w:sz w:val="24"/>
                <w:szCs w:val="24"/>
                <w:highlight w:val="none"/>
                <w:lang w:eastAsia="zh-CN"/>
                <w14:textFill>
                  <w14:solidFill>
                    <w14:schemeClr w14:val="tx1"/>
                  </w14:solidFill>
                </w14:textFill>
              </w:rPr>
              <w:t>、常乐镇</w:t>
            </w:r>
            <w:r>
              <w:rPr>
                <w:rFonts w:hint="eastAsia"/>
                <w:color w:val="000000" w:themeColor="text1"/>
                <w:sz w:val="24"/>
                <w:szCs w:val="24"/>
                <w:highlight w:val="none"/>
                <w14:textFill>
                  <w14:solidFill>
                    <w14:schemeClr w14:val="tx1"/>
                  </w14:solidFill>
                </w14:textFill>
              </w:rPr>
              <w:t>，根据中卫市沙坡头区自然资源局提供的</w:t>
            </w:r>
            <w:r>
              <w:rPr>
                <w:rFonts w:hint="eastAsia"/>
                <w:color w:val="000000" w:themeColor="text1"/>
                <w:sz w:val="24"/>
                <w:szCs w:val="24"/>
                <w:highlight w:val="none"/>
                <w:lang w:eastAsia="zh-CN"/>
                <w14:textFill>
                  <w14:solidFill>
                    <w14:schemeClr w14:val="tx1"/>
                  </w14:solidFill>
                </w14:textFill>
              </w:rPr>
              <w:t>矢量范围</w:t>
            </w:r>
            <w:r>
              <w:rPr>
                <w:rFonts w:hint="eastAsia"/>
                <w:color w:val="000000" w:themeColor="text1"/>
                <w:sz w:val="24"/>
                <w:szCs w:val="24"/>
                <w:highlight w:val="none"/>
                <w14:textFill>
                  <w14:solidFill>
                    <w14:schemeClr w14:val="tx1"/>
                  </w14:solidFill>
                </w14:textFill>
              </w:rPr>
              <w:t>，对照</w:t>
            </w:r>
            <w:r>
              <w:rPr>
                <w:rFonts w:hint="eastAsia"/>
                <w:color w:val="000000" w:themeColor="text1"/>
                <w:sz w:val="24"/>
                <w:szCs w:val="24"/>
                <w:highlight w:val="none"/>
                <w:lang w:eastAsia="zh-CN"/>
                <w14:textFill>
                  <w14:solidFill>
                    <w14:schemeClr w14:val="tx1"/>
                  </w14:solidFill>
                </w14:textFill>
              </w:rPr>
              <w:t>中卫市生态空间分布图，</w:t>
            </w:r>
            <w:r>
              <w:rPr>
                <w:rFonts w:hint="eastAsia"/>
                <w:color w:val="000000" w:themeColor="text1"/>
                <w:sz w:val="24"/>
                <w:szCs w:val="24"/>
                <w:highlight w:val="none"/>
                <w14:textFill>
                  <w14:solidFill>
                    <w14:schemeClr w14:val="tx1"/>
                  </w14:solidFill>
                </w14:textFill>
              </w:rPr>
              <w:t>本项目</w:t>
            </w:r>
            <w:r>
              <w:rPr>
                <w:rFonts w:hint="eastAsia"/>
                <w:color w:val="000000" w:themeColor="text1"/>
                <w:sz w:val="24"/>
                <w:szCs w:val="24"/>
                <w:highlight w:val="none"/>
                <w:lang w:eastAsia="zh-CN"/>
                <w14:textFill>
                  <w14:solidFill>
                    <w14:schemeClr w14:val="tx1"/>
                  </w14:solidFill>
                </w14:textFill>
              </w:rPr>
              <w:t>香山黄泉村一采区生态修复治理区内的</w:t>
            </w:r>
            <w:r>
              <w:rPr>
                <w:rFonts w:hint="eastAsia"/>
                <w:color w:val="000000" w:themeColor="text1"/>
                <w:sz w:val="24"/>
                <w:szCs w:val="24"/>
                <w:highlight w:val="none"/>
                <w:lang w:val="en-US" w:eastAsia="zh-CN"/>
                <w14:textFill>
                  <w14:solidFill>
                    <w14:schemeClr w14:val="tx1"/>
                  </w14:solidFill>
                </w14:textFill>
              </w:rPr>
              <w:t>1号至5号治理点涉及</w:t>
            </w:r>
            <w:r>
              <w:rPr>
                <w:rFonts w:hint="eastAsia"/>
                <w:color w:val="000000" w:themeColor="text1"/>
                <w:sz w:val="24"/>
                <w:szCs w:val="24"/>
                <w:highlight w:val="none"/>
                <w14:textFill>
                  <w14:solidFill>
                    <w14:schemeClr w14:val="tx1"/>
                  </w14:solidFill>
                </w14:textFill>
              </w:rPr>
              <w:t>中卫市生态保护红线</w:t>
            </w:r>
            <w:r>
              <w:rPr>
                <w:rFonts w:hint="eastAsia"/>
                <w:color w:val="000000" w:themeColor="text1"/>
                <w:sz w:val="24"/>
                <w:szCs w:val="24"/>
                <w:highlight w:val="none"/>
                <w:lang w:eastAsia="zh-CN"/>
                <w14:textFill>
                  <w14:solidFill>
                    <w14:schemeClr w14:val="tx1"/>
                  </w14:solidFill>
                </w14:textFill>
              </w:rPr>
              <w:t>管控范围，</w:t>
            </w:r>
            <w:r>
              <w:rPr>
                <w:rFonts w:hint="default"/>
                <w:lang w:val="en-US" w:eastAsia="zh-CN"/>
              </w:rPr>
              <w:t>占用生态保护红线面积为8.43hm</w:t>
            </w:r>
            <w:r>
              <w:rPr>
                <w:rFonts w:hint="default"/>
                <w:vertAlign w:val="superscript"/>
                <w:lang w:val="en-US" w:eastAsia="zh-CN"/>
              </w:rPr>
              <w:t>2</w:t>
            </w:r>
            <w:r>
              <w:rPr>
                <w:rFonts w:hint="default"/>
                <w:lang w:val="en-US" w:eastAsia="zh-CN"/>
              </w:rPr>
              <w:t>，占用生态保护红线类型为西部腾格里沙漠边缘防风固沙生态保护红线，属于防风固沙重要区域</w:t>
            </w:r>
            <w:r>
              <w:rPr>
                <w:rFonts w:hint="eastAsia"/>
                <w:lang w:val="en-US" w:eastAsia="zh-CN"/>
              </w:rPr>
              <w:t>，</w:t>
            </w:r>
            <w:r>
              <w:rPr>
                <w:rFonts w:hint="eastAsia"/>
                <w:color w:val="000000" w:themeColor="text1"/>
                <w:sz w:val="24"/>
                <w:szCs w:val="24"/>
                <w:highlight w:val="none"/>
                <w:lang w:eastAsia="zh-CN"/>
                <w14:textFill>
                  <w14:solidFill>
                    <w14:schemeClr w14:val="tx1"/>
                  </w14:solidFill>
                </w14:textFill>
              </w:rPr>
              <w:t>其他生态修复治理区不在</w:t>
            </w:r>
            <w:r>
              <w:rPr>
                <w:rFonts w:hint="eastAsia"/>
                <w:color w:val="000000" w:themeColor="text1"/>
                <w:sz w:val="24"/>
                <w:szCs w:val="24"/>
                <w:highlight w:val="none"/>
                <w14:textFill>
                  <w14:solidFill>
                    <w14:schemeClr w14:val="tx1"/>
                  </w14:solidFill>
                </w14:textFill>
              </w:rPr>
              <w:t>中卫市生态保护红线</w:t>
            </w:r>
            <w:r>
              <w:rPr>
                <w:rFonts w:hint="eastAsia"/>
                <w:color w:val="000000" w:themeColor="text1"/>
                <w:sz w:val="24"/>
                <w:szCs w:val="24"/>
                <w:highlight w:val="none"/>
                <w:lang w:eastAsia="zh-CN"/>
                <w14:textFill>
                  <w14:solidFill>
                    <w14:schemeClr w14:val="tx1"/>
                  </w14:solidFill>
                </w14:textFill>
              </w:rPr>
              <w:t>管控范围。</w:t>
            </w:r>
          </w:p>
          <w:p>
            <w:pPr>
              <w:pStyle w:val="15"/>
              <w:ind w:firstLine="420"/>
              <w:rPr>
                <w:rFonts w:hint="eastAsia"/>
                <w:color w:val="auto"/>
                <w:lang w:eastAsia="zh-CN"/>
              </w:rPr>
            </w:pPr>
            <w:r>
              <w:rPr>
                <w:color w:val="auto"/>
                <w:sz w:val="24"/>
                <w:szCs w:val="24"/>
                <w:highlight w:val="none"/>
              </w:rPr>
              <w:t>本</w:t>
            </w:r>
            <w:r>
              <w:rPr>
                <w:rFonts w:hint="eastAsia"/>
                <w:color w:val="auto"/>
                <w:sz w:val="24"/>
                <w:szCs w:val="24"/>
                <w:highlight w:val="none"/>
              </w:rPr>
              <w:t>项目</w:t>
            </w:r>
            <w:r>
              <w:rPr>
                <w:color w:val="auto"/>
                <w:sz w:val="24"/>
                <w:szCs w:val="24"/>
                <w:highlight w:val="none"/>
              </w:rPr>
              <w:t>为</w:t>
            </w:r>
            <w:r>
              <w:rPr>
                <w:rFonts w:hint="eastAsia"/>
                <w:color w:val="auto"/>
                <w:sz w:val="24"/>
                <w:szCs w:val="24"/>
                <w:highlight w:val="none"/>
                <w:lang w:eastAsia="zh-CN"/>
              </w:rPr>
              <w:t>矿区</w:t>
            </w:r>
            <w:r>
              <w:rPr>
                <w:color w:val="auto"/>
                <w:sz w:val="24"/>
                <w:szCs w:val="24"/>
                <w:highlight w:val="none"/>
              </w:rPr>
              <w:t>生态修复项目，项目的实施将极大的改善区域生态环境</w:t>
            </w:r>
            <w:r>
              <w:rPr>
                <w:rFonts w:hint="eastAsia"/>
                <w:color w:val="auto"/>
                <w:sz w:val="24"/>
                <w:szCs w:val="24"/>
                <w:highlight w:val="none"/>
                <w:lang w:eastAsia="zh-CN"/>
              </w:rPr>
              <w:t>，</w:t>
            </w:r>
            <w:r>
              <w:rPr>
                <w:rFonts w:hint="eastAsia"/>
                <w:color w:val="auto"/>
              </w:rPr>
              <w:t>通过地形地貌重塑、矿山地质灾害治理、土地资源恢复等对矿山进行生态修复，解决</w:t>
            </w:r>
            <w:r>
              <w:rPr>
                <w:color w:val="auto"/>
              </w:rPr>
              <w:t>矿山开采破坏地形地貌和挖损占压土地资源的</w:t>
            </w:r>
            <w:r>
              <w:rPr>
                <w:rFonts w:hint="eastAsia"/>
                <w:color w:val="auto"/>
              </w:rPr>
              <w:t>问题</w:t>
            </w:r>
            <w:r>
              <w:rPr>
                <w:color w:val="auto"/>
              </w:rPr>
              <w:t>，本项目的实施，可使</w:t>
            </w:r>
            <w:r>
              <w:rPr>
                <w:rFonts w:hint="eastAsia"/>
                <w:color w:val="auto"/>
              </w:rPr>
              <w:t>治理区</w:t>
            </w:r>
            <w:r>
              <w:rPr>
                <w:color w:val="auto"/>
              </w:rPr>
              <w:t>受损的地形地貌得以恢复，通过覆土植草，可逐步恢复治理区内植被，从而有效减少水土流失</w:t>
            </w:r>
            <w:r>
              <w:rPr>
                <w:rFonts w:hint="eastAsia"/>
                <w:color w:val="auto"/>
              </w:rPr>
              <w:t>，</w:t>
            </w:r>
            <w:r>
              <w:rPr>
                <w:color w:val="auto"/>
              </w:rPr>
              <w:t>可实现</w:t>
            </w:r>
            <w:r>
              <w:rPr>
                <w:rFonts w:hint="eastAsia"/>
                <w:color w:val="auto"/>
              </w:rPr>
              <w:t>矿山生态环境的</w:t>
            </w:r>
            <w:r>
              <w:rPr>
                <w:color w:val="auto"/>
              </w:rPr>
              <w:t>修复</w:t>
            </w:r>
            <w:r>
              <w:rPr>
                <w:rFonts w:hint="eastAsia"/>
                <w:color w:val="auto"/>
                <w:lang w:eastAsia="zh-CN"/>
              </w:rPr>
              <w:t>。</w:t>
            </w:r>
          </w:p>
          <w:p>
            <w:pPr>
              <w:pStyle w:val="15"/>
              <w:ind w:firstLine="420"/>
              <w:rPr>
                <w:rFonts w:hint="eastAsia"/>
                <w:sz w:val="24"/>
                <w:szCs w:val="24"/>
                <w:highlight w:val="none"/>
              </w:rPr>
            </w:pPr>
            <w:r>
              <w:rPr>
                <w:rFonts w:hint="eastAsia"/>
                <w:sz w:val="24"/>
                <w:szCs w:val="24"/>
                <w:highlight w:val="none"/>
                <w:lang w:eastAsia="zh-CN"/>
              </w:rPr>
              <w:t>本项目属于</w:t>
            </w:r>
            <w:r>
              <w:rPr>
                <w:rFonts w:hint="eastAsia"/>
                <w:highlight w:val="none"/>
              </w:rPr>
              <w:t>《关于在国土空间规划中统筹划定落实三条控制线的指导意见》要求</w:t>
            </w:r>
            <w:r>
              <w:rPr>
                <w:rFonts w:hint="eastAsia"/>
                <w:highlight w:val="none"/>
                <w:lang w:eastAsia="zh-CN"/>
              </w:rPr>
              <w:t>中的第八项：“</w:t>
            </w:r>
            <w:r>
              <w:rPr>
                <w:rFonts w:hint="default" w:ascii="Times New Roman" w:hAnsi="Times New Roman" w:cs="Times New Roman"/>
                <w:sz w:val="24"/>
                <w:szCs w:val="24"/>
                <w:highlight w:val="none"/>
              </w:rPr>
              <w:t>重要生态修复工程</w:t>
            </w:r>
            <w:r>
              <w:rPr>
                <w:rFonts w:hint="eastAsia"/>
                <w:highlight w:val="none"/>
                <w:lang w:eastAsia="zh-CN"/>
              </w:rPr>
              <w:t>”，</w:t>
            </w:r>
            <w:r>
              <w:rPr>
                <w:rFonts w:hint="eastAsia"/>
                <w:sz w:val="24"/>
                <w:szCs w:val="24"/>
                <w:highlight w:val="none"/>
                <w:lang w:eastAsia="zh-CN"/>
              </w:rPr>
              <w:t>属于</w:t>
            </w:r>
            <w:r>
              <w:rPr>
                <w:rFonts w:hint="eastAsia"/>
                <w:sz w:val="24"/>
                <w:szCs w:val="24"/>
                <w:highlight w:val="none"/>
              </w:rPr>
              <w:t>《中卫市“三线一单”文本》</w:t>
            </w:r>
            <w:r>
              <w:rPr>
                <w:rFonts w:hint="eastAsia"/>
                <w:sz w:val="24"/>
                <w:szCs w:val="24"/>
                <w:highlight w:val="none"/>
                <w:lang w:eastAsia="zh-CN"/>
              </w:rPr>
              <w:t>中允许的对生态功能不造成破坏的有限人为活动，本项目实施可以确保生态保护红线内“生态功能不降低，面积不减少，性质不改变”，</w:t>
            </w:r>
            <w:r>
              <w:rPr>
                <w:rFonts w:hint="eastAsia"/>
                <w:color w:val="000000" w:themeColor="text1"/>
                <w:sz w:val="24"/>
                <w:szCs w:val="24"/>
                <w:highlight w:val="none"/>
                <w:lang w:eastAsia="zh-CN"/>
                <w14:textFill>
                  <w14:solidFill>
                    <w14:schemeClr w14:val="tx1"/>
                  </w14:solidFill>
                </w14:textFill>
              </w:rPr>
              <w:t>项目运营后</w:t>
            </w:r>
            <w:r>
              <w:rPr>
                <w:rFonts w:hint="eastAsia"/>
                <w:sz w:val="24"/>
                <w:szCs w:val="24"/>
                <w:highlight w:val="none"/>
                <w:lang w:eastAsia="zh-CN"/>
              </w:rPr>
              <w:t>改善区域内的生态环境，对涉及</w:t>
            </w:r>
            <w:r>
              <w:rPr>
                <w:rFonts w:hint="eastAsia"/>
                <w:color w:val="000000" w:themeColor="text1"/>
                <w:sz w:val="24"/>
                <w:szCs w:val="24"/>
                <w:highlight w:val="none"/>
                <w14:textFill>
                  <w14:solidFill>
                    <w14:schemeClr w14:val="tx1"/>
                  </w14:solidFill>
                </w14:textFill>
              </w:rPr>
              <w:t>中卫市生态保护红线</w:t>
            </w:r>
            <w:r>
              <w:rPr>
                <w:rFonts w:hint="eastAsia"/>
                <w:color w:val="000000" w:themeColor="text1"/>
                <w:sz w:val="24"/>
                <w:szCs w:val="24"/>
                <w:highlight w:val="none"/>
                <w:lang w:eastAsia="zh-CN"/>
                <w14:textFill>
                  <w14:solidFill>
                    <w14:schemeClr w14:val="tx1"/>
                  </w14:solidFill>
                </w14:textFill>
              </w:rPr>
              <w:t>管控范围内区域的生态环境有积极影响。</w:t>
            </w:r>
          </w:p>
          <w:p>
            <w:pPr>
              <w:pStyle w:val="15"/>
              <w:ind w:firstLine="420"/>
              <w:rPr>
                <w:rFonts w:hint="eastAsia" w:eastAsia="宋体"/>
                <w:sz w:val="24"/>
                <w:szCs w:val="24"/>
                <w:highlight w:val="none"/>
                <w:lang w:eastAsia="zh-CN"/>
              </w:rPr>
            </w:pPr>
            <w:r>
              <w:rPr>
                <w:rFonts w:hint="eastAsia"/>
                <w:sz w:val="24"/>
                <w:szCs w:val="24"/>
                <w:highlight w:val="none"/>
                <w:lang w:eastAsia="zh-CN"/>
              </w:rPr>
              <w:t>综上所述，本项目</w:t>
            </w:r>
            <w:r>
              <w:rPr>
                <w:rFonts w:hint="eastAsia" w:ascii="Times New Roman" w:hAnsi="Times New Roman" w:eastAsia="宋体" w:cs="Times New Roman"/>
                <w:sz w:val="24"/>
                <w:szCs w:val="24"/>
                <w:highlight w:val="none"/>
                <w:lang w:eastAsia="zh-CN"/>
              </w:rPr>
              <w:t>满足</w:t>
            </w:r>
            <w:r>
              <w:rPr>
                <w:rFonts w:hint="default" w:ascii="Times New Roman" w:hAnsi="Times New Roman" w:eastAsia="宋体" w:cs="Times New Roman"/>
                <w:sz w:val="24"/>
                <w:szCs w:val="24"/>
                <w:highlight w:val="none"/>
                <w:lang w:eastAsia="zh-CN"/>
              </w:rPr>
              <w:t>“三线一单”</w:t>
            </w:r>
            <w:r>
              <w:rPr>
                <w:rFonts w:hint="eastAsia" w:ascii="Times New Roman" w:hAnsi="Times New Roman" w:eastAsia="宋体" w:cs="Times New Roman"/>
                <w:sz w:val="24"/>
                <w:szCs w:val="24"/>
                <w:highlight w:val="none"/>
                <w:lang w:eastAsia="zh-CN"/>
              </w:rPr>
              <w:t>和生态分区管</w:t>
            </w:r>
            <w:r>
              <w:rPr>
                <w:rFonts w:hint="eastAsia"/>
                <w:sz w:val="24"/>
                <w:szCs w:val="24"/>
                <w:highlight w:val="none"/>
                <w:lang w:eastAsia="zh-CN"/>
              </w:rPr>
              <w:t>控要求。</w:t>
            </w:r>
            <w:r>
              <w:rPr>
                <w:rFonts w:hint="eastAsia"/>
                <w:lang w:eastAsia="zh-CN"/>
              </w:rPr>
              <w:t>（位置关系图详见附图</w:t>
            </w:r>
            <w:r>
              <w:rPr>
                <w:rFonts w:hint="eastAsia"/>
                <w:lang w:val="en-US" w:eastAsia="zh-CN"/>
              </w:rPr>
              <w:t>3</w:t>
            </w:r>
            <w:r>
              <w:rPr>
                <w:rFonts w:hint="eastAsia"/>
                <w:lang w:eastAsia="zh-CN"/>
              </w:rPr>
              <w:t>）</w:t>
            </w:r>
          </w:p>
          <w:p>
            <w:pPr>
              <w:pStyle w:val="15"/>
              <w:ind w:firstLine="420"/>
              <w:rPr>
                <w:rFonts w:hint="eastAsia" w:eastAsia="宋体"/>
                <w:sz w:val="24"/>
                <w:szCs w:val="24"/>
                <w:highlight w:val="none"/>
                <w:lang w:eastAsia="zh-CN"/>
              </w:rPr>
            </w:pPr>
            <w:r>
              <w:rPr>
                <w:rFonts w:hint="eastAsia"/>
                <w:sz w:val="24"/>
                <w:szCs w:val="24"/>
                <w:highlight w:val="none"/>
                <w:lang w:eastAsia="zh-CN"/>
              </w:rPr>
              <w:t>（</w:t>
            </w:r>
            <w:r>
              <w:rPr>
                <w:rFonts w:hint="eastAsia"/>
                <w:sz w:val="24"/>
                <w:szCs w:val="24"/>
                <w:highlight w:val="none"/>
                <w:lang w:val="en-US" w:eastAsia="zh-CN"/>
              </w:rPr>
              <w:t>2</w:t>
            </w:r>
            <w:r>
              <w:rPr>
                <w:rFonts w:hint="eastAsia"/>
                <w:sz w:val="24"/>
                <w:szCs w:val="24"/>
                <w:highlight w:val="none"/>
                <w:lang w:eastAsia="zh-CN"/>
              </w:rPr>
              <w:t>）环境质量底线及分区管控</w:t>
            </w:r>
          </w:p>
          <w:p>
            <w:pPr>
              <w:pStyle w:val="15"/>
              <w:ind w:firstLine="420"/>
              <w:jc w:val="both"/>
              <w:rPr>
                <w:sz w:val="24"/>
                <w:szCs w:val="24"/>
                <w:highlight w:val="none"/>
              </w:rPr>
            </w:pPr>
            <w:r>
              <w:rPr>
                <w:rFonts w:hint="eastAsia"/>
                <w:sz w:val="24"/>
                <w:szCs w:val="24"/>
                <w:highlight w:val="none"/>
              </w:rPr>
              <w:t>①与中卫市水环境质量底线及分区管控符合性分析</w:t>
            </w:r>
          </w:p>
          <w:p>
            <w:pPr>
              <w:pStyle w:val="15"/>
              <w:ind w:firstLine="420"/>
              <w:jc w:val="both"/>
              <w:rPr>
                <w:sz w:val="24"/>
                <w:szCs w:val="24"/>
                <w:highlight w:val="none"/>
              </w:rPr>
            </w:pPr>
            <w:r>
              <w:rPr>
                <w:sz w:val="24"/>
                <w:szCs w:val="24"/>
                <w:highlight w:val="none"/>
              </w:rPr>
              <w:t>根据《中卫市“三线一单”编制文本》中“表3-1中卫市水环境质量底线目标”，黄河干流下河沿断面2025年、2035年水质目标均为II类标准要求。本次评价区域内地表水体为黄河，黄河中卫下河沿断面各项水质指标均符合《地表水环境质量标准》（GB3838-2002）中的II类标准，符合水环境质量底线要求。</w:t>
            </w:r>
          </w:p>
          <w:p>
            <w:pPr>
              <w:pStyle w:val="15"/>
              <w:ind w:firstLine="420"/>
              <w:rPr>
                <w:sz w:val="24"/>
                <w:szCs w:val="24"/>
                <w:highlight w:val="none"/>
              </w:rPr>
            </w:pPr>
            <w:r>
              <w:rPr>
                <w:rFonts w:hint="eastAsia"/>
                <w:sz w:val="24"/>
                <w:szCs w:val="24"/>
                <w:highlight w:val="none"/>
              </w:rPr>
              <w:t>以水环境控制单元为基本单元，分析各环境管控单元的功能定位，结合水质超标区域分布，基于水环境系统评价结果，得到中卫市水环境管控分区。共分为三大类：水环境优先保护区、水环境重点管控区（含水环境工业污染源重点管控区、水环境农业污染源重点管控区、水环境城镇生活污染源重点管控区）和水环境一般管控区。</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对照中卫市水环境分区管控图可知，本项目所在区域为水环境一般管控区，应落实《中华人民共和国水污染防治法》等相关法律法规的总体要求，加强水资源节约和保护，积极推动水生态修复治理，持续深入推进水污染防治，改善水环境质量。</w:t>
            </w:r>
            <w:r>
              <w:rPr>
                <w:color w:val="000000" w:themeColor="text1"/>
                <w:sz w:val="24"/>
                <w:szCs w:val="24"/>
                <w:highlight w:val="none"/>
                <w14:textFill>
                  <w14:solidFill>
                    <w14:schemeClr w14:val="tx1"/>
                  </w14:solidFill>
                </w14:textFill>
              </w:rPr>
              <w:t>本项目运营期无废水产生，</w:t>
            </w:r>
            <w:r>
              <w:rPr>
                <w:rFonts w:hint="eastAsia"/>
                <w:color w:val="000000" w:themeColor="text1"/>
                <w:sz w:val="24"/>
                <w:szCs w:val="24"/>
                <w:highlight w:val="none"/>
                <w14:textFill>
                  <w14:solidFill>
                    <w14:schemeClr w14:val="tx1"/>
                  </w14:solidFill>
                </w14:textFill>
              </w:rPr>
              <w:t>施工期废水经过处理后用于施工区洒水抑尘等，不外排，对区域地表水环境影响较小，满足水环境</w:t>
            </w:r>
            <w:r>
              <w:rPr>
                <w:rFonts w:hint="eastAsia"/>
                <w:color w:val="000000" w:themeColor="text1"/>
                <w:sz w:val="24"/>
                <w:szCs w:val="24"/>
                <w:highlight w:val="none"/>
                <w:lang w:eastAsia="zh-CN"/>
                <w14:textFill>
                  <w14:solidFill>
                    <w14:schemeClr w14:val="tx1"/>
                  </w14:solidFill>
                </w14:textFill>
              </w:rPr>
              <w:t>质量</w:t>
            </w:r>
            <w:r>
              <w:rPr>
                <w:rFonts w:hint="eastAsia"/>
                <w:color w:val="000000" w:themeColor="text1"/>
                <w:sz w:val="24"/>
                <w:szCs w:val="24"/>
                <w:highlight w:val="none"/>
                <w14:textFill>
                  <w14:solidFill>
                    <w14:schemeClr w14:val="tx1"/>
                  </w14:solidFill>
                </w14:textFill>
              </w:rPr>
              <w:t>底线及管控要求。具体与中卫市水环境管控分区位置关系详见附图</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w:t>
            </w:r>
          </w:p>
          <w:p>
            <w:pPr>
              <w:spacing w:line="360" w:lineRule="auto"/>
              <w:ind w:firstLine="480" w:firstLineChars="200"/>
              <w:jc w:val="left"/>
              <w:rPr>
                <w:color w:val="000000" w:themeColor="text1"/>
                <w:sz w:val="24"/>
                <w:szCs w:val="24"/>
                <w:highlight w:val="none"/>
                <w14:textFill>
                  <w14:solidFill>
                    <w14:schemeClr w14:val="tx1"/>
                  </w14:solidFill>
                </w14:textFill>
              </w:rPr>
            </w:pPr>
            <w:r>
              <w:rPr>
                <w:rFonts w:hint="eastAsia"/>
                <w:sz w:val="24"/>
                <w:szCs w:val="24"/>
                <w:highlight w:val="none"/>
              </w:rPr>
              <w:t>②</w:t>
            </w:r>
            <w:r>
              <w:rPr>
                <w:rFonts w:hint="eastAsia"/>
                <w:color w:val="000000" w:themeColor="text1"/>
                <w:sz w:val="24"/>
                <w:szCs w:val="24"/>
                <w:highlight w:val="none"/>
                <w14:textFill>
                  <w14:solidFill>
                    <w14:schemeClr w14:val="tx1"/>
                  </w14:solidFill>
                </w14:textFill>
              </w:rPr>
              <w:t>与中卫市大气环境质量底线及分区管控符合性分析</w:t>
            </w:r>
          </w:p>
          <w:p>
            <w:pPr>
              <w:pStyle w:val="15"/>
              <w:ind w:firstLine="420"/>
              <w:jc w:val="both"/>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根据《中卫市“三线一单”编制文本》中“表3-3中卫市大气环境质量目标建议值一览表”，中卫市2025年、2035年PM</w:t>
            </w:r>
            <w:r>
              <w:rPr>
                <w:color w:val="000000" w:themeColor="text1"/>
                <w:sz w:val="24"/>
                <w:szCs w:val="24"/>
                <w:highlight w:val="none"/>
                <w:vertAlign w:val="subscript"/>
                <w14:textFill>
                  <w14:solidFill>
                    <w14:schemeClr w14:val="tx1"/>
                  </w14:solidFill>
                </w14:textFill>
              </w:rPr>
              <w:t>2.5</w:t>
            </w:r>
            <w:r>
              <w:rPr>
                <w:color w:val="000000" w:themeColor="text1"/>
                <w:sz w:val="24"/>
                <w:szCs w:val="24"/>
                <w:highlight w:val="none"/>
                <w14:textFill>
                  <w14:solidFill>
                    <w14:schemeClr w14:val="tx1"/>
                  </w14:solidFill>
                </w14:textFill>
              </w:rPr>
              <w:t>目标值均为33ug/m</w:t>
            </w:r>
            <w:r>
              <w:rPr>
                <w:color w:val="000000" w:themeColor="text1"/>
                <w:sz w:val="24"/>
                <w:szCs w:val="24"/>
                <w:highlight w:val="none"/>
                <w:vertAlign w:val="superscript"/>
                <w14:textFill>
                  <w14:solidFill>
                    <w14:schemeClr w14:val="tx1"/>
                  </w14:solidFill>
                </w14:textFill>
              </w:rPr>
              <w:t>3</w:t>
            </w:r>
            <w:r>
              <w:rPr>
                <w:color w:val="000000" w:themeColor="text1"/>
                <w:sz w:val="24"/>
                <w:szCs w:val="24"/>
                <w:highlight w:val="none"/>
                <w14:textFill>
                  <w14:solidFill>
                    <w14:schemeClr w14:val="tx1"/>
                  </w14:solidFill>
                </w14:textFill>
              </w:rPr>
              <w:t>。根据《2021年宁夏生态环境状况公报》</w:t>
            </w:r>
            <w:r>
              <w:rPr>
                <w:rFonts w:hint="eastAsia"/>
                <w:color w:val="000000" w:themeColor="text1"/>
                <w:sz w:val="24"/>
                <w:szCs w:val="24"/>
                <w:highlight w:val="none"/>
                <w14:textFill>
                  <w14:solidFill>
                    <w14:schemeClr w14:val="tx1"/>
                  </w14:solidFill>
                </w14:textFill>
              </w:rPr>
              <w:t>中卫市监测点位监测结果，剔除沙尘天气影响后，PM</w:t>
            </w:r>
            <w:r>
              <w:rPr>
                <w:rFonts w:hint="eastAsia"/>
                <w:color w:val="000000" w:themeColor="text1"/>
                <w:sz w:val="24"/>
                <w:szCs w:val="24"/>
                <w:highlight w:val="none"/>
                <w:vertAlign w:val="subscript"/>
                <w14:textFill>
                  <w14:solidFill>
                    <w14:schemeClr w14:val="tx1"/>
                  </w14:solidFill>
                </w14:textFill>
              </w:rPr>
              <w:t>10</w:t>
            </w:r>
            <w:r>
              <w:rPr>
                <w:rFonts w:hint="eastAsia"/>
                <w:color w:val="000000" w:themeColor="text1"/>
                <w:sz w:val="24"/>
                <w:szCs w:val="24"/>
                <w:highlight w:val="none"/>
                <w14:textFill>
                  <w14:solidFill>
                    <w14:schemeClr w14:val="tx1"/>
                  </w14:solidFill>
                </w14:textFill>
              </w:rPr>
              <w:t>、PM</w:t>
            </w:r>
            <w:r>
              <w:rPr>
                <w:rFonts w:hint="eastAsia"/>
                <w:color w:val="000000" w:themeColor="text1"/>
                <w:sz w:val="24"/>
                <w:szCs w:val="24"/>
                <w:highlight w:val="none"/>
                <w:vertAlign w:val="subscript"/>
                <w14:textFill>
                  <w14:solidFill>
                    <w14:schemeClr w14:val="tx1"/>
                  </w14:solidFill>
                </w14:textFill>
              </w:rPr>
              <w:t>2.5</w:t>
            </w:r>
            <w:r>
              <w:rPr>
                <w:rFonts w:hint="eastAsia"/>
                <w:color w:val="000000" w:themeColor="text1"/>
                <w:sz w:val="24"/>
                <w:szCs w:val="24"/>
                <w:highlight w:val="none"/>
                <w14:textFill>
                  <w14:solidFill>
                    <w14:schemeClr w14:val="tx1"/>
                  </w14:solidFill>
                </w14:textFill>
              </w:rPr>
              <w:t>、NO</w:t>
            </w:r>
            <w:r>
              <w:rPr>
                <w:rFonts w:hint="eastAsia"/>
                <w:color w:val="000000" w:themeColor="text1"/>
                <w:sz w:val="24"/>
                <w:szCs w:val="24"/>
                <w:highlight w:val="none"/>
                <w:vertAlign w:val="sub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年均值、SO</w:t>
            </w:r>
            <w:r>
              <w:rPr>
                <w:rFonts w:hint="eastAsia"/>
                <w:color w:val="000000" w:themeColor="text1"/>
                <w:sz w:val="24"/>
                <w:szCs w:val="24"/>
                <w:highlight w:val="none"/>
                <w:vertAlign w:val="sub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年均值、CO第95百分位数、O</w:t>
            </w:r>
            <w:r>
              <w:rPr>
                <w:rFonts w:hint="eastAsia"/>
                <w:color w:val="000000" w:themeColor="text1"/>
                <w:sz w:val="24"/>
                <w:szCs w:val="24"/>
                <w:highlight w:val="none"/>
                <w:vertAlign w:val="sub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第90百分位数均满足《环境空气质量标准》(GB3095-2012)及2018年修改单中二级标准要求</w:t>
            </w:r>
            <w:r>
              <w:rPr>
                <w:rFonts w:hint="eastAsia"/>
                <w:color w:val="000000" w:themeColor="text1"/>
                <w:sz w:val="24"/>
                <w:szCs w:val="24"/>
                <w:highlight w:val="none"/>
                <w:lang w:eastAsia="zh-CN"/>
                <w14:textFill>
                  <w14:solidFill>
                    <w14:schemeClr w14:val="tx1"/>
                  </w14:solidFill>
                </w14:textFill>
              </w:rPr>
              <w:t>（数据详见环境空气质量现状）</w:t>
            </w:r>
            <w:r>
              <w:rPr>
                <w:rFonts w:hint="eastAsia"/>
                <w:color w:val="000000" w:themeColor="text1"/>
                <w:sz w:val="24"/>
                <w:szCs w:val="24"/>
                <w:highlight w:val="none"/>
                <w14:textFill>
                  <w14:solidFill>
                    <w14:schemeClr w14:val="tx1"/>
                  </w14:solidFill>
                </w14:textFill>
              </w:rPr>
              <w:t>。</w:t>
            </w:r>
          </w:p>
          <w:p>
            <w:pPr>
              <w:pStyle w:val="15"/>
              <w:ind w:firstLine="420"/>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根据“中卫市大气环境分区管控图”，本项目位于大气环境一般管控区，本项目在中卫市大气环境分区管控图中的位置见附图</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大环境一般管控区管控要求落实《中华人民共和国大气污染防治法》等相关法律法规的一般要求，在满足区域基本的污染物排放标准和污染防治要求基础上，进一步采用更清洁的生产方式和更有效的污染治理措施，推动区域环境空气质量持续改善。</w:t>
            </w:r>
          </w:p>
          <w:p>
            <w:pPr>
              <w:pStyle w:val="15"/>
              <w:ind w:left="0" w:leftChars="0" w:firstLine="240" w:firstLineChars="100"/>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本项目通过采取生态治理措施，有利于减少裸露地面面积，减少区域扬尘，有利于改善区域大气环境质量</w:t>
            </w:r>
            <w:r>
              <w:rPr>
                <w:rFonts w:hint="eastAsia"/>
                <w:color w:val="000000" w:themeColor="text1"/>
                <w:sz w:val="24"/>
                <w:szCs w:val="24"/>
                <w:highlight w:val="none"/>
                <w14:textFill>
                  <w14:solidFill>
                    <w14:schemeClr w14:val="tx1"/>
                  </w14:solidFill>
                </w14:textFill>
              </w:rPr>
              <w:t>，符合大气环境分区管控要求。</w:t>
            </w:r>
          </w:p>
          <w:p>
            <w:pPr>
              <w:pStyle w:val="15"/>
              <w:ind w:firstLine="420"/>
              <w:rPr>
                <w:sz w:val="24"/>
                <w:szCs w:val="24"/>
                <w:highlight w:val="none"/>
              </w:rPr>
            </w:pPr>
            <w:r>
              <w:rPr>
                <w:sz w:val="24"/>
                <w:szCs w:val="24"/>
                <w:highlight w:val="none"/>
              </w:rPr>
              <w:t>③与中卫市土壤环境质量底线及分区管控符合性分析</w:t>
            </w:r>
          </w:p>
          <w:p>
            <w:pPr>
              <w:pStyle w:val="15"/>
              <w:ind w:firstLine="420"/>
              <w:rPr>
                <w:color w:val="000000" w:themeColor="text1"/>
                <w:sz w:val="24"/>
                <w:szCs w:val="24"/>
                <w:highlight w:val="none"/>
                <w14:textFill>
                  <w14:solidFill>
                    <w14:schemeClr w14:val="tx1"/>
                  </w14:solidFill>
                </w14:textFill>
              </w:rPr>
            </w:pPr>
            <w:r>
              <w:rPr>
                <w:sz w:val="24"/>
                <w:szCs w:val="24"/>
                <w:highlight w:val="none"/>
              </w:rPr>
              <w:t>根据《中卫市“</w:t>
            </w:r>
            <w:r>
              <w:rPr>
                <w:rFonts w:hint="eastAsia"/>
                <w:sz w:val="24"/>
                <w:szCs w:val="24"/>
                <w:highlight w:val="none"/>
              </w:rPr>
              <w:t>三线一单</w:t>
            </w:r>
            <w:r>
              <w:rPr>
                <w:sz w:val="24"/>
                <w:szCs w:val="24"/>
                <w:highlight w:val="none"/>
              </w:rPr>
              <w:t>”</w:t>
            </w:r>
            <w:r>
              <w:rPr>
                <w:rFonts w:hint="eastAsia"/>
                <w:sz w:val="24"/>
                <w:szCs w:val="24"/>
                <w:highlight w:val="none"/>
              </w:rPr>
              <w:t>编制文本》中</w:t>
            </w:r>
            <w:r>
              <w:rPr>
                <w:sz w:val="24"/>
                <w:szCs w:val="24"/>
                <w:highlight w:val="none"/>
              </w:rPr>
              <w:t>“</w:t>
            </w:r>
            <w:r>
              <w:rPr>
                <w:rFonts w:hint="eastAsia"/>
                <w:sz w:val="24"/>
                <w:szCs w:val="24"/>
                <w:highlight w:val="none"/>
              </w:rPr>
              <w:t>表</w:t>
            </w:r>
            <w:r>
              <w:rPr>
                <w:sz w:val="24"/>
                <w:szCs w:val="24"/>
                <w:highlight w:val="none"/>
              </w:rPr>
              <w:t>3-5</w:t>
            </w:r>
            <w:r>
              <w:rPr>
                <w:rFonts w:hint="eastAsia"/>
                <w:sz w:val="24"/>
                <w:szCs w:val="24"/>
                <w:highlight w:val="none"/>
              </w:rPr>
              <w:t>中卫市土壤污染风险管控目标</w:t>
            </w:r>
            <w:r>
              <w:rPr>
                <w:sz w:val="24"/>
                <w:szCs w:val="24"/>
                <w:highlight w:val="none"/>
              </w:rPr>
              <w:t>”</w:t>
            </w:r>
            <w:r>
              <w:rPr>
                <w:rFonts w:hint="eastAsia"/>
                <w:sz w:val="24"/>
                <w:szCs w:val="24"/>
                <w:highlight w:val="none"/>
              </w:rPr>
              <w:t>，中卫市</w:t>
            </w:r>
            <w:r>
              <w:rPr>
                <w:sz w:val="24"/>
                <w:szCs w:val="24"/>
                <w:highlight w:val="none"/>
              </w:rPr>
              <w:t>2025</w:t>
            </w:r>
            <w:r>
              <w:rPr>
                <w:rFonts w:hint="eastAsia"/>
                <w:sz w:val="24"/>
                <w:szCs w:val="24"/>
                <w:highlight w:val="none"/>
              </w:rPr>
              <w:t>年污染地块安全利用率达</w:t>
            </w:r>
            <w:r>
              <w:rPr>
                <w:sz w:val="24"/>
                <w:szCs w:val="24"/>
                <w:highlight w:val="none"/>
              </w:rPr>
              <w:t>95%</w:t>
            </w:r>
            <w:r>
              <w:rPr>
                <w:rFonts w:hint="eastAsia"/>
                <w:sz w:val="24"/>
                <w:szCs w:val="24"/>
                <w:highlight w:val="none"/>
              </w:rPr>
              <w:t>以上</w:t>
            </w:r>
            <w:r>
              <w:rPr>
                <w:rFonts w:hint="eastAsia"/>
                <w:color w:val="000000" w:themeColor="text1"/>
                <w:sz w:val="24"/>
                <w:szCs w:val="24"/>
                <w:highlight w:val="none"/>
                <w14:textFill>
                  <w14:solidFill>
                    <w14:schemeClr w14:val="tx1"/>
                  </w14:solidFill>
                </w14:textFill>
              </w:rPr>
              <w:t>。根据土壤环境质量现状、土地利用现状，综合考虑全市农用地土壤污染状况详查和重点行业企业用地详查结果，衔接现有污染地块名录、土壤环境重点监管企业清单等，将全市划分为农用地优先保护区、建设用地污染风险重点管控区和土壤环境一般管控区。</w:t>
            </w:r>
          </w:p>
          <w:p>
            <w:pPr>
              <w:pStyle w:val="15"/>
              <w:ind w:firstLine="420"/>
              <w:rPr>
                <w:color w:val="FF0000"/>
                <w:sz w:val="24"/>
                <w:szCs w:val="24"/>
                <w:highlight w:val="none"/>
              </w:rPr>
            </w:pPr>
            <w:r>
              <w:rPr>
                <w:rFonts w:hint="eastAsia"/>
                <w:color w:val="000000" w:themeColor="text1"/>
                <w:sz w:val="24"/>
                <w:szCs w:val="24"/>
                <w:highlight w:val="none"/>
                <w14:textFill>
                  <w14:solidFill>
                    <w14:schemeClr w14:val="tx1"/>
                  </w14:solidFill>
                </w14:textFill>
              </w:rPr>
              <w:t>根据“中卫市土壤污染风险分区管控图”，本项目位于土壤环境一般管控区，本项目在中卫市土壤污染风险分区管控图中的位置见附图</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土壤环境一般管控区管控要求在编制国土空间规划等相关规划时应充分考虑污染地块的环境风险，合理确定土地用途。禁止在居民区、学校、医疗和养老机构等周边新建有色金属冶炼、焦化等行业企业。排放重点污染物的建设项目，在开展环境影响评价时，要增加对土壤环境影响的评价内容，并提出防范土壤污染的具体措施</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需要建设的土壤污染防治设施，要与主体工程同时设计、同时施工、同时投产使用。本项目为生态治理项目，运营期无污染物排放，不会对土壤环境</w:t>
            </w:r>
            <w:r>
              <w:rPr>
                <w:rFonts w:hint="eastAsia"/>
                <w:color w:val="000000" w:themeColor="text1"/>
                <w:sz w:val="24"/>
                <w:szCs w:val="24"/>
                <w:highlight w:val="none"/>
                <w:lang w:eastAsia="zh-CN"/>
                <w14:textFill>
                  <w14:solidFill>
                    <w14:schemeClr w14:val="tx1"/>
                  </w14:solidFill>
                </w14:textFill>
              </w:rPr>
              <w:t>造成污染</w:t>
            </w:r>
            <w:r>
              <w:rPr>
                <w:rFonts w:hint="eastAsia"/>
                <w:color w:val="000000" w:themeColor="text1"/>
                <w:sz w:val="24"/>
                <w:szCs w:val="24"/>
                <w:highlight w:val="none"/>
                <w14:textFill>
                  <w14:solidFill>
                    <w14:schemeClr w14:val="tx1"/>
                  </w14:solidFill>
                </w14:textFill>
              </w:rPr>
              <w:t>，符合土壤环境分区管控要求。</w:t>
            </w:r>
          </w:p>
          <w:p>
            <w:pPr>
              <w:pStyle w:val="15"/>
              <w:ind w:firstLine="420"/>
              <w:rPr>
                <w:color w:val="auto"/>
                <w:sz w:val="24"/>
                <w:szCs w:val="24"/>
                <w:highlight w:val="none"/>
              </w:rPr>
            </w:pPr>
            <w:r>
              <w:rPr>
                <w:color w:val="auto"/>
                <w:sz w:val="24"/>
                <w:szCs w:val="24"/>
                <w:highlight w:val="none"/>
              </w:rPr>
              <w:t>综上</w:t>
            </w:r>
            <w:r>
              <w:rPr>
                <w:rFonts w:hint="eastAsia"/>
                <w:color w:val="auto"/>
                <w:sz w:val="24"/>
                <w:szCs w:val="24"/>
                <w:highlight w:val="none"/>
              </w:rPr>
              <w:t>所述</w:t>
            </w:r>
            <w:r>
              <w:rPr>
                <w:color w:val="auto"/>
                <w:sz w:val="24"/>
                <w:szCs w:val="24"/>
                <w:highlight w:val="none"/>
              </w:rPr>
              <w:t>，</w:t>
            </w:r>
            <w:r>
              <w:rPr>
                <w:rFonts w:hint="eastAsia"/>
                <w:color w:val="auto"/>
                <w:sz w:val="24"/>
                <w:szCs w:val="24"/>
                <w:highlight w:val="none"/>
              </w:rPr>
              <w:t>本项目符合环境</w:t>
            </w:r>
            <w:r>
              <w:rPr>
                <w:color w:val="auto"/>
                <w:sz w:val="24"/>
                <w:szCs w:val="24"/>
                <w:highlight w:val="none"/>
              </w:rPr>
              <w:t>质量底线的要求</w:t>
            </w:r>
            <w:r>
              <w:rPr>
                <w:rFonts w:hint="eastAsia"/>
                <w:color w:val="auto"/>
                <w:sz w:val="24"/>
                <w:szCs w:val="24"/>
                <w:highlight w:val="none"/>
              </w:rPr>
              <w:t>。</w:t>
            </w:r>
          </w:p>
          <w:p>
            <w:pPr>
              <w:pStyle w:val="15"/>
              <w:bidi w:val="0"/>
              <w:rPr>
                <w:highlight w:val="none"/>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rPr>
              <w:t>资源利用上线符合性分析</w:t>
            </w:r>
          </w:p>
          <w:p>
            <w:pPr>
              <w:pStyle w:val="15"/>
              <w:spacing w:line="360" w:lineRule="auto"/>
              <w:ind w:firstLine="420"/>
              <w:rPr>
                <w:color w:val="auto"/>
                <w:sz w:val="24"/>
                <w:szCs w:val="24"/>
                <w:highlight w:val="none"/>
              </w:rPr>
            </w:pPr>
            <w:r>
              <w:rPr>
                <w:rFonts w:hint="eastAsia"/>
                <w:color w:val="auto"/>
                <w:sz w:val="24"/>
                <w:szCs w:val="24"/>
                <w:highlight w:val="none"/>
              </w:rPr>
              <w:t>水</w:t>
            </w:r>
            <w:r>
              <w:rPr>
                <w:color w:val="auto"/>
                <w:sz w:val="24"/>
                <w:szCs w:val="24"/>
                <w:highlight w:val="none"/>
              </w:rPr>
              <w:t>资源、能源：</w:t>
            </w:r>
            <w:r>
              <w:rPr>
                <w:rFonts w:hint="eastAsia"/>
                <w:color w:val="auto"/>
                <w:sz w:val="24"/>
                <w:szCs w:val="24"/>
                <w:highlight w:val="none"/>
              </w:rPr>
              <w:t>本项目施工过程中会消耗一定量的电源、水源等资源，</w:t>
            </w:r>
            <w:r>
              <w:rPr>
                <w:rFonts w:hint="eastAsia"/>
                <w:lang w:val="en-US" w:eastAsia="zh-CN"/>
              </w:rPr>
              <w:t>“耗能、耗水量较小，不会突破水资源、能源上线，</w:t>
            </w:r>
            <w:r>
              <w:rPr>
                <w:rFonts w:hint="eastAsia"/>
                <w:color w:val="auto"/>
                <w:sz w:val="24"/>
                <w:szCs w:val="24"/>
                <w:highlight w:val="none"/>
              </w:rPr>
              <w:t>能源及其他资源消耗量相对区域资源利用总量较少。因此，项目水、能源资源利用符合资源利用上线的要求。</w:t>
            </w:r>
          </w:p>
          <w:p>
            <w:pPr>
              <w:pStyle w:val="14"/>
              <w:spacing w:line="360" w:lineRule="auto"/>
              <w:ind w:firstLine="480" w:firstLineChars="200"/>
              <w:rPr>
                <w:rFonts w:hint="default" w:ascii="Times New Roman" w:hAnsi="Times New Roman" w:eastAsia="宋体" w:cs="Times New Roman"/>
                <w:snapToGrid w:val="0"/>
                <w:color w:val="auto"/>
                <w:sz w:val="24"/>
                <w:szCs w:val="24"/>
                <w:highlight w:val="none"/>
                <w:lang w:val="en-US" w:eastAsia="zh-CN" w:bidi="ar-SA"/>
              </w:rPr>
            </w:pPr>
            <w:r>
              <w:rPr>
                <w:rFonts w:hint="eastAsia" w:ascii="Times New Roman" w:hAnsi="Times New Roman" w:eastAsia="宋体" w:cs="Times New Roman"/>
                <w:snapToGrid w:val="0"/>
                <w:color w:val="auto"/>
                <w:sz w:val="24"/>
                <w:szCs w:val="24"/>
                <w:highlight w:val="none"/>
                <w:lang w:val="en-US" w:eastAsia="zh-CN" w:bidi="ar-SA"/>
              </w:rPr>
              <w:t>土地资源：本项目占地面积为158.71hm</w:t>
            </w:r>
            <w:r>
              <w:rPr>
                <w:rFonts w:hint="eastAsia" w:ascii="Times New Roman" w:hAnsi="Times New Roman" w:eastAsia="宋体" w:cs="Times New Roman"/>
                <w:snapToGrid w:val="0"/>
                <w:color w:val="auto"/>
                <w:sz w:val="24"/>
                <w:szCs w:val="24"/>
                <w:highlight w:val="none"/>
                <w:vertAlign w:val="superscript"/>
                <w:lang w:val="en-US" w:eastAsia="zh-CN" w:bidi="ar-SA"/>
              </w:rPr>
              <w:t>2</w:t>
            </w:r>
            <w:r>
              <w:rPr>
                <w:rFonts w:hint="eastAsia" w:ascii="Times New Roman" w:hAnsi="Times New Roman" w:eastAsia="宋体" w:cs="Times New Roman"/>
                <w:snapToGrid w:val="0"/>
                <w:color w:val="auto"/>
                <w:sz w:val="24"/>
                <w:szCs w:val="24"/>
                <w:highlight w:val="none"/>
                <w:lang w:val="en-US" w:eastAsia="zh-CN" w:bidi="ar-SA"/>
              </w:rPr>
              <w:t>，属于临时占地，对占地区域进行生态修复，修复后占地区域土地利用类型变更为林地和草地，不新增建设用地面积，符合土地资源管控要求。</w:t>
            </w:r>
          </w:p>
          <w:p>
            <w:pPr>
              <w:pStyle w:val="15"/>
              <w:bidi w:val="0"/>
              <w:spacing w:line="360" w:lineRule="auto"/>
              <w:rPr>
                <w:highlight w:val="none"/>
              </w:rPr>
            </w:pPr>
            <w:r>
              <w:rPr>
                <w:rFonts w:hint="eastAsia"/>
                <w:highlight w:val="none"/>
                <w:lang w:eastAsia="zh-CN"/>
              </w:rPr>
              <w:t>（</w:t>
            </w:r>
            <w:r>
              <w:rPr>
                <w:rFonts w:hint="eastAsia"/>
                <w:highlight w:val="none"/>
                <w:lang w:val="en-US" w:eastAsia="zh-CN"/>
              </w:rPr>
              <w:t>4</w:t>
            </w:r>
            <w:r>
              <w:rPr>
                <w:rFonts w:hint="eastAsia"/>
                <w:highlight w:val="none"/>
                <w:lang w:eastAsia="zh-CN"/>
              </w:rPr>
              <w:t>）</w:t>
            </w:r>
            <w:r>
              <w:rPr>
                <w:rFonts w:hint="eastAsia"/>
                <w:highlight w:val="none"/>
              </w:rPr>
              <w:t>生态环境准入清单分析</w:t>
            </w:r>
          </w:p>
          <w:p>
            <w:pPr>
              <w:pStyle w:val="15"/>
              <w:spacing w:line="360" w:lineRule="auto"/>
              <w:ind w:firstLine="420"/>
              <w:jc w:val="both"/>
              <w:rPr>
                <w:color w:val="auto"/>
                <w:sz w:val="24"/>
                <w:szCs w:val="24"/>
                <w:highlight w:val="none"/>
              </w:rPr>
            </w:pPr>
            <w:r>
              <w:rPr>
                <w:rFonts w:hint="eastAsia"/>
                <w:color w:val="auto"/>
                <w:sz w:val="24"/>
                <w:szCs w:val="24"/>
                <w:highlight w:val="none"/>
              </w:rPr>
              <w:t>中卫市共划定环境管控单元49个，其中优先保护单元25个，优先保护单元个数占全市总单元个数的51.02%，优先保护单元面积为6103.96平方公里，其面积占全市总面积的44.71%。重点管控单元个数为12个，占全市总单元个数的24.49%,重点管控单元面积为945.59平方公里，占全市总面积的6.93%。一般管控单元个数为12个，占全市总单元个数的24.49%，其面积为6601.82平方公里，占全市总面积的48.36%。</w:t>
            </w:r>
          </w:p>
          <w:p>
            <w:pPr>
              <w:pStyle w:val="15"/>
              <w:ind w:firstLine="420"/>
              <w:rPr>
                <w:color w:val="auto"/>
                <w:sz w:val="24"/>
                <w:szCs w:val="24"/>
                <w:highlight w:val="none"/>
              </w:rPr>
            </w:pPr>
            <w:r>
              <w:rPr>
                <w:rFonts w:hint="eastAsia"/>
                <w:color w:val="auto"/>
                <w:sz w:val="24"/>
                <w:szCs w:val="24"/>
                <w:highlight w:val="none"/>
              </w:rPr>
              <w:t>本项目位于中卫市沙坡头区香山乡</w:t>
            </w:r>
            <w:r>
              <w:rPr>
                <w:rFonts w:hint="eastAsia"/>
                <w:color w:val="auto"/>
                <w:sz w:val="24"/>
                <w:szCs w:val="24"/>
                <w:highlight w:val="none"/>
                <w:lang w:eastAsia="zh-CN"/>
              </w:rPr>
              <w:t>、常乐镇</w:t>
            </w:r>
            <w:r>
              <w:rPr>
                <w:rFonts w:hint="eastAsia"/>
                <w:color w:val="auto"/>
                <w:sz w:val="24"/>
                <w:szCs w:val="24"/>
                <w:highlight w:val="none"/>
              </w:rPr>
              <w:t>，本项目建设地点位于优先保护单元，优先保护单元为生态保护红线、一般生态空间、水环境优先保护区、大气环境优先保护区的并集。优先保护单元以严格保护生态环境、严格限制产业发展为导向，禁止或限制大规模的工业开发和城镇建设。本项目为矿区生态恢复工程，不属于大规模的工业开发和城镇建设项目，符合生态环境准入清单要求。</w:t>
            </w:r>
          </w:p>
          <w:p>
            <w:pPr>
              <w:pStyle w:val="15"/>
              <w:ind w:firstLine="420"/>
              <w:rPr>
                <w:color w:val="auto"/>
                <w:sz w:val="24"/>
                <w:szCs w:val="24"/>
                <w:highlight w:val="none"/>
              </w:rPr>
            </w:pPr>
            <w:r>
              <w:rPr>
                <w:color w:val="auto"/>
                <w:sz w:val="24"/>
                <w:szCs w:val="24"/>
                <w:highlight w:val="none"/>
              </w:rPr>
              <w:t>本项目与中卫市环境管控单元生态环境准入清单的符合性见</w:t>
            </w:r>
            <w:r>
              <w:rPr>
                <w:rFonts w:hint="eastAsia"/>
                <w:color w:val="auto"/>
                <w:sz w:val="24"/>
                <w:szCs w:val="24"/>
                <w:highlight w:val="none"/>
              </w:rPr>
              <w:t>下</w:t>
            </w:r>
            <w:r>
              <w:rPr>
                <w:color w:val="auto"/>
                <w:sz w:val="24"/>
                <w:szCs w:val="24"/>
                <w:highlight w:val="none"/>
              </w:rPr>
              <w:t>表</w:t>
            </w:r>
            <w:r>
              <w:rPr>
                <w:rFonts w:hint="eastAsia"/>
                <w:color w:val="auto"/>
                <w:sz w:val="24"/>
                <w:szCs w:val="24"/>
                <w:highlight w:val="none"/>
              </w:rPr>
              <w:t>，</w:t>
            </w:r>
            <w:r>
              <w:rPr>
                <w:color w:val="auto"/>
                <w:sz w:val="24"/>
                <w:szCs w:val="24"/>
                <w:highlight w:val="none"/>
              </w:rPr>
              <w:t>项目与中卫市环境管控单元</w:t>
            </w:r>
            <w:r>
              <w:rPr>
                <w:rFonts w:ascii="Times New Roman" w:hAnsi="Times New Roman" w:eastAsia="宋体" w:cs="Times New Roman"/>
                <w:color w:val="auto"/>
                <w:sz w:val="24"/>
                <w:szCs w:val="24"/>
                <w:highlight w:val="none"/>
              </w:rPr>
              <w:t>图位置关系见附图</w:t>
            </w:r>
            <w:r>
              <w:rPr>
                <w:rFonts w:hint="eastAsia" w:ascii="Times New Roman" w:hAnsi="Times New Roman" w:eastAsia="宋体" w:cs="Times New Roman"/>
                <w:color w:val="auto"/>
                <w:sz w:val="24"/>
                <w:szCs w:val="24"/>
                <w:highlight w:val="none"/>
                <w:lang w:val="en-US" w:eastAsia="zh-CN"/>
              </w:rPr>
              <w:t>7</w:t>
            </w:r>
            <w:r>
              <w:rPr>
                <w:rFonts w:hint="eastAsia" w:ascii="Times New Roman" w:hAnsi="Times New Roman" w:eastAsia="宋体" w:cs="Times New Roman"/>
                <w:color w:val="auto"/>
                <w:sz w:val="24"/>
                <w:szCs w:val="24"/>
                <w:highlight w:val="none"/>
              </w:rPr>
              <w:t>。</w:t>
            </w:r>
          </w:p>
          <w:p>
            <w:pPr>
              <w:pStyle w:val="7"/>
              <w:rPr>
                <w:color w:val="auto"/>
                <w:sz w:val="24"/>
                <w:szCs w:val="24"/>
                <w:highlight w:val="none"/>
              </w:rPr>
            </w:pPr>
            <w:r>
              <w:rPr>
                <w:rFonts w:hint="eastAsia"/>
                <w:color w:val="auto"/>
                <w:sz w:val="24"/>
                <w:szCs w:val="24"/>
                <w:highlight w:val="none"/>
              </w:rPr>
              <w:t>表1-1 与中卫市环境管控单元生态环境准入清单判定表</w:t>
            </w:r>
          </w:p>
          <w:tbl>
            <w:tblPr>
              <w:tblStyle w:val="25"/>
              <w:tblW w:w="66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1023"/>
              <w:gridCol w:w="1900"/>
              <w:gridCol w:w="1607"/>
              <w:gridCol w:w="9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167" w:type="dxa"/>
                  <w:tcBorders>
                    <w:tl2br w:val="nil"/>
                    <w:tr2bl w:val="nil"/>
                  </w:tcBorders>
                  <w:vAlign w:val="center"/>
                </w:tcPr>
                <w:p>
                  <w:pPr>
                    <w:spacing w:line="240" w:lineRule="auto"/>
                    <w:rPr>
                      <w:rFonts w:hint="eastAsia"/>
                      <w:color w:val="auto"/>
                      <w:sz w:val="21"/>
                      <w:szCs w:val="21"/>
                      <w:highlight w:val="none"/>
                    </w:rPr>
                  </w:pPr>
                  <w:r>
                    <w:rPr>
                      <w:rFonts w:hint="eastAsia"/>
                      <w:color w:val="auto"/>
                      <w:sz w:val="21"/>
                      <w:szCs w:val="21"/>
                      <w:highlight w:val="none"/>
                    </w:rPr>
                    <w:t>管控</w:t>
                  </w:r>
                  <w:r>
                    <w:rPr>
                      <w:color w:val="auto"/>
                      <w:sz w:val="21"/>
                      <w:szCs w:val="21"/>
                      <w:highlight w:val="none"/>
                    </w:rPr>
                    <w:t>类型</w:t>
                  </w:r>
                </w:p>
              </w:tc>
              <w:tc>
                <w:tcPr>
                  <w:tcW w:w="1023" w:type="dxa"/>
                  <w:tcBorders>
                    <w:tl2br w:val="nil"/>
                    <w:tr2bl w:val="nil"/>
                  </w:tcBorders>
                  <w:vAlign w:val="center"/>
                </w:tcPr>
                <w:p>
                  <w:pPr>
                    <w:spacing w:line="240" w:lineRule="auto"/>
                    <w:rPr>
                      <w:rFonts w:hint="eastAsia"/>
                      <w:color w:val="auto"/>
                      <w:sz w:val="21"/>
                      <w:szCs w:val="21"/>
                      <w:highlight w:val="none"/>
                    </w:rPr>
                  </w:pPr>
                  <w:r>
                    <w:rPr>
                      <w:rFonts w:hint="eastAsia"/>
                      <w:color w:val="auto"/>
                      <w:sz w:val="21"/>
                      <w:szCs w:val="21"/>
                      <w:highlight w:val="none"/>
                    </w:rPr>
                    <w:t>管控</w:t>
                  </w:r>
                  <w:r>
                    <w:rPr>
                      <w:color w:val="auto"/>
                      <w:sz w:val="21"/>
                      <w:szCs w:val="21"/>
                      <w:highlight w:val="none"/>
                    </w:rPr>
                    <w:t>单元</w:t>
                  </w:r>
                </w:p>
              </w:tc>
              <w:tc>
                <w:tcPr>
                  <w:tcW w:w="1900" w:type="dxa"/>
                  <w:tcBorders>
                    <w:tl2br w:val="nil"/>
                    <w:tr2bl w:val="nil"/>
                  </w:tcBorders>
                  <w:vAlign w:val="center"/>
                </w:tcPr>
                <w:p>
                  <w:pPr>
                    <w:spacing w:line="240" w:lineRule="auto"/>
                    <w:rPr>
                      <w:rFonts w:hint="eastAsia"/>
                      <w:color w:val="auto"/>
                      <w:sz w:val="21"/>
                      <w:szCs w:val="21"/>
                      <w:highlight w:val="none"/>
                    </w:rPr>
                  </w:pPr>
                  <w:r>
                    <w:rPr>
                      <w:rFonts w:hint="eastAsia"/>
                      <w:color w:val="auto"/>
                      <w:sz w:val="21"/>
                      <w:szCs w:val="21"/>
                      <w:highlight w:val="none"/>
                    </w:rPr>
                    <w:t>管控</w:t>
                  </w:r>
                  <w:r>
                    <w:rPr>
                      <w:color w:val="auto"/>
                      <w:sz w:val="21"/>
                      <w:szCs w:val="21"/>
                      <w:highlight w:val="none"/>
                    </w:rPr>
                    <w:t>要求</w:t>
                  </w:r>
                </w:p>
              </w:tc>
              <w:tc>
                <w:tcPr>
                  <w:tcW w:w="1607" w:type="dxa"/>
                  <w:tcBorders>
                    <w:tl2br w:val="nil"/>
                    <w:tr2bl w:val="nil"/>
                  </w:tcBorders>
                  <w:vAlign w:val="center"/>
                </w:tcPr>
                <w:p>
                  <w:pPr>
                    <w:spacing w:line="240" w:lineRule="auto"/>
                    <w:rPr>
                      <w:rFonts w:hint="eastAsia"/>
                      <w:color w:val="auto"/>
                      <w:sz w:val="21"/>
                      <w:szCs w:val="21"/>
                      <w:highlight w:val="none"/>
                    </w:rPr>
                  </w:pPr>
                  <w:r>
                    <w:rPr>
                      <w:rFonts w:hint="eastAsia"/>
                      <w:color w:val="auto"/>
                      <w:sz w:val="21"/>
                      <w:szCs w:val="21"/>
                      <w:highlight w:val="none"/>
                    </w:rPr>
                    <w:t>本</w:t>
                  </w:r>
                  <w:r>
                    <w:rPr>
                      <w:color w:val="auto"/>
                      <w:sz w:val="21"/>
                      <w:szCs w:val="21"/>
                      <w:highlight w:val="none"/>
                    </w:rPr>
                    <w:t>项目情况</w:t>
                  </w:r>
                </w:p>
              </w:tc>
              <w:tc>
                <w:tcPr>
                  <w:tcW w:w="923" w:type="dxa"/>
                  <w:tcBorders>
                    <w:tl2br w:val="nil"/>
                    <w:tr2bl w:val="nil"/>
                  </w:tcBorders>
                  <w:vAlign w:val="center"/>
                </w:tcPr>
                <w:p>
                  <w:pPr>
                    <w:spacing w:line="240" w:lineRule="auto"/>
                    <w:rPr>
                      <w:rFonts w:hint="eastAsia"/>
                      <w:color w:val="auto"/>
                      <w:sz w:val="21"/>
                      <w:szCs w:val="21"/>
                      <w:highlight w:val="none"/>
                    </w:rPr>
                  </w:pPr>
                  <w:r>
                    <w:rPr>
                      <w:rFonts w:hint="eastAsia"/>
                      <w:color w:val="auto"/>
                      <w:sz w:val="21"/>
                      <w:szCs w:val="21"/>
                      <w:highlight w:val="non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2" w:hRule="atLeast"/>
                <w:jc w:val="center"/>
              </w:trPr>
              <w:tc>
                <w:tcPr>
                  <w:tcW w:w="1167" w:type="dxa"/>
                  <w:tcBorders>
                    <w:tl2br w:val="nil"/>
                    <w:tr2bl w:val="nil"/>
                  </w:tcBorders>
                  <w:vAlign w:val="center"/>
                </w:tcPr>
                <w:p>
                  <w:pPr>
                    <w:spacing w:line="240" w:lineRule="auto"/>
                    <w:rPr>
                      <w:rFonts w:hint="eastAsia"/>
                      <w:color w:val="auto"/>
                      <w:sz w:val="21"/>
                      <w:szCs w:val="21"/>
                      <w:highlight w:val="none"/>
                    </w:rPr>
                  </w:pPr>
                  <w:r>
                    <w:rPr>
                      <w:rFonts w:hint="eastAsia"/>
                      <w:color w:val="auto"/>
                      <w:sz w:val="21"/>
                      <w:szCs w:val="21"/>
                      <w:highlight w:val="none"/>
                    </w:rPr>
                    <w:t>中卫市环境</w:t>
                  </w:r>
                  <w:r>
                    <w:rPr>
                      <w:color w:val="auto"/>
                      <w:sz w:val="21"/>
                      <w:szCs w:val="21"/>
                      <w:highlight w:val="none"/>
                    </w:rPr>
                    <w:t>管控</w:t>
                  </w:r>
                  <w:r>
                    <w:rPr>
                      <w:rFonts w:hint="eastAsia"/>
                      <w:color w:val="auto"/>
                      <w:sz w:val="21"/>
                      <w:szCs w:val="21"/>
                      <w:highlight w:val="none"/>
                    </w:rPr>
                    <w:t>单元</w:t>
                  </w:r>
                  <w:r>
                    <w:rPr>
                      <w:color w:val="auto"/>
                      <w:sz w:val="21"/>
                      <w:szCs w:val="21"/>
                      <w:highlight w:val="none"/>
                    </w:rPr>
                    <w:t>生态环境准入</w:t>
                  </w:r>
                  <w:r>
                    <w:rPr>
                      <w:rFonts w:hint="eastAsia"/>
                      <w:color w:val="auto"/>
                      <w:sz w:val="21"/>
                      <w:szCs w:val="21"/>
                      <w:highlight w:val="none"/>
                    </w:rPr>
                    <w:t>清单</w:t>
                  </w:r>
                </w:p>
              </w:tc>
              <w:tc>
                <w:tcPr>
                  <w:tcW w:w="1023" w:type="dxa"/>
                  <w:tcBorders>
                    <w:tl2br w:val="nil"/>
                    <w:tr2bl w:val="nil"/>
                  </w:tcBorders>
                  <w:vAlign w:val="center"/>
                </w:tcPr>
                <w:p>
                  <w:pPr>
                    <w:spacing w:line="240" w:lineRule="auto"/>
                    <w:rPr>
                      <w:color w:val="auto"/>
                      <w:sz w:val="21"/>
                      <w:szCs w:val="21"/>
                      <w:highlight w:val="none"/>
                    </w:rPr>
                  </w:pPr>
                  <w:r>
                    <w:rPr>
                      <w:color w:val="auto"/>
                      <w:sz w:val="21"/>
                      <w:szCs w:val="21"/>
                      <w:highlight w:val="none"/>
                    </w:rPr>
                    <w:t>沙坡头区香山乡-常乐镇生态红线优先保护单元</w:t>
                  </w:r>
                </w:p>
              </w:tc>
              <w:tc>
                <w:tcPr>
                  <w:tcW w:w="1900" w:type="dxa"/>
                  <w:tcBorders>
                    <w:tl2br w:val="nil"/>
                    <w:tr2bl w:val="nil"/>
                  </w:tcBorders>
                  <w:vAlign w:val="center"/>
                </w:tcPr>
                <w:p>
                  <w:pPr>
                    <w:spacing w:line="240" w:lineRule="auto"/>
                    <w:jc w:val="left"/>
                    <w:rPr>
                      <w:color w:val="auto"/>
                      <w:sz w:val="21"/>
                      <w:szCs w:val="21"/>
                      <w:highlight w:val="none"/>
                    </w:rPr>
                  </w:pPr>
                  <w:r>
                    <w:rPr>
                      <w:color w:val="auto"/>
                      <w:sz w:val="21"/>
                      <w:szCs w:val="21"/>
                      <w:highlight w:val="none"/>
                    </w:rPr>
                    <w:t>1.除国家重大战略项目以及对生态功能不造成破坏的八类有限人为活动之外，严格禁止各类开发性、生产性建设活动。</w:t>
                  </w:r>
                </w:p>
                <w:p>
                  <w:pPr>
                    <w:spacing w:line="240" w:lineRule="auto"/>
                    <w:rPr>
                      <w:color w:val="auto"/>
                      <w:sz w:val="21"/>
                      <w:szCs w:val="21"/>
                      <w:highlight w:val="none"/>
                    </w:rPr>
                  </w:pPr>
                  <w:r>
                    <w:rPr>
                      <w:color w:val="auto"/>
                      <w:sz w:val="21"/>
                      <w:szCs w:val="21"/>
                      <w:highlight w:val="none"/>
                    </w:rPr>
                    <w:t>2.加快开展自然保护地内违法违规人类活动的清退工作，开展生态恢复。</w:t>
                  </w:r>
                </w:p>
              </w:tc>
              <w:tc>
                <w:tcPr>
                  <w:tcW w:w="1607" w:type="dxa"/>
                  <w:tcBorders>
                    <w:tl2br w:val="nil"/>
                    <w:tr2bl w:val="nil"/>
                  </w:tcBorders>
                  <w:vAlign w:val="center"/>
                </w:tcPr>
                <w:p>
                  <w:pPr>
                    <w:spacing w:line="240" w:lineRule="auto"/>
                    <w:rPr>
                      <w:rFonts w:hint="eastAsia"/>
                      <w:color w:val="auto"/>
                      <w:sz w:val="21"/>
                      <w:szCs w:val="21"/>
                      <w:highlight w:val="none"/>
                    </w:rPr>
                  </w:pPr>
                  <w:r>
                    <w:rPr>
                      <w:rFonts w:hint="eastAsia"/>
                      <w:color w:val="auto"/>
                      <w:sz w:val="21"/>
                      <w:szCs w:val="21"/>
                      <w:highlight w:val="none"/>
                    </w:rPr>
                    <w:t>本</w:t>
                  </w:r>
                  <w:r>
                    <w:rPr>
                      <w:color w:val="auto"/>
                      <w:sz w:val="21"/>
                      <w:szCs w:val="21"/>
                      <w:highlight w:val="none"/>
                    </w:rPr>
                    <w:t>项目属于</w:t>
                  </w:r>
                  <w:r>
                    <w:rPr>
                      <w:rFonts w:hint="eastAsia"/>
                      <w:color w:val="auto"/>
                      <w:sz w:val="21"/>
                      <w:szCs w:val="21"/>
                      <w:highlight w:val="none"/>
                    </w:rPr>
                    <w:t>废弃</w:t>
                  </w:r>
                  <w:r>
                    <w:rPr>
                      <w:color w:val="auto"/>
                      <w:sz w:val="21"/>
                      <w:szCs w:val="21"/>
                      <w:highlight w:val="none"/>
                    </w:rPr>
                    <w:t>矿山生态修复项目，不</w:t>
                  </w:r>
                  <w:r>
                    <w:rPr>
                      <w:rFonts w:hint="eastAsia"/>
                      <w:color w:val="auto"/>
                      <w:sz w:val="21"/>
                      <w:szCs w:val="21"/>
                      <w:highlight w:val="none"/>
                    </w:rPr>
                    <w:t>涉及</w:t>
                  </w:r>
                  <w:r>
                    <w:rPr>
                      <w:color w:val="auto"/>
                      <w:sz w:val="21"/>
                      <w:szCs w:val="21"/>
                      <w:highlight w:val="none"/>
                    </w:rPr>
                    <w:t>开发性、生产性建设活动</w:t>
                  </w:r>
                  <w:r>
                    <w:rPr>
                      <w:rFonts w:hint="eastAsia"/>
                      <w:color w:val="auto"/>
                      <w:sz w:val="21"/>
                      <w:szCs w:val="21"/>
                      <w:highlight w:val="none"/>
                    </w:rPr>
                    <w:t>，</w:t>
                  </w:r>
                  <w:r>
                    <w:rPr>
                      <w:color w:val="auto"/>
                      <w:sz w:val="21"/>
                      <w:szCs w:val="21"/>
                      <w:highlight w:val="none"/>
                    </w:rPr>
                    <w:t>本项目的实施可加快自然保护地内违法违规人类活动的清退工作</w:t>
                  </w:r>
                  <w:r>
                    <w:rPr>
                      <w:rFonts w:hint="eastAsia"/>
                      <w:color w:val="auto"/>
                      <w:sz w:val="21"/>
                      <w:szCs w:val="21"/>
                      <w:highlight w:val="none"/>
                    </w:rPr>
                    <w:t>。</w:t>
                  </w:r>
                </w:p>
              </w:tc>
              <w:tc>
                <w:tcPr>
                  <w:tcW w:w="923" w:type="dxa"/>
                  <w:tcBorders>
                    <w:tl2br w:val="nil"/>
                    <w:tr2bl w:val="nil"/>
                  </w:tcBorders>
                  <w:vAlign w:val="center"/>
                </w:tcPr>
                <w:p>
                  <w:pPr>
                    <w:spacing w:line="240" w:lineRule="auto"/>
                    <w:rPr>
                      <w:color w:val="auto"/>
                      <w:sz w:val="21"/>
                      <w:szCs w:val="21"/>
                      <w:highlight w:val="none"/>
                    </w:rPr>
                  </w:pPr>
                  <w:r>
                    <w:rPr>
                      <w:rFonts w:hint="eastAsia"/>
                      <w:color w:val="auto"/>
                      <w:sz w:val="21"/>
                      <w:szCs w:val="21"/>
                      <w:highlight w:val="none"/>
                    </w:rPr>
                    <w:t>符合</w:t>
                  </w:r>
                </w:p>
              </w:tc>
            </w:tr>
          </w:tbl>
          <w:p>
            <w:pPr>
              <w:pStyle w:val="15"/>
              <w:ind w:firstLine="420"/>
              <w:rPr>
                <w:rFonts w:hint="eastAsia"/>
                <w:color w:val="FF0000"/>
                <w:sz w:val="24"/>
                <w:szCs w:val="24"/>
                <w:highlight w:val="none"/>
              </w:rPr>
            </w:pPr>
            <w:r>
              <w:rPr>
                <w:rFonts w:hint="eastAsia"/>
                <w:color w:val="auto"/>
                <w:sz w:val="24"/>
                <w:szCs w:val="24"/>
                <w:highlight w:val="none"/>
              </w:rPr>
              <w:t>本</w:t>
            </w:r>
            <w:r>
              <w:rPr>
                <w:color w:val="auto"/>
                <w:sz w:val="24"/>
                <w:szCs w:val="24"/>
                <w:highlight w:val="none"/>
              </w:rPr>
              <w:t>项目属于生态恢复项目，不属于生态环境准入清单内</w:t>
            </w:r>
            <w:r>
              <w:rPr>
                <w:rFonts w:hint="eastAsia"/>
                <w:color w:val="auto"/>
                <w:sz w:val="24"/>
                <w:szCs w:val="24"/>
                <w:highlight w:val="none"/>
              </w:rPr>
              <w:t>禁止</w:t>
            </w:r>
            <w:r>
              <w:rPr>
                <w:color w:val="auto"/>
                <w:sz w:val="24"/>
                <w:szCs w:val="24"/>
                <w:highlight w:val="none"/>
              </w:rPr>
              <w:t>项目</w:t>
            </w:r>
            <w:r>
              <w:rPr>
                <w:rFonts w:hint="eastAsia"/>
                <w:color w:val="auto"/>
                <w:sz w:val="24"/>
                <w:szCs w:val="24"/>
                <w:highlight w:val="none"/>
              </w:rPr>
              <w:t>，项目</w:t>
            </w:r>
            <w:r>
              <w:rPr>
                <w:color w:val="auto"/>
                <w:sz w:val="24"/>
                <w:szCs w:val="24"/>
                <w:highlight w:val="none"/>
              </w:rPr>
              <w:t>的建设可</w:t>
            </w:r>
            <w:r>
              <w:rPr>
                <w:rFonts w:hint="eastAsia"/>
                <w:color w:val="auto"/>
                <w:sz w:val="24"/>
                <w:szCs w:val="24"/>
                <w:highlight w:val="none"/>
              </w:rPr>
              <w:t>清退</w:t>
            </w:r>
            <w:r>
              <w:rPr>
                <w:color w:val="auto"/>
                <w:sz w:val="24"/>
                <w:szCs w:val="24"/>
                <w:highlight w:val="none"/>
              </w:rPr>
              <w:t>采煤、采矿造成的</w:t>
            </w:r>
            <w:r>
              <w:rPr>
                <w:rFonts w:hint="eastAsia"/>
                <w:color w:val="auto"/>
                <w:sz w:val="24"/>
                <w:szCs w:val="24"/>
                <w:highlight w:val="none"/>
              </w:rPr>
              <w:t>高</w:t>
            </w:r>
            <w:r>
              <w:rPr>
                <w:color w:val="auto"/>
                <w:sz w:val="24"/>
                <w:szCs w:val="24"/>
                <w:highlight w:val="none"/>
              </w:rPr>
              <w:t>陡</w:t>
            </w:r>
            <w:r>
              <w:rPr>
                <w:rFonts w:hint="eastAsia"/>
                <w:color w:val="auto"/>
                <w:sz w:val="24"/>
                <w:szCs w:val="24"/>
                <w:highlight w:val="none"/>
              </w:rPr>
              <w:t>边坡等</w:t>
            </w:r>
            <w:r>
              <w:rPr>
                <w:color w:val="auto"/>
                <w:sz w:val="24"/>
                <w:szCs w:val="24"/>
                <w:highlight w:val="none"/>
              </w:rPr>
              <w:t>地质灾害</w:t>
            </w:r>
            <w:r>
              <w:rPr>
                <w:rFonts w:hint="eastAsia"/>
                <w:color w:val="auto"/>
                <w:sz w:val="24"/>
                <w:szCs w:val="24"/>
                <w:highlight w:val="none"/>
              </w:rPr>
              <w:t>隐患</w:t>
            </w:r>
            <w:r>
              <w:rPr>
                <w:color w:val="auto"/>
                <w:sz w:val="24"/>
                <w:szCs w:val="24"/>
                <w:highlight w:val="none"/>
              </w:rPr>
              <w:t>、水土流失等生态破坏问题</w:t>
            </w:r>
            <w:r>
              <w:rPr>
                <w:rFonts w:hint="eastAsia"/>
                <w:color w:val="auto"/>
                <w:sz w:val="24"/>
                <w:szCs w:val="24"/>
                <w:highlight w:val="none"/>
              </w:rPr>
              <w:t>。因此</w:t>
            </w:r>
            <w:r>
              <w:rPr>
                <w:color w:val="auto"/>
                <w:sz w:val="24"/>
                <w:szCs w:val="24"/>
                <w:highlight w:val="none"/>
              </w:rPr>
              <w:t>，</w:t>
            </w:r>
            <w:r>
              <w:rPr>
                <w:rFonts w:hint="eastAsia"/>
                <w:color w:val="auto"/>
                <w:sz w:val="24"/>
                <w:szCs w:val="24"/>
                <w:highlight w:val="none"/>
              </w:rPr>
              <w:t>本</w:t>
            </w:r>
            <w:r>
              <w:rPr>
                <w:color w:val="auto"/>
                <w:sz w:val="24"/>
                <w:szCs w:val="24"/>
                <w:highlight w:val="none"/>
              </w:rPr>
              <w:t>项目</w:t>
            </w:r>
            <w:r>
              <w:rPr>
                <w:rFonts w:hint="eastAsia"/>
                <w:color w:val="auto"/>
                <w:sz w:val="24"/>
                <w:szCs w:val="24"/>
                <w:highlight w:val="none"/>
              </w:rPr>
              <w:t>建设</w:t>
            </w:r>
            <w:r>
              <w:rPr>
                <w:color w:val="auto"/>
                <w:sz w:val="24"/>
                <w:szCs w:val="24"/>
                <w:highlight w:val="none"/>
              </w:rPr>
              <w:t>符合</w:t>
            </w:r>
            <w:r>
              <w:rPr>
                <w:rFonts w:hint="eastAsia"/>
                <w:color w:val="auto"/>
                <w:sz w:val="24"/>
                <w:szCs w:val="24"/>
                <w:highlight w:val="none"/>
              </w:rPr>
              <w:t>《中卫市</w:t>
            </w:r>
            <w:r>
              <w:rPr>
                <w:color w:val="auto"/>
                <w:sz w:val="24"/>
                <w:szCs w:val="24"/>
                <w:highlight w:val="none"/>
              </w:rPr>
              <w:t>人民政府关于实施“</w:t>
            </w:r>
            <w:r>
              <w:rPr>
                <w:rFonts w:hint="eastAsia"/>
                <w:color w:val="auto"/>
                <w:sz w:val="24"/>
                <w:szCs w:val="24"/>
                <w:highlight w:val="none"/>
              </w:rPr>
              <w:t>三线</w:t>
            </w:r>
            <w:r>
              <w:rPr>
                <w:color w:val="auto"/>
                <w:sz w:val="24"/>
                <w:szCs w:val="24"/>
                <w:highlight w:val="none"/>
              </w:rPr>
              <w:t>一</w:t>
            </w:r>
            <w:r>
              <w:rPr>
                <w:rFonts w:hint="eastAsia"/>
                <w:color w:val="auto"/>
                <w:sz w:val="24"/>
                <w:szCs w:val="24"/>
                <w:highlight w:val="none"/>
              </w:rPr>
              <w:t>单</w:t>
            </w:r>
            <w:r>
              <w:rPr>
                <w:color w:val="auto"/>
                <w:sz w:val="24"/>
                <w:szCs w:val="24"/>
                <w:highlight w:val="none"/>
              </w:rPr>
              <w:t>”</w:t>
            </w:r>
            <w:r>
              <w:rPr>
                <w:rFonts w:hint="eastAsia"/>
                <w:color w:val="auto"/>
                <w:sz w:val="24"/>
                <w:szCs w:val="24"/>
                <w:highlight w:val="none"/>
              </w:rPr>
              <w:t>生态</w:t>
            </w:r>
            <w:r>
              <w:rPr>
                <w:color w:val="auto"/>
                <w:sz w:val="24"/>
                <w:szCs w:val="24"/>
                <w:highlight w:val="none"/>
              </w:rPr>
              <w:t>环境分区管控的意见》</w:t>
            </w:r>
            <w:r>
              <w:rPr>
                <w:rFonts w:hint="eastAsia"/>
                <w:color w:val="auto"/>
                <w:sz w:val="24"/>
                <w:szCs w:val="24"/>
                <w:highlight w:val="none"/>
              </w:rPr>
              <w:t>中</w:t>
            </w:r>
            <w:r>
              <w:rPr>
                <w:color w:val="auto"/>
                <w:sz w:val="24"/>
                <w:szCs w:val="24"/>
                <w:highlight w:val="none"/>
              </w:rPr>
              <w:t>生态环境分区管控的要求。</w:t>
            </w:r>
          </w:p>
          <w:p>
            <w:pPr>
              <w:pStyle w:val="15"/>
              <w:ind w:firstLine="0" w:firstLineChars="0"/>
              <w:rPr>
                <w:sz w:val="24"/>
                <w:szCs w:val="24"/>
                <w:highlight w:val="none"/>
              </w:rPr>
            </w:pPr>
            <w:r>
              <w:rPr>
                <w:rFonts w:hint="eastAsia"/>
                <w:b/>
                <w:bCs/>
                <w:sz w:val="24"/>
                <w:szCs w:val="24"/>
                <w:highlight w:val="none"/>
              </w:rPr>
              <w:t>3、</w:t>
            </w:r>
            <w:r>
              <w:rPr>
                <w:b/>
                <w:bCs/>
                <w:sz w:val="24"/>
                <w:szCs w:val="24"/>
                <w:highlight w:val="none"/>
              </w:rPr>
              <w:t>与《宁夏回族自治区生态环境保护“</w:t>
            </w:r>
            <w:r>
              <w:rPr>
                <w:rFonts w:hint="eastAsia"/>
                <w:b/>
                <w:bCs/>
                <w:sz w:val="24"/>
                <w:szCs w:val="24"/>
                <w:highlight w:val="none"/>
              </w:rPr>
              <w:t>十四五</w:t>
            </w:r>
            <w:r>
              <w:rPr>
                <w:b/>
                <w:bCs/>
                <w:sz w:val="24"/>
                <w:szCs w:val="24"/>
                <w:highlight w:val="none"/>
              </w:rPr>
              <w:t>”</w:t>
            </w:r>
            <w:r>
              <w:rPr>
                <w:rFonts w:hint="eastAsia"/>
                <w:b/>
                <w:bCs/>
                <w:sz w:val="24"/>
                <w:szCs w:val="24"/>
                <w:highlight w:val="none"/>
              </w:rPr>
              <w:t>规划》相符性分析</w:t>
            </w:r>
          </w:p>
          <w:p>
            <w:pPr>
              <w:pStyle w:val="15"/>
              <w:ind w:firstLine="420"/>
              <w:rPr>
                <w:sz w:val="24"/>
                <w:szCs w:val="24"/>
                <w:highlight w:val="none"/>
              </w:rPr>
            </w:pPr>
            <w:r>
              <w:rPr>
                <w:sz w:val="24"/>
                <w:szCs w:val="24"/>
                <w:highlight w:val="none"/>
              </w:rPr>
              <w:t>根据《自治区人民政府办公厅关于印发宁夏回族自治区生态环境保护“</w:t>
            </w:r>
            <w:r>
              <w:rPr>
                <w:rFonts w:hint="eastAsia"/>
                <w:sz w:val="24"/>
                <w:szCs w:val="24"/>
                <w:highlight w:val="none"/>
              </w:rPr>
              <w:t>十四五</w:t>
            </w:r>
            <w:r>
              <w:rPr>
                <w:sz w:val="24"/>
                <w:szCs w:val="24"/>
                <w:highlight w:val="none"/>
              </w:rPr>
              <w:t>”</w:t>
            </w:r>
            <w:r>
              <w:rPr>
                <w:rFonts w:hint="eastAsia"/>
                <w:sz w:val="24"/>
                <w:szCs w:val="24"/>
                <w:highlight w:val="none"/>
              </w:rPr>
              <w:t>规划的通知》（宁政办发〔</w:t>
            </w:r>
            <w:r>
              <w:rPr>
                <w:sz w:val="24"/>
                <w:szCs w:val="24"/>
                <w:highlight w:val="none"/>
              </w:rPr>
              <w:t>2021</w:t>
            </w:r>
            <w:r>
              <w:rPr>
                <w:rFonts w:hint="eastAsia"/>
                <w:sz w:val="24"/>
                <w:szCs w:val="24"/>
                <w:highlight w:val="none"/>
              </w:rPr>
              <w:t>〕</w:t>
            </w:r>
            <w:r>
              <w:rPr>
                <w:sz w:val="24"/>
                <w:szCs w:val="24"/>
                <w:highlight w:val="none"/>
              </w:rPr>
              <w:t>59</w:t>
            </w:r>
            <w:r>
              <w:rPr>
                <w:rFonts w:hint="eastAsia"/>
                <w:sz w:val="24"/>
                <w:szCs w:val="24"/>
                <w:highlight w:val="none"/>
              </w:rPr>
              <w:t>号），</w:t>
            </w:r>
            <w:r>
              <w:rPr>
                <w:sz w:val="24"/>
                <w:szCs w:val="24"/>
                <w:highlight w:val="none"/>
              </w:rPr>
              <w:t>推动形成</w:t>
            </w:r>
            <w:r>
              <w:rPr>
                <w:rFonts w:hint="eastAsia"/>
                <w:sz w:val="24"/>
                <w:szCs w:val="24"/>
                <w:highlight w:val="none"/>
              </w:rPr>
              <w:t>“一带三区”绿色发展格局。打造黄河生态经济带，以黄河干流为主轴，突出生态优先地位，统筹流域城市建设、产业发展、交通物流、文化旅游，加强水污染防治和水生态保护修复，建设绿色生态廊道。建设北部绿色发展区，以银川平原、卫宁平原和贺兰山自然保护区为重点区域，突出生态治理和绿色发展，修复矿山生态环境，优化畅通水系水网，构建绿色高效的现代产业体系。</w:t>
            </w:r>
          </w:p>
          <w:p>
            <w:pPr>
              <w:pStyle w:val="15"/>
              <w:ind w:firstLine="420"/>
              <w:rPr>
                <w:color w:val="auto"/>
                <w:sz w:val="24"/>
                <w:szCs w:val="24"/>
                <w:highlight w:val="none"/>
              </w:rPr>
            </w:pPr>
            <w:r>
              <w:rPr>
                <w:rFonts w:hint="eastAsia"/>
                <w:color w:val="auto"/>
                <w:sz w:val="24"/>
                <w:szCs w:val="24"/>
                <w:highlight w:val="none"/>
              </w:rPr>
              <w:t>本项目为矿山生态修复项目，通过地形地貌重塑、矿山地质灾害治理、土地资源恢复等工程内容对矿山进行生态修复，解决</w:t>
            </w:r>
            <w:r>
              <w:rPr>
                <w:color w:val="auto"/>
                <w:sz w:val="24"/>
                <w:szCs w:val="24"/>
                <w:highlight w:val="none"/>
              </w:rPr>
              <w:t>矿山开采破坏地形地貌和挖损占压土地资源的</w:t>
            </w:r>
            <w:r>
              <w:rPr>
                <w:rFonts w:hint="eastAsia"/>
                <w:color w:val="auto"/>
                <w:sz w:val="24"/>
                <w:szCs w:val="24"/>
                <w:highlight w:val="none"/>
              </w:rPr>
              <w:t>问题</w:t>
            </w:r>
            <w:r>
              <w:rPr>
                <w:color w:val="auto"/>
                <w:sz w:val="24"/>
                <w:szCs w:val="24"/>
                <w:highlight w:val="none"/>
              </w:rPr>
              <w:t>，本项目的实施，可使</w:t>
            </w:r>
            <w:r>
              <w:rPr>
                <w:rFonts w:hint="eastAsia"/>
                <w:color w:val="auto"/>
                <w:sz w:val="24"/>
                <w:szCs w:val="24"/>
                <w:highlight w:val="none"/>
              </w:rPr>
              <w:t>治理区</w:t>
            </w:r>
            <w:r>
              <w:rPr>
                <w:color w:val="auto"/>
                <w:sz w:val="24"/>
                <w:szCs w:val="24"/>
                <w:highlight w:val="none"/>
              </w:rPr>
              <w:t>受损的地形地貌得以恢复，通过覆土植草，可逐步恢复治理区内植被，从而有效减少水土流失</w:t>
            </w:r>
            <w:r>
              <w:rPr>
                <w:rFonts w:hint="eastAsia"/>
                <w:color w:val="auto"/>
                <w:sz w:val="24"/>
                <w:szCs w:val="24"/>
                <w:highlight w:val="none"/>
              </w:rPr>
              <w:t>，</w:t>
            </w:r>
            <w:r>
              <w:rPr>
                <w:color w:val="auto"/>
                <w:sz w:val="24"/>
                <w:szCs w:val="24"/>
                <w:highlight w:val="none"/>
              </w:rPr>
              <w:t>可实现</w:t>
            </w:r>
            <w:r>
              <w:rPr>
                <w:rFonts w:hint="eastAsia"/>
                <w:color w:val="auto"/>
                <w:sz w:val="24"/>
                <w:szCs w:val="24"/>
                <w:highlight w:val="none"/>
              </w:rPr>
              <w:t>矿山生态环境的</w:t>
            </w:r>
            <w:r>
              <w:rPr>
                <w:color w:val="auto"/>
                <w:sz w:val="24"/>
                <w:szCs w:val="24"/>
                <w:highlight w:val="none"/>
              </w:rPr>
              <w:t>修复。</w:t>
            </w:r>
            <w:r>
              <w:rPr>
                <w:rFonts w:hint="eastAsia"/>
                <w:color w:val="auto"/>
                <w:sz w:val="24"/>
                <w:szCs w:val="24"/>
                <w:highlight w:val="none"/>
              </w:rPr>
              <w:t>因此，本项目与《宁夏回族自治区生态环境保护“十四五”规划》是相符的。</w:t>
            </w:r>
          </w:p>
          <w:p>
            <w:pPr>
              <w:pStyle w:val="15"/>
              <w:ind w:left="0" w:leftChars="0" w:firstLine="0" w:firstLineChars="0"/>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4、与《全国重要生态系统保护和修复重大工程总体规划（2021-2035年）》符合性分析</w:t>
            </w:r>
          </w:p>
          <w:p>
            <w:pPr>
              <w:pStyle w:val="15"/>
              <w:ind w:firstLine="420"/>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《全国重要生态系统保护和修复重大工程总体规划（2021-2035 年）》部署了青藏高原生态屏障区生态保护和修复重大工程、黄河重点生态区（含黄土高原生态屏障）生态保护和修复重大工程、长江重点生态区（含川滇生态屏障）生态保护和修复等九大工程等9大工程，其中黄河重点生态区（含黄土高原生态屏障）生态保护和修复重大工程要求大力开展历史遗留矿山生态修复，实施地质环境治理、地形重塑、土壤重构、植被重建等综合治理，恢复矿山生态。</w:t>
            </w:r>
          </w:p>
          <w:p>
            <w:pPr>
              <w:pStyle w:val="15"/>
              <w:ind w:firstLine="420"/>
              <w:rPr>
                <w:color w:val="0000FF"/>
                <w:sz w:val="24"/>
                <w:szCs w:val="24"/>
                <w:highlight w:val="none"/>
              </w:rPr>
            </w:pPr>
            <w:r>
              <w:rPr>
                <w:rFonts w:hint="eastAsia"/>
                <w:color w:val="000000" w:themeColor="text1"/>
                <w:sz w:val="24"/>
                <w:szCs w:val="24"/>
                <w:highlight w:val="none"/>
                <w:lang w:val="en-US" w:eastAsia="zh-CN"/>
                <w14:textFill>
                  <w14:solidFill>
                    <w14:schemeClr w14:val="tx1"/>
                  </w14:solidFill>
                </w14:textFill>
              </w:rPr>
              <w:t>符合性分析：本项目实施区位于《全国重要生态系统保护和修复重大工程总体规划（2021-2035年）》中黄河重点生态区（含黄土高原生态屏障）生态保护和修复重大工程区域，项目的实施符合规划要求</w:t>
            </w:r>
            <w:r>
              <w:rPr>
                <w:rFonts w:hint="eastAsia"/>
                <w:color w:val="0000FF"/>
                <w:sz w:val="24"/>
                <w:szCs w:val="24"/>
                <w:highlight w:val="none"/>
              </w:rPr>
              <w:t>。</w:t>
            </w:r>
          </w:p>
          <w:p>
            <w:pPr>
              <w:pStyle w:val="15"/>
              <w:ind w:firstLine="0" w:firstLineChars="0"/>
              <w:rPr>
                <w:sz w:val="24"/>
                <w:szCs w:val="24"/>
                <w:highlight w:val="none"/>
              </w:rPr>
            </w:pPr>
            <w:r>
              <w:rPr>
                <w:rFonts w:hint="eastAsia"/>
                <w:b/>
                <w:bCs/>
                <w:sz w:val="24"/>
                <w:szCs w:val="24"/>
                <w:highlight w:val="none"/>
              </w:rPr>
              <w:t>6、相关环保政策符合性分析</w:t>
            </w:r>
          </w:p>
          <w:p>
            <w:pPr>
              <w:pStyle w:val="7"/>
              <w:rPr>
                <w:rFonts w:hint="eastAsia"/>
                <w:sz w:val="24"/>
                <w:szCs w:val="24"/>
                <w:highlight w:val="none"/>
              </w:rPr>
            </w:pPr>
            <w:r>
              <w:rPr>
                <w:rFonts w:hint="eastAsia"/>
                <w:sz w:val="24"/>
                <w:szCs w:val="24"/>
                <w:highlight w:val="none"/>
              </w:rPr>
              <w:t>表1-2与建设项目相关环保政策要求符合性分析</w:t>
            </w:r>
          </w:p>
          <w:tbl>
            <w:tblPr>
              <w:tblStyle w:val="25"/>
              <w:tblW w:w="6609" w:type="dxa"/>
              <w:tblInd w:w="8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661"/>
              <w:gridCol w:w="2336"/>
              <w:gridCol w:w="1560"/>
              <w:gridCol w:w="8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8" w:type="dxa"/>
                  <w:tcBorders>
                    <w:tl2br w:val="nil"/>
                    <w:tr2bl w:val="nil"/>
                  </w:tcBorders>
                  <w:vAlign w:val="center"/>
                </w:tcPr>
                <w:p>
                  <w:pPr>
                    <w:spacing w:line="240" w:lineRule="auto"/>
                    <w:rPr>
                      <w:b/>
                      <w:bCs/>
                      <w:sz w:val="21"/>
                      <w:szCs w:val="21"/>
                      <w:highlight w:val="none"/>
                    </w:rPr>
                  </w:pPr>
                  <w:r>
                    <w:rPr>
                      <w:rFonts w:hint="eastAsia"/>
                      <w:b/>
                      <w:bCs/>
                      <w:sz w:val="21"/>
                      <w:szCs w:val="21"/>
                      <w:highlight w:val="none"/>
                    </w:rPr>
                    <w:t>文件名称</w:t>
                  </w:r>
                </w:p>
              </w:tc>
              <w:tc>
                <w:tcPr>
                  <w:tcW w:w="2997" w:type="dxa"/>
                  <w:gridSpan w:val="2"/>
                  <w:tcBorders>
                    <w:tl2br w:val="nil"/>
                    <w:tr2bl w:val="nil"/>
                  </w:tcBorders>
                  <w:vAlign w:val="center"/>
                </w:tcPr>
                <w:p>
                  <w:pPr>
                    <w:spacing w:line="240" w:lineRule="auto"/>
                    <w:rPr>
                      <w:b/>
                      <w:bCs/>
                      <w:sz w:val="21"/>
                      <w:szCs w:val="21"/>
                      <w:highlight w:val="none"/>
                    </w:rPr>
                  </w:pPr>
                  <w:r>
                    <w:rPr>
                      <w:rFonts w:hint="eastAsia"/>
                      <w:b/>
                      <w:bCs/>
                      <w:sz w:val="21"/>
                      <w:szCs w:val="21"/>
                      <w:highlight w:val="none"/>
                    </w:rPr>
                    <w:t>文件要求</w:t>
                  </w:r>
                </w:p>
              </w:tc>
              <w:tc>
                <w:tcPr>
                  <w:tcW w:w="1560" w:type="dxa"/>
                  <w:tcBorders>
                    <w:tl2br w:val="nil"/>
                    <w:tr2bl w:val="nil"/>
                  </w:tcBorders>
                  <w:vAlign w:val="center"/>
                </w:tcPr>
                <w:p>
                  <w:pPr>
                    <w:spacing w:line="240" w:lineRule="auto"/>
                    <w:rPr>
                      <w:b/>
                      <w:bCs/>
                      <w:sz w:val="21"/>
                      <w:szCs w:val="21"/>
                      <w:highlight w:val="none"/>
                    </w:rPr>
                  </w:pPr>
                  <w:r>
                    <w:rPr>
                      <w:rFonts w:hint="eastAsia"/>
                      <w:b/>
                      <w:bCs/>
                      <w:sz w:val="21"/>
                      <w:szCs w:val="21"/>
                      <w:highlight w:val="none"/>
                    </w:rPr>
                    <w:t>本项目情况</w:t>
                  </w:r>
                </w:p>
              </w:tc>
              <w:tc>
                <w:tcPr>
                  <w:tcW w:w="894" w:type="dxa"/>
                  <w:tcBorders>
                    <w:tl2br w:val="nil"/>
                    <w:tr2bl w:val="nil"/>
                  </w:tcBorders>
                  <w:vAlign w:val="center"/>
                </w:tcPr>
                <w:p>
                  <w:pPr>
                    <w:spacing w:line="240" w:lineRule="auto"/>
                    <w:rPr>
                      <w:b/>
                      <w:bCs/>
                      <w:sz w:val="21"/>
                      <w:szCs w:val="21"/>
                      <w:highlight w:val="none"/>
                    </w:rPr>
                  </w:pPr>
                  <w:r>
                    <w:rPr>
                      <w:rFonts w:hint="eastAsia"/>
                      <w:b/>
                      <w:bCs/>
                      <w:sz w:val="21"/>
                      <w:szCs w:val="21"/>
                      <w:highlight w:val="none"/>
                    </w:rPr>
                    <w:t>符合性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8" w:type="dxa"/>
                  <w:tcBorders>
                    <w:tl2br w:val="nil"/>
                    <w:tr2bl w:val="nil"/>
                  </w:tcBorders>
                  <w:vAlign w:val="center"/>
                </w:tcPr>
                <w:p>
                  <w:pPr>
                    <w:spacing w:line="240" w:lineRule="auto"/>
                    <w:jc w:val="left"/>
                    <w:rPr>
                      <w:sz w:val="21"/>
                      <w:szCs w:val="21"/>
                      <w:highlight w:val="none"/>
                    </w:rPr>
                  </w:pPr>
                  <w:r>
                    <w:rPr>
                      <w:rFonts w:hint="eastAsia"/>
                      <w:sz w:val="21"/>
                      <w:szCs w:val="21"/>
                      <w:highlight w:val="none"/>
                    </w:rPr>
                    <w:t>《</w:t>
                  </w:r>
                  <w:r>
                    <w:rPr>
                      <w:sz w:val="21"/>
                      <w:szCs w:val="21"/>
                      <w:highlight w:val="none"/>
                    </w:rPr>
                    <w:t>关于支持开展历史遗留废弃矿山生态修复示范工程的通知</w:t>
                  </w:r>
                  <w:r>
                    <w:rPr>
                      <w:rFonts w:hint="eastAsia"/>
                      <w:sz w:val="21"/>
                      <w:szCs w:val="21"/>
                      <w:highlight w:val="none"/>
                    </w:rPr>
                    <w:t>》</w:t>
                  </w:r>
                  <w:r>
                    <w:rPr>
                      <w:sz w:val="21"/>
                      <w:szCs w:val="21"/>
                      <w:highlight w:val="none"/>
                    </w:rPr>
                    <w:t>财办资环〔2021〕65号</w:t>
                  </w:r>
                </w:p>
              </w:tc>
              <w:tc>
                <w:tcPr>
                  <w:tcW w:w="2997" w:type="dxa"/>
                  <w:gridSpan w:val="2"/>
                  <w:tcBorders>
                    <w:tl2br w:val="nil"/>
                    <w:tr2bl w:val="nil"/>
                  </w:tcBorders>
                  <w:vAlign w:val="center"/>
                </w:tcPr>
                <w:p>
                  <w:pPr>
                    <w:pStyle w:val="15"/>
                    <w:spacing w:line="240" w:lineRule="auto"/>
                    <w:ind w:firstLine="360"/>
                    <w:rPr>
                      <w:sz w:val="21"/>
                      <w:szCs w:val="21"/>
                      <w:highlight w:val="none"/>
                    </w:rPr>
                  </w:pPr>
                  <w:r>
                    <w:rPr>
                      <w:rFonts w:hint="eastAsia"/>
                      <w:sz w:val="21"/>
                      <w:szCs w:val="21"/>
                      <w:highlight w:val="none"/>
                    </w:rPr>
                    <w:t>《通知》强调：“要坚持节约优先、保护优先、自然恢复为主的方针，以“三区四带”重点生态地区为核心，聚焦生态区位重要、生态问题突出、相对集中连片、影响人居环境的历史遗留废弃矿山，重点遴选修复理念先进、工作基础好、典型代表性强、具有复制推广价值的项目，开展历史遗留废弃矿山生态修复示范，突出对国家重大战略的生态支撑，着力提升生态系统质量和碳汇能力。”</w:t>
                  </w:r>
                </w:p>
              </w:tc>
              <w:tc>
                <w:tcPr>
                  <w:tcW w:w="1560" w:type="dxa"/>
                  <w:tcBorders>
                    <w:tl2br w:val="nil"/>
                    <w:tr2bl w:val="nil"/>
                  </w:tcBorders>
                  <w:vAlign w:val="center"/>
                </w:tcPr>
                <w:p>
                  <w:pPr>
                    <w:spacing w:line="240" w:lineRule="auto"/>
                    <w:jc w:val="both"/>
                    <w:rPr>
                      <w:sz w:val="21"/>
                      <w:szCs w:val="21"/>
                      <w:highlight w:val="none"/>
                    </w:rPr>
                  </w:pPr>
                  <w:r>
                    <w:rPr>
                      <w:rFonts w:hint="eastAsia"/>
                      <w:color w:val="000000"/>
                      <w:sz w:val="21"/>
                      <w:szCs w:val="21"/>
                      <w:highlight w:val="none"/>
                    </w:rPr>
                    <w:t>本项目为遗留</w:t>
                  </w:r>
                  <w:r>
                    <w:rPr>
                      <w:color w:val="000000"/>
                      <w:sz w:val="21"/>
                      <w:szCs w:val="21"/>
                      <w:highlight w:val="none"/>
                    </w:rPr>
                    <w:t>废弃</w:t>
                  </w:r>
                  <w:r>
                    <w:rPr>
                      <w:rFonts w:hint="eastAsia"/>
                      <w:color w:val="000000"/>
                      <w:sz w:val="21"/>
                      <w:szCs w:val="21"/>
                      <w:highlight w:val="none"/>
                    </w:rPr>
                    <w:t>矿山生态修复项目，可逐步</w:t>
                  </w:r>
                  <w:r>
                    <w:rPr>
                      <w:color w:val="000000"/>
                      <w:sz w:val="21"/>
                      <w:szCs w:val="21"/>
                      <w:highlight w:val="none"/>
                    </w:rPr>
                    <w:t>恢复治理区内植被条件，</w:t>
                  </w:r>
                  <w:r>
                    <w:rPr>
                      <w:rFonts w:hint="eastAsia"/>
                      <w:color w:val="000000"/>
                      <w:sz w:val="21"/>
                      <w:szCs w:val="21"/>
                      <w:highlight w:val="none"/>
                    </w:rPr>
                    <w:t>提升治理区生态系统</w:t>
                  </w:r>
                  <w:r>
                    <w:rPr>
                      <w:color w:val="000000"/>
                      <w:sz w:val="21"/>
                      <w:szCs w:val="21"/>
                      <w:highlight w:val="none"/>
                    </w:rPr>
                    <w:t>的质量和碳汇</w:t>
                  </w:r>
                  <w:r>
                    <w:rPr>
                      <w:rFonts w:hint="eastAsia"/>
                      <w:color w:val="000000"/>
                      <w:sz w:val="21"/>
                      <w:szCs w:val="21"/>
                      <w:highlight w:val="none"/>
                    </w:rPr>
                    <w:t>能力。</w:t>
                  </w:r>
                </w:p>
              </w:tc>
              <w:tc>
                <w:tcPr>
                  <w:tcW w:w="894" w:type="dxa"/>
                  <w:tcBorders>
                    <w:tl2br w:val="nil"/>
                    <w:tr2bl w:val="nil"/>
                  </w:tcBorders>
                  <w:vAlign w:val="center"/>
                </w:tcPr>
                <w:p>
                  <w:pPr>
                    <w:spacing w:line="240" w:lineRule="auto"/>
                    <w:rPr>
                      <w:sz w:val="21"/>
                      <w:szCs w:val="21"/>
                      <w:highlight w:val="none"/>
                    </w:rPr>
                  </w:pPr>
                  <w:r>
                    <w:rPr>
                      <w:rFonts w:hint="eastAsia"/>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58" w:type="dxa"/>
                  <w:vMerge w:val="restart"/>
                  <w:tcBorders>
                    <w:tl2br w:val="nil"/>
                    <w:tr2bl w:val="nil"/>
                  </w:tcBorders>
                  <w:vAlign w:val="center"/>
                </w:tcPr>
                <w:p>
                  <w:pPr>
                    <w:spacing w:line="240" w:lineRule="auto"/>
                    <w:jc w:val="left"/>
                    <w:rPr>
                      <w:color w:val="000000"/>
                      <w:sz w:val="21"/>
                      <w:szCs w:val="21"/>
                      <w:highlight w:val="none"/>
                    </w:rPr>
                  </w:pPr>
                  <w:r>
                    <w:rPr>
                      <w:rFonts w:hint="eastAsia"/>
                      <w:color w:val="000000"/>
                      <w:sz w:val="21"/>
                      <w:szCs w:val="21"/>
                      <w:highlight w:val="none"/>
                    </w:rPr>
                    <w:t>《矿山生态环境保护与恢复治理技术规范（试行）》</w:t>
                  </w:r>
                </w:p>
              </w:tc>
              <w:tc>
                <w:tcPr>
                  <w:tcW w:w="661" w:type="dxa"/>
                  <w:vMerge w:val="restart"/>
                  <w:tcBorders>
                    <w:tl2br w:val="nil"/>
                    <w:tr2bl w:val="nil"/>
                  </w:tcBorders>
                  <w:vAlign w:val="center"/>
                </w:tcPr>
                <w:p>
                  <w:pPr>
                    <w:spacing w:line="240" w:lineRule="auto"/>
                    <w:contextualSpacing/>
                    <w:jc w:val="left"/>
                    <w:rPr>
                      <w:color w:val="000000"/>
                      <w:sz w:val="21"/>
                      <w:szCs w:val="21"/>
                      <w:highlight w:val="none"/>
                    </w:rPr>
                  </w:pPr>
                  <w:r>
                    <w:rPr>
                      <w:rFonts w:hint="eastAsia"/>
                      <w:color w:val="000000"/>
                      <w:sz w:val="21"/>
                      <w:szCs w:val="21"/>
                      <w:highlight w:val="none"/>
                    </w:rPr>
                    <w:t>露天采场生态恢复</w:t>
                  </w:r>
                </w:p>
              </w:tc>
              <w:tc>
                <w:tcPr>
                  <w:tcW w:w="2336" w:type="dxa"/>
                  <w:tcBorders>
                    <w:tl2br w:val="nil"/>
                    <w:tr2bl w:val="nil"/>
                  </w:tcBorders>
                  <w:vAlign w:val="center"/>
                </w:tcPr>
                <w:p>
                  <w:pPr>
                    <w:pStyle w:val="15"/>
                    <w:spacing w:line="240" w:lineRule="auto"/>
                    <w:ind w:firstLine="360"/>
                    <w:rPr>
                      <w:color w:val="000000"/>
                      <w:sz w:val="21"/>
                      <w:szCs w:val="21"/>
                      <w:highlight w:val="none"/>
                    </w:rPr>
                  </w:pPr>
                  <w:r>
                    <w:rPr>
                      <w:rFonts w:hint="eastAsia"/>
                      <w:sz w:val="21"/>
                      <w:szCs w:val="21"/>
                      <w:highlight w:val="none"/>
                    </w:rPr>
                    <w:t>露天采场的场地整治和覆土方法根据场地坡度来确定。水平地和15°以下缓坡地可采用物料填充、底板耕松、挖高垫低等方法。15°以上陡坡可采用挖穴填土、砌筑植生盆（槽）填土、混喷、阶梯整形覆土、安放植物袋、石壁挂笼填土等方法</w:t>
                  </w:r>
                </w:p>
              </w:tc>
              <w:tc>
                <w:tcPr>
                  <w:tcW w:w="1560" w:type="dxa"/>
                  <w:tcBorders>
                    <w:tl2br w:val="nil"/>
                    <w:tr2bl w:val="nil"/>
                  </w:tcBorders>
                  <w:vAlign w:val="center"/>
                </w:tcPr>
                <w:p>
                  <w:pPr>
                    <w:spacing w:line="240" w:lineRule="auto"/>
                    <w:contextualSpacing/>
                    <w:jc w:val="left"/>
                    <w:rPr>
                      <w:sz w:val="21"/>
                      <w:szCs w:val="21"/>
                      <w:highlight w:val="none"/>
                    </w:rPr>
                  </w:pPr>
                  <w:r>
                    <w:rPr>
                      <w:rFonts w:hint="eastAsia"/>
                      <w:color w:val="000000"/>
                      <w:sz w:val="21"/>
                      <w:szCs w:val="21"/>
                      <w:highlight w:val="none"/>
                    </w:rPr>
                    <w:t>露天采场采用分级削坡；对采场基地进行回填；坡脚处修建浆砌石陡坎等措施</w:t>
                  </w:r>
                </w:p>
              </w:tc>
              <w:tc>
                <w:tcPr>
                  <w:tcW w:w="894" w:type="dxa"/>
                  <w:tcBorders>
                    <w:tl2br w:val="nil"/>
                    <w:tr2bl w:val="nil"/>
                  </w:tcBorders>
                  <w:vAlign w:val="center"/>
                </w:tcPr>
                <w:p>
                  <w:pPr>
                    <w:spacing w:line="240" w:lineRule="auto"/>
                    <w:rPr>
                      <w:sz w:val="21"/>
                      <w:szCs w:val="21"/>
                      <w:highlight w:val="none"/>
                    </w:rPr>
                  </w:pPr>
                  <w:r>
                    <w:rPr>
                      <w:rFonts w:hint="eastAsia"/>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158" w:type="dxa"/>
                  <w:vMerge w:val="continue"/>
                  <w:tcBorders>
                    <w:tl2br w:val="nil"/>
                    <w:tr2bl w:val="nil"/>
                  </w:tcBorders>
                  <w:vAlign w:val="center"/>
                </w:tcPr>
                <w:p>
                  <w:pPr>
                    <w:spacing w:line="240" w:lineRule="auto"/>
                    <w:jc w:val="left"/>
                    <w:rPr>
                      <w:color w:val="000000"/>
                      <w:sz w:val="21"/>
                      <w:szCs w:val="21"/>
                      <w:highlight w:val="none"/>
                    </w:rPr>
                  </w:pPr>
                </w:p>
              </w:tc>
              <w:tc>
                <w:tcPr>
                  <w:tcW w:w="661" w:type="dxa"/>
                  <w:vMerge w:val="continue"/>
                  <w:tcBorders>
                    <w:tl2br w:val="nil"/>
                    <w:tr2bl w:val="nil"/>
                  </w:tcBorders>
                  <w:vAlign w:val="center"/>
                </w:tcPr>
                <w:p>
                  <w:pPr>
                    <w:spacing w:line="240" w:lineRule="auto"/>
                    <w:contextualSpacing/>
                    <w:jc w:val="left"/>
                    <w:rPr>
                      <w:color w:val="000000"/>
                      <w:sz w:val="21"/>
                      <w:szCs w:val="21"/>
                      <w:highlight w:val="none"/>
                    </w:rPr>
                  </w:pPr>
                </w:p>
              </w:tc>
              <w:tc>
                <w:tcPr>
                  <w:tcW w:w="2336" w:type="dxa"/>
                  <w:tcBorders>
                    <w:tl2br w:val="nil"/>
                    <w:tr2bl w:val="nil"/>
                  </w:tcBorders>
                  <w:vAlign w:val="center"/>
                </w:tcPr>
                <w:p>
                  <w:pPr>
                    <w:spacing w:line="240" w:lineRule="auto"/>
                    <w:contextualSpacing/>
                    <w:jc w:val="left"/>
                    <w:rPr>
                      <w:color w:val="000000"/>
                      <w:sz w:val="21"/>
                      <w:szCs w:val="21"/>
                      <w:highlight w:val="none"/>
                    </w:rPr>
                  </w:pPr>
                  <w:r>
                    <w:rPr>
                      <w:rFonts w:hint="eastAsia"/>
                      <w:color w:val="000000"/>
                      <w:sz w:val="21"/>
                      <w:szCs w:val="21"/>
                      <w:highlight w:val="none"/>
                    </w:rPr>
                    <w:t>护坡治理后应恢复植被</w:t>
                  </w:r>
                </w:p>
              </w:tc>
              <w:tc>
                <w:tcPr>
                  <w:tcW w:w="1560" w:type="dxa"/>
                  <w:tcBorders>
                    <w:tl2br w:val="nil"/>
                    <w:tr2bl w:val="nil"/>
                  </w:tcBorders>
                  <w:vAlign w:val="center"/>
                </w:tcPr>
                <w:p>
                  <w:pPr>
                    <w:spacing w:line="240" w:lineRule="auto"/>
                    <w:contextualSpacing/>
                    <w:jc w:val="left"/>
                    <w:rPr>
                      <w:sz w:val="21"/>
                      <w:szCs w:val="21"/>
                      <w:highlight w:val="none"/>
                    </w:rPr>
                  </w:pPr>
                  <w:r>
                    <w:rPr>
                      <w:rFonts w:hint="eastAsia"/>
                      <w:color w:val="000000"/>
                      <w:sz w:val="21"/>
                      <w:szCs w:val="21"/>
                      <w:highlight w:val="none"/>
                    </w:rPr>
                    <w:t>护坡治理后复垦为林地和草地</w:t>
                  </w:r>
                </w:p>
              </w:tc>
              <w:tc>
                <w:tcPr>
                  <w:tcW w:w="894" w:type="dxa"/>
                  <w:tcBorders>
                    <w:tl2br w:val="nil"/>
                    <w:tr2bl w:val="nil"/>
                  </w:tcBorders>
                  <w:vAlign w:val="center"/>
                </w:tcPr>
                <w:p>
                  <w:pPr>
                    <w:spacing w:line="240" w:lineRule="auto"/>
                    <w:rPr>
                      <w:sz w:val="21"/>
                      <w:szCs w:val="21"/>
                      <w:highlight w:val="none"/>
                    </w:rPr>
                  </w:pPr>
                  <w:r>
                    <w:rPr>
                      <w:rFonts w:hint="eastAsia"/>
                      <w:sz w:val="21"/>
                      <w:szCs w:val="21"/>
                      <w:highlight w:val="none"/>
                    </w:rPr>
                    <w:t>符合</w:t>
                  </w:r>
                </w:p>
              </w:tc>
            </w:tr>
          </w:tbl>
          <w:p>
            <w:pPr>
              <w:rPr>
                <w:rFonts w:hint="eastAsia"/>
                <w:sz w:val="24"/>
                <w:szCs w:val="24"/>
                <w:highlight w:val="none"/>
              </w:rPr>
            </w:pPr>
          </w:p>
          <w:p>
            <w:pPr>
              <w:rPr>
                <w:rFonts w:hint="eastAsia"/>
                <w:sz w:val="24"/>
                <w:szCs w:val="24"/>
                <w:highlight w:val="none"/>
              </w:rPr>
            </w:pPr>
          </w:p>
          <w:p>
            <w:pPr>
              <w:rPr>
                <w:rFonts w:hint="eastAsia"/>
                <w:sz w:val="24"/>
                <w:szCs w:val="24"/>
                <w:highlight w:val="none"/>
              </w:rPr>
            </w:pPr>
          </w:p>
          <w:p>
            <w:pPr>
              <w:rPr>
                <w:rFonts w:hint="eastAsia"/>
                <w:sz w:val="24"/>
                <w:szCs w:val="24"/>
                <w:highlight w:val="none"/>
              </w:rPr>
            </w:pPr>
          </w:p>
          <w:p>
            <w:pPr>
              <w:rPr>
                <w:rFonts w:hint="eastAsia"/>
                <w:sz w:val="24"/>
                <w:szCs w:val="24"/>
                <w:highlight w:val="none"/>
              </w:rPr>
            </w:pPr>
          </w:p>
          <w:p>
            <w:pPr>
              <w:rPr>
                <w:sz w:val="24"/>
                <w:szCs w:val="24"/>
                <w:highlight w:val="none"/>
              </w:rPr>
            </w:pPr>
          </w:p>
          <w:p>
            <w:pPr>
              <w:jc w:val="both"/>
              <w:rPr>
                <w:sz w:val="24"/>
                <w:szCs w:val="24"/>
                <w:highlight w:val="none"/>
              </w:rPr>
            </w:pPr>
          </w:p>
        </w:tc>
      </w:tr>
    </w:tbl>
    <w:p>
      <w:pPr>
        <w:rPr>
          <w:highlight w:val="yellow"/>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4"/>
        <w:numPr>
          <w:ilvl w:val="0"/>
          <w:numId w:val="2"/>
        </w:numPr>
        <w:rPr>
          <w:highlight w:val="none"/>
        </w:rPr>
      </w:pPr>
      <w:r>
        <w:rPr>
          <w:rFonts w:hint="eastAsia"/>
          <w:highlight w:val="none"/>
        </w:rPr>
        <w:t>建设内容</w:t>
      </w:r>
    </w:p>
    <w:tbl>
      <w:tblPr>
        <w:tblStyle w:val="25"/>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64"/>
        <w:gridCol w:w="81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5" w:hRule="atLeast"/>
        </w:trPr>
        <w:tc>
          <w:tcPr>
            <w:tcW w:w="364" w:type="dxa"/>
            <w:tcBorders>
              <w:tl2br w:val="nil"/>
              <w:tr2bl w:val="nil"/>
            </w:tcBorders>
            <w:vAlign w:val="center"/>
          </w:tcPr>
          <w:p>
            <w:pPr>
              <w:rPr>
                <w:color w:val="000000" w:themeColor="text1"/>
                <w:highlight w:val="yellow"/>
                <w14:textFill>
                  <w14:solidFill>
                    <w14:schemeClr w14:val="tx1"/>
                  </w14:solidFill>
                </w14:textFill>
              </w:rPr>
            </w:pPr>
            <w:r>
              <w:rPr>
                <w:rFonts w:hint="eastAsia"/>
                <w:color w:val="000000" w:themeColor="text1"/>
                <w:highlight w:val="none"/>
                <w14:textFill>
                  <w14:solidFill>
                    <w14:schemeClr w14:val="tx1"/>
                  </w14:solidFill>
                </w14:textFill>
              </w:rPr>
              <w:t>地理位置</w:t>
            </w:r>
          </w:p>
        </w:tc>
        <w:tc>
          <w:tcPr>
            <w:tcW w:w="8158" w:type="dxa"/>
            <w:tcBorders>
              <w:tl2br w:val="nil"/>
              <w:tr2bl w:val="nil"/>
            </w:tcBorders>
            <w:vAlign w:val="center"/>
          </w:tcPr>
          <w:p>
            <w:pPr>
              <w:pStyle w:val="15"/>
              <w:ind w:firstLine="420"/>
              <w:rPr>
                <w:rFonts w:hint="eastAsia" w:eastAsia="宋体"/>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t>沙坡头区陈水</w:t>
            </w:r>
            <w:r>
              <w:rPr>
                <w:rFonts w:hint="eastAsia"/>
                <w:color w:val="000000" w:themeColor="text1"/>
                <w:highlight w:val="none"/>
                <w14:textFill>
                  <w14:solidFill>
                    <w14:schemeClr w14:val="tx1"/>
                  </w14:solidFill>
                </w14:textFill>
              </w:rPr>
              <w:t>矿区</w:t>
            </w:r>
            <w:r>
              <w:rPr>
                <w:color w:val="000000" w:themeColor="text1"/>
                <w:highlight w:val="none"/>
                <w14:textFill>
                  <w14:solidFill>
                    <w14:schemeClr w14:val="tx1"/>
                  </w14:solidFill>
                </w14:textFill>
              </w:rPr>
              <w:t>废弃矿山生态修复项目</w:t>
            </w:r>
            <w:r>
              <w:rPr>
                <w:rFonts w:hint="eastAsia"/>
                <w:color w:val="000000" w:themeColor="text1"/>
                <w:highlight w:val="none"/>
                <w:lang w:eastAsia="zh-CN"/>
                <w14:textFill>
                  <w14:solidFill>
                    <w14:schemeClr w14:val="tx1"/>
                  </w14:solidFill>
                </w14:textFill>
              </w:rPr>
              <w:t>（二期）</w:t>
            </w:r>
            <w:r>
              <w:rPr>
                <w:color w:val="000000" w:themeColor="text1"/>
                <w:highlight w:val="none"/>
                <w14:textFill>
                  <w14:solidFill>
                    <w14:schemeClr w14:val="tx1"/>
                  </w14:solidFill>
                </w14:textFill>
              </w:rPr>
              <w:t>根据矿山位置及其特征等，划分为</w:t>
            </w:r>
            <w:r>
              <w:rPr>
                <w:rFonts w:hint="eastAsia"/>
                <w:color w:val="000000" w:themeColor="text1"/>
                <w:highlight w:val="none"/>
                <w:lang w:val="en-US" w:eastAsia="zh-CN"/>
                <w14:textFill>
                  <w14:solidFill>
                    <w14:schemeClr w14:val="tx1"/>
                  </w14:solidFill>
                </w14:textFill>
              </w:rPr>
              <w:t>5</w:t>
            </w:r>
            <w:r>
              <w:rPr>
                <w:color w:val="000000" w:themeColor="text1"/>
                <w:highlight w:val="none"/>
                <w14:textFill>
                  <w14:solidFill>
                    <w14:schemeClr w14:val="tx1"/>
                  </w14:solidFill>
                </w14:textFill>
              </w:rPr>
              <w:t>个</w:t>
            </w:r>
            <w:r>
              <w:rPr>
                <w:rFonts w:hint="eastAsia"/>
                <w:color w:val="000000" w:themeColor="text1"/>
                <w:highlight w:val="none"/>
                <w:lang w:eastAsia="zh-CN"/>
                <w14:textFill>
                  <w14:solidFill>
                    <w14:schemeClr w14:val="tx1"/>
                  </w14:solidFill>
                </w14:textFill>
              </w:rPr>
              <w:t>治理区</w:t>
            </w:r>
            <w:r>
              <w:rPr>
                <w:rFonts w:hint="eastAsia"/>
                <w:color w:val="000000" w:themeColor="text1"/>
                <w:highlight w:val="none"/>
                <w:lang w:val="en-US" w:eastAsia="zh-CN"/>
                <w14:textFill>
                  <w14:solidFill>
                    <w14:schemeClr w14:val="tx1"/>
                  </w14:solidFill>
                </w14:textFill>
              </w:rPr>
              <w:t>23</w:t>
            </w:r>
            <w:r>
              <w:rPr>
                <w:color w:val="000000" w:themeColor="text1"/>
                <w:highlight w:val="none"/>
                <w14:textFill>
                  <w14:solidFill>
                    <w14:schemeClr w14:val="tx1"/>
                  </w14:solidFill>
                </w14:textFill>
              </w:rPr>
              <w:t>个治理点。</w:t>
            </w:r>
            <w:r>
              <w:rPr>
                <w:rFonts w:hint="eastAsia"/>
                <w:color w:val="000000" w:themeColor="text1"/>
                <w:highlight w:val="none"/>
                <w14:textFill>
                  <w14:solidFill>
                    <w14:schemeClr w14:val="tx1"/>
                  </w14:solidFill>
                </w14:textFill>
              </w:rPr>
              <w:t>具体地理位置见附图</w:t>
            </w:r>
            <w:r>
              <w:rPr>
                <w:rFonts w:hint="eastAsia"/>
                <w:color w:val="000000" w:themeColor="text1"/>
                <w:highlight w:val="none"/>
                <w:lang w:val="en-US" w:eastAsia="zh-CN"/>
                <w14:textFill>
                  <w14:solidFill>
                    <w14:schemeClr w14:val="tx1"/>
                  </w14:solidFill>
                </w14:textFill>
              </w:rPr>
              <w:t>8</w:t>
            </w:r>
            <w:r>
              <w:rPr>
                <w:rFonts w:hint="eastAsia"/>
                <w:color w:val="000000" w:themeColor="text1"/>
                <w:highlight w:val="none"/>
                <w14:textFill>
                  <w14:solidFill>
                    <w14:schemeClr w14:val="tx1"/>
                  </w14:solidFill>
                </w14:textFill>
              </w:rPr>
              <w:t>。项目与周边环境关系示意图见</w:t>
            </w:r>
            <w:r>
              <w:rPr>
                <w:rFonts w:hint="eastAsia"/>
                <w:color w:val="000000" w:themeColor="text1"/>
                <w:highlight w:val="none"/>
                <w:lang w:eastAsia="zh-CN"/>
                <w14:textFill>
                  <w14:solidFill>
                    <w14:schemeClr w14:val="tx1"/>
                  </w14:solidFill>
                </w14:textFill>
              </w:rPr>
              <w:t>附图</w:t>
            </w:r>
            <w:r>
              <w:rPr>
                <w:rFonts w:hint="eastAsia"/>
                <w:color w:val="000000" w:themeColor="text1"/>
                <w:highlight w:val="none"/>
                <w:lang w:val="en-US" w:eastAsia="zh-CN"/>
                <w14:textFill>
                  <w14:solidFill>
                    <w14:schemeClr w14:val="tx1"/>
                  </w14:solidFill>
                </w14:textFill>
              </w:rPr>
              <w:t>9。</w:t>
            </w:r>
            <w:r>
              <w:rPr>
                <w:color w:val="000000" w:themeColor="text1"/>
                <w:highlight w:val="none"/>
                <w14:textFill>
                  <w14:solidFill>
                    <w14:schemeClr w14:val="tx1"/>
                  </w14:solidFill>
                </w14:textFill>
              </w:rPr>
              <w:t>各</w:t>
            </w:r>
            <w:r>
              <w:rPr>
                <w:rFonts w:hint="eastAsia"/>
                <w:color w:val="000000" w:themeColor="text1"/>
                <w:highlight w:val="none"/>
                <w:lang w:eastAsia="zh-CN"/>
                <w14:textFill>
                  <w14:solidFill>
                    <w14:schemeClr w14:val="tx1"/>
                  </w14:solidFill>
                </w14:textFill>
              </w:rPr>
              <w:t>治理点</w:t>
            </w:r>
            <w:r>
              <w:rPr>
                <w:color w:val="000000" w:themeColor="text1"/>
                <w:highlight w:val="none"/>
                <w14:textFill>
                  <w14:solidFill>
                    <w14:schemeClr w14:val="tx1"/>
                  </w14:solidFill>
                </w14:textFill>
              </w:rPr>
              <w:t>基本情况如下表所示</w:t>
            </w:r>
            <w:r>
              <w:rPr>
                <w:rFonts w:hint="eastAsia"/>
                <w:color w:val="000000" w:themeColor="text1"/>
                <w:highlight w:val="none"/>
                <w:lang w:eastAsia="zh-CN"/>
                <w14:textFill>
                  <w14:solidFill>
                    <w14:schemeClr w14:val="tx1"/>
                  </w14:solidFill>
                </w14:textFill>
              </w:rPr>
              <w:t>。</w:t>
            </w:r>
          </w:p>
          <w:p>
            <w:pPr>
              <w:pStyle w:val="7"/>
              <w:spacing w:line="240" w:lineRule="auto"/>
              <w:ind w:firstLine="723" w:firstLineChars="300"/>
              <w:jc w:val="both"/>
              <w:outlineLvl w:val="6"/>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2-1</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highlight w:val="none"/>
                <w14:textFill>
                  <w14:solidFill>
                    <w14:schemeClr w14:val="tx1"/>
                  </w14:solidFill>
                </w14:textFill>
              </w:rPr>
              <w:t>项目区废弃矿山基本情况表</w:t>
            </w:r>
          </w:p>
          <w:tbl>
            <w:tblPr>
              <w:tblStyle w:val="25"/>
              <w:tblW w:w="8040" w:type="dxa"/>
              <w:tblInd w:w="-5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393"/>
              <w:gridCol w:w="1018"/>
              <w:gridCol w:w="1254"/>
              <w:gridCol w:w="3904"/>
              <w:gridCol w:w="14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78" w:hRule="atLeast"/>
              </w:trPr>
              <w:tc>
                <w:tcPr>
                  <w:tcW w:w="393" w:type="dxa"/>
                  <w:tcBorders>
                    <w:tl2br w:val="nil"/>
                    <w:tr2bl w:val="nil"/>
                  </w:tcBorders>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序号</w:t>
                  </w:r>
                </w:p>
              </w:tc>
              <w:tc>
                <w:tcPr>
                  <w:tcW w:w="1018" w:type="dxa"/>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治理点</w:t>
                  </w:r>
                </w:p>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名称</w:t>
                  </w:r>
                </w:p>
              </w:tc>
              <w:tc>
                <w:tcPr>
                  <w:tcW w:w="1254" w:type="dxa"/>
                  <w:tcBorders>
                    <w:tl2br w:val="nil"/>
                    <w:tr2bl w:val="nil"/>
                  </w:tcBorders>
                  <w:vAlign w:val="center"/>
                </w:tcPr>
                <w:p>
                  <w:pPr>
                    <w:spacing w:line="240" w:lineRule="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治理点编号</w:t>
                  </w:r>
                </w:p>
              </w:tc>
              <w:tc>
                <w:tcPr>
                  <w:tcW w:w="3904" w:type="dxa"/>
                  <w:tcBorders>
                    <w:tl2br w:val="nil"/>
                    <w:tr2bl w:val="nil"/>
                  </w:tcBorders>
                  <w:vAlign w:val="center"/>
                </w:tcPr>
                <w:p>
                  <w:pPr>
                    <w:spacing w:line="240" w:lineRule="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经纬度</w:t>
                  </w:r>
                </w:p>
              </w:tc>
              <w:tc>
                <w:tcPr>
                  <w:tcW w:w="1471" w:type="dxa"/>
                  <w:tcBorders>
                    <w:tl2br w:val="nil"/>
                    <w:tr2bl w:val="nil"/>
                  </w:tcBorders>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面积（hm</w:t>
                  </w:r>
                  <w:r>
                    <w:rPr>
                      <w:rFonts w:hint="eastAsia"/>
                      <w:color w:val="000000" w:themeColor="text1"/>
                      <w:sz w:val="21"/>
                      <w:szCs w:val="21"/>
                      <w:highlight w:val="none"/>
                      <w:vertAlign w:val="superscript"/>
                      <w14:textFill>
                        <w14:solidFill>
                          <w14:schemeClr w14:val="tx1"/>
                        </w14:solidFill>
                      </w14:textFill>
                    </w:rPr>
                    <w:t>2</w:t>
                  </w:r>
                  <w:r>
                    <w:rPr>
                      <w:rFonts w:hint="eastAsia"/>
                      <w:color w:val="000000" w:themeColor="text1"/>
                      <w:sz w:val="21"/>
                      <w:szCs w:val="21"/>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4" w:hRule="atLeast"/>
              </w:trPr>
              <w:tc>
                <w:tcPr>
                  <w:tcW w:w="393" w:type="dxa"/>
                  <w:vMerge w:val="restart"/>
                  <w:tcBorders>
                    <w:tl2br w:val="nil"/>
                    <w:tr2bl w:val="nil"/>
                  </w:tcBorders>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1018" w:type="dxa"/>
                  <w:vMerge w:val="restart"/>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香山梁水园村北生态修复治理区</w:t>
                  </w:r>
                </w:p>
              </w:tc>
              <w:tc>
                <w:tcPr>
                  <w:tcW w:w="1254" w:type="dxa"/>
                  <w:tcBorders>
                    <w:tl2br w:val="nil"/>
                    <w:tr2bl w:val="nil"/>
                  </w:tcBorders>
                  <w:vAlign w:val="center"/>
                </w:tcPr>
                <w:p>
                  <w:pPr>
                    <w:widowControl/>
                    <w:spacing w:line="240" w:lineRule="auto"/>
                    <w:rPr>
                      <w:rFonts w:hint="eastAsia" w:eastAsia="宋体"/>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5号治理点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E104°51′44</w:t>
                  </w:r>
                  <w:r>
                    <w:rPr>
                      <w:rFonts w:hint="eastAsia"/>
                      <w:color w:val="000000" w:themeColor="text1"/>
                      <w:sz w:val="21"/>
                      <w:szCs w:val="21"/>
                      <w:highlight w:val="none"/>
                      <w:lang w:val="en-US" w:eastAsia="zh-CN" w:bidi="ar"/>
                      <w14:textFill>
                        <w14:solidFill>
                          <w14:schemeClr w14:val="tx1"/>
                        </w14:solidFill>
                      </w14:textFill>
                    </w:rPr>
                    <w:t>2</w:t>
                  </w:r>
                  <w:r>
                    <w:rPr>
                      <w:rFonts w:hint="default"/>
                      <w:color w:val="000000" w:themeColor="text1"/>
                      <w:sz w:val="21"/>
                      <w:szCs w:val="21"/>
                      <w:highlight w:val="none"/>
                      <w:lang w:val="en-US" w:eastAsia="zh-CN" w:bidi="ar"/>
                      <w14:textFill>
                        <w14:solidFill>
                          <w14:schemeClr w14:val="tx1"/>
                        </w14:solidFill>
                      </w14:textFill>
                    </w:rPr>
                    <w:t>″,N37°16′48</w:t>
                  </w:r>
                  <w:r>
                    <w:rPr>
                      <w:rFonts w:hint="eastAsia"/>
                      <w:color w:val="000000" w:themeColor="text1"/>
                      <w:sz w:val="21"/>
                      <w:szCs w:val="21"/>
                      <w:highlight w:val="none"/>
                      <w:lang w:val="en-US" w:eastAsia="zh-CN" w:bidi="ar"/>
                      <w14:textFill>
                        <w14:solidFill>
                          <w14:schemeClr w14:val="tx1"/>
                        </w14:solidFill>
                      </w14:textFill>
                    </w:rPr>
                    <w:t>4</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19.86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4"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6号治理点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E104°51′29</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°16′45</w:t>
                  </w:r>
                  <w:r>
                    <w:rPr>
                      <w:rFonts w:hint="eastAsia"/>
                      <w:color w:val="000000" w:themeColor="text1"/>
                      <w:sz w:val="21"/>
                      <w:szCs w:val="21"/>
                      <w:highlight w:val="none"/>
                      <w:lang w:val="en-US" w:eastAsia="zh-CN" w:bidi="ar"/>
                      <w14:textFill>
                        <w14:solidFill>
                          <w14:schemeClr w14:val="tx1"/>
                        </w14:solidFill>
                      </w14:textFill>
                    </w:rPr>
                    <w:t>9</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7.76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43"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7号治理点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E104°51′31</w:t>
                  </w:r>
                  <w:r>
                    <w:rPr>
                      <w:rFonts w:hint="eastAsia"/>
                      <w:color w:val="000000" w:themeColor="text1"/>
                      <w:sz w:val="21"/>
                      <w:szCs w:val="21"/>
                      <w:highlight w:val="none"/>
                      <w:lang w:val="en-US" w:eastAsia="zh-CN" w:bidi="ar"/>
                      <w14:textFill>
                        <w14:solidFill>
                          <w14:schemeClr w14:val="tx1"/>
                        </w14:solidFill>
                      </w14:textFill>
                    </w:rPr>
                    <w:t>5</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°17′0</w:t>
                  </w:r>
                  <w:r>
                    <w:rPr>
                      <w:rFonts w:hint="eastAsia"/>
                      <w:color w:val="000000" w:themeColor="text1"/>
                      <w:sz w:val="21"/>
                      <w:szCs w:val="21"/>
                      <w:highlight w:val="none"/>
                      <w:lang w:val="en-US" w:eastAsia="zh-CN" w:bidi="ar"/>
                      <w14:textFill>
                        <w14:solidFill>
                          <w14:schemeClr w14:val="tx1"/>
                        </w14:solidFill>
                      </w14:textFill>
                    </w:rPr>
                    <w:t>16</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8.43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8号治理点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E104°51′51</w:t>
                  </w:r>
                  <w:r>
                    <w:rPr>
                      <w:rFonts w:hint="eastAsia"/>
                      <w:color w:val="000000" w:themeColor="text1"/>
                      <w:sz w:val="21"/>
                      <w:szCs w:val="21"/>
                      <w:highlight w:val="none"/>
                      <w:lang w:val="en-US" w:eastAsia="zh-CN" w:bidi="ar"/>
                      <w14:textFill>
                        <w14:solidFill>
                          <w14:schemeClr w14:val="tx1"/>
                        </w14:solidFill>
                      </w14:textFill>
                    </w:rPr>
                    <w:t>2</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°17′</w:t>
                  </w:r>
                  <w:r>
                    <w:rPr>
                      <w:rFonts w:hint="eastAsia"/>
                      <w:color w:val="000000" w:themeColor="text1"/>
                      <w:sz w:val="21"/>
                      <w:szCs w:val="21"/>
                      <w:highlight w:val="none"/>
                      <w:lang w:val="en-US" w:eastAsia="zh-CN" w:bidi="ar"/>
                      <w14:textFill>
                        <w14:solidFill>
                          <w14:schemeClr w14:val="tx1"/>
                        </w14:solidFill>
                      </w14:textFill>
                    </w:rPr>
                    <w:t>0</w:t>
                  </w:r>
                  <w:r>
                    <w:rPr>
                      <w:rFonts w:hint="default"/>
                      <w:color w:val="000000" w:themeColor="text1"/>
                      <w:sz w:val="21"/>
                      <w:szCs w:val="21"/>
                      <w:highlight w:val="none"/>
                      <w:lang w:val="en-US" w:eastAsia="zh-CN" w:bidi="ar"/>
                      <w14:textFill>
                        <w14:solidFill>
                          <w14:schemeClr w14:val="tx1"/>
                        </w14:solidFill>
                      </w14:textFill>
                    </w:rPr>
                    <w:t>9</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8.6</w:t>
                  </w:r>
                  <w:r>
                    <w:rPr>
                      <w:rFonts w:hint="eastAsia"/>
                      <w:color w:val="000000" w:themeColor="text1"/>
                      <w:sz w:val="21"/>
                      <w:szCs w:val="21"/>
                      <w:highlight w:val="none"/>
                      <w:lang w:val="en-US" w:eastAsia="zh-CN" w:bidi="ar"/>
                      <w14:textFill>
                        <w14:solidFill>
                          <w14:schemeClr w14:val="tx1"/>
                        </w14:solidFill>
                      </w14:textFill>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9号治理点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E104°50′52</w:t>
                  </w:r>
                  <w:r>
                    <w:rPr>
                      <w:rFonts w:hint="eastAsia"/>
                      <w:color w:val="000000" w:themeColor="text1"/>
                      <w:sz w:val="21"/>
                      <w:szCs w:val="21"/>
                      <w:highlight w:val="none"/>
                      <w:lang w:val="en-US" w:eastAsia="zh-CN" w:bidi="ar"/>
                      <w14:textFill>
                        <w14:solidFill>
                          <w14:schemeClr w14:val="tx1"/>
                        </w14:solidFill>
                      </w14:textFill>
                    </w:rPr>
                    <w:t>9</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°17′15</w:t>
                  </w:r>
                  <w:r>
                    <w:rPr>
                      <w:rFonts w:hint="eastAsia"/>
                      <w:color w:val="000000" w:themeColor="text1"/>
                      <w:sz w:val="21"/>
                      <w:szCs w:val="21"/>
                      <w:highlight w:val="none"/>
                      <w:lang w:val="en-US" w:eastAsia="zh-CN" w:bidi="ar"/>
                      <w14:textFill>
                        <w14:solidFill>
                          <w14:schemeClr w14:val="tx1"/>
                        </w14:solidFill>
                      </w14:textFill>
                    </w:rPr>
                    <w:t>4</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6.65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10号治理点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E104°50′50</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°17′23</w:t>
                  </w:r>
                  <w:r>
                    <w:rPr>
                      <w:rFonts w:hint="eastAsia"/>
                      <w:color w:val="000000" w:themeColor="text1"/>
                      <w:sz w:val="21"/>
                      <w:szCs w:val="21"/>
                      <w:highlight w:val="none"/>
                      <w:lang w:val="en-US" w:eastAsia="zh-CN" w:bidi="ar"/>
                      <w14:textFill>
                        <w14:solidFill>
                          <w14:schemeClr w14:val="tx1"/>
                        </w14:solidFill>
                      </w14:textFill>
                    </w:rPr>
                    <w:t>5</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0.77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11号治理点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E104°50′30</w:t>
                  </w:r>
                  <w:r>
                    <w:rPr>
                      <w:rFonts w:hint="eastAsia"/>
                      <w:color w:val="000000" w:themeColor="text1"/>
                      <w:sz w:val="21"/>
                      <w:szCs w:val="21"/>
                      <w:highlight w:val="none"/>
                      <w:lang w:val="en-US" w:eastAsia="zh-CN" w:bidi="ar"/>
                      <w14:textFill>
                        <w14:solidFill>
                          <w14:schemeClr w14:val="tx1"/>
                        </w14:solidFill>
                      </w14:textFill>
                    </w:rPr>
                    <w:t>1</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°17′27</w:t>
                  </w:r>
                  <w:r>
                    <w:rPr>
                      <w:rFonts w:hint="eastAsia"/>
                      <w:color w:val="000000" w:themeColor="text1"/>
                      <w:sz w:val="21"/>
                      <w:szCs w:val="21"/>
                      <w:highlight w:val="none"/>
                      <w:lang w:val="en-US" w:eastAsia="zh-CN" w:bidi="ar"/>
                      <w14:textFill>
                        <w14:solidFill>
                          <w14:schemeClr w14:val="tx1"/>
                        </w14:solidFill>
                      </w14:textFill>
                    </w:rPr>
                    <w:t>7</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5.26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12号治理点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E104°49′50</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°17′36</w:t>
                  </w:r>
                  <w:r>
                    <w:rPr>
                      <w:rFonts w:hint="eastAsia"/>
                      <w:color w:val="000000" w:themeColor="text1"/>
                      <w:sz w:val="21"/>
                      <w:szCs w:val="21"/>
                      <w:highlight w:val="none"/>
                      <w:lang w:val="en-US" w:eastAsia="zh-CN" w:bidi="ar"/>
                      <w14:textFill>
                        <w14:solidFill>
                          <w14:schemeClr w14:val="tx1"/>
                        </w14:solidFill>
                      </w14:textFill>
                    </w:rPr>
                    <w:t>4</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52.3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13号治理点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E104°51′52</w:t>
                  </w:r>
                  <w:r>
                    <w:rPr>
                      <w:rFonts w:hint="eastAsia"/>
                      <w:color w:val="000000" w:themeColor="text1"/>
                      <w:sz w:val="21"/>
                      <w:szCs w:val="21"/>
                      <w:highlight w:val="none"/>
                      <w:lang w:val="en-US" w:eastAsia="zh-CN" w:bidi="ar"/>
                      <w14:textFill>
                        <w14:solidFill>
                          <w14:schemeClr w14:val="tx1"/>
                        </w14:solidFill>
                      </w14:textFill>
                    </w:rPr>
                    <w:t>1</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°16′</w:t>
                  </w:r>
                  <w:r>
                    <w:rPr>
                      <w:rFonts w:hint="eastAsia"/>
                      <w:color w:val="000000" w:themeColor="text1"/>
                      <w:sz w:val="21"/>
                      <w:szCs w:val="21"/>
                      <w:highlight w:val="none"/>
                      <w:lang w:val="en-US" w:eastAsia="zh-CN" w:bidi="ar"/>
                      <w14:textFill>
                        <w14:solidFill>
                          <w14:schemeClr w14:val="tx1"/>
                        </w14:solidFill>
                      </w14:textFill>
                    </w:rPr>
                    <w:t>0</w:t>
                  </w:r>
                  <w:r>
                    <w:rPr>
                      <w:rFonts w:hint="default"/>
                      <w:color w:val="000000" w:themeColor="text1"/>
                      <w:sz w:val="21"/>
                      <w:szCs w:val="21"/>
                      <w:highlight w:val="none"/>
                      <w:lang w:val="en-US" w:eastAsia="zh-CN" w:bidi="ar"/>
                      <w14:textFill>
                        <w14:solidFill>
                          <w14:schemeClr w14:val="tx1"/>
                        </w14:solidFill>
                      </w14:textFill>
                    </w:rPr>
                    <w:t>4</w:t>
                  </w:r>
                  <w:r>
                    <w:rPr>
                      <w:rFonts w:hint="eastAsia"/>
                      <w:color w:val="000000" w:themeColor="text1"/>
                      <w:sz w:val="21"/>
                      <w:szCs w:val="21"/>
                      <w:highlight w:val="none"/>
                      <w:lang w:val="en-US" w:eastAsia="zh-CN" w:bidi="ar"/>
                      <w14:textFill>
                        <w14:solidFill>
                          <w14:schemeClr w14:val="tx1"/>
                        </w14:solidFill>
                      </w14:textFill>
                    </w:rPr>
                    <w:t>4</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default"/>
                      <w:color w:val="000000" w:themeColor="text1"/>
                      <w:sz w:val="21"/>
                      <w:szCs w:val="21"/>
                      <w:highlight w:val="none"/>
                      <w:lang w:val="en-US" w:eastAsia="zh-CN" w:bidi="ar"/>
                      <w14:textFill>
                        <w14:solidFill>
                          <w14:schemeClr w14:val="tx1"/>
                        </w14:solidFill>
                      </w14:textFill>
                    </w:rPr>
                    <w:t>5.37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5158" w:type="dxa"/>
                  <w:gridSpan w:val="2"/>
                  <w:tcBorders>
                    <w:tl2br w:val="nil"/>
                    <w:tr2bl w:val="nil"/>
                  </w:tcBorders>
                  <w:vAlign w:val="center"/>
                </w:tcPr>
                <w:p>
                  <w:pPr>
                    <w:widowControl/>
                    <w:spacing w:line="240" w:lineRule="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 xml:space="preserve">   </w:t>
                  </w:r>
                  <w:r>
                    <w:rPr>
                      <w:rFonts w:hint="eastAsia" w:cs="Times New Roman"/>
                      <w:color w:val="000000" w:themeColor="text1"/>
                      <w:sz w:val="21"/>
                      <w:szCs w:val="21"/>
                      <w:highlight w:val="none"/>
                      <w:lang w:eastAsia="zh-CN"/>
                      <w14:textFill>
                        <w14:solidFill>
                          <w14:schemeClr w14:val="tx1"/>
                        </w14:solidFill>
                      </w14:textFill>
                    </w:rPr>
                    <w:t>面积小计</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restart"/>
                  <w:tcBorders>
                    <w:tl2br w:val="nil"/>
                    <w:tr2bl w:val="nil"/>
                  </w:tcBorders>
                  <w:vAlign w:val="center"/>
                </w:tcPr>
                <w:p>
                  <w:pPr>
                    <w:spacing w:line="240" w:lineRule="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1018" w:type="dxa"/>
                  <w:vMerge w:val="restart"/>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香山黄泉村一采区生态修复治理区</w:t>
                  </w: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1号治理点</w:t>
                  </w:r>
                </w:p>
              </w:tc>
              <w:tc>
                <w:tcPr>
                  <w:tcW w:w="3904"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E104</w:t>
                  </w:r>
                  <w:r>
                    <w:rPr>
                      <w:rFonts w:hint="default"/>
                      <w:color w:val="000000" w:themeColor="text1"/>
                      <w:sz w:val="21"/>
                      <w:szCs w:val="21"/>
                      <w:highlight w:val="none"/>
                      <w:lang w:val="en-US" w:eastAsia="zh-CN" w:bidi="ar"/>
                      <w14:textFill>
                        <w14:solidFill>
                          <w14:schemeClr w14:val="tx1"/>
                        </w14:solidFill>
                      </w14:textFill>
                    </w:rPr>
                    <w:t>°48′41</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°18′45</w:t>
                  </w:r>
                  <w:r>
                    <w:rPr>
                      <w:rFonts w:hint="eastAsia"/>
                      <w:color w:val="000000" w:themeColor="text1"/>
                      <w:sz w:val="21"/>
                      <w:szCs w:val="21"/>
                      <w:highlight w:val="none"/>
                      <w:lang w:val="en-US" w:eastAsia="zh-CN" w:bidi="ar"/>
                      <w14:textFill>
                        <w14:solidFill>
                          <w14:schemeClr w14:val="tx1"/>
                        </w14:solidFill>
                      </w14:textFill>
                    </w:rPr>
                    <w:t>2</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2号治理点</w:t>
                  </w:r>
                </w:p>
              </w:tc>
              <w:tc>
                <w:tcPr>
                  <w:tcW w:w="3904"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E104</w:t>
                  </w:r>
                  <w:r>
                    <w:rPr>
                      <w:rFonts w:hint="default"/>
                      <w:color w:val="000000" w:themeColor="text1"/>
                      <w:sz w:val="21"/>
                      <w:szCs w:val="21"/>
                      <w:highlight w:val="none"/>
                      <w:lang w:val="en-US" w:eastAsia="zh-CN" w:bidi="ar"/>
                      <w14:textFill>
                        <w14:solidFill>
                          <w14:schemeClr w14:val="tx1"/>
                        </w14:solidFill>
                      </w14:textFill>
                    </w:rPr>
                    <w:t>°48′58</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°18′54</w:t>
                  </w:r>
                  <w:r>
                    <w:rPr>
                      <w:rFonts w:hint="eastAsia"/>
                      <w:color w:val="000000" w:themeColor="text1"/>
                      <w:sz w:val="21"/>
                      <w:szCs w:val="21"/>
                      <w:highlight w:val="none"/>
                      <w:lang w:val="en-US" w:eastAsia="zh-CN" w:bidi="ar"/>
                      <w14:textFill>
                        <w14:solidFill>
                          <w14:schemeClr w14:val="tx1"/>
                        </w14:solidFill>
                      </w14:textFill>
                    </w:rPr>
                    <w:t>4</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3号治理点</w:t>
                  </w:r>
                </w:p>
              </w:tc>
              <w:tc>
                <w:tcPr>
                  <w:tcW w:w="3904"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E104</w:t>
                  </w:r>
                  <w:r>
                    <w:rPr>
                      <w:rFonts w:hint="default"/>
                      <w:color w:val="000000" w:themeColor="text1"/>
                      <w:sz w:val="21"/>
                      <w:szCs w:val="21"/>
                      <w:highlight w:val="none"/>
                      <w:lang w:val="en-US" w:eastAsia="zh-CN" w:bidi="ar"/>
                      <w14:textFill>
                        <w14:solidFill>
                          <w14:schemeClr w14:val="tx1"/>
                        </w14:solidFill>
                      </w14:textFill>
                    </w:rPr>
                    <w:t>°49′12</w:t>
                  </w:r>
                  <w:r>
                    <w:rPr>
                      <w:rFonts w:hint="eastAsia"/>
                      <w:color w:val="000000" w:themeColor="text1"/>
                      <w:sz w:val="21"/>
                      <w:szCs w:val="21"/>
                      <w:highlight w:val="none"/>
                      <w:lang w:val="en-US" w:eastAsia="zh-CN" w:bidi="ar"/>
                      <w14:textFill>
                        <w14:solidFill>
                          <w14:schemeClr w14:val="tx1"/>
                        </w14:solidFill>
                      </w14:textFill>
                    </w:rPr>
                    <w:t>5</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°18′51</w:t>
                  </w:r>
                  <w:r>
                    <w:rPr>
                      <w:rFonts w:hint="eastAsia"/>
                      <w:color w:val="000000" w:themeColor="text1"/>
                      <w:sz w:val="21"/>
                      <w:szCs w:val="21"/>
                      <w:highlight w:val="none"/>
                      <w:lang w:val="en-US" w:eastAsia="zh-CN" w:bidi="ar"/>
                      <w14:textFill>
                        <w14:solidFill>
                          <w14:schemeClr w14:val="tx1"/>
                        </w14:solidFill>
                      </w14:textFill>
                    </w:rPr>
                    <w:t>6</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4号治理点</w:t>
                  </w:r>
                </w:p>
              </w:tc>
              <w:tc>
                <w:tcPr>
                  <w:tcW w:w="3904"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E104</w:t>
                  </w:r>
                  <w:r>
                    <w:rPr>
                      <w:rFonts w:hint="default"/>
                      <w:color w:val="000000" w:themeColor="text1"/>
                      <w:sz w:val="21"/>
                      <w:szCs w:val="21"/>
                      <w:highlight w:val="none"/>
                      <w:lang w:val="en-US" w:eastAsia="zh-CN" w:bidi="ar"/>
                      <w14:textFill>
                        <w14:solidFill>
                          <w14:schemeClr w14:val="tx1"/>
                        </w14:solidFill>
                      </w14:textFill>
                    </w:rPr>
                    <w:t>°49′28</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°18′56</w:t>
                  </w:r>
                  <w:r>
                    <w:rPr>
                      <w:rFonts w:hint="eastAsia"/>
                      <w:color w:val="000000" w:themeColor="text1"/>
                      <w:sz w:val="21"/>
                      <w:szCs w:val="21"/>
                      <w:highlight w:val="none"/>
                      <w:lang w:val="en-US" w:eastAsia="zh-CN" w:bidi="ar"/>
                      <w14:textFill>
                        <w14:solidFill>
                          <w14:schemeClr w14:val="tx1"/>
                        </w14:solidFill>
                      </w14:textFill>
                    </w:rPr>
                    <w:t>5</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5号治理点</w:t>
                  </w:r>
                </w:p>
              </w:tc>
              <w:tc>
                <w:tcPr>
                  <w:tcW w:w="3904"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E104</w:t>
                  </w:r>
                  <w:r>
                    <w:rPr>
                      <w:rFonts w:hint="default"/>
                      <w:color w:val="000000" w:themeColor="text1"/>
                      <w:sz w:val="21"/>
                      <w:szCs w:val="21"/>
                      <w:highlight w:val="none"/>
                      <w:lang w:val="en-US" w:eastAsia="zh-CN" w:bidi="ar"/>
                      <w14:textFill>
                        <w14:solidFill>
                          <w14:schemeClr w14:val="tx1"/>
                        </w14:solidFill>
                      </w14:textFill>
                    </w:rPr>
                    <w:t>°49′46</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°19′</w:t>
                  </w:r>
                  <w:r>
                    <w:rPr>
                      <w:rFonts w:hint="eastAsia"/>
                      <w:color w:val="000000" w:themeColor="text1"/>
                      <w:sz w:val="21"/>
                      <w:szCs w:val="21"/>
                      <w:highlight w:val="none"/>
                      <w:lang w:val="en-US" w:eastAsia="zh-CN" w:bidi="ar"/>
                      <w14:textFill>
                        <w14:solidFill>
                          <w14:schemeClr w14:val="tx1"/>
                        </w14:solidFill>
                      </w14:textFill>
                    </w:rPr>
                    <w:t>0</w:t>
                  </w:r>
                  <w:r>
                    <w:rPr>
                      <w:rFonts w:hint="default"/>
                      <w:color w:val="000000" w:themeColor="text1"/>
                      <w:sz w:val="21"/>
                      <w:szCs w:val="21"/>
                      <w:highlight w:val="none"/>
                      <w:lang w:val="en-US" w:eastAsia="zh-CN" w:bidi="ar"/>
                      <w14:textFill>
                        <w14:solidFill>
                          <w14:schemeClr w14:val="tx1"/>
                        </w14:solidFill>
                      </w14:textFill>
                    </w:rPr>
                    <w:t>6</w:t>
                  </w:r>
                  <w:r>
                    <w:rPr>
                      <w:rFonts w:hint="eastAsia"/>
                      <w:color w:val="000000" w:themeColor="text1"/>
                      <w:sz w:val="21"/>
                      <w:szCs w:val="21"/>
                      <w:highlight w:val="none"/>
                      <w:lang w:val="en-US" w:eastAsia="zh-CN" w:bidi="ar"/>
                      <w14:textFill>
                        <w14:solidFill>
                          <w14:schemeClr w14:val="tx1"/>
                        </w14:solidFill>
                      </w14:textFill>
                    </w:rPr>
                    <w:t>6</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6号治理点</w:t>
                  </w:r>
                </w:p>
              </w:tc>
              <w:tc>
                <w:tcPr>
                  <w:tcW w:w="3904"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E104</w:t>
                  </w:r>
                  <w:r>
                    <w:rPr>
                      <w:rFonts w:hint="default"/>
                      <w:color w:val="000000" w:themeColor="text1"/>
                      <w:sz w:val="21"/>
                      <w:szCs w:val="21"/>
                      <w:highlight w:val="none"/>
                      <w:lang w:val="en-US" w:eastAsia="zh-CN" w:bidi="ar"/>
                      <w14:textFill>
                        <w14:solidFill>
                          <w14:schemeClr w14:val="tx1"/>
                        </w14:solidFill>
                      </w14:textFill>
                    </w:rPr>
                    <w:t>°49′57</w:t>
                  </w:r>
                  <w:r>
                    <w:rPr>
                      <w:rFonts w:hint="eastAsia"/>
                      <w:color w:val="000000" w:themeColor="text1"/>
                      <w:sz w:val="21"/>
                      <w:szCs w:val="21"/>
                      <w:highlight w:val="none"/>
                      <w:lang w:val="en-US" w:eastAsia="zh-CN" w:bidi="ar"/>
                      <w14:textFill>
                        <w14:solidFill>
                          <w14:schemeClr w14:val="tx1"/>
                        </w14:solidFill>
                      </w14:textFill>
                    </w:rPr>
                    <w:t>1</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°19′</w:t>
                  </w:r>
                  <w:r>
                    <w:rPr>
                      <w:rFonts w:hint="eastAsia"/>
                      <w:color w:val="000000" w:themeColor="text1"/>
                      <w:sz w:val="21"/>
                      <w:szCs w:val="21"/>
                      <w:highlight w:val="none"/>
                      <w:lang w:val="en-US" w:eastAsia="zh-CN" w:bidi="ar"/>
                      <w14:textFill>
                        <w14:solidFill>
                          <w14:schemeClr w14:val="tx1"/>
                        </w14:solidFill>
                      </w14:textFill>
                    </w:rPr>
                    <w:t>0</w:t>
                  </w:r>
                  <w:r>
                    <w:rPr>
                      <w:rFonts w:hint="default"/>
                      <w:color w:val="000000" w:themeColor="text1"/>
                      <w:sz w:val="21"/>
                      <w:szCs w:val="21"/>
                      <w:highlight w:val="none"/>
                      <w:lang w:val="en-US" w:eastAsia="zh-CN" w:bidi="ar"/>
                      <w14:textFill>
                        <w14:solidFill>
                          <w14:schemeClr w14:val="tx1"/>
                        </w14:solidFill>
                      </w14:textFill>
                    </w:rPr>
                    <w:t>6</w:t>
                  </w:r>
                  <w:r>
                    <w:rPr>
                      <w:rFonts w:hint="eastAsia"/>
                      <w:color w:val="000000" w:themeColor="text1"/>
                      <w:sz w:val="21"/>
                      <w:szCs w:val="21"/>
                      <w:highlight w:val="none"/>
                      <w:lang w:val="en-US" w:eastAsia="zh-CN" w:bidi="ar"/>
                      <w14:textFill>
                        <w14:solidFill>
                          <w14:schemeClr w14:val="tx1"/>
                        </w14:solidFill>
                      </w14:textFill>
                    </w:rPr>
                    <w:t>2</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28"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7号治理点</w:t>
                  </w:r>
                </w:p>
              </w:tc>
              <w:tc>
                <w:tcPr>
                  <w:tcW w:w="3904"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E104</w:t>
                  </w:r>
                  <w:r>
                    <w:rPr>
                      <w:rFonts w:hint="default"/>
                      <w:color w:val="000000" w:themeColor="text1"/>
                      <w:sz w:val="21"/>
                      <w:szCs w:val="21"/>
                      <w:highlight w:val="none"/>
                      <w:lang w:val="en-US" w:eastAsia="zh-CN" w:bidi="ar"/>
                      <w14:textFill>
                        <w14:solidFill>
                          <w14:schemeClr w14:val="tx1"/>
                        </w14:solidFill>
                      </w14:textFill>
                    </w:rPr>
                    <w:t>°50′22</w:t>
                  </w:r>
                  <w:r>
                    <w:rPr>
                      <w:rFonts w:hint="eastAsia"/>
                      <w:color w:val="000000" w:themeColor="text1"/>
                      <w:sz w:val="21"/>
                      <w:szCs w:val="21"/>
                      <w:highlight w:val="none"/>
                      <w:lang w:val="en-US" w:eastAsia="zh-CN" w:bidi="ar"/>
                      <w14:textFill>
                        <w14:solidFill>
                          <w14:schemeClr w14:val="tx1"/>
                        </w14:solidFill>
                      </w14:textFill>
                    </w:rPr>
                    <w:t>4</w:t>
                  </w:r>
                  <w:r>
                    <w:rPr>
                      <w:rFonts w:hint="default"/>
                      <w:color w:val="000000" w:themeColor="text1"/>
                      <w:sz w:val="21"/>
                      <w:szCs w:val="21"/>
                      <w:highlight w:val="none"/>
                      <w:lang w:val="en-US" w:eastAsia="zh-CN" w:bidi="ar"/>
                      <w14:textFill>
                        <w14:solidFill>
                          <w14:schemeClr w14:val="tx1"/>
                        </w14:solidFill>
                      </w14:textFill>
                    </w:rPr>
                    <w:t>″,</w:t>
                  </w:r>
                  <w:r>
                    <w:rPr>
                      <w:rFonts w:hint="eastAsia"/>
                      <w:color w:val="000000" w:themeColor="text1"/>
                      <w:sz w:val="21"/>
                      <w:szCs w:val="21"/>
                      <w:highlight w:val="none"/>
                      <w:lang w:val="en-US" w:eastAsia="zh-CN" w:bidi="ar"/>
                      <w14:textFill>
                        <w14:solidFill>
                          <w14:schemeClr w14:val="tx1"/>
                        </w14:solidFill>
                      </w14:textFill>
                    </w:rPr>
                    <w:t>N37</w:t>
                  </w:r>
                  <w:r>
                    <w:rPr>
                      <w:rFonts w:hint="default"/>
                      <w:color w:val="000000" w:themeColor="text1"/>
                      <w:sz w:val="21"/>
                      <w:szCs w:val="21"/>
                      <w:highlight w:val="none"/>
                      <w:lang w:val="en-US" w:eastAsia="zh-CN" w:bidi="ar"/>
                      <w14:textFill>
                        <w14:solidFill>
                          <w14:schemeClr w14:val="tx1"/>
                        </w14:solidFill>
                      </w14:textFill>
                    </w:rPr>
                    <w:t>°19′</w:t>
                  </w:r>
                  <w:r>
                    <w:rPr>
                      <w:rFonts w:hint="eastAsia"/>
                      <w:color w:val="000000" w:themeColor="text1"/>
                      <w:sz w:val="21"/>
                      <w:szCs w:val="21"/>
                      <w:highlight w:val="none"/>
                      <w:lang w:val="en-US" w:eastAsia="zh-CN" w:bidi="ar"/>
                      <w14:textFill>
                        <w14:solidFill>
                          <w14:schemeClr w14:val="tx1"/>
                        </w14:solidFill>
                      </w14:textFill>
                    </w:rPr>
                    <w:t>0</w:t>
                  </w:r>
                  <w:r>
                    <w:rPr>
                      <w:rFonts w:hint="default"/>
                      <w:color w:val="000000" w:themeColor="text1"/>
                      <w:sz w:val="21"/>
                      <w:szCs w:val="21"/>
                      <w:highlight w:val="none"/>
                      <w:lang w:val="en-US" w:eastAsia="zh-CN" w:bidi="ar"/>
                      <w14:textFill>
                        <w14:solidFill>
                          <w14:schemeClr w14:val="tx1"/>
                        </w14:solidFill>
                      </w14:textFill>
                    </w:rPr>
                    <w:t>8</w:t>
                  </w:r>
                  <w:r>
                    <w:rPr>
                      <w:rFonts w:hint="eastAsia"/>
                      <w:color w:val="000000" w:themeColor="text1"/>
                      <w:sz w:val="21"/>
                      <w:szCs w:val="21"/>
                      <w:highlight w:val="none"/>
                      <w:lang w:val="en-US" w:eastAsia="zh-CN" w:bidi="ar"/>
                      <w14:textFill>
                        <w14:solidFill>
                          <w14:schemeClr w14:val="tx1"/>
                        </w14:solidFill>
                      </w14:textFill>
                    </w:rPr>
                    <w:t>3</w:t>
                  </w:r>
                  <w:r>
                    <w:rPr>
                      <w:rFonts w:hint="default"/>
                      <w:color w:val="000000" w:themeColor="text1"/>
                      <w:sz w:val="21"/>
                      <w:szCs w:val="21"/>
                      <w:highlight w:val="none"/>
                      <w:lang w:val="en-US" w:eastAsia="zh-CN" w:bidi="ar"/>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none"/>
                      <w14:textFill>
                        <w14:solidFill>
                          <w14:schemeClr w14:val="tx1"/>
                        </w14:solidFill>
                      </w14:textFill>
                    </w:rPr>
                  </w:pPr>
                </w:p>
              </w:tc>
              <w:tc>
                <w:tcPr>
                  <w:tcW w:w="1018" w:type="dxa"/>
                  <w:vMerge w:val="continue"/>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p>
              </w:tc>
              <w:tc>
                <w:tcPr>
                  <w:tcW w:w="5158" w:type="dxa"/>
                  <w:gridSpan w:val="2"/>
                  <w:tcBorders>
                    <w:tl2br w:val="nil"/>
                    <w:tr2bl w:val="nil"/>
                  </w:tcBorders>
                  <w:vAlign w:val="center"/>
                </w:tcPr>
                <w:p>
                  <w:pPr>
                    <w:widowControl/>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面积小计</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18.30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9" w:hRule="atLeast"/>
              </w:trPr>
              <w:tc>
                <w:tcPr>
                  <w:tcW w:w="393" w:type="dxa"/>
                  <w:tcBorders>
                    <w:tl2br w:val="nil"/>
                    <w:tr2bl w:val="nil"/>
                  </w:tcBorders>
                  <w:vAlign w:val="center"/>
                </w:tcPr>
                <w:p>
                  <w:pPr>
                    <w:spacing w:line="240" w:lineRule="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p>
              </w:tc>
              <w:tc>
                <w:tcPr>
                  <w:tcW w:w="1018" w:type="dxa"/>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香山乡黄泉村二采区生态修复治理区</w:t>
                  </w:r>
                </w:p>
              </w:tc>
              <w:tc>
                <w:tcPr>
                  <w:tcW w:w="1254" w:type="dxa"/>
                  <w:tcBorders>
                    <w:tl2br w:val="nil"/>
                    <w:tr2bl w:val="nil"/>
                  </w:tcBorders>
                  <w:vAlign w:val="center"/>
                </w:tcPr>
                <w:p>
                  <w:pPr>
                    <w:widowControl/>
                    <w:spacing w:line="240" w:lineRule="auto"/>
                    <w:rPr>
                      <w:rFonts w:hint="default"/>
                      <w:color w:val="000000" w:themeColor="text1"/>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6号治理点</w:t>
                  </w:r>
                </w:p>
              </w:tc>
              <w:tc>
                <w:tcPr>
                  <w:tcW w:w="3904" w:type="dxa"/>
                  <w:tcBorders>
                    <w:tl2br w:val="nil"/>
                    <w:tr2bl w:val="nil"/>
                  </w:tcBorders>
                  <w:vAlign w:val="center"/>
                </w:tcPr>
                <w:p>
                  <w:pPr>
                    <w:widowControl/>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E104°51′27</w:t>
                  </w:r>
                  <w:r>
                    <w:rPr>
                      <w:rFonts w:hint="eastAsia"/>
                      <w:color w:val="000000" w:themeColor="text1"/>
                      <w:sz w:val="21"/>
                      <w:szCs w:val="21"/>
                      <w:lang w:val="en-US" w:eastAsia="zh-CN"/>
                      <w14:textFill>
                        <w14:solidFill>
                          <w14:schemeClr w14:val="tx1"/>
                        </w14:solidFill>
                      </w14:textFill>
                    </w:rPr>
                    <w:t>2</w:t>
                  </w:r>
                  <w:r>
                    <w:rPr>
                      <w:rFonts w:hint="default"/>
                      <w:color w:val="000000" w:themeColor="text1"/>
                      <w:sz w:val="21"/>
                      <w:szCs w:val="21"/>
                      <w:lang w:val="en-US"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N</w:t>
                  </w:r>
                  <w:r>
                    <w:rPr>
                      <w:rFonts w:hint="default"/>
                      <w:color w:val="000000" w:themeColor="text1"/>
                      <w:sz w:val="21"/>
                      <w:szCs w:val="21"/>
                      <w:lang w:val="en-US" w:eastAsia="zh-CN"/>
                      <w14:textFill>
                        <w14:solidFill>
                          <w14:schemeClr w14:val="tx1"/>
                        </w14:solidFill>
                      </w14:textFill>
                    </w:rPr>
                    <w:t>37°18′57</w:t>
                  </w:r>
                  <w:r>
                    <w:rPr>
                      <w:rFonts w:hint="eastAsia"/>
                      <w:color w:val="000000" w:themeColor="text1"/>
                      <w:sz w:val="21"/>
                      <w:szCs w:val="21"/>
                      <w:lang w:val="en-US" w:eastAsia="zh-CN"/>
                      <w14:textFill>
                        <w14:solidFill>
                          <w14:schemeClr w14:val="tx1"/>
                        </w14:solidFill>
                      </w14:textFill>
                    </w:rPr>
                    <w:t>2</w:t>
                  </w:r>
                  <w:r>
                    <w:rPr>
                      <w:rFonts w:hint="default"/>
                      <w:color w:val="000000" w:themeColor="text1"/>
                      <w:sz w:val="21"/>
                      <w:szCs w:val="21"/>
                      <w:lang w:val="en-US" w:eastAsia="zh-CN"/>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7.26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3" w:hRule="atLeast"/>
              </w:trPr>
              <w:tc>
                <w:tcPr>
                  <w:tcW w:w="393" w:type="dxa"/>
                  <w:vMerge w:val="restart"/>
                  <w:tcBorders>
                    <w:tl2br w:val="nil"/>
                    <w:tr2bl w:val="nil"/>
                  </w:tcBorders>
                  <w:vAlign w:val="center"/>
                </w:tcPr>
                <w:p>
                  <w:pPr>
                    <w:spacing w:line="240" w:lineRule="auto"/>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p>
              </w:tc>
              <w:tc>
                <w:tcPr>
                  <w:tcW w:w="1018" w:type="dxa"/>
                  <w:vMerge w:val="restart"/>
                  <w:tcBorders>
                    <w:tl2br w:val="nil"/>
                    <w:tr2bl w:val="nil"/>
                  </w:tcBorders>
                  <w:vAlign w:val="center"/>
                </w:tcPr>
                <w:p>
                  <w:pPr>
                    <w:spacing w:line="240" w:lineRule="auto"/>
                    <w:jc w:val="left"/>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香山黄泉村三采区生态修复治理区</w:t>
                  </w: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1号治理点</w:t>
                  </w:r>
                </w:p>
              </w:tc>
              <w:tc>
                <w:tcPr>
                  <w:tcW w:w="3904" w:type="dxa"/>
                  <w:tcBorders>
                    <w:tl2br w:val="nil"/>
                    <w:tr2bl w:val="nil"/>
                  </w:tcBorders>
                  <w:vAlign w:val="center"/>
                </w:tcPr>
                <w:p>
                  <w:pPr>
                    <w:widowControl/>
                    <w:spacing w:line="240" w:lineRule="auto"/>
                    <w:rPr>
                      <w:rFonts w:hint="eastAsia"/>
                      <w:color w:val="000000" w:themeColor="text1"/>
                      <w:sz w:val="21"/>
                      <w:szCs w:val="21"/>
                      <w:highlight w:val="none"/>
                      <w:lang w:bidi="ar"/>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E104</w:t>
                  </w:r>
                  <w:r>
                    <w:rPr>
                      <w:rFonts w:hint="default" w:ascii="Times New Roman" w:hAnsi="Times New Roman" w:cs="Times New Roman"/>
                      <w:color w:val="000000" w:themeColor="text1"/>
                      <w:sz w:val="21"/>
                      <w:szCs w:val="21"/>
                      <w:lang w:eastAsia="zh-CN"/>
                      <w14:textFill>
                        <w14:solidFill>
                          <w14:schemeClr w14:val="tx1"/>
                        </w14:solidFill>
                      </w14:textFill>
                    </w:rPr>
                    <w:t>°55′16</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eastAsia="zh-CN"/>
                      <w14:textFill>
                        <w14:solidFill>
                          <w14:schemeClr w14:val="tx1"/>
                        </w14:solidFill>
                      </w14:textFill>
                    </w:rPr>
                    <w:t>N37</w:t>
                  </w:r>
                  <w:r>
                    <w:rPr>
                      <w:rFonts w:hint="default" w:ascii="Times New Roman" w:hAnsi="Times New Roman" w:cs="Times New Roman"/>
                      <w:color w:val="000000" w:themeColor="text1"/>
                      <w:sz w:val="21"/>
                      <w:szCs w:val="21"/>
                      <w:lang w:eastAsia="zh-CN"/>
                      <w14:textFill>
                        <w14:solidFill>
                          <w14:schemeClr w14:val="tx1"/>
                        </w14:solidFill>
                      </w14:textFill>
                    </w:rPr>
                    <w:t>°18′38</w:t>
                  </w: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yellow"/>
                      <w14:textFill>
                        <w14:solidFill>
                          <w14:schemeClr w14:val="tx1"/>
                        </w14:solidFill>
                      </w14:textFill>
                    </w:rPr>
                  </w:pPr>
                </w:p>
              </w:tc>
              <w:tc>
                <w:tcPr>
                  <w:tcW w:w="1018" w:type="dxa"/>
                  <w:vMerge w:val="continue"/>
                  <w:tcBorders>
                    <w:tl2br w:val="nil"/>
                    <w:tr2bl w:val="nil"/>
                  </w:tcBorders>
                  <w:vAlign w:val="center"/>
                </w:tcPr>
                <w:p>
                  <w:pPr>
                    <w:spacing w:line="240" w:lineRule="auto"/>
                    <w:jc w:val="left"/>
                    <w:rPr>
                      <w:rFonts w:hint="eastAsia"/>
                      <w:color w:val="000000" w:themeColor="text1"/>
                      <w:sz w:val="21"/>
                      <w:szCs w:val="21"/>
                      <w:highlight w:val="yellow"/>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2号治理点</w:t>
                  </w:r>
                </w:p>
              </w:tc>
              <w:tc>
                <w:tcPr>
                  <w:tcW w:w="390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yellow"/>
                      <w:lang w:val="en-US" w:eastAsia="zh-CN" w:bidi="ar"/>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E104</w:t>
                  </w:r>
                  <w:r>
                    <w:rPr>
                      <w:rFonts w:hint="default" w:ascii="Times New Roman" w:hAnsi="Times New Roman" w:cs="Times New Roman"/>
                      <w:color w:val="000000" w:themeColor="text1"/>
                      <w:sz w:val="21"/>
                      <w:szCs w:val="21"/>
                      <w:lang w:eastAsia="zh-CN"/>
                      <w14:textFill>
                        <w14:solidFill>
                          <w14:schemeClr w14:val="tx1"/>
                        </w14:solidFill>
                      </w14:textFill>
                    </w:rPr>
                    <w:t>°55′31</w:t>
                  </w:r>
                  <w:r>
                    <w:rPr>
                      <w:rFonts w:hint="eastAsia" w:cs="Times New Roman"/>
                      <w:color w:val="000000" w:themeColor="text1"/>
                      <w:sz w:val="21"/>
                      <w:szCs w:val="21"/>
                      <w:lang w:val="en-US" w:eastAsia="zh-CN"/>
                      <w14:textFill>
                        <w14:solidFill>
                          <w14:schemeClr w14:val="tx1"/>
                        </w14:solidFill>
                      </w14:textFill>
                    </w:rPr>
                    <w:t>1</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eastAsia="zh-CN"/>
                      <w14:textFill>
                        <w14:solidFill>
                          <w14:schemeClr w14:val="tx1"/>
                        </w14:solidFill>
                      </w14:textFill>
                    </w:rPr>
                    <w:t>N37</w:t>
                  </w:r>
                  <w:r>
                    <w:rPr>
                      <w:rFonts w:hint="default" w:ascii="Times New Roman" w:hAnsi="Times New Roman" w:cs="Times New Roman"/>
                      <w:color w:val="000000" w:themeColor="text1"/>
                      <w:sz w:val="21"/>
                      <w:szCs w:val="21"/>
                      <w:lang w:eastAsia="zh-CN"/>
                      <w14:textFill>
                        <w14:solidFill>
                          <w14:schemeClr w14:val="tx1"/>
                        </w14:solidFill>
                      </w14:textFill>
                    </w:rPr>
                    <w:t>°18′4</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lang w:eastAsia="zh-CN"/>
                      <w14:textFill>
                        <w14:solidFill>
                          <w14:schemeClr w14:val="tx1"/>
                        </w14:solidFill>
                      </w14:textFill>
                    </w:rPr>
                    <w:t>2″</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yellow"/>
                      <w14:textFill>
                        <w14:solidFill>
                          <w14:schemeClr w14:val="tx1"/>
                        </w14:solidFill>
                      </w14:textFill>
                    </w:rPr>
                  </w:pPr>
                </w:p>
              </w:tc>
              <w:tc>
                <w:tcPr>
                  <w:tcW w:w="1018" w:type="dxa"/>
                  <w:vMerge w:val="continue"/>
                  <w:tcBorders>
                    <w:tl2br w:val="nil"/>
                    <w:tr2bl w:val="nil"/>
                  </w:tcBorders>
                  <w:vAlign w:val="center"/>
                </w:tcPr>
                <w:p>
                  <w:pPr>
                    <w:spacing w:line="240" w:lineRule="auto"/>
                    <w:jc w:val="left"/>
                    <w:rPr>
                      <w:rFonts w:hint="eastAsia"/>
                      <w:color w:val="000000" w:themeColor="text1"/>
                      <w:sz w:val="21"/>
                      <w:szCs w:val="21"/>
                      <w:highlight w:val="yellow"/>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3号治理点</w:t>
                  </w:r>
                </w:p>
              </w:tc>
              <w:tc>
                <w:tcPr>
                  <w:tcW w:w="390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yellow"/>
                      <w:lang w:val="en-US" w:eastAsia="zh-CN" w:bidi="ar"/>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E104</w:t>
                  </w:r>
                  <w:r>
                    <w:rPr>
                      <w:rFonts w:hint="default" w:ascii="Times New Roman" w:hAnsi="Times New Roman" w:cs="Times New Roman"/>
                      <w:color w:val="000000" w:themeColor="text1"/>
                      <w:sz w:val="21"/>
                      <w:szCs w:val="21"/>
                      <w:lang w:eastAsia="zh-CN"/>
                      <w14:textFill>
                        <w14:solidFill>
                          <w14:schemeClr w14:val="tx1"/>
                        </w14:solidFill>
                      </w14:textFill>
                    </w:rPr>
                    <w:t>°55′2</w:t>
                  </w:r>
                  <w:r>
                    <w:rPr>
                      <w:rFonts w:hint="eastAsia"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lang w:eastAsia="zh-CN"/>
                      <w14:textFill>
                        <w14:solidFill>
                          <w14:schemeClr w14:val="tx1"/>
                        </w14:solidFill>
                      </w14:textFill>
                    </w:rPr>
                    <w:t>8″,</w:t>
                  </w:r>
                  <w:r>
                    <w:rPr>
                      <w:rFonts w:hint="eastAsia" w:cs="Times New Roman"/>
                      <w:color w:val="000000" w:themeColor="text1"/>
                      <w:sz w:val="21"/>
                      <w:szCs w:val="21"/>
                      <w:lang w:eastAsia="zh-CN"/>
                      <w14:textFill>
                        <w14:solidFill>
                          <w14:schemeClr w14:val="tx1"/>
                        </w14:solidFill>
                      </w14:textFill>
                    </w:rPr>
                    <w:t>N37</w:t>
                  </w:r>
                  <w:r>
                    <w:rPr>
                      <w:rFonts w:hint="default" w:ascii="Times New Roman" w:hAnsi="Times New Roman" w:cs="Times New Roman"/>
                      <w:color w:val="000000" w:themeColor="text1"/>
                      <w:sz w:val="21"/>
                      <w:szCs w:val="21"/>
                      <w:lang w:eastAsia="zh-CN"/>
                      <w14:textFill>
                        <w14:solidFill>
                          <w14:schemeClr w14:val="tx1"/>
                        </w14:solidFill>
                      </w14:textFill>
                    </w:rPr>
                    <w:t>°18′</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lang w:eastAsia="zh-CN"/>
                      <w14:textFill>
                        <w14:solidFill>
                          <w14:schemeClr w14:val="tx1"/>
                        </w14:solidFill>
                      </w14:textFill>
                    </w:rPr>
                    <w:t>5″</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41"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yellow"/>
                      <w14:textFill>
                        <w14:solidFill>
                          <w14:schemeClr w14:val="tx1"/>
                        </w14:solidFill>
                      </w14:textFill>
                    </w:rPr>
                  </w:pPr>
                </w:p>
              </w:tc>
              <w:tc>
                <w:tcPr>
                  <w:tcW w:w="1018" w:type="dxa"/>
                  <w:vMerge w:val="continue"/>
                  <w:tcBorders>
                    <w:tl2br w:val="nil"/>
                    <w:tr2bl w:val="nil"/>
                  </w:tcBorders>
                  <w:vAlign w:val="center"/>
                </w:tcPr>
                <w:p>
                  <w:pPr>
                    <w:spacing w:line="240" w:lineRule="auto"/>
                    <w:jc w:val="left"/>
                    <w:rPr>
                      <w:rFonts w:hint="eastAsia"/>
                      <w:color w:val="000000" w:themeColor="text1"/>
                      <w:sz w:val="21"/>
                      <w:szCs w:val="21"/>
                      <w:highlight w:val="yellow"/>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4号治理点</w:t>
                  </w:r>
                </w:p>
              </w:tc>
              <w:tc>
                <w:tcPr>
                  <w:tcW w:w="390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yellow"/>
                      <w:lang w:val="en-US" w:eastAsia="zh-CN" w:bidi="ar"/>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E104</w:t>
                  </w:r>
                  <w:r>
                    <w:rPr>
                      <w:rFonts w:hint="default" w:ascii="Times New Roman" w:hAnsi="Times New Roman" w:cs="Times New Roman"/>
                      <w:color w:val="000000" w:themeColor="text1"/>
                      <w:sz w:val="21"/>
                      <w:szCs w:val="21"/>
                      <w:lang w:eastAsia="zh-CN"/>
                      <w14:textFill>
                        <w14:solidFill>
                          <w14:schemeClr w14:val="tx1"/>
                        </w14:solidFill>
                      </w14:textFill>
                    </w:rPr>
                    <w:t>°55′3</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lang w:eastAsia="zh-CN"/>
                      <w14:textFill>
                        <w14:solidFill>
                          <w14:schemeClr w14:val="tx1"/>
                        </w14:solidFill>
                      </w14:textFill>
                    </w:rPr>
                    <w:t>5″,</w:t>
                  </w:r>
                  <w:r>
                    <w:rPr>
                      <w:rFonts w:hint="eastAsia" w:cs="Times New Roman"/>
                      <w:color w:val="000000" w:themeColor="text1"/>
                      <w:sz w:val="21"/>
                      <w:szCs w:val="21"/>
                      <w:lang w:eastAsia="zh-CN"/>
                      <w14:textFill>
                        <w14:solidFill>
                          <w14:schemeClr w14:val="tx1"/>
                        </w14:solidFill>
                      </w14:textFill>
                    </w:rPr>
                    <w:t>N37</w:t>
                  </w:r>
                  <w:r>
                    <w:rPr>
                      <w:rFonts w:hint="default" w:ascii="Times New Roman" w:hAnsi="Times New Roman" w:cs="Times New Roman"/>
                      <w:color w:val="000000" w:themeColor="text1"/>
                      <w:sz w:val="21"/>
                      <w:szCs w:val="21"/>
                      <w:lang w:eastAsia="zh-CN"/>
                      <w14:textFill>
                        <w14:solidFill>
                          <w14:schemeClr w14:val="tx1"/>
                        </w14:solidFill>
                      </w14:textFill>
                    </w:rPr>
                    <w:t>°18′</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lang w:eastAsia="zh-CN"/>
                      <w14:textFill>
                        <w14:solidFill>
                          <w14:schemeClr w14:val="tx1"/>
                        </w14:solidFill>
                      </w14:textFill>
                    </w:rPr>
                    <w:t>2″</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2"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yellow"/>
                      <w14:textFill>
                        <w14:solidFill>
                          <w14:schemeClr w14:val="tx1"/>
                        </w14:solidFill>
                      </w14:textFill>
                    </w:rPr>
                  </w:pPr>
                </w:p>
              </w:tc>
              <w:tc>
                <w:tcPr>
                  <w:tcW w:w="1018" w:type="dxa"/>
                  <w:vMerge w:val="continue"/>
                  <w:tcBorders>
                    <w:tl2br w:val="nil"/>
                    <w:tr2bl w:val="nil"/>
                  </w:tcBorders>
                  <w:vAlign w:val="center"/>
                </w:tcPr>
                <w:p>
                  <w:pPr>
                    <w:spacing w:line="240" w:lineRule="auto"/>
                    <w:jc w:val="left"/>
                    <w:rPr>
                      <w:rFonts w:hint="eastAsia"/>
                      <w:color w:val="000000" w:themeColor="text1"/>
                      <w:sz w:val="21"/>
                      <w:szCs w:val="21"/>
                      <w:highlight w:val="yellow"/>
                      <w14:textFill>
                        <w14:solidFill>
                          <w14:schemeClr w14:val="tx1"/>
                        </w14:solidFill>
                      </w14:textFill>
                    </w:rPr>
                  </w:pPr>
                </w:p>
              </w:tc>
              <w:tc>
                <w:tcPr>
                  <w:tcW w:w="1254" w:type="dxa"/>
                  <w:tcBorders>
                    <w:tl2br w:val="nil"/>
                    <w:tr2bl w:val="nil"/>
                  </w:tcBorders>
                  <w:vAlign w:val="center"/>
                </w:tcPr>
                <w:p>
                  <w:pPr>
                    <w:widowControl/>
                    <w:spacing w:line="240" w:lineRule="auto"/>
                    <w:rPr>
                      <w:rFonts w:hint="eastAsia" w:eastAsia="宋体"/>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5号治理点</w:t>
                  </w:r>
                </w:p>
              </w:tc>
              <w:tc>
                <w:tcPr>
                  <w:tcW w:w="3904" w:type="dxa"/>
                  <w:tcBorders>
                    <w:tl2br w:val="nil"/>
                    <w:tr2bl w:val="nil"/>
                  </w:tcBorders>
                  <w:vAlign w:val="center"/>
                </w:tcPr>
                <w:p>
                  <w:pPr>
                    <w:widowControl/>
                    <w:spacing w:line="240" w:lineRule="auto"/>
                    <w:rPr>
                      <w:rFonts w:hint="eastAsia" w:ascii="Times New Roman" w:hAnsi="Times New Roman" w:eastAsia="宋体" w:cs="Times New Roman"/>
                      <w:snapToGrid w:val="0"/>
                      <w:color w:val="000000" w:themeColor="text1"/>
                      <w:sz w:val="21"/>
                      <w:szCs w:val="21"/>
                      <w:highlight w:val="yellow"/>
                      <w:lang w:val="en-US" w:eastAsia="zh-CN" w:bidi="ar"/>
                      <w14:textFill>
                        <w14:solidFill>
                          <w14:schemeClr w14:val="tx1"/>
                        </w14:solidFill>
                      </w14:textFill>
                    </w:rPr>
                  </w:pPr>
                  <w:r>
                    <w:rPr>
                      <w:rFonts w:hint="eastAsia" w:cs="Times New Roman"/>
                      <w:color w:val="000000" w:themeColor="text1"/>
                      <w:sz w:val="21"/>
                      <w:szCs w:val="21"/>
                      <w:lang w:eastAsia="zh-CN"/>
                      <w14:textFill>
                        <w14:solidFill>
                          <w14:schemeClr w14:val="tx1"/>
                        </w14:solidFill>
                      </w14:textFill>
                    </w:rPr>
                    <w:t>E104</w:t>
                  </w:r>
                  <w:r>
                    <w:rPr>
                      <w:rFonts w:hint="default" w:ascii="Times New Roman" w:hAnsi="Times New Roman" w:cs="Times New Roman"/>
                      <w:color w:val="000000" w:themeColor="text1"/>
                      <w:sz w:val="21"/>
                      <w:szCs w:val="21"/>
                      <w:lang w:eastAsia="zh-CN"/>
                      <w14:textFill>
                        <w14:solidFill>
                          <w14:schemeClr w14:val="tx1"/>
                        </w14:solidFill>
                      </w14:textFill>
                    </w:rPr>
                    <w:t>°55′54</w:t>
                  </w:r>
                  <w:r>
                    <w:rPr>
                      <w:rFonts w:hint="eastAsia"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eastAsia="zh-CN"/>
                      <w14:textFill>
                        <w14:solidFill>
                          <w14:schemeClr w14:val="tx1"/>
                        </w14:solidFill>
                      </w14:textFill>
                    </w:rPr>
                    <w:t>N37</w:t>
                  </w:r>
                  <w:r>
                    <w:rPr>
                      <w:rFonts w:hint="default" w:ascii="Times New Roman" w:hAnsi="Times New Roman" w:cs="Times New Roman"/>
                      <w:color w:val="000000" w:themeColor="text1"/>
                      <w:sz w:val="21"/>
                      <w:szCs w:val="21"/>
                      <w:lang w:eastAsia="zh-CN"/>
                      <w14:textFill>
                        <w14:solidFill>
                          <w14:schemeClr w14:val="tx1"/>
                        </w14:solidFill>
                      </w14:textFill>
                    </w:rPr>
                    <w:t>°18′</w:t>
                  </w:r>
                  <w:r>
                    <w:rPr>
                      <w:rFonts w:hint="default" w:ascii="Times New Roman" w:hAnsi="Times New Roman" w:cs="Times New Roman"/>
                      <w:color w:val="000000" w:themeColor="text1"/>
                      <w:sz w:val="21"/>
                      <w:szCs w:val="21"/>
                      <w:lang w:val="en-US" w:eastAsia="zh-CN"/>
                      <w14:textFill>
                        <w14:solidFill>
                          <w14:schemeClr w14:val="tx1"/>
                        </w14:solidFill>
                      </w14:textFill>
                    </w:rPr>
                    <w:t>0</w:t>
                  </w:r>
                  <w:r>
                    <w:rPr>
                      <w:rFonts w:hint="default" w:ascii="Times New Roman" w:hAnsi="Times New Roman" w:cs="Times New Roman"/>
                      <w:color w:val="000000" w:themeColor="text1"/>
                      <w:sz w:val="21"/>
                      <w:szCs w:val="21"/>
                      <w:lang w:eastAsia="zh-CN"/>
                      <w14:textFill>
                        <w14:solidFill>
                          <w14:schemeClr w14:val="tx1"/>
                        </w14:solidFill>
                      </w14:textFill>
                    </w:rPr>
                    <w:t>2</w:t>
                  </w:r>
                  <w:r>
                    <w:rPr>
                      <w:rFonts w:hint="eastAsia" w:cs="Times New Roman"/>
                      <w:color w:val="000000" w:themeColor="text1"/>
                      <w:sz w:val="21"/>
                      <w:szCs w:val="21"/>
                      <w:lang w:val="en-US" w:eastAsia="zh-CN"/>
                      <w14:textFill>
                        <w14:solidFill>
                          <w14:schemeClr w14:val="tx1"/>
                        </w14:solidFill>
                      </w14:textFill>
                    </w:rPr>
                    <w:t>7</w:t>
                  </w:r>
                  <w:r>
                    <w:rPr>
                      <w:rFonts w:hint="default" w:ascii="Times New Roman" w:hAnsi="Times New Roman" w:cs="Times New Roman"/>
                      <w:color w:val="000000" w:themeColor="text1"/>
                      <w:sz w:val="21"/>
                      <w:szCs w:val="21"/>
                      <w:lang w:eastAsia="zh-CN"/>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2" w:hRule="atLeast"/>
              </w:trPr>
              <w:tc>
                <w:tcPr>
                  <w:tcW w:w="393" w:type="dxa"/>
                  <w:vMerge w:val="continue"/>
                  <w:tcBorders>
                    <w:tl2br w:val="nil"/>
                    <w:tr2bl w:val="nil"/>
                  </w:tcBorders>
                  <w:vAlign w:val="center"/>
                </w:tcPr>
                <w:p>
                  <w:pPr>
                    <w:spacing w:line="240" w:lineRule="auto"/>
                    <w:rPr>
                      <w:rFonts w:hint="eastAsia"/>
                      <w:color w:val="000000" w:themeColor="text1"/>
                      <w:sz w:val="21"/>
                      <w:szCs w:val="21"/>
                      <w:highlight w:val="yellow"/>
                      <w14:textFill>
                        <w14:solidFill>
                          <w14:schemeClr w14:val="tx1"/>
                        </w14:solidFill>
                      </w14:textFill>
                    </w:rPr>
                  </w:pPr>
                </w:p>
              </w:tc>
              <w:tc>
                <w:tcPr>
                  <w:tcW w:w="1018" w:type="dxa"/>
                  <w:vMerge w:val="continue"/>
                  <w:tcBorders>
                    <w:tl2br w:val="nil"/>
                    <w:tr2bl w:val="nil"/>
                  </w:tcBorders>
                  <w:vAlign w:val="center"/>
                </w:tcPr>
                <w:p>
                  <w:pPr>
                    <w:spacing w:line="240" w:lineRule="auto"/>
                    <w:jc w:val="left"/>
                    <w:rPr>
                      <w:rFonts w:hint="eastAsia"/>
                      <w:color w:val="000000" w:themeColor="text1"/>
                      <w:sz w:val="21"/>
                      <w:szCs w:val="21"/>
                      <w:highlight w:val="yellow"/>
                      <w14:textFill>
                        <w14:solidFill>
                          <w14:schemeClr w14:val="tx1"/>
                        </w14:solidFill>
                      </w14:textFill>
                    </w:rPr>
                  </w:pPr>
                </w:p>
              </w:tc>
              <w:tc>
                <w:tcPr>
                  <w:tcW w:w="5158" w:type="dxa"/>
                  <w:gridSpan w:val="2"/>
                  <w:tcBorders>
                    <w:tl2br w:val="nil"/>
                    <w:tr2bl w:val="nil"/>
                  </w:tcBorders>
                  <w:vAlign w:val="center"/>
                </w:tcPr>
                <w:p>
                  <w:pPr>
                    <w:widowControl/>
                    <w:spacing w:line="240" w:lineRule="auto"/>
                    <w:rPr>
                      <w:rFonts w:hint="default" w:ascii="Times New Roman" w:hAnsi="Times New Roman" w:eastAsia="宋体" w:cs="Times New Roman"/>
                      <w:color w:val="000000" w:themeColor="text1"/>
                      <w:sz w:val="21"/>
                      <w:szCs w:val="21"/>
                      <w:highlight w:val="none"/>
                      <w:lang w:val="en-US" w:eastAsia="zh-CN" w:bidi="ar"/>
                      <w14:textFill>
                        <w14:solidFill>
                          <w14:schemeClr w14:val="tx1"/>
                        </w14:solidFill>
                      </w14:textFill>
                    </w:rPr>
                  </w:pPr>
                  <w:r>
                    <w:rPr>
                      <w:rFonts w:hint="eastAsia" w:cs="Times New Roman"/>
                      <w:color w:val="000000" w:themeColor="text1"/>
                      <w:sz w:val="21"/>
                      <w:szCs w:val="21"/>
                      <w:highlight w:val="none"/>
                      <w:lang w:eastAsia="zh-CN" w:bidi="ar"/>
                      <w14:textFill>
                        <w14:solidFill>
                          <w14:schemeClr w14:val="tx1"/>
                        </w14:solidFill>
                      </w14:textFill>
                    </w:rPr>
                    <w:t>面积小计</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16.13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02" w:hRule="atLeast"/>
              </w:trPr>
              <w:tc>
                <w:tcPr>
                  <w:tcW w:w="393" w:type="dxa"/>
                  <w:tcBorders>
                    <w:tl2br w:val="nil"/>
                    <w:tr2bl w:val="nil"/>
                  </w:tcBorders>
                  <w:vAlign w:val="center"/>
                </w:tcPr>
                <w:p>
                  <w:pPr>
                    <w:spacing w:line="240" w:lineRule="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1018" w:type="dxa"/>
                  <w:tcBorders>
                    <w:tl2br w:val="nil"/>
                    <w:tr2bl w:val="nil"/>
                  </w:tcBorders>
                  <w:vAlign w:val="center"/>
                </w:tcPr>
                <w:p>
                  <w:pPr>
                    <w:spacing w:line="240" w:lineRule="auto"/>
                    <w:jc w:val="left"/>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常乐镇原上游村西生态修复治理区</w:t>
                  </w:r>
                </w:p>
              </w:tc>
              <w:tc>
                <w:tcPr>
                  <w:tcW w:w="1254" w:type="dxa"/>
                  <w:tcBorders>
                    <w:tl2br w:val="nil"/>
                    <w:tr2bl w:val="nil"/>
                  </w:tcBorders>
                  <w:vAlign w:val="center"/>
                </w:tcPr>
                <w:p>
                  <w:pPr>
                    <w:widowControl/>
                    <w:spacing w:line="240" w:lineRule="auto"/>
                    <w:rPr>
                      <w:rFonts w:hint="eastAsia"/>
                      <w:color w:val="000000" w:themeColor="text1"/>
                      <w:sz w:val="21"/>
                      <w:szCs w:val="21"/>
                      <w:highlight w:val="none"/>
                      <w:lang w:val="en-US" w:eastAsia="zh-CN" w:bidi="ar"/>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1号治理点</w:t>
                  </w:r>
                </w:p>
              </w:tc>
              <w:tc>
                <w:tcPr>
                  <w:tcW w:w="3904" w:type="dxa"/>
                  <w:tcBorders>
                    <w:tl2br w:val="nil"/>
                    <w:tr2bl w:val="nil"/>
                  </w:tcBorders>
                  <w:vAlign w:val="center"/>
                </w:tcPr>
                <w:p>
                  <w:pPr>
                    <w:widowControl/>
                    <w:spacing w:line="240" w:lineRule="auto"/>
                    <w:rPr>
                      <w:rFonts w:hint="default" w:ascii="Times New Roman" w:hAnsi="Times New Roman" w:cs="Times New Roman"/>
                      <w:color w:val="000000" w:themeColor="text1"/>
                      <w:sz w:val="21"/>
                      <w:szCs w:val="21"/>
                      <w:highlight w:val="none"/>
                      <w:lang w:bidi="ar"/>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E104</w:t>
                  </w:r>
                  <w:r>
                    <w:rPr>
                      <w:rFonts w:hint="default" w:ascii="Times New Roman" w:hAnsi="Times New Roman" w:cs="Times New Roman"/>
                      <w:color w:val="000000" w:themeColor="text1"/>
                      <w:sz w:val="21"/>
                      <w:szCs w:val="21"/>
                      <w:lang w:val="en-US" w:eastAsia="zh-CN"/>
                      <w14:textFill>
                        <w14:solidFill>
                          <w14:schemeClr w14:val="tx1"/>
                        </w14:solidFill>
                      </w14:textFill>
                    </w:rPr>
                    <w:t>°54′5</w:t>
                  </w:r>
                  <w:r>
                    <w:rPr>
                      <w:rFonts w:hint="eastAsia"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eastAsia" w:cs="Times New Roman"/>
                      <w:color w:val="000000" w:themeColor="text1"/>
                      <w:sz w:val="21"/>
                      <w:szCs w:val="21"/>
                      <w:lang w:val="en-US" w:eastAsia="zh-CN"/>
                      <w14:textFill>
                        <w14:solidFill>
                          <w14:schemeClr w14:val="tx1"/>
                        </w14:solidFill>
                      </w14:textFill>
                    </w:rPr>
                    <w:t>N37</w:t>
                  </w:r>
                  <w:r>
                    <w:rPr>
                      <w:rFonts w:hint="default" w:ascii="Times New Roman" w:hAnsi="Times New Roman" w:cs="Times New Roman"/>
                      <w:color w:val="000000" w:themeColor="text1"/>
                      <w:sz w:val="21"/>
                      <w:szCs w:val="21"/>
                      <w:lang w:val="en-US" w:eastAsia="zh-CN"/>
                      <w14:textFill>
                        <w14:solidFill>
                          <w14:schemeClr w14:val="tx1"/>
                        </w14:solidFill>
                      </w14:textFill>
                    </w:rPr>
                    <w:t>°21′24</w:t>
                  </w:r>
                  <w:r>
                    <w:rPr>
                      <w:rFonts w:hint="eastAsia" w:cs="Times New Roman"/>
                      <w:color w:val="000000" w:themeColor="text1"/>
                      <w:sz w:val="21"/>
                      <w:szCs w:val="21"/>
                      <w:lang w:val="en-US" w:eastAsia="zh-CN"/>
                      <w14:textFill>
                        <w14:solidFill>
                          <w14:schemeClr w14:val="tx1"/>
                        </w14:solidFill>
                      </w14:textFill>
                    </w:rPr>
                    <w:t>6</w:t>
                  </w:r>
                  <w:r>
                    <w:rPr>
                      <w:rFonts w:hint="default" w:ascii="Times New Roman" w:hAnsi="Times New Roman" w:cs="Times New Roman"/>
                      <w:color w:val="000000" w:themeColor="text1"/>
                      <w:sz w:val="21"/>
                      <w:szCs w:val="21"/>
                      <w:lang w:val="en-US" w:eastAsia="zh-CN"/>
                      <w14:textFill>
                        <w14:solidFill>
                          <w14:schemeClr w14:val="tx1"/>
                        </w14:solidFill>
                      </w14:textFill>
                    </w:rPr>
                    <w:t>″</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569" w:type="dxa"/>
                  <w:gridSpan w:val="4"/>
                  <w:tcBorders>
                    <w:tl2br w:val="nil"/>
                    <w:tr2bl w:val="nil"/>
                  </w:tcBorders>
                  <w:vAlign w:val="center"/>
                </w:tcPr>
                <w:p>
                  <w:pPr>
                    <w:spacing w:line="240" w:lineRule="auto"/>
                    <w:rPr>
                      <w:color w:val="000000" w:themeColor="text1"/>
                      <w:sz w:val="21"/>
                      <w:szCs w:val="21"/>
                      <w:highlight w:val="yellow"/>
                      <w14:textFill>
                        <w14:solidFill>
                          <w14:schemeClr w14:val="tx1"/>
                        </w14:solidFill>
                      </w14:textFill>
                    </w:rPr>
                  </w:pPr>
                  <w:r>
                    <w:rPr>
                      <w:rFonts w:hint="eastAsia"/>
                      <w:color w:val="000000" w:themeColor="text1"/>
                      <w:sz w:val="21"/>
                      <w:szCs w:val="21"/>
                      <w:highlight w:val="none"/>
                      <w14:textFill>
                        <w14:solidFill>
                          <w14:schemeClr w14:val="tx1"/>
                        </w14:solidFill>
                      </w14:textFill>
                    </w:rPr>
                    <w:t>合计</w:t>
                  </w:r>
                </w:p>
              </w:tc>
              <w:tc>
                <w:tcPr>
                  <w:tcW w:w="1471" w:type="dxa"/>
                  <w:tcBorders>
                    <w:tl2br w:val="nil"/>
                    <w:tr2bl w:val="nil"/>
                  </w:tcBorders>
                  <w:vAlign w:val="center"/>
                </w:tcPr>
                <w:p>
                  <w:pPr>
                    <w:spacing w:line="240" w:lineRule="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 xml:space="preserve">158.71 </w:t>
                  </w:r>
                </w:p>
              </w:tc>
            </w:tr>
          </w:tbl>
          <w:p>
            <w:pPr>
              <w:pStyle w:val="15"/>
              <w:ind w:left="0" w:leftChars="0" w:firstLine="0" w:firstLineChars="0"/>
              <w:jc w:val="both"/>
              <w:rPr>
                <w:color w:val="000000" w:themeColor="text1"/>
                <w:highlight w:val="yellow"/>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64" w:type="dxa"/>
            <w:tcBorders>
              <w:tl2br w:val="nil"/>
              <w:tr2bl w:val="nil"/>
            </w:tcBorders>
            <w:vAlign w:val="center"/>
          </w:tcPr>
          <w:p>
            <w:pPr>
              <w:widowControl/>
              <w:jc w:val="both"/>
              <w:rPr>
                <w:rFonts w:ascii="宋体" w:hAnsi="宋体" w:cs="宋体"/>
                <w:color w:val="000000" w:themeColor="text1"/>
                <w:sz w:val="20"/>
                <w:szCs w:val="20"/>
                <w:highlight w:val="none"/>
                <w:lang w:bidi="ar"/>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项目组成及规模</w:t>
            </w:r>
          </w:p>
        </w:tc>
        <w:tc>
          <w:tcPr>
            <w:tcW w:w="8158" w:type="dxa"/>
            <w:tcBorders>
              <w:tl2br w:val="nil"/>
              <w:tr2bl w:val="nil"/>
            </w:tcBorders>
          </w:tcPr>
          <w:p>
            <w:pPr>
              <w:pStyle w:val="15"/>
              <w:ind w:firstLine="0" w:firstLineChars="0"/>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1、项目由来及建设背景</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（1）任务由来</w:t>
            </w:r>
          </w:p>
          <w:p>
            <w:pPr>
              <w:spacing w:line="360" w:lineRule="auto"/>
              <w:ind w:firstLine="480" w:firstLineChars="200"/>
              <w:jc w:val="left"/>
              <w:rPr>
                <w:rFonts w:hint="eastAsia" w:ascii="宋体" w:hAnsi="宋体"/>
                <w:snapToGrid/>
                <w:color w:val="000000" w:themeColor="text1"/>
                <w:sz w:val="24"/>
                <w:szCs w:val="24"/>
                <w:highlight w:val="none"/>
                <w14:textFill>
                  <w14:solidFill>
                    <w14:schemeClr w14:val="tx1"/>
                  </w14:solidFill>
                </w14:textFill>
              </w:rPr>
            </w:pPr>
            <w:r>
              <w:rPr>
                <w:rFonts w:hint="eastAsia" w:ascii="宋体" w:hAnsi="宋体"/>
                <w:snapToGrid/>
                <w:color w:val="000000" w:themeColor="text1"/>
                <w:sz w:val="24"/>
                <w:szCs w:val="24"/>
                <w:highlight w:val="none"/>
                <w14:textFill>
                  <w14:solidFill>
                    <w14:schemeClr w14:val="tx1"/>
                  </w14:solidFill>
                </w14:textFill>
              </w:rPr>
              <w:t>中卫市是“丝绸之路”西段相连点，也是宁夏的重要交通枢纽</w:t>
            </w:r>
            <w:r>
              <w:rPr>
                <w:rFonts w:hint="eastAsia" w:ascii="宋体" w:hAnsi="宋体"/>
                <w:snapToGrid/>
                <w:color w:val="000000" w:themeColor="text1"/>
                <w:sz w:val="24"/>
                <w:szCs w:val="24"/>
                <w:highlight w:val="none"/>
                <w:lang w:eastAsia="zh-CN"/>
                <w14:textFill>
                  <w14:solidFill>
                    <w14:schemeClr w14:val="tx1"/>
                  </w14:solidFill>
                </w14:textFill>
              </w:rPr>
              <w:t>，</w:t>
            </w:r>
            <w:r>
              <w:rPr>
                <w:rFonts w:hint="eastAsia" w:ascii="宋体" w:hAnsi="宋体"/>
                <w:snapToGrid/>
                <w:color w:val="000000" w:themeColor="text1"/>
                <w:sz w:val="24"/>
                <w:szCs w:val="24"/>
                <w:highlight w:val="none"/>
                <w14:textFill>
                  <w14:solidFill>
                    <w14:schemeClr w14:val="tx1"/>
                  </w14:solidFill>
                </w14:textFill>
              </w:rPr>
              <w:t>此处盛产煤炭资源</w:t>
            </w:r>
            <w:r>
              <w:rPr>
                <w:rFonts w:hint="eastAsia" w:ascii="宋体" w:hAnsi="宋体"/>
                <w:snapToGrid/>
                <w:color w:val="000000" w:themeColor="text1"/>
                <w:sz w:val="24"/>
                <w:szCs w:val="24"/>
                <w:highlight w:val="none"/>
                <w:lang w:eastAsia="zh-CN"/>
                <w14:textFill>
                  <w14:solidFill>
                    <w14:schemeClr w14:val="tx1"/>
                  </w14:solidFill>
                </w14:textFill>
              </w:rPr>
              <w:t>。</w:t>
            </w:r>
            <w:r>
              <w:rPr>
                <w:rFonts w:hint="eastAsia" w:ascii="宋体" w:hAnsi="宋体"/>
                <w:snapToGrid/>
                <w:color w:val="000000" w:themeColor="text1"/>
                <w:sz w:val="24"/>
                <w:szCs w:val="24"/>
                <w:highlight w:val="none"/>
                <w14:textFill>
                  <w14:solidFill>
                    <w14:schemeClr w14:val="tx1"/>
                  </w14:solidFill>
                </w14:textFill>
              </w:rPr>
              <w:t>多年来中卫市在为国家经济社会发展做出突出贡献的同时，伴随高强度的资源开发和对以煤炭为主的资源过度开采，付出了沉重的生态环境代价</w:t>
            </w:r>
            <w:r>
              <w:rPr>
                <w:rFonts w:hint="eastAsia" w:ascii="宋体" w:hAnsi="宋体"/>
                <w:snapToGrid/>
                <w:color w:val="000000" w:themeColor="text1"/>
                <w:sz w:val="24"/>
                <w:szCs w:val="24"/>
                <w:highlight w:val="none"/>
                <w:lang w:eastAsia="zh-CN"/>
                <w14:textFill>
                  <w14:solidFill>
                    <w14:schemeClr w14:val="tx1"/>
                  </w14:solidFill>
                </w14:textFill>
              </w:rPr>
              <w:t>，</w:t>
            </w:r>
            <w:r>
              <w:rPr>
                <w:rFonts w:hint="eastAsia" w:ascii="宋体" w:hAnsi="宋体"/>
                <w:snapToGrid/>
                <w:color w:val="000000" w:themeColor="text1"/>
                <w:sz w:val="24"/>
                <w:szCs w:val="24"/>
                <w:highlight w:val="none"/>
                <w14:textFill>
                  <w14:solidFill>
                    <w14:schemeClr w14:val="tx1"/>
                  </w14:solidFill>
                </w14:textFill>
              </w:rPr>
              <w:t>土地资源严重破坏，水土流失加剧，地质灾害频发，对黄河南岸的生态环境、人居环境造成不良影响。近年来，宁夏</w:t>
            </w:r>
            <w:r>
              <w:rPr>
                <w:rFonts w:hint="eastAsia" w:ascii="宋体" w:hAnsi="宋体"/>
                <w:snapToGrid/>
                <w:color w:val="000000" w:themeColor="text1"/>
                <w:sz w:val="24"/>
                <w:szCs w:val="24"/>
                <w:highlight w:val="none"/>
                <w:lang w:eastAsia="zh-CN"/>
                <w14:textFill>
                  <w14:solidFill>
                    <w14:schemeClr w14:val="tx1"/>
                  </w14:solidFill>
                </w14:textFill>
              </w:rPr>
              <w:t>回族</w:t>
            </w:r>
            <w:r>
              <w:rPr>
                <w:rFonts w:hint="eastAsia" w:ascii="宋体" w:hAnsi="宋体"/>
                <w:snapToGrid/>
                <w:color w:val="000000" w:themeColor="text1"/>
                <w:sz w:val="24"/>
                <w:szCs w:val="24"/>
                <w:highlight w:val="none"/>
                <w14:textFill>
                  <w14:solidFill>
                    <w14:schemeClr w14:val="tx1"/>
                  </w14:solidFill>
                </w14:textFill>
              </w:rPr>
              <w:t>自治区政府及中卫市政府高度重视生态建设，坚持生态立市发展战略，以建设国家生态文明示范区为统领，全方位加强生态环境保护，投入了大量资金开展环境治理和生态修复，生态环境得到有效改善。但</w:t>
            </w:r>
            <w:r>
              <w:rPr>
                <w:rFonts w:hint="eastAsia" w:ascii="宋体" w:hAnsi="宋体"/>
                <w:snapToGrid/>
                <w:color w:val="000000" w:themeColor="text1"/>
                <w:sz w:val="24"/>
                <w:szCs w:val="24"/>
                <w:highlight w:val="none"/>
                <w:lang w:eastAsia="zh-CN"/>
                <w14:textFill>
                  <w14:solidFill>
                    <w14:schemeClr w14:val="tx1"/>
                  </w14:solidFill>
                </w14:textFill>
              </w:rPr>
              <w:t>该区域</w:t>
            </w:r>
            <w:r>
              <w:rPr>
                <w:rFonts w:hint="eastAsia" w:ascii="宋体" w:hAnsi="宋体"/>
                <w:snapToGrid/>
                <w:color w:val="000000" w:themeColor="text1"/>
                <w:sz w:val="24"/>
                <w:szCs w:val="24"/>
                <w:highlight w:val="none"/>
                <w14:textFill>
                  <w14:solidFill>
                    <w14:schemeClr w14:val="tx1"/>
                  </w14:solidFill>
                </w14:textFill>
              </w:rPr>
              <w:t>生态环境较脆弱，矿山生态修复历史欠账多、现实矛盾多、资金缺口较大，加之该区域待修复面积大，生态环境问题较复杂，环境治理任务艰巨。为此，对中卫市黄河流域生态环境系统治理、矿山生态整治修复工作迫在眉睫。</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2022年7月，根据财政部《关于下达2022年重点生态保护修复治理资金预算（第四批）的通知》（财资环〔2022〕92号）和《宁夏黄河上游风沙区（中卫）历史遗留废弃矿山生态修复示范工程项目》。</w:t>
            </w:r>
            <w:r>
              <w:rPr>
                <w:color w:val="000000" w:themeColor="text1"/>
                <w:sz w:val="24"/>
                <w:szCs w:val="24"/>
                <w:highlight w:val="none"/>
                <w14:textFill>
                  <w14:solidFill>
                    <w14:schemeClr w14:val="tx1"/>
                  </w14:solidFill>
                </w14:textFill>
              </w:rPr>
              <w:t>2022年8月，自治区财政厅和自然资源厅根据财政部《关于下达2022年重点生态保护修复治理资金预算（第四批）的通知》（财资环〔2022〕92号）</w:t>
            </w:r>
            <w:r>
              <w:rPr>
                <w:rFonts w:hint="eastAsia"/>
                <w:color w:val="000000" w:themeColor="text1"/>
                <w:sz w:val="24"/>
                <w:szCs w:val="24"/>
                <w:highlight w:val="none"/>
                <w:lang w:eastAsia="zh-CN"/>
                <w14:textFill>
                  <w14:solidFill>
                    <w14:schemeClr w14:val="tx1"/>
                  </w14:solidFill>
                </w14:textFill>
              </w:rPr>
              <w:t>和</w:t>
            </w:r>
            <w:r>
              <w:rPr>
                <w:color w:val="000000" w:themeColor="text1"/>
                <w:sz w:val="24"/>
                <w:szCs w:val="24"/>
                <w:highlight w:val="none"/>
                <w14:textFill>
                  <w14:solidFill>
                    <w14:schemeClr w14:val="tx1"/>
                  </w14:solidFill>
                </w14:textFill>
              </w:rPr>
              <w:t>《关于下达2022年重点生态保护修复治理资金预算（第四批）的通知》（宁自然资发〔2022〕391号），将2022年重点生态保护修复治理（ZI35060009003）资金给中卫市财政局和自然资源局予以下达，按照中卫市规划组织《宁夏黄河上游风沙区（中卫）历史遗留废弃矿山生态修复示范工程项目》实施。</w:t>
            </w:r>
          </w:p>
          <w:p>
            <w:pPr>
              <w:spacing w:line="360" w:lineRule="auto"/>
              <w:ind w:firstLine="480" w:firstLineChars="200"/>
              <w:jc w:val="left"/>
              <w:rPr>
                <w:rFonts w:hint="eastAsia" w:eastAsia="宋体"/>
                <w:color w:val="000000" w:themeColor="text1"/>
                <w:sz w:val="24"/>
                <w:szCs w:val="24"/>
                <w:highlight w:val="none"/>
                <w:lang w:eastAsia="zh-CN"/>
                <w14:textFill>
                  <w14:solidFill>
                    <w14:schemeClr w14:val="tx1"/>
                  </w14:solidFill>
                </w14:textFill>
              </w:rPr>
            </w:pPr>
            <w:r>
              <w:rPr>
                <w:rFonts w:ascii="宋体" w:hAnsi="宋体"/>
                <w:snapToGrid/>
                <w:color w:val="000000" w:themeColor="text1"/>
                <w:sz w:val="24"/>
                <w:szCs w:val="24"/>
                <w:highlight w:val="none"/>
                <w14:textFill>
                  <w14:solidFill>
                    <w14:schemeClr w14:val="tx1"/>
                  </w14:solidFill>
                </w14:textFill>
              </w:rPr>
              <w:t>宁夏黄河上游风沙区（中卫）历史遗留废弃矿山生态修复示范工程项目，修复总面积</w:t>
            </w:r>
            <w:r>
              <w:rPr>
                <w:snapToGrid/>
                <w:color w:val="000000" w:themeColor="text1"/>
                <w:sz w:val="24"/>
                <w:szCs w:val="24"/>
                <w:highlight w:val="none"/>
                <w14:textFill>
                  <w14:solidFill>
                    <w14:schemeClr w14:val="tx1"/>
                  </w14:solidFill>
                </w14:textFill>
              </w:rPr>
              <w:t>1865.62hm</w:t>
            </w:r>
            <w:r>
              <w:rPr>
                <w:snapToGrid/>
                <w:color w:val="000000" w:themeColor="text1"/>
                <w:sz w:val="24"/>
                <w:szCs w:val="24"/>
                <w:highlight w:val="none"/>
                <w:vertAlign w:val="superscript"/>
                <w14:textFill>
                  <w14:solidFill>
                    <w14:schemeClr w14:val="tx1"/>
                  </w14:solidFill>
                </w14:textFill>
              </w:rPr>
              <w:t>2</w:t>
            </w:r>
            <w:r>
              <w:rPr>
                <w:rFonts w:ascii="宋体" w:hAnsi="宋体"/>
                <w:snapToGrid/>
                <w:color w:val="000000" w:themeColor="text1"/>
                <w:sz w:val="24"/>
                <w:szCs w:val="24"/>
                <w:highlight w:val="none"/>
                <w14:textFill>
                  <w14:solidFill>
                    <w14:schemeClr w14:val="tx1"/>
                  </w14:solidFill>
                </w14:textFill>
              </w:rPr>
              <w:t>，总投资为</w:t>
            </w:r>
            <w:r>
              <w:rPr>
                <w:snapToGrid/>
                <w:color w:val="000000" w:themeColor="text1"/>
                <w:sz w:val="24"/>
                <w:szCs w:val="24"/>
                <w:highlight w:val="none"/>
                <w14:textFill>
                  <w14:solidFill>
                    <w14:schemeClr w14:val="tx1"/>
                  </w14:solidFill>
                </w14:textFill>
              </w:rPr>
              <w:t>50610.41</w:t>
            </w:r>
            <w:r>
              <w:rPr>
                <w:rFonts w:ascii="宋体" w:hAnsi="宋体"/>
                <w:snapToGrid/>
                <w:color w:val="000000" w:themeColor="text1"/>
                <w:sz w:val="24"/>
                <w:szCs w:val="24"/>
                <w:highlight w:val="none"/>
                <w14:textFill>
                  <w14:solidFill>
                    <w14:schemeClr w14:val="tx1"/>
                  </w14:solidFill>
                </w14:textFill>
              </w:rPr>
              <w:t>万元，包含</w:t>
            </w:r>
            <w:r>
              <w:rPr>
                <w:snapToGrid/>
                <w:color w:val="000000" w:themeColor="text1"/>
                <w:sz w:val="24"/>
                <w:szCs w:val="24"/>
                <w:highlight w:val="none"/>
                <w14:textFill>
                  <w14:solidFill>
                    <w14:schemeClr w14:val="tx1"/>
                  </w14:solidFill>
                </w14:textFill>
              </w:rPr>
              <w:t>13</w:t>
            </w:r>
            <w:r>
              <w:rPr>
                <w:rFonts w:ascii="宋体" w:hAnsi="宋体"/>
                <w:snapToGrid/>
                <w:color w:val="000000" w:themeColor="text1"/>
                <w:sz w:val="24"/>
                <w:szCs w:val="24"/>
                <w:highlight w:val="none"/>
                <w14:textFill>
                  <w14:solidFill>
                    <w14:schemeClr w14:val="tx1"/>
                  </w14:solidFill>
                </w14:textFill>
              </w:rPr>
              <w:t>个子项目。本项目是</w:t>
            </w:r>
            <w:r>
              <w:rPr>
                <w:rFonts w:hint="eastAsia" w:ascii="宋体" w:hAnsi="宋体"/>
                <w:snapToGrid/>
                <w:color w:val="000000" w:themeColor="text1"/>
                <w:sz w:val="24"/>
                <w:szCs w:val="24"/>
                <w:highlight w:val="none"/>
                <w14:textFill>
                  <w14:solidFill>
                    <w14:schemeClr w14:val="tx1"/>
                  </w14:solidFill>
                </w14:textFill>
              </w:rPr>
              <w:t>“</w:t>
            </w:r>
            <w:r>
              <w:rPr>
                <w:rFonts w:ascii="宋体" w:hAnsi="宋体"/>
                <w:snapToGrid/>
                <w:color w:val="000000" w:themeColor="text1"/>
                <w:sz w:val="24"/>
                <w:szCs w:val="24"/>
                <w:highlight w:val="none"/>
                <w14:textFill>
                  <w14:solidFill>
                    <w14:schemeClr w14:val="tx1"/>
                  </w14:solidFill>
                </w14:textFill>
              </w:rPr>
              <w:t>宁夏黄河上游风沙区（中卫）历史遗留废弃矿山生态修复示范工程项目</w:t>
            </w:r>
            <w:r>
              <w:rPr>
                <w:rFonts w:hint="eastAsia" w:ascii="宋体" w:hAnsi="宋体"/>
                <w:snapToGrid/>
                <w:color w:val="000000" w:themeColor="text1"/>
                <w:sz w:val="24"/>
                <w:szCs w:val="24"/>
                <w:highlight w:val="none"/>
                <w14:textFill>
                  <w14:solidFill>
                    <w14:schemeClr w14:val="tx1"/>
                  </w14:solidFill>
                </w14:textFill>
              </w:rPr>
              <w:t>”</w:t>
            </w:r>
            <w:r>
              <w:rPr>
                <w:rFonts w:ascii="宋体" w:hAnsi="宋体"/>
                <w:snapToGrid/>
                <w:color w:val="000000" w:themeColor="text1"/>
                <w:sz w:val="24"/>
                <w:szCs w:val="24"/>
                <w:highlight w:val="none"/>
                <w14:textFill>
                  <w14:solidFill>
                    <w14:schemeClr w14:val="tx1"/>
                  </w14:solidFill>
                </w14:textFill>
              </w:rPr>
              <w:t>中的一个子项目，治理面积</w:t>
            </w:r>
            <w:r>
              <w:rPr>
                <w:rFonts w:hint="eastAsia"/>
                <w:color w:val="000000" w:themeColor="text1"/>
                <w:sz w:val="24"/>
                <w:szCs w:val="24"/>
                <w:highlight w:val="none"/>
                <w:lang w:eastAsia="zh-CN"/>
                <w14:textFill>
                  <w14:solidFill>
                    <w14:schemeClr w14:val="tx1"/>
                  </w14:solidFill>
                </w14:textFill>
              </w:rPr>
              <w:t>158.71</w:t>
            </w:r>
            <w:r>
              <w:rPr>
                <w:snapToGrid/>
                <w:color w:val="000000" w:themeColor="text1"/>
                <w:sz w:val="24"/>
                <w:szCs w:val="24"/>
                <w:highlight w:val="none"/>
                <w14:textFill>
                  <w14:solidFill>
                    <w14:schemeClr w14:val="tx1"/>
                  </w14:solidFill>
                </w14:textFill>
              </w:rPr>
              <w:t>hm</w:t>
            </w:r>
            <w:r>
              <w:rPr>
                <w:snapToGrid/>
                <w:color w:val="000000" w:themeColor="text1"/>
                <w:sz w:val="24"/>
                <w:szCs w:val="24"/>
                <w:highlight w:val="none"/>
                <w:vertAlign w:val="superscript"/>
                <w14:textFill>
                  <w14:solidFill>
                    <w14:schemeClr w14:val="tx1"/>
                  </w14:solidFill>
                </w14:textFill>
              </w:rPr>
              <w:t>2</w:t>
            </w:r>
            <w:r>
              <w:rPr>
                <w:rFonts w:hint="eastAsia" w:ascii="宋体" w:hAnsi="宋体"/>
                <w:snapToGrid/>
                <w:color w:val="000000" w:themeColor="text1"/>
                <w:sz w:val="24"/>
                <w:szCs w:val="24"/>
                <w:highlight w:val="none"/>
                <w14:textFill>
                  <w14:solidFill>
                    <w14:schemeClr w14:val="tx1"/>
                  </w14:solidFill>
                </w14:textFill>
              </w:rPr>
              <w:t>，</w:t>
            </w:r>
            <w:r>
              <w:rPr>
                <w:rFonts w:ascii="宋体" w:hAnsi="宋体"/>
                <w:snapToGrid/>
                <w:color w:val="000000" w:themeColor="text1"/>
                <w:sz w:val="24"/>
                <w:szCs w:val="24"/>
                <w:highlight w:val="none"/>
                <w14:textFill>
                  <w14:solidFill>
                    <w14:schemeClr w14:val="tx1"/>
                  </w14:solidFill>
                </w14:textFill>
              </w:rPr>
              <w:t>投资</w:t>
            </w:r>
            <w:r>
              <w:rPr>
                <w:rFonts w:hint="eastAsia"/>
                <w:snapToGrid/>
                <w:color w:val="000000" w:themeColor="text1"/>
                <w:sz w:val="24"/>
                <w:szCs w:val="24"/>
                <w:highlight w:val="none"/>
                <w:lang w:eastAsia="zh-CN"/>
                <w14:textFill>
                  <w14:solidFill>
                    <w14:schemeClr w14:val="tx1"/>
                  </w14:solidFill>
                </w14:textFill>
              </w:rPr>
              <w:t>3796.16</w:t>
            </w:r>
            <w:r>
              <w:rPr>
                <w:rFonts w:ascii="宋体" w:hAnsi="宋体"/>
                <w:snapToGrid/>
                <w:color w:val="000000" w:themeColor="text1"/>
                <w:sz w:val="24"/>
                <w:szCs w:val="24"/>
                <w:highlight w:val="none"/>
                <w14:textFill>
                  <w14:solidFill>
                    <w14:schemeClr w14:val="tx1"/>
                  </w14:solidFill>
                </w14:textFill>
              </w:rPr>
              <w:t>万元</w:t>
            </w:r>
            <w:r>
              <w:rPr>
                <w:rFonts w:hint="eastAsia" w:ascii="宋体" w:hAnsi="宋体"/>
                <w:snapToGrid/>
                <w:color w:val="000000" w:themeColor="text1"/>
                <w:sz w:val="24"/>
                <w:szCs w:val="24"/>
                <w:highlight w:val="none"/>
                <w14:textFill>
                  <w14:solidFill>
                    <w14:schemeClr w14:val="tx1"/>
                  </w14:solidFill>
                </w14:textFill>
              </w:rPr>
              <w:t>，</w:t>
            </w:r>
            <w:r>
              <w:rPr>
                <w:rFonts w:hint="eastAsia" w:ascii="宋体" w:hAnsi="宋体"/>
                <w:snapToGrid/>
                <w:color w:val="000000" w:themeColor="text1"/>
                <w:sz w:val="24"/>
                <w:szCs w:val="24"/>
                <w:highlight w:val="none"/>
                <w:lang w:eastAsia="zh-CN"/>
                <w14:textFill>
                  <w14:solidFill>
                    <w14:schemeClr w14:val="tx1"/>
                  </w14:solidFill>
                </w14:textFill>
              </w:rPr>
              <w:t>该项目已于</w:t>
            </w:r>
            <w:r>
              <w:rPr>
                <w:rFonts w:hint="eastAsia"/>
                <w:color w:val="000000" w:themeColor="text1"/>
                <w:sz w:val="24"/>
                <w:szCs w:val="24"/>
                <w:highlight w:val="none"/>
                <w14:textFill>
                  <w14:solidFill>
                    <w14:schemeClr w14:val="tx1"/>
                  </w14:solidFill>
                </w14:textFill>
              </w:rPr>
              <w:t>2022年</w:t>
            </w:r>
            <w:r>
              <w:rPr>
                <w:rFonts w:hint="eastAsia"/>
                <w:color w:val="000000" w:themeColor="text1"/>
                <w:sz w:val="24"/>
                <w:szCs w:val="24"/>
                <w:highlight w:val="none"/>
                <w:lang w:val="en-US" w:eastAsia="zh-CN"/>
                <w14:textFill>
                  <w14:solidFill>
                    <w14:schemeClr w14:val="tx1"/>
                  </w14:solidFill>
                </w14:textFill>
              </w:rPr>
              <w:t>8</w:t>
            </w:r>
            <w:r>
              <w:rPr>
                <w:color w:val="000000" w:themeColor="text1"/>
                <w:sz w:val="24"/>
                <w:szCs w:val="24"/>
                <w:highlight w:val="none"/>
                <w14:textFill>
                  <w14:solidFill>
                    <w14:schemeClr w14:val="tx1"/>
                  </w14:solidFill>
                </w14:textFill>
              </w:rPr>
              <w:t>月</w:t>
            </w:r>
            <w:r>
              <w:rPr>
                <w:rFonts w:hint="eastAsia"/>
                <w:color w:val="000000" w:themeColor="text1"/>
                <w:lang w:val="en-US" w:eastAsia="zh-CN"/>
                <w14:textFill>
                  <w14:solidFill>
                    <w14:schemeClr w14:val="tx1"/>
                  </w14:solidFill>
                </w14:textFill>
              </w:rPr>
              <w:t>取得中卫市沙坡头区发展和改革局初步设计的批复</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项目代码：</w:t>
            </w:r>
            <w:r>
              <w:rPr>
                <w:rFonts w:hint="eastAsia"/>
                <w:color w:val="000000" w:themeColor="text1"/>
                <w:sz w:val="24"/>
                <w:szCs w:val="24"/>
                <w:highlight w:val="none"/>
                <w14:textFill>
                  <w14:solidFill>
                    <w14:schemeClr w14:val="tx1"/>
                  </w14:solidFill>
                </w14:textFill>
              </w:rPr>
              <w:t>2101-640502-15-01-530479</w:t>
            </w:r>
            <w:r>
              <w:rPr>
                <w:rFonts w:hint="eastAsia"/>
                <w:color w:val="000000" w:themeColor="text1"/>
                <w:sz w:val="24"/>
                <w:szCs w:val="24"/>
                <w:highlight w:val="none"/>
                <w:lang w:eastAsia="zh-CN"/>
                <w14:textFill>
                  <w14:solidFill>
                    <w14:schemeClr w14:val="tx1"/>
                  </w14:solidFill>
                </w14:textFill>
              </w:rPr>
              <w:t>。</w:t>
            </w:r>
          </w:p>
          <w:p>
            <w:pPr>
              <w:spacing w:line="360" w:lineRule="auto"/>
              <w:ind w:firstLine="480" w:firstLineChars="200"/>
              <w:jc w:val="left"/>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根据《中华人民共和国环境保护法》、《中华人民共和国环境影响评价法》及国务院《建设项目环境保护管理条例》等有关法律、法规的规定，</w:t>
            </w:r>
            <w:r>
              <w:rPr>
                <w:color w:val="000000" w:themeColor="text1"/>
                <w:sz w:val="24"/>
                <w:szCs w:val="24"/>
                <w:highlight w:val="none"/>
                <w14:textFill>
                  <w14:solidFill>
                    <w14:schemeClr w14:val="tx1"/>
                  </w14:solidFill>
                </w14:textFill>
              </w:rPr>
              <w:t>该项目属于《建设项目环境影响评价分类管理名录》（2021版）中的“</w:t>
            </w:r>
            <w:r>
              <w:rPr>
                <w:rFonts w:hint="eastAsia"/>
                <w:color w:val="000000" w:themeColor="text1"/>
                <w:sz w:val="24"/>
                <w:szCs w:val="24"/>
                <w:highlight w:val="none"/>
                <w14:textFill>
                  <w14:solidFill>
                    <w14:schemeClr w14:val="tx1"/>
                  </w14:solidFill>
                </w14:textFill>
              </w:rPr>
              <w:t>四、煤炭开采与洗选业06矿区修复治理工程(含煤矿火烧区治理工程)”</w:t>
            </w:r>
            <w:r>
              <w:rPr>
                <w:rFonts w:hint="eastAsia"/>
                <w:color w:val="000000" w:themeColor="text1"/>
                <w:sz w:val="24"/>
                <w:szCs w:val="24"/>
                <w:highlight w:val="none"/>
                <w:lang w:eastAsia="zh-CN"/>
                <w14:textFill>
                  <w14:solidFill>
                    <w14:schemeClr w14:val="tx1"/>
                  </w14:solidFill>
                </w14:textFill>
              </w:rPr>
              <w:t>。据此，我单位接受委托后，充分利用现有资料及在现场勘察、调研的基础上，编制完成了“沙坡头区陈水矿区废弃矿山生态修复项目(二期)环境影响报告表”。</w:t>
            </w:r>
          </w:p>
          <w:p>
            <w:pPr>
              <w:pStyle w:val="5"/>
              <w:outlineLvl w:val="1"/>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2、项目概况</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（1）项目名称</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沙坡头区陈水矿区废弃矿山生态修复项目</w:t>
            </w:r>
            <w:r>
              <w:rPr>
                <w:rFonts w:hint="eastAsia"/>
                <w:color w:val="000000" w:themeColor="text1"/>
                <w:sz w:val="24"/>
                <w:szCs w:val="24"/>
                <w:highlight w:val="none"/>
                <w:lang w:eastAsia="zh-CN"/>
                <w14:textFill>
                  <w14:solidFill>
                    <w14:schemeClr w14:val="tx1"/>
                  </w14:solidFill>
                </w14:textFill>
              </w:rPr>
              <w:t>（二期）</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（2）建设性质</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新建</w:t>
            </w:r>
          </w:p>
          <w:p>
            <w:pPr>
              <w:pStyle w:val="15"/>
              <w:ind w:left="480" w:leftChars="200" w:firstLine="0" w:firstLineChars="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（3）项目投资</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本项目总投资概算</w:t>
            </w:r>
            <w:r>
              <w:rPr>
                <w:rFonts w:hint="eastAsia"/>
                <w:color w:val="000000" w:themeColor="text1"/>
                <w:sz w:val="24"/>
                <w:szCs w:val="24"/>
                <w:highlight w:val="none"/>
                <w:lang w:eastAsia="zh-CN"/>
                <w14:textFill>
                  <w14:solidFill>
                    <w14:schemeClr w14:val="tx1"/>
                  </w14:solidFill>
                </w14:textFill>
              </w:rPr>
              <w:t>3796.16</w:t>
            </w:r>
            <w:r>
              <w:rPr>
                <w:color w:val="000000" w:themeColor="text1"/>
                <w:sz w:val="24"/>
                <w:szCs w:val="24"/>
                <w:highlight w:val="none"/>
                <w14:textFill>
                  <w14:solidFill>
                    <w14:schemeClr w14:val="tx1"/>
                  </w14:solidFill>
                </w14:textFill>
              </w:rPr>
              <w:t>万元，</w:t>
            </w:r>
            <w:r>
              <w:rPr>
                <w:rFonts w:hint="eastAsia"/>
                <w:color w:val="000000" w:themeColor="text1"/>
                <w:sz w:val="24"/>
                <w:szCs w:val="24"/>
                <w:highlight w:val="none"/>
                <w14:textFill>
                  <w14:solidFill>
                    <w14:schemeClr w14:val="tx1"/>
                  </w14:solidFill>
                </w14:textFill>
              </w:rPr>
              <w:t>其中用于环保投资</w:t>
            </w:r>
            <w:r>
              <w:rPr>
                <w:rFonts w:hint="eastAsia"/>
                <w:color w:val="000000" w:themeColor="text1"/>
                <w:sz w:val="24"/>
                <w:szCs w:val="24"/>
                <w:highlight w:val="none"/>
                <w:lang w:eastAsia="zh-CN"/>
                <w14:textFill>
                  <w14:solidFill>
                    <w14:schemeClr w14:val="tx1"/>
                  </w14:solidFill>
                </w14:textFill>
              </w:rPr>
              <w:t>3796.16</w:t>
            </w:r>
            <w:r>
              <w:rPr>
                <w:rFonts w:hint="eastAsia"/>
                <w:color w:val="000000" w:themeColor="text1"/>
                <w:sz w:val="24"/>
                <w:szCs w:val="24"/>
                <w:highlight w:val="none"/>
                <w14:textFill>
                  <w14:solidFill>
                    <w14:schemeClr w14:val="tx1"/>
                  </w14:solidFill>
                </w14:textFill>
              </w:rPr>
              <w:t>万元，占比为</w:t>
            </w:r>
            <w:r>
              <w:rPr>
                <w:color w:val="000000" w:themeColor="text1"/>
                <w:sz w:val="24"/>
                <w:szCs w:val="24"/>
                <w:highlight w:val="none"/>
                <w14:textFill>
                  <w14:solidFill>
                    <w14:schemeClr w14:val="tx1"/>
                  </w14:solidFill>
                </w14:textFill>
              </w:rPr>
              <w:t>100%</w:t>
            </w:r>
            <w:r>
              <w:rPr>
                <w:rFonts w:hint="eastAsia"/>
                <w:color w:val="000000" w:themeColor="text1"/>
                <w:sz w:val="24"/>
                <w:szCs w:val="24"/>
                <w:highlight w:val="none"/>
                <w14:textFill>
                  <w14:solidFill>
                    <w14:schemeClr w14:val="tx1"/>
                  </w14:solidFill>
                </w14:textFill>
              </w:rPr>
              <w:t>。</w:t>
            </w:r>
          </w:p>
          <w:p>
            <w:pPr>
              <w:pStyle w:val="15"/>
              <w:ind w:left="480" w:leftChars="200" w:firstLine="0" w:firstLineChars="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（4）建设周期</w:t>
            </w:r>
          </w:p>
          <w:p>
            <w:pPr>
              <w:pStyle w:val="15"/>
              <w:ind w:left="480" w:leftChars="200" w:firstLine="0" w:firstLineChars="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本项目实施时间为2023年</w:t>
            </w:r>
            <w:r>
              <w:rPr>
                <w:rFonts w:hint="eastAsia"/>
                <w:color w:val="000000" w:themeColor="text1"/>
                <w:sz w:val="24"/>
                <w:szCs w:val="24"/>
                <w:highlight w:val="none"/>
                <w:lang w:val="en-US" w:eastAsia="zh-CN"/>
                <w14:textFill>
                  <w14:solidFill>
                    <w14:schemeClr w14:val="tx1"/>
                  </w14:solidFill>
                </w14:textFill>
              </w:rPr>
              <w:t>06</w:t>
            </w:r>
            <w:r>
              <w:rPr>
                <w:rFonts w:hint="eastAsia"/>
                <w:color w:val="000000" w:themeColor="text1"/>
                <w:sz w:val="24"/>
                <w:szCs w:val="24"/>
                <w:highlight w:val="none"/>
                <w14:textFill>
                  <w14:solidFill>
                    <w14:schemeClr w14:val="tx1"/>
                  </w14:solidFill>
                </w14:textFill>
              </w:rPr>
              <w:t>月-2025年01月，建设</w:t>
            </w:r>
            <w:r>
              <w:rPr>
                <w:color w:val="000000" w:themeColor="text1"/>
                <w:sz w:val="24"/>
                <w:szCs w:val="24"/>
                <w:highlight w:val="none"/>
                <w14:textFill>
                  <w14:solidFill>
                    <w14:schemeClr w14:val="tx1"/>
                  </w14:solidFill>
                </w14:textFill>
              </w:rPr>
              <w:t>总工期</w:t>
            </w:r>
            <w:r>
              <w:rPr>
                <w:rFonts w:hint="eastAsia"/>
                <w:color w:val="000000" w:themeColor="text1"/>
                <w:sz w:val="24"/>
                <w:szCs w:val="24"/>
                <w:highlight w:val="none"/>
                <w:lang w:val="en-US" w:eastAsia="zh-CN"/>
                <w14:textFill>
                  <w14:solidFill>
                    <w14:schemeClr w14:val="tx1"/>
                  </w14:solidFill>
                </w14:textFill>
              </w:rPr>
              <w:t>20</w:t>
            </w:r>
            <w:r>
              <w:rPr>
                <w:rFonts w:hint="eastAsia"/>
                <w:color w:val="000000" w:themeColor="text1"/>
                <w:sz w:val="24"/>
                <w:szCs w:val="24"/>
                <w:highlight w:val="none"/>
                <w14:textFill>
                  <w14:solidFill>
                    <w14:schemeClr w14:val="tx1"/>
                  </w14:solidFill>
                </w14:textFill>
              </w:rPr>
              <w:t>个月。</w:t>
            </w:r>
          </w:p>
          <w:p>
            <w:pPr>
              <w:pStyle w:val="15"/>
              <w:ind w:left="480" w:leftChars="200" w:firstLine="0" w:firstLineChars="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（5）建设内容及工程量</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本项目</w:t>
            </w:r>
            <w:r>
              <w:rPr>
                <w:rFonts w:hint="eastAsia"/>
                <w:color w:val="000000" w:themeColor="text1"/>
                <w:sz w:val="24"/>
                <w:szCs w:val="24"/>
                <w:highlight w:val="none"/>
                <w:lang w:eastAsia="zh-CN"/>
                <w14:textFill>
                  <w14:solidFill>
                    <w14:schemeClr w14:val="tx1"/>
                  </w14:solidFill>
                </w14:textFill>
              </w:rPr>
              <w:t>二</w:t>
            </w:r>
            <w:r>
              <w:rPr>
                <w:color w:val="000000" w:themeColor="text1"/>
                <w:sz w:val="24"/>
                <w:szCs w:val="24"/>
                <w:highlight w:val="none"/>
                <w14:textFill>
                  <w14:solidFill>
                    <w14:schemeClr w14:val="tx1"/>
                  </w14:solidFill>
                </w14:textFill>
              </w:rPr>
              <w:t>期实施区域为香山梁水园村北生态修复治理区（</w:t>
            </w:r>
            <w:r>
              <w:rPr>
                <w:rFonts w:hint="eastAsia"/>
                <w:color w:val="000000" w:themeColor="text1"/>
                <w:sz w:val="24"/>
                <w:szCs w:val="24"/>
                <w:highlight w:val="none"/>
                <w:lang w:val="en-US" w:eastAsia="zh-CN"/>
                <w14:textFill>
                  <w14:solidFill>
                    <w14:schemeClr w14:val="tx1"/>
                  </w14:solidFill>
                </w14:textFill>
              </w:rPr>
              <w:t>5</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val="en-US" w:eastAsia="zh-CN"/>
                <w14:textFill>
                  <w14:solidFill>
                    <w14:schemeClr w14:val="tx1"/>
                  </w14:solidFill>
                </w14:textFill>
              </w:rPr>
              <w:t>7</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val="en-US" w:eastAsia="zh-CN"/>
                <w14:textFill>
                  <w14:solidFill>
                    <w14:schemeClr w14:val="tx1"/>
                  </w14:solidFill>
                </w14:textFill>
              </w:rPr>
              <w:t>8</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9</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val="en-US" w:eastAsia="zh-CN"/>
                <w14:textFill>
                  <w14:solidFill>
                    <w14:schemeClr w14:val="tx1"/>
                  </w14:solidFill>
                </w14:textFill>
              </w:rPr>
              <w:t>10</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val="en-US" w:eastAsia="zh-CN"/>
                <w14:textFill>
                  <w14:solidFill>
                    <w14:schemeClr w14:val="tx1"/>
                  </w14:solidFill>
                </w14:textFill>
              </w:rPr>
              <w:t>11</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val="en-US" w:eastAsia="zh-CN"/>
                <w14:textFill>
                  <w14:solidFill>
                    <w14:schemeClr w14:val="tx1"/>
                  </w14:solidFill>
                </w14:textFill>
              </w:rPr>
              <w:t>12</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13</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eastAsia="zh-CN"/>
                <w14:textFill>
                  <w14:solidFill>
                    <w14:schemeClr w14:val="tx1"/>
                  </w14:solidFill>
                </w14:textFill>
              </w:rPr>
              <w:t>、</w:t>
            </w:r>
            <w:r>
              <w:rPr>
                <w:color w:val="000000" w:themeColor="text1"/>
                <w:sz w:val="24"/>
                <w:szCs w:val="24"/>
                <w:highlight w:val="none"/>
                <w14:textFill>
                  <w14:solidFill>
                    <w14:schemeClr w14:val="tx1"/>
                  </w14:solidFill>
                </w14:textFill>
              </w:rPr>
              <w:t>香山黄泉村</w:t>
            </w:r>
            <w:r>
              <w:rPr>
                <w:rFonts w:hint="eastAsia"/>
                <w:color w:val="000000" w:themeColor="text1"/>
                <w:sz w:val="24"/>
                <w:szCs w:val="24"/>
                <w:highlight w:val="none"/>
                <w:lang w:eastAsia="zh-CN"/>
                <w14:textFill>
                  <w14:solidFill>
                    <w14:schemeClr w14:val="tx1"/>
                  </w14:solidFill>
                </w14:textFill>
              </w:rPr>
              <w:t>一</w:t>
            </w:r>
            <w:r>
              <w:rPr>
                <w:color w:val="000000" w:themeColor="text1"/>
                <w:sz w:val="24"/>
                <w:szCs w:val="24"/>
                <w:highlight w:val="none"/>
                <w14:textFill>
                  <w14:solidFill>
                    <w14:schemeClr w14:val="tx1"/>
                  </w14:solidFill>
                </w14:textFill>
              </w:rPr>
              <w:t>采区生态修复治理区（1号治理点、2号治理点、3号治理点、4号治理点、5号治理点、</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val="en-US" w:eastAsia="zh-CN"/>
                <w14:textFill>
                  <w14:solidFill>
                    <w14:schemeClr w14:val="tx1"/>
                  </w14:solidFill>
                </w14:textFill>
              </w:rPr>
              <w:t>7</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eastAsia="zh-CN"/>
                <w14:textFill>
                  <w14:solidFill>
                    <w14:schemeClr w14:val="tx1"/>
                  </w14:solidFill>
                </w14:textFill>
              </w:rPr>
              <w:t>、</w:t>
            </w:r>
            <w:r>
              <w:rPr>
                <w:color w:val="000000" w:themeColor="text1"/>
                <w:sz w:val="24"/>
                <w:szCs w:val="24"/>
                <w:highlight w:val="none"/>
                <w14:textFill>
                  <w14:solidFill>
                    <w14:schemeClr w14:val="tx1"/>
                  </w14:solidFill>
                </w14:textFill>
              </w:rPr>
              <w:t>香山黄泉村</w:t>
            </w:r>
            <w:r>
              <w:rPr>
                <w:rFonts w:hint="eastAsia"/>
                <w:color w:val="000000" w:themeColor="text1"/>
                <w:sz w:val="24"/>
                <w:szCs w:val="24"/>
                <w:highlight w:val="none"/>
                <w:lang w:eastAsia="zh-CN"/>
                <w14:textFill>
                  <w14:solidFill>
                    <w14:schemeClr w14:val="tx1"/>
                  </w14:solidFill>
                </w14:textFill>
              </w:rPr>
              <w:t>二</w:t>
            </w:r>
            <w:r>
              <w:rPr>
                <w:color w:val="000000" w:themeColor="text1"/>
                <w:sz w:val="24"/>
                <w:szCs w:val="24"/>
                <w:highlight w:val="none"/>
                <w14:textFill>
                  <w14:solidFill>
                    <w14:schemeClr w14:val="tx1"/>
                  </w14:solidFill>
                </w14:textFill>
              </w:rPr>
              <w:t>采区生态修复治理区（</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号治理点</w:t>
            </w:r>
            <w:r>
              <w:rPr>
                <w:rFonts w:hint="eastAsia"/>
                <w:color w:val="000000" w:themeColor="text1"/>
                <w:sz w:val="24"/>
                <w:szCs w:val="24"/>
                <w:highlight w:val="none"/>
                <w:lang w:eastAsia="zh-CN"/>
                <w14:textFill>
                  <w14:solidFill>
                    <w14:schemeClr w14:val="tx1"/>
                  </w14:solidFill>
                </w14:textFill>
              </w:rPr>
              <w:t>）、</w:t>
            </w:r>
            <w:r>
              <w:rPr>
                <w:color w:val="000000" w:themeColor="text1"/>
                <w:sz w:val="24"/>
                <w:szCs w:val="24"/>
                <w:highlight w:val="none"/>
                <w14:textFill>
                  <w14:solidFill>
                    <w14:schemeClr w14:val="tx1"/>
                  </w14:solidFill>
                </w14:textFill>
              </w:rPr>
              <w:t>香山黄泉村</w:t>
            </w:r>
            <w:r>
              <w:rPr>
                <w:rFonts w:hint="eastAsia"/>
                <w:color w:val="000000" w:themeColor="text1"/>
                <w:sz w:val="24"/>
                <w:szCs w:val="24"/>
                <w:highlight w:val="none"/>
                <w:lang w:eastAsia="zh-CN"/>
                <w14:textFill>
                  <w14:solidFill>
                    <w14:schemeClr w14:val="tx1"/>
                  </w14:solidFill>
                </w14:textFill>
              </w:rPr>
              <w:t>三</w:t>
            </w:r>
            <w:r>
              <w:rPr>
                <w:color w:val="000000" w:themeColor="text1"/>
                <w:sz w:val="24"/>
                <w:szCs w:val="24"/>
                <w:highlight w:val="none"/>
                <w14:textFill>
                  <w14:solidFill>
                    <w14:schemeClr w14:val="tx1"/>
                  </w14:solidFill>
                </w14:textFill>
              </w:rPr>
              <w:t>采区生态修复治理区（1号治理点、2号治理点、3号治理点、4号治理点、5号治理点</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6"/>
                <w:sz w:val="24"/>
                <w:szCs w:val="24"/>
                <w:highlight w:val="none"/>
                <w14:textFill>
                  <w14:solidFill>
                    <w14:schemeClr w14:val="tx1"/>
                  </w14:solidFill>
                </w14:textFill>
              </w:rPr>
              <w:t>常乐镇原上</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游村西生态修复治理区</w:t>
            </w:r>
            <w:r>
              <w:rPr>
                <w:rFonts w:hint="default"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1号治理点</w:t>
            </w:r>
            <w:r>
              <w:rPr>
                <w:rFonts w:hint="default"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总</w:t>
            </w:r>
            <w:r>
              <w:rPr>
                <w:color w:val="000000" w:themeColor="text1"/>
                <w:sz w:val="24"/>
                <w:szCs w:val="24"/>
                <w:highlight w:val="none"/>
                <w14:textFill>
                  <w14:solidFill>
                    <w14:schemeClr w14:val="tx1"/>
                  </w14:solidFill>
                </w14:textFill>
              </w:rPr>
              <w:t>面积</w:t>
            </w:r>
            <w:r>
              <w:rPr>
                <w:rFonts w:hint="eastAsia"/>
                <w:color w:val="000000" w:themeColor="text1"/>
                <w:sz w:val="24"/>
                <w:szCs w:val="24"/>
                <w:highlight w:val="none"/>
                <w:lang w:val="en-US" w:eastAsia="zh-CN"/>
                <w14:textFill>
                  <w14:solidFill>
                    <w14:schemeClr w14:val="tx1"/>
                  </w14:solidFill>
                </w14:textFill>
              </w:rPr>
              <w:t>158.71h</w:t>
            </w:r>
            <w:r>
              <w:rPr>
                <w:color w:val="000000" w:themeColor="text1"/>
                <w:sz w:val="24"/>
                <w:szCs w:val="24"/>
                <w:highlight w:val="none"/>
                <w14:textFill>
                  <w14:solidFill>
                    <w14:schemeClr w14:val="tx1"/>
                  </w14:solidFill>
                </w14:textFill>
              </w:rPr>
              <w:t>m</w:t>
            </w:r>
            <w:r>
              <w:rPr>
                <w:color w:val="000000" w:themeColor="text1"/>
                <w:sz w:val="24"/>
                <w:szCs w:val="24"/>
                <w:highlight w:val="none"/>
                <w:vertAlign w:val="superscript"/>
                <w14:textFill>
                  <w14:solidFill>
                    <w14:schemeClr w14:val="tx1"/>
                  </w14:solidFill>
                </w14:textFill>
              </w:rPr>
              <w:t>2</w:t>
            </w:r>
            <w:r>
              <w:rPr>
                <w:color w:val="000000" w:themeColor="text1"/>
                <w:sz w:val="24"/>
                <w:szCs w:val="24"/>
                <w:highlight w:val="none"/>
                <w14:textFill>
                  <w14:solidFill>
                    <w14:schemeClr w14:val="tx1"/>
                  </w14:solidFill>
                </w14:textFill>
              </w:rPr>
              <w:t>，治理矿山点个数为</w:t>
            </w:r>
            <w:r>
              <w:rPr>
                <w:rFonts w:hint="eastAsia"/>
                <w:color w:val="000000" w:themeColor="text1"/>
                <w:sz w:val="24"/>
                <w:szCs w:val="24"/>
                <w:highlight w:val="none"/>
                <w:lang w:val="en-US" w:eastAsia="zh-CN"/>
                <w14:textFill>
                  <w14:solidFill>
                    <w14:schemeClr w14:val="tx1"/>
                  </w14:solidFill>
                </w14:textFill>
              </w:rPr>
              <w:t>23</w:t>
            </w:r>
            <w:r>
              <w:rPr>
                <w:color w:val="000000" w:themeColor="text1"/>
                <w:sz w:val="24"/>
                <w:szCs w:val="24"/>
                <w:highlight w:val="none"/>
                <w14:textFill>
                  <w14:solidFill>
                    <w14:schemeClr w14:val="tx1"/>
                  </w14:solidFill>
                </w14:textFill>
              </w:rPr>
              <w:t>个。</w:t>
            </w:r>
            <w:r>
              <w:rPr>
                <w:rFonts w:hint="eastAsia"/>
                <w:color w:val="000000" w:themeColor="text1"/>
                <w:sz w:val="24"/>
                <w:szCs w:val="24"/>
                <w:highlight w:val="none"/>
                <w14:textFill>
                  <w14:solidFill>
                    <w14:schemeClr w14:val="tx1"/>
                  </w14:solidFill>
                </w14:textFill>
              </w:rPr>
              <w:t>主要建设内容为废弃建筑物拆除148.45m</w:t>
            </w:r>
            <w:r>
              <w:rPr>
                <w:rFonts w:hint="eastAsia"/>
                <w:color w:val="000000" w:themeColor="text1"/>
                <w:sz w:val="24"/>
                <w:szCs w:val="24"/>
                <w:highlight w:val="none"/>
                <w:vertAlign w:val="super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边</w:t>
            </w:r>
            <w:r>
              <w:rPr>
                <w:rFonts w:hint="eastAsia"/>
                <w:color w:val="000000" w:themeColor="text1"/>
                <w:sz w:val="24"/>
                <w:szCs w:val="24"/>
                <w:highlight w:val="none"/>
                <w14:textFill>
                  <w14:solidFill>
                    <w14:schemeClr w14:val="tx1"/>
                  </w14:solidFill>
                </w14:textFill>
              </w:rPr>
              <w:t>坡坡角培土及凹陷处回填土方407517.94m</w:t>
            </w:r>
            <w:r>
              <w:rPr>
                <w:rFonts w:hint="eastAsia"/>
                <w:color w:val="000000" w:themeColor="text1"/>
                <w:sz w:val="24"/>
                <w:szCs w:val="24"/>
                <w:highlight w:val="none"/>
                <w:vertAlign w:val="super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，采坑回填和平整土方313755.88m</w:t>
            </w:r>
            <w:r>
              <w:rPr>
                <w:rFonts w:hint="eastAsia"/>
                <w:color w:val="000000" w:themeColor="text1"/>
                <w:sz w:val="24"/>
                <w:szCs w:val="24"/>
                <w:highlight w:val="none"/>
                <w:vertAlign w:val="super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，削高垫低土方1199860.08m</w:t>
            </w:r>
            <w:r>
              <w:rPr>
                <w:rFonts w:hint="eastAsia"/>
                <w:color w:val="000000" w:themeColor="text1"/>
                <w:sz w:val="24"/>
                <w:szCs w:val="24"/>
                <w:highlight w:val="none"/>
                <w:vertAlign w:val="super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，改造现状坑塘6座，栽植柠条144820墩，</w:t>
            </w:r>
            <w:r>
              <w:rPr>
                <w:rFonts w:hint="eastAsia"/>
                <w:color w:val="000000" w:themeColor="text1"/>
                <w:sz w:val="24"/>
                <w:szCs w:val="24"/>
                <w:highlight w:val="none"/>
                <w:lang w:eastAsia="zh-CN"/>
                <w14:textFill>
                  <w14:solidFill>
                    <w14:schemeClr w14:val="tx1"/>
                  </w14:solidFill>
                </w14:textFill>
              </w:rPr>
              <w:t>种</w:t>
            </w:r>
            <w:r>
              <w:rPr>
                <w:rFonts w:hint="eastAsia"/>
                <w:color w:val="000000" w:themeColor="text1"/>
                <w:sz w:val="24"/>
                <w:szCs w:val="24"/>
                <w:highlight w:val="none"/>
                <w14:textFill>
                  <w14:solidFill>
                    <w14:schemeClr w14:val="tx1"/>
                  </w14:solidFill>
                </w14:textFill>
              </w:rPr>
              <w:t>植文冠果</w:t>
            </w:r>
            <w:r>
              <w:rPr>
                <w:rFonts w:hint="eastAsia"/>
                <w:color w:val="000000" w:themeColor="text1"/>
                <w:sz w:val="24"/>
                <w:szCs w:val="24"/>
                <w:highlight w:val="none"/>
                <w:lang w:val="en-US" w:eastAsia="zh-CN"/>
                <w14:textFill>
                  <w14:solidFill>
                    <w14:schemeClr w14:val="tx1"/>
                  </w14:solidFill>
                </w14:textFill>
              </w:rPr>
              <w:t>3445</w:t>
            </w:r>
            <w:r>
              <w:rPr>
                <w:rFonts w:hint="eastAsia"/>
                <w:color w:val="000000" w:themeColor="text1"/>
                <w:sz w:val="24"/>
                <w:szCs w:val="24"/>
                <w:highlight w:val="none"/>
                <w14:textFill>
                  <w14:solidFill>
                    <w14:schemeClr w14:val="tx1"/>
                  </w14:solidFill>
                </w14:textFill>
              </w:rPr>
              <w:t>株，撒播草籽</w:t>
            </w:r>
            <w:r>
              <w:rPr>
                <w:rFonts w:hint="eastAsia"/>
                <w:color w:val="000000" w:themeColor="text1"/>
                <w:sz w:val="24"/>
                <w:szCs w:val="24"/>
                <w:highlight w:val="none"/>
                <w:lang w:val="en-US" w:eastAsia="zh-CN"/>
                <w14:textFill>
                  <w14:solidFill>
                    <w14:schemeClr w14:val="tx1"/>
                  </w14:solidFill>
                </w14:textFill>
              </w:rPr>
              <w:t>113</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，设置宣传牌5</w:t>
            </w:r>
            <w:r>
              <w:rPr>
                <w:rFonts w:hint="eastAsia"/>
                <w:color w:val="000000" w:themeColor="text1"/>
                <w:sz w:val="24"/>
                <w:szCs w:val="24"/>
                <w:highlight w:val="none"/>
                <w:lang w:eastAsia="zh-CN"/>
                <w14:textFill>
                  <w14:solidFill>
                    <w14:schemeClr w14:val="tx1"/>
                  </w14:solidFill>
                </w14:textFill>
              </w:rPr>
              <w:t>个</w:t>
            </w:r>
            <w:r>
              <w:rPr>
                <w:rFonts w:hint="eastAsia"/>
                <w:color w:val="000000" w:themeColor="text1"/>
                <w:sz w:val="24"/>
                <w:szCs w:val="24"/>
                <w:highlight w:val="none"/>
                <w14:textFill>
                  <w14:solidFill>
                    <w14:schemeClr w14:val="tx1"/>
                  </w14:solidFill>
                </w14:textFill>
              </w:rPr>
              <w:t>，新建</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个矿山盗采出入口高清视频监控点。</w:t>
            </w:r>
          </w:p>
          <w:p>
            <w:pPr>
              <w:pStyle w:val="15"/>
              <w:ind w:left="480" w:leftChars="200" w:firstLine="0" w:firstLineChars="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（6）主要目标</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①</w:t>
            </w:r>
            <w:r>
              <w:rPr>
                <w:color w:val="000000" w:themeColor="text1"/>
                <w:sz w:val="24"/>
                <w:szCs w:val="24"/>
                <w:highlight w:val="none"/>
                <w14:textFill>
                  <w14:solidFill>
                    <w14:schemeClr w14:val="tx1"/>
                  </w14:solidFill>
                </w14:textFill>
              </w:rPr>
              <w:t>项目生态修复治理面积</w:t>
            </w:r>
            <w:r>
              <w:rPr>
                <w:rFonts w:hint="eastAsia"/>
                <w:color w:val="000000" w:themeColor="text1"/>
                <w:sz w:val="24"/>
                <w:szCs w:val="24"/>
                <w:highlight w:val="none"/>
                <w:lang w:val="en-US" w:eastAsia="zh-CN"/>
                <w14:textFill>
                  <w14:solidFill>
                    <w14:schemeClr w14:val="tx1"/>
                  </w14:solidFill>
                </w14:textFill>
              </w:rPr>
              <w:t>158.71</w:t>
            </w:r>
            <w:r>
              <w:rPr>
                <w:color w:val="000000" w:themeColor="text1"/>
                <w:sz w:val="24"/>
                <w:szCs w:val="24"/>
                <w:highlight w:val="none"/>
                <w14:textFill>
                  <w14:solidFill>
                    <w14:schemeClr w14:val="tx1"/>
                  </w14:solidFill>
                </w14:textFill>
              </w:rPr>
              <w:t>hm</w:t>
            </w:r>
            <w:r>
              <w:rPr>
                <w:color w:val="000000" w:themeColor="text1"/>
                <w:sz w:val="24"/>
                <w:szCs w:val="24"/>
                <w:highlight w:val="none"/>
                <w:vertAlign w:val="superscript"/>
                <w14:textFill>
                  <w14:solidFill>
                    <w14:schemeClr w14:val="tx1"/>
                  </w14:solidFill>
                </w14:textFill>
              </w:rPr>
              <w:t>2</w:t>
            </w:r>
            <w:r>
              <w:rPr>
                <w:color w:val="000000" w:themeColor="text1"/>
                <w:sz w:val="24"/>
                <w:szCs w:val="24"/>
                <w:highlight w:val="none"/>
                <w14:textFill>
                  <w14:solidFill>
                    <w14:schemeClr w14:val="tx1"/>
                  </w14:solidFill>
                </w14:textFill>
              </w:rPr>
              <w:t>，通过地形地貌整治工程、植被恢复等工程，恢复矿区生态环境。</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②</w:t>
            </w:r>
            <w:r>
              <w:rPr>
                <w:color w:val="000000" w:themeColor="text1"/>
                <w:sz w:val="24"/>
                <w:szCs w:val="24"/>
                <w:highlight w:val="none"/>
                <w14:textFill>
                  <w14:solidFill>
                    <w14:schemeClr w14:val="tx1"/>
                  </w14:solidFill>
                </w14:textFill>
              </w:rPr>
              <w:t>通过对废弃矿山废弃建筑物拆除、</w:t>
            </w:r>
            <w:r>
              <w:rPr>
                <w:rFonts w:hint="eastAsia"/>
                <w:color w:val="000000" w:themeColor="text1"/>
                <w:sz w:val="24"/>
                <w:szCs w:val="24"/>
                <w:highlight w:val="none"/>
                <w:lang w:eastAsia="zh-CN"/>
                <w14:textFill>
                  <w14:solidFill>
                    <w14:schemeClr w14:val="tx1"/>
                  </w14:solidFill>
                </w14:textFill>
              </w:rPr>
              <w:t>边</w:t>
            </w:r>
            <w:r>
              <w:rPr>
                <w:color w:val="000000" w:themeColor="text1"/>
                <w:sz w:val="24"/>
                <w:szCs w:val="24"/>
                <w:highlight w:val="none"/>
                <w14:textFill>
                  <w14:solidFill>
                    <w14:schemeClr w14:val="tx1"/>
                  </w14:solidFill>
                </w14:textFill>
              </w:rPr>
              <w:t>坡角培土</w:t>
            </w:r>
            <w:r>
              <w:rPr>
                <w:rFonts w:hint="eastAsia"/>
                <w:color w:val="000000" w:themeColor="text1"/>
                <w:sz w:val="24"/>
                <w:szCs w:val="24"/>
                <w:highlight w:val="none"/>
                <w:lang w:eastAsia="zh-CN"/>
                <w14:textFill>
                  <w14:solidFill>
                    <w14:schemeClr w14:val="tx1"/>
                  </w14:solidFill>
                </w14:textFill>
              </w:rPr>
              <w:t>及凹陷处</w:t>
            </w:r>
            <w:r>
              <w:rPr>
                <w:color w:val="000000" w:themeColor="text1"/>
                <w:sz w:val="24"/>
                <w:szCs w:val="24"/>
                <w:highlight w:val="none"/>
                <w14:textFill>
                  <w14:solidFill>
                    <w14:schemeClr w14:val="tx1"/>
                  </w14:solidFill>
                </w14:textFill>
              </w:rPr>
              <w:t>回填、采坑回填、场地平整、覆土绿化、宣传警示等生态修复措施，从而恢复植被和破坏的地形地貌景观，防止水土流失，减轻地质灾害，消除生态环境安全隐患。</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③</w:t>
            </w:r>
            <w:r>
              <w:rPr>
                <w:color w:val="000000" w:themeColor="text1"/>
                <w:sz w:val="24"/>
                <w:szCs w:val="24"/>
                <w:highlight w:val="none"/>
                <w14:textFill>
                  <w14:solidFill>
                    <w14:schemeClr w14:val="tx1"/>
                  </w14:solidFill>
                </w14:textFill>
              </w:rPr>
              <w:t>通过普及保护生态环境的重要性，让当地居民更加注重对采矿后的土地修复，提高群众保护环境的意识，保障废弃矿山及修复工程不遭受人为破坏，达到长治久安的生态目标。</w:t>
            </w:r>
          </w:p>
          <w:p>
            <w:pPr>
              <w:pStyle w:val="5"/>
              <w:outlineLvl w:val="1"/>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3、项目</w:t>
            </w:r>
            <w:r>
              <w:rPr>
                <w:color w:val="000000" w:themeColor="text1"/>
                <w:sz w:val="24"/>
                <w:szCs w:val="24"/>
                <w:highlight w:val="none"/>
                <w14:textFill>
                  <w14:solidFill>
                    <w14:schemeClr w14:val="tx1"/>
                  </w14:solidFill>
                </w14:textFill>
              </w:rPr>
              <w:t>主要工程内容</w:t>
            </w:r>
          </w:p>
          <w:p>
            <w:pPr>
              <w:spacing w:line="360" w:lineRule="auto"/>
              <w:ind w:firstLine="480" w:firstLineChars="200"/>
              <w:jc w:val="left"/>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本项目主要工程内容见下表。</w:t>
            </w:r>
          </w:p>
          <w:p>
            <w:pPr>
              <w:pStyle w:val="7"/>
              <w:outlineLvl w:val="6"/>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14:textFill>
                  <w14:solidFill>
                    <w14:schemeClr w14:val="tx1"/>
                  </w14:solidFill>
                </w14:textFill>
              </w:rPr>
              <w:t>-2</w:t>
            </w:r>
            <w:r>
              <w:rPr>
                <w:color w:val="000000" w:themeColor="text1"/>
                <w:sz w:val="24"/>
                <w:szCs w:val="24"/>
                <w:highlight w:val="none"/>
                <w14:textFill>
                  <w14:solidFill>
                    <w14:schemeClr w14:val="tx1"/>
                  </w14:solidFill>
                </w14:textFill>
              </w:rPr>
              <w:t>生态修复建设内容一览表</w:t>
            </w:r>
          </w:p>
          <w:tbl>
            <w:tblPr>
              <w:tblStyle w:val="24"/>
              <w:tblW w:w="7888"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79"/>
              <w:gridCol w:w="513"/>
              <w:gridCol w:w="975"/>
              <w:gridCol w:w="582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类别</w:t>
                  </w: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建设内容</w:t>
                  </w:r>
                </w:p>
              </w:tc>
              <w:tc>
                <w:tcPr>
                  <w:tcW w:w="5821" w:type="dxa"/>
                  <w:tcBorders>
                    <w:tl2br w:val="nil"/>
                    <w:tr2bl w:val="nil"/>
                  </w:tcBorders>
                  <w:shd w:val="clear" w:color="auto" w:fill="auto"/>
                  <w:vAlign w:val="center"/>
                </w:tcPr>
                <w:p>
                  <w:pPr>
                    <w:pStyle w:val="15"/>
                    <w:spacing w:line="240" w:lineRule="auto"/>
                    <w:ind w:firstLine="360"/>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工程内容与规模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restart"/>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主体工程</w:t>
                  </w:r>
                </w:p>
              </w:tc>
              <w:tc>
                <w:tcPr>
                  <w:tcW w:w="513" w:type="dxa"/>
                  <w:vMerge w:val="restart"/>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地形地貌整治工程</w:t>
                  </w:r>
                </w:p>
              </w:tc>
              <w:tc>
                <w:tcPr>
                  <w:tcW w:w="975" w:type="dxa"/>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废弃建筑物拆除清运</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根据勘测成果，项目区存在多处废弃的建筑物，本次设计对废弃的建筑物采用推土机、挖掘机等进行机械拆除，拆除建筑垃圾用挖机装自卸汽车运输，运输至政府指定的</w:t>
                  </w:r>
                  <w:r>
                    <w:rPr>
                      <w:color w:val="000000" w:themeColor="text1"/>
                      <w:sz w:val="21"/>
                      <w:szCs w:val="21"/>
                      <w:highlight w:val="none"/>
                      <w14:textFill>
                        <w14:solidFill>
                          <w14:schemeClr w14:val="tx1"/>
                        </w14:solidFill>
                      </w14:textFill>
                    </w:rPr>
                    <w:t>建筑垃圾</w:t>
                  </w:r>
                  <w:r>
                    <w:rPr>
                      <w:rFonts w:hint="eastAsia"/>
                      <w:color w:val="000000" w:themeColor="text1"/>
                      <w:sz w:val="21"/>
                      <w:szCs w:val="21"/>
                      <w:highlight w:val="none"/>
                      <w14:textFill>
                        <w14:solidFill>
                          <w14:schemeClr w14:val="tx1"/>
                        </w14:solidFill>
                      </w14:textFill>
                    </w:rPr>
                    <w:t>填埋场，拆除</w:t>
                  </w:r>
                  <w:r>
                    <w:rPr>
                      <w:color w:val="000000" w:themeColor="text1"/>
                      <w:sz w:val="21"/>
                      <w:szCs w:val="21"/>
                      <w:highlight w:val="none"/>
                      <w14:textFill>
                        <w14:solidFill>
                          <w14:schemeClr w14:val="tx1"/>
                        </w14:solidFill>
                      </w14:textFill>
                    </w:rPr>
                    <w:t>的建筑垃圾量</w:t>
                  </w:r>
                  <w:r>
                    <w:rPr>
                      <w:rFonts w:hint="eastAsia"/>
                      <w:color w:val="000000" w:themeColor="text1"/>
                      <w:sz w:val="21"/>
                      <w:szCs w:val="21"/>
                      <w:highlight w:val="none"/>
                      <w14:textFill>
                        <w14:solidFill>
                          <w14:schemeClr w14:val="tx1"/>
                        </w14:solidFill>
                      </w14:textFill>
                    </w:rPr>
                    <w:t>148.45</w:t>
                  </w:r>
                  <w:r>
                    <w:rPr>
                      <w:rStyle w:val="29"/>
                      <w:rFonts w:hint="eastAsia"/>
                      <w:color w:val="000000" w:themeColor="text1"/>
                      <w:sz w:val="21"/>
                      <w:szCs w:val="21"/>
                      <w:highlight w:val="none"/>
                      <w14:textFill>
                        <w14:solidFill>
                          <w14:schemeClr w14:val="tx1"/>
                        </w14:solidFill>
                      </w14:textFill>
                    </w:rPr>
                    <w:t>m</w:t>
                  </w:r>
                  <w:r>
                    <w:rPr>
                      <w:rStyle w:val="29"/>
                      <w:rFonts w:hint="eastAsia"/>
                      <w:color w:val="000000" w:themeColor="text1"/>
                      <w:sz w:val="21"/>
                      <w:szCs w:val="21"/>
                      <w:highlight w:val="none"/>
                      <w:vertAlign w:val="superscript"/>
                      <w14:textFill>
                        <w14:solidFill>
                          <w14:schemeClr w14:val="tx1"/>
                        </w14:solidFill>
                      </w14:textFill>
                    </w:rPr>
                    <w:t>3</w:t>
                  </w:r>
                  <w:r>
                    <w:rPr>
                      <w:rFonts w:hint="eastAsia"/>
                      <w:color w:val="000000" w:themeColor="text1"/>
                      <w:sz w:val="21"/>
                      <w:szCs w:val="21"/>
                      <w:highlight w:val="none"/>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513"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975" w:type="dxa"/>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边坡坡脚培土及凹陷处回填</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治理区由于多年开采，形成高陡的护坡和护坡凹陷，高陡护坡上部存在裂缝滑塌现象，且坡脚被挖空，存在一定的地质灾害隐患，影响治理区内地貌景观以及生态自然修复。为消除安全隐患、修复地貌、促进生态自然修复，根据治理区地形地貌特点，对高陡护坡采取削坡放坡、护坡坡角培土及凹陷处回填，构建与周边地形地貌相协调的护坡、稳固的护坡。回填分级进行，每级台阶高度6-8m，坡比1:1.5，预留平台宽度3m，每级平台设2%-5%的反坡，在台阶外侧设置土埂，土埂高0.3m，底宽0.5m，顶宽0.3m。护坡坡角培土及凹陷处回填区域的土方进行压实，压实系数为0.60，护坡坡角培土及凹陷处回填土方407517.94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513"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975" w:type="dxa"/>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削高垫底</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由于矿山未按规范、设计合理开采，导致采坑大小不一，凌乱分布，占用土地资源及破坏地形地貌、土壤植被及景观。因此，结合区内地形条件，同时根据依坡就势原则，采用挖掘机结合推土机推土的措施进行整治，挖高填低，整体挖填整平，使场地整平后与周边地形地貌景观协调一致。削高垫低土石方共1199860.08m</w:t>
                  </w:r>
                  <w:r>
                    <w:rPr>
                      <w:rFonts w:hint="eastAsia"/>
                      <w:color w:val="000000" w:themeColor="text1"/>
                      <w:sz w:val="21"/>
                      <w:szCs w:val="21"/>
                      <w:highlight w:val="none"/>
                      <w:vertAlign w:val="superscript"/>
                      <w14:textFill>
                        <w14:solidFill>
                          <w14:schemeClr w14:val="tx1"/>
                        </w14:solidFill>
                      </w14:textFill>
                    </w:rPr>
                    <w:t>3</w:t>
                  </w:r>
                  <w:r>
                    <w:rPr>
                      <w:rFonts w:hint="eastAsia"/>
                      <w:color w:val="000000" w:themeColor="text1"/>
                      <w:sz w:val="21"/>
                      <w:szCs w:val="21"/>
                      <w:highlight w:val="none"/>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513"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975" w:type="dxa"/>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采坑回填及平整</w:t>
                  </w:r>
                </w:p>
              </w:tc>
              <w:tc>
                <w:tcPr>
                  <w:tcW w:w="5821" w:type="dxa"/>
                  <w:tcBorders>
                    <w:tl2br w:val="nil"/>
                    <w:tr2bl w:val="nil"/>
                  </w:tcBorders>
                  <w:shd w:val="clear" w:color="auto" w:fill="auto"/>
                  <w:vAlign w:val="center"/>
                </w:tcPr>
                <w:p>
                  <w:pPr>
                    <w:pStyle w:val="15"/>
                    <w:spacing w:line="240" w:lineRule="auto"/>
                    <w:ind w:firstLine="360"/>
                    <w:jc w:val="both"/>
                    <w:rPr>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回填土源来源周围削坡土方</w:t>
                  </w:r>
                  <w:r>
                    <w:rPr>
                      <w:rFonts w:hint="eastAsia" w:cs="Times New Roman"/>
                      <w:color w:val="000000" w:themeColor="text1"/>
                      <w:sz w:val="21"/>
                      <w:szCs w:val="21"/>
                      <w:highlight w:val="none"/>
                      <w:lang w:eastAsia="zh-CN"/>
                      <w14:textFill>
                        <w14:solidFill>
                          <w14:schemeClr w14:val="tx1"/>
                        </w14:solidFill>
                      </w14:textFill>
                    </w:rPr>
                    <w:t>和取土场净土</w:t>
                  </w:r>
                  <w:r>
                    <w:rPr>
                      <w:rFonts w:hint="default" w:ascii="Times New Roman" w:hAnsi="Times New Roman" w:cs="Times New Roman"/>
                      <w:color w:val="000000" w:themeColor="text1"/>
                      <w:sz w:val="21"/>
                      <w:szCs w:val="21"/>
                      <w:highlight w:val="none"/>
                      <w14:textFill>
                        <w14:solidFill>
                          <w14:schemeClr w14:val="tx1"/>
                        </w14:solidFill>
                      </w14:textFill>
                    </w:rPr>
                    <w:t>。采坑回填和平整土方共313755.88m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绿化覆土工程</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为</w:t>
                  </w:r>
                  <w:r>
                    <w:rPr>
                      <w:color w:val="000000" w:themeColor="text1"/>
                      <w:sz w:val="21"/>
                      <w:szCs w:val="21"/>
                      <w:highlight w:val="none"/>
                      <w14:textFill>
                        <w14:solidFill>
                          <w14:schemeClr w14:val="tx1"/>
                        </w14:solidFill>
                      </w14:textFill>
                    </w:rPr>
                    <w:t>满足绿化</w:t>
                  </w:r>
                  <w:r>
                    <w:rPr>
                      <w:rFonts w:hint="eastAsia"/>
                      <w:color w:val="000000" w:themeColor="text1"/>
                      <w:sz w:val="21"/>
                      <w:szCs w:val="21"/>
                      <w:highlight w:val="none"/>
                      <w14:textFill>
                        <w14:solidFill>
                          <w14:schemeClr w14:val="tx1"/>
                        </w14:solidFill>
                      </w14:textFill>
                    </w:rPr>
                    <w:t>覆土</w:t>
                  </w:r>
                  <w:r>
                    <w:rPr>
                      <w:color w:val="000000" w:themeColor="text1"/>
                      <w:sz w:val="21"/>
                      <w:szCs w:val="21"/>
                      <w:highlight w:val="none"/>
                      <w14:textFill>
                        <w14:solidFill>
                          <w14:schemeClr w14:val="tx1"/>
                        </w14:solidFill>
                      </w14:textFill>
                    </w:rPr>
                    <w:t>要求，</w:t>
                  </w:r>
                  <w:r>
                    <w:rPr>
                      <w:rFonts w:hint="eastAsia"/>
                      <w:color w:val="000000" w:themeColor="text1"/>
                      <w:sz w:val="21"/>
                      <w:szCs w:val="21"/>
                      <w:highlight w:val="none"/>
                      <w14:textFill>
                        <w14:solidFill>
                          <w14:schemeClr w14:val="tx1"/>
                        </w14:solidFill>
                      </w14:textFill>
                    </w:rPr>
                    <w:t>在</w:t>
                  </w:r>
                  <w:r>
                    <w:rPr>
                      <w:color w:val="000000" w:themeColor="text1"/>
                      <w:sz w:val="21"/>
                      <w:szCs w:val="21"/>
                      <w:highlight w:val="none"/>
                      <w14:textFill>
                        <w14:solidFill>
                          <w14:schemeClr w14:val="tx1"/>
                        </w14:solidFill>
                      </w14:textFill>
                    </w:rPr>
                    <w:t>项目治理区内设置</w:t>
                  </w:r>
                  <w:r>
                    <w:rPr>
                      <w:rFonts w:hint="eastAsia"/>
                      <w:color w:val="000000" w:themeColor="text1"/>
                      <w:sz w:val="21"/>
                      <w:szCs w:val="21"/>
                      <w:highlight w:val="none"/>
                      <w14:textFill>
                        <w14:solidFill>
                          <w14:schemeClr w14:val="tx1"/>
                        </w14:solidFill>
                      </w14:textFill>
                    </w:rPr>
                    <w:t>取土场取土</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并</w:t>
                  </w:r>
                  <w:r>
                    <w:rPr>
                      <w:color w:val="000000" w:themeColor="text1"/>
                      <w:sz w:val="21"/>
                      <w:szCs w:val="21"/>
                      <w:highlight w:val="none"/>
                      <w14:textFill>
                        <w14:solidFill>
                          <w14:schemeClr w14:val="tx1"/>
                        </w14:solidFill>
                      </w14:textFill>
                    </w:rPr>
                    <w:t>对</w:t>
                  </w:r>
                  <w:r>
                    <w:rPr>
                      <w:rFonts w:hint="eastAsia"/>
                      <w:color w:val="000000" w:themeColor="text1"/>
                      <w:sz w:val="21"/>
                      <w:szCs w:val="21"/>
                      <w:highlight w:val="none"/>
                      <w14:textFill>
                        <w14:solidFill>
                          <w14:schemeClr w14:val="tx1"/>
                        </w14:solidFill>
                      </w14:textFill>
                    </w:rPr>
                    <w:t>采场剥离和挖出的黄土进行</w:t>
                  </w:r>
                  <w:r>
                    <w:rPr>
                      <w:rFonts w:hint="eastAsia"/>
                      <w:color w:val="000000" w:themeColor="text1"/>
                      <w:sz w:val="21"/>
                      <w:szCs w:val="21"/>
                      <w:highlight w:val="none"/>
                      <w:lang w:eastAsia="zh-CN"/>
                      <w14:textFill>
                        <w14:solidFill>
                          <w14:schemeClr w14:val="tx1"/>
                        </w14:solidFill>
                      </w14:textFill>
                    </w:rPr>
                    <w:t>覆土</w:t>
                  </w:r>
                  <w:r>
                    <w:rPr>
                      <w:rFonts w:hint="eastAsia"/>
                      <w:color w:val="000000" w:themeColor="text1"/>
                      <w:sz w:val="21"/>
                      <w:szCs w:val="21"/>
                      <w:highlight w:val="none"/>
                      <w14:textFill>
                        <w14:solidFill>
                          <w14:schemeClr w14:val="tx1"/>
                        </w14:solidFill>
                      </w14:textFill>
                    </w:rPr>
                    <w:t>，覆土厚度为0.3m（栽植灌木区域灌木之间也进行覆土，栽植时采取坑穴换土）。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5821" w:type="dxa"/>
                  <w:tcBorders>
                    <w:tl2br w:val="nil"/>
                    <w:tr2bl w:val="nil"/>
                  </w:tcBorders>
                  <w:shd w:val="clear" w:color="auto" w:fill="auto"/>
                  <w:vAlign w:val="center"/>
                </w:tcPr>
                <w:p>
                  <w:pPr>
                    <w:pStyle w:val="15"/>
                    <w:spacing w:line="240" w:lineRule="auto"/>
                    <w:ind w:firstLine="360"/>
                    <w:rPr>
                      <w:rFonts w:hint="eastAsia" w:eastAsia="宋体"/>
                      <w:color w:val="000000" w:themeColor="text1"/>
                      <w:sz w:val="21"/>
                      <w:szCs w:val="21"/>
                      <w:highlight w:val="none"/>
                      <w:vertAlign w:val="baseli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治理区及周边土地类型主要为天然牧草地和灌木林地，因此治理区生态恢复方向为灌木林地和草地。整地覆土后栽植灌木和撒播草籽进行生态恢复。灌木选择适宜当地的文冠果、柠条、红柳。草籽选择扁穗冰草、沙蒿、梭梭草、短花针茅，采用撒播种草方式。共栽植柠条144820墩，种植文冠果3445株，撒播草籽113hm</w:t>
                  </w:r>
                  <w:r>
                    <w:rPr>
                      <w:rFonts w:hint="eastAsia"/>
                      <w:color w:val="000000" w:themeColor="text1"/>
                      <w:sz w:val="21"/>
                      <w:szCs w:val="21"/>
                      <w:highlight w:val="none"/>
                      <w:vertAlign w:val="superscript"/>
                      <w14:textFill>
                        <w14:solidFill>
                          <w14:schemeClr w14:val="tx1"/>
                        </w14:solidFill>
                      </w14:textFill>
                    </w:rPr>
                    <w:t>2</w:t>
                  </w:r>
                  <w:r>
                    <w:rPr>
                      <w:rFonts w:hint="eastAsia"/>
                      <w:color w:val="000000" w:themeColor="text1"/>
                      <w:sz w:val="21"/>
                      <w:szCs w:val="21"/>
                      <w:highlight w:val="none"/>
                      <w:vertAlign w:val="baseline"/>
                      <w:lang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坑塘工程</w:t>
                  </w:r>
                </w:p>
              </w:tc>
              <w:tc>
                <w:tcPr>
                  <w:tcW w:w="5821" w:type="dxa"/>
                  <w:tcBorders>
                    <w:tl2br w:val="nil"/>
                    <w:tr2bl w:val="nil"/>
                  </w:tcBorders>
                  <w:shd w:val="clear" w:color="auto" w:fill="auto"/>
                  <w:vAlign w:val="center"/>
                </w:tcPr>
                <w:p>
                  <w:pPr>
                    <w:pStyle w:val="15"/>
                    <w:spacing w:line="240" w:lineRule="auto"/>
                    <w:ind w:firstLine="360"/>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通过项目区近自然地形的构建、土体的近自然构建、保留部分有水源的采坑、改造部分有水源的采坑为坑塘等，最大限度蓄积天然降水，通过修建鱼鳞坑、反坡地形、挡水土埂等水土保持措施，改变微地形，雨水就地蓄积，为项目区植物和动物提供水资源。改造现状坑塘6座</w:t>
                  </w:r>
                  <w:r>
                    <w:rPr>
                      <w:rFonts w:hint="eastAsia"/>
                      <w:color w:val="000000" w:themeColor="text1"/>
                      <w:sz w:val="21"/>
                      <w:szCs w:val="21"/>
                      <w:highlight w:val="none"/>
                      <w:lang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restart"/>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辅助工程</w:t>
                  </w: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防护警示工程</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在治理点周围靠近道路等处布设生态修复宣传牌5处，以起到宣传、警示作用。宣传牌尺寸为5000mm×3000mm，支撑采用双立柱，埋地深800mm。基础长×宽×深：800×800×800mm，底座采用C20混凝土现浇或预制混凝土预埋件后现场埋设。基础开挖后原土夯实后作为基础持力层，通过预埋扣件与立柱牢固连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视频监控工程</w:t>
                  </w:r>
                </w:p>
              </w:tc>
              <w:tc>
                <w:tcPr>
                  <w:tcW w:w="5821" w:type="dxa"/>
                  <w:tcBorders>
                    <w:tl2br w:val="nil"/>
                    <w:tr2bl w:val="nil"/>
                  </w:tcBorders>
                  <w:shd w:val="clear" w:color="auto" w:fill="auto"/>
                  <w:vAlign w:val="center"/>
                </w:tcPr>
                <w:p>
                  <w:pPr>
                    <w:pStyle w:val="15"/>
                    <w:spacing w:line="240" w:lineRule="auto"/>
                    <w:ind w:firstLine="360"/>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新建</w:t>
                  </w:r>
                  <w:r>
                    <w:rPr>
                      <w:rFonts w:hint="eastAsia"/>
                      <w:color w:val="000000" w:themeColor="text1"/>
                      <w:sz w:val="21"/>
                      <w:szCs w:val="21"/>
                      <w:highlight w:val="none"/>
                      <w:lang w:val="en-US" w:eastAsia="zh-CN"/>
                      <w14:textFill>
                        <w14:solidFill>
                          <w14:schemeClr w14:val="tx1"/>
                        </w14:solidFill>
                      </w14:textFill>
                    </w:rPr>
                    <w:t>6</w:t>
                  </w:r>
                  <w:r>
                    <w:rPr>
                      <w:rFonts w:hint="eastAsia"/>
                      <w:color w:val="000000" w:themeColor="text1"/>
                      <w:sz w:val="21"/>
                      <w:szCs w:val="21"/>
                      <w:highlight w:val="none"/>
                      <w14:textFill>
                        <w14:solidFill>
                          <w14:schemeClr w14:val="tx1"/>
                        </w14:solidFill>
                      </w14:textFill>
                    </w:rPr>
                    <w:t>个矿山盗采出入口高清视频监控点</w:t>
                  </w:r>
                  <w:r>
                    <w:rPr>
                      <w:rFonts w:hint="eastAsia"/>
                      <w:color w:val="000000" w:themeColor="text1"/>
                      <w:sz w:val="21"/>
                      <w:szCs w:val="21"/>
                      <w:highlight w:val="none"/>
                      <w:lang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养护工程</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此次生态修复工程在植被修复工程完成后，对人工栽植的林灌木和草地区域，设计3年养护管期。管护内容为对治理区内种植的林灌木和草地进行浇水、施肥、松土、修剪、补植、更新和病虫害防治等的护养和管理。养护期过后，植被后期养护移交给当地政府部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施工便道</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施工道路利用废弃矿区现有道路进行修整，不新增临时占地修筑施工便道。</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restart"/>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临时工程</w:t>
                  </w: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取土场</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本项目需在香山梁水园村北治理区</w:t>
                  </w:r>
                  <w:r>
                    <w:rPr>
                      <w:rFonts w:hint="eastAsia"/>
                      <w:color w:val="000000" w:themeColor="text1"/>
                      <w:sz w:val="21"/>
                      <w:szCs w:val="21"/>
                      <w:highlight w:val="none"/>
                      <w:lang w:val="en-US" w:eastAsia="zh-CN"/>
                      <w14:textFill>
                        <w14:solidFill>
                          <w14:schemeClr w14:val="tx1"/>
                        </w14:solidFill>
                      </w14:textFill>
                    </w:rPr>
                    <w:t>12号治理区</w:t>
                  </w:r>
                  <w:r>
                    <w:rPr>
                      <w:rFonts w:hint="eastAsia"/>
                      <w:color w:val="000000" w:themeColor="text1"/>
                      <w:sz w:val="21"/>
                      <w:szCs w:val="21"/>
                      <w:highlight w:val="none"/>
                      <w14:textFill>
                        <w14:solidFill>
                          <w14:schemeClr w14:val="tx1"/>
                        </w14:solidFill>
                      </w14:textFill>
                    </w:rPr>
                    <w:t>设置取土场</w:t>
                  </w:r>
                  <w:r>
                    <w:rPr>
                      <w:rFonts w:hint="eastAsia"/>
                      <w:color w:val="000000" w:themeColor="text1"/>
                      <w:sz w:val="21"/>
                      <w:szCs w:val="21"/>
                      <w:highlight w:val="none"/>
                      <w:lang w:val="en-US" w:eastAsia="zh-CN"/>
                      <w14:textFill>
                        <w14:solidFill>
                          <w14:schemeClr w14:val="tx1"/>
                        </w14:solidFill>
                      </w14:textFill>
                    </w:rPr>
                    <w:t>2</w:t>
                  </w:r>
                  <w:r>
                    <w:rPr>
                      <w:rFonts w:hint="eastAsia"/>
                      <w:color w:val="000000" w:themeColor="text1"/>
                      <w:sz w:val="21"/>
                      <w:szCs w:val="21"/>
                      <w:highlight w:val="none"/>
                      <w14:textFill>
                        <w14:solidFill>
                          <w14:schemeClr w14:val="tx1"/>
                        </w14:solidFill>
                      </w14:textFill>
                    </w:rPr>
                    <w:t>个，取用的土方量均用于绿化覆土工程。取土</w:t>
                  </w:r>
                  <w:r>
                    <w:rPr>
                      <w:color w:val="000000" w:themeColor="text1"/>
                      <w:sz w:val="21"/>
                      <w:szCs w:val="21"/>
                      <w:highlight w:val="none"/>
                      <w14:textFill>
                        <w14:solidFill>
                          <w14:schemeClr w14:val="tx1"/>
                        </w14:solidFill>
                      </w14:textFill>
                    </w:rPr>
                    <w:t>量</w:t>
                  </w:r>
                  <w:r>
                    <w:rPr>
                      <w:rFonts w:hint="eastAsia"/>
                      <w:color w:val="000000" w:themeColor="text1"/>
                      <w:sz w:val="21"/>
                      <w:szCs w:val="21"/>
                      <w:highlight w:val="none"/>
                      <w:lang w:eastAsia="zh-CN"/>
                      <w14:textFill>
                        <w14:solidFill>
                          <w14:schemeClr w14:val="tx1"/>
                        </w14:solidFill>
                      </w14:textFill>
                    </w:rPr>
                    <w:t>为</w:t>
                  </w:r>
                  <w:r>
                    <w:rPr>
                      <w:rFonts w:hint="eastAsia"/>
                      <w:color w:val="000000" w:themeColor="text1"/>
                      <w:sz w:val="21"/>
                      <w:szCs w:val="21"/>
                      <w:highlight w:val="none"/>
                      <w:lang w:val="en-US" w:eastAsia="zh-CN" w:bidi="ar"/>
                      <w14:textFill>
                        <w14:solidFill>
                          <w14:schemeClr w14:val="tx1"/>
                        </w14:solidFill>
                      </w14:textFill>
                    </w:rPr>
                    <w:t>2.47</w:t>
                  </w:r>
                  <w:r>
                    <w:rPr>
                      <w:rFonts w:hint="eastAsia"/>
                      <w:color w:val="000000" w:themeColor="text1"/>
                      <w:sz w:val="21"/>
                      <w:szCs w:val="21"/>
                      <w:highlight w:val="none"/>
                      <w:lang w:bidi="ar"/>
                      <w14:textFill>
                        <w14:solidFill>
                          <w14:schemeClr w14:val="tx1"/>
                        </w14:solidFill>
                      </w14:textFill>
                    </w:rPr>
                    <w:t>万m</w:t>
                  </w:r>
                  <w:r>
                    <w:rPr>
                      <w:rFonts w:hint="eastAsia"/>
                      <w:color w:val="000000" w:themeColor="text1"/>
                      <w:sz w:val="21"/>
                      <w:szCs w:val="21"/>
                      <w:highlight w:val="none"/>
                      <w:vertAlign w:val="superscript"/>
                      <w:lang w:bidi="ar"/>
                      <w14:textFill>
                        <w14:solidFill>
                          <w14:schemeClr w14:val="tx1"/>
                        </w14:solidFill>
                      </w14:textFill>
                    </w:rPr>
                    <w:t>3</w:t>
                  </w:r>
                  <w:r>
                    <w:rPr>
                      <w:rFonts w:hint="eastAsia"/>
                      <w:color w:val="000000" w:themeColor="text1"/>
                      <w:sz w:val="21"/>
                      <w:szCs w:val="21"/>
                      <w:highlight w:val="none"/>
                      <w:lang w:bidi="ar"/>
                      <w14:textFill>
                        <w14:solidFill>
                          <w14:schemeClr w14:val="tx1"/>
                        </w14:solidFill>
                      </w14:textFill>
                    </w:rPr>
                    <w:t>，</w:t>
                  </w:r>
                  <w:r>
                    <w:rPr>
                      <w:rFonts w:hint="eastAsia"/>
                      <w:color w:val="000000" w:themeColor="text1"/>
                      <w:sz w:val="21"/>
                      <w:szCs w:val="21"/>
                      <w:highlight w:val="none"/>
                      <w:lang w:eastAsia="zh-CN" w:bidi="ar"/>
                      <w14:textFill>
                        <w14:solidFill>
                          <w14:schemeClr w14:val="tx1"/>
                        </w14:solidFill>
                      </w14:textFill>
                    </w:rPr>
                    <w:t>不在生态红线内设置取土场，</w:t>
                  </w:r>
                  <w:r>
                    <w:rPr>
                      <w:rFonts w:hint="eastAsia"/>
                      <w:color w:val="000000" w:themeColor="text1"/>
                      <w:sz w:val="21"/>
                      <w:szCs w:val="21"/>
                      <w:highlight w:val="none"/>
                      <w14:textFill>
                        <w14:solidFill>
                          <w14:schemeClr w14:val="tx1"/>
                        </w14:solidFill>
                      </w14:textFill>
                    </w:rPr>
                    <w:t>取土场具体位置见各个治理点分区图。</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施工营地</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本项目不设置施工营地，施工人员依托周边农户。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restart"/>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公用工程</w:t>
                  </w: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供水</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施工期用水主要为作业区抑尘用水、运输车辆轮胎冲洗用水。施工期用水由罐车运至施工场地。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供电</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施工期、运营期用电由</w:t>
                  </w:r>
                  <w:r>
                    <w:rPr>
                      <w:color w:val="000000" w:themeColor="text1"/>
                      <w:sz w:val="21"/>
                      <w:szCs w:val="21"/>
                      <w:highlight w:val="none"/>
                      <w14:textFill>
                        <w14:solidFill>
                          <w14:schemeClr w14:val="tx1"/>
                        </w14:solidFill>
                      </w14:textFill>
                    </w:rPr>
                    <w:t>附近</w:t>
                  </w:r>
                  <w:r>
                    <w:rPr>
                      <w:rFonts w:hint="eastAsia"/>
                      <w:color w:val="000000" w:themeColor="text1"/>
                      <w:sz w:val="21"/>
                      <w:szCs w:val="21"/>
                      <w:highlight w:val="none"/>
                      <w14:textFill>
                        <w14:solidFill>
                          <w14:schemeClr w14:val="tx1"/>
                        </w14:solidFill>
                      </w14:textFill>
                    </w:rPr>
                    <w:t>供电</w:t>
                  </w:r>
                  <w:r>
                    <w:rPr>
                      <w:color w:val="000000" w:themeColor="text1"/>
                      <w:sz w:val="21"/>
                      <w:szCs w:val="21"/>
                      <w:highlight w:val="none"/>
                      <w14:textFill>
                        <w14:solidFill>
                          <w14:schemeClr w14:val="tx1"/>
                        </w14:solidFill>
                      </w14:textFill>
                    </w:rPr>
                    <w:t>电网</w:t>
                  </w:r>
                  <w:r>
                    <w:rPr>
                      <w:rFonts w:hint="eastAsia"/>
                      <w:color w:val="000000" w:themeColor="text1"/>
                      <w:sz w:val="21"/>
                      <w:szCs w:val="21"/>
                      <w:highlight w:val="none"/>
                      <w14:textFill>
                        <w14:solidFill>
                          <w14:schemeClr w14:val="tx1"/>
                        </w14:solidFill>
                      </w14:textFill>
                    </w:rPr>
                    <w:t>接入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restart"/>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环保工程</w:t>
                  </w: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废气</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施工期产生的扬尘影响主要为治理区施工产生的扬尘、取土场扬尘</w:t>
                  </w:r>
                  <w:r>
                    <w:rPr>
                      <w:color w:val="000000" w:themeColor="text1"/>
                      <w:sz w:val="21"/>
                      <w:szCs w:val="21"/>
                      <w:highlight w:val="none"/>
                      <w14:textFill>
                        <w14:solidFill>
                          <w14:schemeClr w14:val="tx1"/>
                        </w14:solidFill>
                      </w14:textFill>
                    </w:rPr>
                    <w:t>及</w:t>
                  </w:r>
                  <w:r>
                    <w:rPr>
                      <w:rFonts w:hint="eastAsia"/>
                      <w:color w:val="000000" w:themeColor="text1"/>
                      <w:sz w:val="21"/>
                      <w:szCs w:val="21"/>
                      <w:highlight w:val="none"/>
                      <w14:textFill>
                        <w14:solidFill>
                          <w14:schemeClr w14:val="tx1"/>
                        </w14:solidFill>
                      </w14:textFill>
                    </w:rPr>
                    <w:t>运输过程产生的扬尘，经过洒水抑尘、合理分配取土位置，车辆封闭运输等措施，可减少扬尘对环境的影响。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废水</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施工期施工废水、车辆清洗废水经隔油沉淀池处理后，用于施工场地洒水降尘等，废水不外排；施工人员生活污水依托周边民居既有旱厕，本</w:t>
                  </w:r>
                  <w:r>
                    <w:rPr>
                      <w:color w:val="000000" w:themeColor="text1"/>
                      <w:sz w:val="21"/>
                      <w:szCs w:val="21"/>
                      <w:highlight w:val="none"/>
                      <w14:textFill>
                        <w14:solidFill>
                          <w14:schemeClr w14:val="tx1"/>
                        </w14:solidFill>
                      </w14:textFill>
                    </w:rPr>
                    <w:t xml:space="preserve">项目无生活污水产生。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噪声</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尽可能选取低噪声设备；加快施工进度，合理安排施工时间；运输车辆合理安排运输时间等。</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固废</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包括建筑垃圾和生活垃圾，建筑垃圾主要为拆除的废弃建筑物，拆除垃圾用挖机装自卸汽车运输，运输至政府指定的</w:t>
                  </w:r>
                  <w:r>
                    <w:rPr>
                      <w:color w:val="000000" w:themeColor="text1"/>
                      <w:sz w:val="21"/>
                      <w:szCs w:val="21"/>
                      <w:highlight w:val="none"/>
                      <w14:textFill>
                        <w14:solidFill>
                          <w14:schemeClr w14:val="tx1"/>
                        </w14:solidFill>
                      </w14:textFill>
                    </w:rPr>
                    <w:t>建筑垃圾</w:t>
                  </w:r>
                  <w:r>
                    <w:rPr>
                      <w:rFonts w:hint="eastAsia"/>
                      <w:color w:val="000000" w:themeColor="text1"/>
                      <w:sz w:val="21"/>
                      <w:szCs w:val="21"/>
                      <w:highlight w:val="none"/>
                      <w14:textFill>
                        <w14:solidFill>
                          <w14:schemeClr w14:val="tx1"/>
                        </w14:solidFill>
                      </w14:textFill>
                    </w:rPr>
                    <w:t>填埋场。生活垃圾集中收集，由施工单位组织收集统一外运至环卫部门指定地点。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77" w:hRule="atLeast"/>
              </w:trPr>
              <w:tc>
                <w:tcPr>
                  <w:tcW w:w="579" w:type="dxa"/>
                  <w:vMerge w:val="continue"/>
                  <w:tcBorders>
                    <w:tl2br w:val="nil"/>
                    <w:tr2bl w:val="nil"/>
                  </w:tcBorders>
                  <w:shd w:val="clear" w:color="auto" w:fill="auto"/>
                  <w:vAlign w:val="center"/>
                </w:tcPr>
                <w:p>
                  <w:pPr>
                    <w:spacing w:line="240" w:lineRule="auto"/>
                    <w:rPr>
                      <w:color w:val="000000" w:themeColor="text1"/>
                      <w:sz w:val="21"/>
                      <w:szCs w:val="21"/>
                      <w:highlight w:val="none"/>
                      <w14:textFill>
                        <w14:solidFill>
                          <w14:schemeClr w14:val="tx1"/>
                        </w14:solidFill>
                      </w14:textFill>
                    </w:rPr>
                  </w:pPr>
                </w:p>
              </w:tc>
              <w:tc>
                <w:tcPr>
                  <w:tcW w:w="1488" w:type="dxa"/>
                  <w:gridSpan w:val="2"/>
                  <w:tcBorders>
                    <w:tl2br w:val="nil"/>
                    <w:tr2bl w:val="nil"/>
                  </w:tcBorders>
                  <w:shd w:val="clear" w:color="auto" w:fill="auto"/>
                  <w:noWrap/>
                  <w:vAlign w:val="center"/>
                </w:tcPr>
                <w:p>
                  <w:pPr>
                    <w:spacing w:line="240" w:lineRule="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生态</w:t>
                  </w:r>
                </w:p>
              </w:tc>
              <w:tc>
                <w:tcPr>
                  <w:tcW w:w="5821" w:type="dxa"/>
                  <w:tcBorders>
                    <w:tl2br w:val="nil"/>
                    <w:tr2bl w:val="nil"/>
                  </w:tcBorders>
                  <w:shd w:val="clear" w:color="auto" w:fill="auto"/>
                  <w:vAlign w:val="center"/>
                </w:tcPr>
                <w:p>
                  <w:pPr>
                    <w:pStyle w:val="15"/>
                    <w:spacing w:line="240" w:lineRule="auto"/>
                    <w:ind w:firstLine="360"/>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施工完成后对施工区域</w:t>
                  </w:r>
                  <w:r>
                    <w:rPr>
                      <w:rFonts w:hint="eastAsia"/>
                      <w:color w:val="000000" w:themeColor="text1"/>
                      <w:sz w:val="21"/>
                      <w:szCs w:val="21"/>
                      <w:highlight w:val="none"/>
                      <w:lang w:eastAsia="zh-CN"/>
                      <w14:textFill>
                        <w14:solidFill>
                          <w14:schemeClr w14:val="tx1"/>
                        </w14:solidFill>
                      </w14:textFill>
                    </w:rPr>
                    <w:t>和取土场</w:t>
                  </w:r>
                  <w:r>
                    <w:rPr>
                      <w:rFonts w:hint="eastAsia"/>
                      <w:color w:val="000000" w:themeColor="text1"/>
                      <w:sz w:val="21"/>
                      <w:szCs w:val="21"/>
                      <w:highlight w:val="none"/>
                      <w14:textFill>
                        <w14:solidFill>
                          <w14:schemeClr w14:val="tx1"/>
                        </w14:solidFill>
                      </w14:textFill>
                    </w:rPr>
                    <w:t>进行生态绿化、植被恢复</w:t>
                  </w:r>
                  <w:r>
                    <w:rPr>
                      <w:rFonts w:hint="eastAsia"/>
                      <w:color w:val="000000" w:themeColor="text1"/>
                      <w:sz w:val="21"/>
                      <w:szCs w:val="21"/>
                      <w:highlight w:val="none"/>
                      <w:lang w:eastAsia="zh-CN"/>
                      <w14:textFill>
                        <w14:solidFill>
                          <w14:schemeClr w14:val="tx1"/>
                        </w14:solidFill>
                      </w14:textFill>
                    </w:rPr>
                    <w:t>措施</w:t>
                  </w:r>
                  <w:r>
                    <w:rPr>
                      <w:rFonts w:hint="eastAsia"/>
                      <w:color w:val="000000" w:themeColor="text1"/>
                      <w:sz w:val="21"/>
                      <w:szCs w:val="21"/>
                      <w:highlight w:val="none"/>
                      <w14:textFill>
                        <w14:solidFill>
                          <w14:schemeClr w14:val="tx1"/>
                        </w14:solidFill>
                      </w14:textFill>
                    </w:rPr>
                    <w:t>；此次生态修复工程在植被修复工程完成后，对</w:t>
                  </w:r>
                  <w:r>
                    <w:rPr>
                      <w:color w:val="000000" w:themeColor="text1"/>
                      <w:sz w:val="21"/>
                      <w:szCs w:val="21"/>
                      <w:highlight w:val="none"/>
                      <w14:textFill>
                        <w14:solidFill>
                          <w14:schemeClr w14:val="tx1"/>
                        </w14:solidFill>
                      </w14:textFill>
                    </w:rPr>
                    <w:t>人工栽植的林灌木和草地区域</w:t>
                  </w:r>
                  <w:r>
                    <w:rPr>
                      <w:rFonts w:hint="eastAsia"/>
                      <w:color w:val="000000" w:themeColor="text1"/>
                      <w:sz w:val="21"/>
                      <w:szCs w:val="21"/>
                      <w:highlight w:val="none"/>
                      <w14:textFill>
                        <w14:solidFill>
                          <w14:schemeClr w14:val="tx1"/>
                        </w14:solidFill>
                      </w14:textFill>
                    </w:rPr>
                    <w:t>进行3年</w:t>
                  </w:r>
                  <w:r>
                    <w:rPr>
                      <w:color w:val="000000" w:themeColor="text1"/>
                      <w:sz w:val="21"/>
                      <w:szCs w:val="21"/>
                      <w:highlight w:val="none"/>
                      <w14:textFill>
                        <w14:solidFill>
                          <w14:schemeClr w14:val="tx1"/>
                        </w14:solidFill>
                      </w14:textFill>
                    </w:rPr>
                    <w:t>管护管理，监测各区域林草措施保存率、生长状况及</w:t>
                  </w:r>
                  <w:r>
                    <w:rPr>
                      <w:rFonts w:hint="eastAsia"/>
                      <w:color w:val="000000" w:themeColor="text1"/>
                      <w:sz w:val="21"/>
                      <w:szCs w:val="21"/>
                      <w:highlight w:val="none"/>
                      <w14:textFill>
                        <w14:solidFill>
                          <w14:schemeClr w14:val="tx1"/>
                        </w14:solidFill>
                      </w14:textFill>
                    </w:rPr>
                    <w:t>覆盖度</w:t>
                  </w:r>
                  <w:r>
                    <w:rPr>
                      <w:color w:val="000000" w:themeColor="text1"/>
                      <w:sz w:val="21"/>
                      <w:szCs w:val="21"/>
                      <w:highlight w:val="none"/>
                      <w14:textFill>
                        <w14:solidFill>
                          <w14:schemeClr w14:val="tx1"/>
                        </w14:solidFill>
                      </w14:textFill>
                    </w:rPr>
                    <w:t>，及时对未成活植物进行补充。</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各治理点工程具体介绍如下：</w:t>
            </w:r>
          </w:p>
          <w:p>
            <w:pPr>
              <w:pStyle w:val="15"/>
              <w:numPr>
                <w:ilvl w:val="0"/>
                <w:numId w:val="3"/>
              </w:numPr>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香山梁水园村北生态修复治理区</w:t>
            </w:r>
          </w:p>
          <w:p>
            <w:pPr>
              <w:pStyle w:val="15"/>
              <w:widowControl w:val="0"/>
              <w:numPr>
                <w:ilvl w:val="0"/>
                <w:numId w:val="0"/>
              </w:numPr>
              <w:adjustRightInd w:val="0"/>
              <w:snapToGrid w:val="0"/>
              <w:spacing w:line="360" w:lineRule="auto"/>
              <w:ind w:firstLine="480" w:firstLineChars="200"/>
              <w:jc w:val="left"/>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香山梁水园村北生态修复治理区面积为122.25hm²，划分为9个治理点</w:t>
            </w:r>
            <w:r>
              <w:rPr>
                <w:rFonts w:hint="eastAsia"/>
                <w:color w:val="000000" w:themeColor="text1"/>
                <w:sz w:val="24"/>
                <w:szCs w:val="24"/>
                <w:highlight w:val="none"/>
                <w:lang w:eastAsia="zh-CN"/>
                <w14:textFill>
                  <w14:solidFill>
                    <w14:schemeClr w14:val="tx1"/>
                  </w14:solidFill>
                </w14:textFill>
              </w:rPr>
              <w:t>，具体工程建设内容如下：</w:t>
            </w:r>
          </w:p>
          <w:p>
            <w:pPr>
              <w:pStyle w:val="15"/>
              <w:bidi w:val="0"/>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color w:val="000000" w:themeColor="text1"/>
                <w:sz w:val="24"/>
                <w:szCs w:val="24"/>
                <w:highlight w:val="none"/>
                <w14:textFill>
                  <w14:solidFill>
                    <w14:schemeClr w14:val="tx1"/>
                  </w14:solidFill>
                </w14:textFill>
              </w:rPr>
              <w:t>香山梁水园村北</w:t>
            </w:r>
            <w:r>
              <w:rPr>
                <w:rFonts w:hint="eastAsia"/>
                <w:color w:val="000000" w:themeColor="text1"/>
                <w:highlight w:val="none"/>
                <w:lang w:val="en-US" w:eastAsia="zh-CN"/>
                <w14:textFill>
                  <w14:solidFill>
                    <w14:schemeClr w14:val="tx1"/>
                  </w14:solidFill>
                </w14:textFill>
              </w:rPr>
              <w:t>5号治理点</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19.86</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根据治理单元、现场实际情况及治理工程部署，将香山梁水园村北</w:t>
            </w:r>
            <w:r>
              <w:rPr>
                <w:rFonts w:hint="eastAsia"/>
                <w:color w:val="000000" w:themeColor="text1"/>
                <w:sz w:val="24"/>
                <w:szCs w:val="24"/>
                <w:highlight w:val="none"/>
                <w:lang w:val="en-US" w:eastAsia="zh-CN"/>
                <w14:textFill>
                  <w14:solidFill>
                    <w14:schemeClr w14:val="tx1"/>
                  </w14:solidFill>
                </w14:textFill>
              </w:rPr>
              <w:t>5</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039995" cy="2362835"/>
                  <wp:effectExtent l="0" t="0" r="8255" b="18415"/>
                  <wp:docPr id="180" name="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 180"/>
                          <pic:cNvPicPr>
                            <a:picLocks noChangeAspect="1"/>
                          </pic:cNvPicPr>
                        </pic:nvPicPr>
                        <pic:blipFill>
                          <a:blip r:embed="rId5"/>
                          <a:stretch>
                            <a:fillRect/>
                          </a:stretch>
                        </pic:blipFill>
                        <pic:spPr>
                          <a:xfrm>
                            <a:off x="0" y="0"/>
                            <a:ext cx="5039995" cy="2362835"/>
                          </a:xfrm>
                          <a:prstGeom prst="rect">
                            <a:avLst/>
                          </a:prstGeom>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 xml:space="preserve">图2-2 </w:t>
            </w:r>
            <w:r>
              <w:rPr>
                <w:rFonts w:hint="eastAsia"/>
                <w:color w:val="000000" w:themeColor="text1"/>
                <w:sz w:val="24"/>
                <w:szCs w:val="24"/>
                <w:highlight w:val="none"/>
                <w:lang w:val="en-US" w:eastAsia="zh-CN"/>
                <w14:textFill>
                  <w14:solidFill>
                    <w14:schemeClr w14:val="tx1"/>
                  </w14:solidFill>
                </w14:textFill>
              </w:rPr>
              <w:t xml:space="preserve">  </w:t>
            </w: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039995" cy="2458720"/>
                  <wp:effectExtent l="0" t="0" r="8255" b="17780"/>
                  <wp:docPr id="182" name="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 182"/>
                          <pic:cNvPicPr>
                            <a:picLocks noChangeAspect="1"/>
                          </pic:cNvPicPr>
                        </pic:nvPicPr>
                        <pic:blipFill>
                          <a:blip r:embed="rId6"/>
                          <a:stretch>
                            <a:fillRect/>
                          </a:stretch>
                        </pic:blipFill>
                        <pic:spPr>
                          <a:xfrm>
                            <a:off x="0" y="0"/>
                            <a:ext cx="5039995" cy="2458720"/>
                          </a:xfrm>
                          <a:prstGeom prst="rect">
                            <a:avLst/>
                          </a:prstGeom>
                        </pic:spPr>
                      </pic:pic>
                    </a:graphicData>
                  </a:graphic>
                </wp:inline>
              </w:drawing>
            </w:r>
          </w:p>
          <w:p>
            <w:pPr>
              <w:pStyle w:val="7"/>
              <w:outlineLvl w:val="6"/>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rFonts w:hint="eastAsia"/>
                <w:color w:val="000000" w:themeColor="text1"/>
                <w:sz w:val="24"/>
                <w:szCs w:val="24"/>
                <w:highlight w:val="none"/>
                <w:lang w:eastAsia="zh-CN"/>
                <w14:textFill>
                  <w14:solidFill>
                    <w14:schemeClr w14:val="tx1"/>
                  </w14:solidFill>
                </w14:textFill>
              </w:rPr>
              <w:t>剖面图</w:t>
            </w:r>
          </w:p>
          <w:p>
            <w:pPr>
              <w:pStyle w:val="1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根据生态修复措施、矿山地形现状、地表植被发育情况以及地表土壤分布状况，生态修复技术措施包括：护坡</w:t>
            </w:r>
            <w:r>
              <w:rPr>
                <w:color w:val="000000" w:themeColor="text1"/>
                <w:sz w:val="24"/>
                <w:szCs w:val="24"/>
                <w:highlight w:val="none"/>
                <w14:textFill>
                  <w14:solidFill>
                    <w14:schemeClr w14:val="tx1"/>
                  </w14:solidFill>
                </w14:textFill>
              </w:rPr>
              <w:t>坡角培土及凹陷处回填</w:t>
            </w:r>
            <w:r>
              <w:rPr>
                <w:rFonts w:hint="eastAsia"/>
                <w:color w:val="000000" w:themeColor="text1"/>
                <w:sz w:val="24"/>
                <w:szCs w:val="24"/>
                <w:highlight w:val="none"/>
                <w14:textFill>
                  <w14:solidFill>
                    <w14:schemeClr w14:val="tx1"/>
                  </w14:solidFill>
                </w14:textFill>
              </w:rPr>
              <w:t>、采坑回填、</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bidi w:val="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表2-3 </w:t>
            </w:r>
            <w:r>
              <w:rPr>
                <w:color w:val="000000" w:themeColor="text1"/>
                <w14:textFill>
                  <w14:solidFill>
                    <w14:schemeClr w14:val="tx1"/>
                  </w14:solidFill>
                </w14:textFill>
              </w:rPr>
              <w:t xml:space="preserve">  香山梁水园村北</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号治理点生态修复工程量统计</w:t>
            </w:r>
          </w:p>
          <w:tbl>
            <w:tblPr>
              <w:tblStyle w:val="25"/>
              <w:tblW w:w="7940"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2"/>
              <w:gridCol w:w="2443"/>
              <w:gridCol w:w="1285"/>
              <w:gridCol w:w="1215"/>
              <w:gridCol w:w="22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1285" w:type="dxa"/>
                  <w:tcBorders>
                    <w:tl2br w:val="nil"/>
                    <w:tr2bl w:val="nil"/>
                  </w:tcBorders>
                  <w:vAlign w:val="center"/>
                </w:tcPr>
                <w:p>
                  <w:pP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一</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护坡</w:t>
                  </w:r>
                  <w:r>
                    <w:rPr>
                      <w:color w:val="000000" w:themeColor="text1"/>
                      <w:sz w:val="21"/>
                      <w:szCs w:val="21"/>
                      <w:highlight w:val="none"/>
                      <w14:textFill>
                        <w14:solidFill>
                          <w14:schemeClr w14:val="tx1"/>
                        </w14:solidFill>
                      </w14:textFill>
                    </w:rPr>
                    <w:t>坡角培土及凹陷处回填</w:t>
                  </w:r>
                </w:p>
              </w:tc>
              <w:tc>
                <w:tcPr>
                  <w:tcW w:w="1285" w:type="dxa"/>
                  <w:tcBorders>
                    <w:tl2br w:val="nil"/>
                    <w:tr2bl w:val="nil"/>
                  </w:tcBorders>
                  <w:vAlign w:val="center"/>
                </w:tcPr>
                <w:p>
                  <w:pPr>
                    <w:spacing w:before="24" w:after="24"/>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368.57</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二</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采坑回填</w:t>
                  </w:r>
                </w:p>
              </w:tc>
              <w:tc>
                <w:tcPr>
                  <w:tcW w:w="1285" w:type="dxa"/>
                  <w:tcBorders>
                    <w:tl2br w:val="nil"/>
                    <w:tr2bl w:val="nil"/>
                  </w:tcBorders>
                  <w:vAlign w:val="center"/>
                </w:tcPr>
                <w:p>
                  <w:pPr>
                    <w:spacing w:before="24" w:after="24"/>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627.81</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三</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1285" w:type="dxa"/>
                  <w:tcBorders>
                    <w:tl2br w:val="nil"/>
                    <w:tr2bl w:val="nil"/>
                  </w:tcBorders>
                  <w:vAlign w:val="center"/>
                </w:tcPr>
                <w:p>
                  <w:pPr>
                    <w:spacing w:before="24" w:after="24"/>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1733.17</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四</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1285" w:type="dxa"/>
                  <w:tcBorders>
                    <w:tl2br w:val="nil"/>
                    <w:tr2bl w:val="nil"/>
                  </w:tcBorders>
                  <w:vAlign w:val="center"/>
                </w:tcPr>
                <w:p>
                  <w:pPr>
                    <w:spacing w:before="24" w:after="24"/>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1285" w:type="dxa"/>
                  <w:tcBorders>
                    <w:tl2br w:val="nil"/>
                    <w:tr2bl w:val="nil"/>
                  </w:tcBorders>
                  <w:vAlign w:val="center"/>
                </w:tcPr>
                <w:p>
                  <w:pPr>
                    <w:spacing w:before="24" w:after="24"/>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837.84</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五</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1285" w:type="dxa"/>
                  <w:tcBorders>
                    <w:tl2br w:val="nil"/>
                    <w:tr2bl w:val="nil"/>
                  </w:tcBorders>
                  <w:vAlign w:val="center"/>
                </w:tcPr>
                <w:p>
                  <w:pPr>
                    <w:spacing w:before="24" w:after="24"/>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移栽柠条</w:t>
                  </w:r>
                </w:p>
              </w:tc>
              <w:tc>
                <w:tcPr>
                  <w:tcW w:w="1285" w:type="dxa"/>
                  <w:tcBorders>
                    <w:tl2br w:val="nil"/>
                    <w:tr2bl w:val="nil"/>
                  </w:tcBorders>
                  <w:vAlign w:val="center"/>
                </w:tcPr>
                <w:p>
                  <w:pPr>
                    <w:spacing w:before="24" w:after="24"/>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墩</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24498</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（株</w:t>
                  </w:r>
                  <w:r>
                    <w:rPr>
                      <w:rFonts w:hint="eastAsia"/>
                      <w:color w:val="000000" w:themeColor="text1"/>
                      <w:sz w:val="21"/>
                      <w:szCs w:val="21"/>
                      <w:highlight w:val="none"/>
                      <w14:textFill>
                        <w14:solidFill>
                          <w14:schemeClr w14:val="tx1"/>
                        </w14:solidFill>
                      </w14:textFill>
                    </w:rPr>
                    <w:t>距</w:t>
                  </w:r>
                  <w:r>
                    <w:rPr>
                      <w:color w:val="000000" w:themeColor="text1"/>
                      <w:sz w:val="21"/>
                      <w:szCs w:val="21"/>
                      <w:highlight w:val="none"/>
                      <w14:textFill>
                        <w14:solidFill>
                          <w14:schemeClr w14:val="tx1"/>
                        </w14:solidFill>
                      </w14:textFill>
                    </w:rPr>
                    <w:t>1.00m×2.00m）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732"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2443" w:type="dxa"/>
                  <w:tcBorders>
                    <w:tl2br w:val="nil"/>
                    <w:tr2bl w:val="nil"/>
                  </w:tcBorders>
                  <w:vAlign w:val="center"/>
                </w:tcPr>
                <w:p>
                  <w:pPr>
                    <w:rPr>
                      <w:rFonts w:hint="eastAsia"/>
                      <w:color w:val="000000" w:themeColor="text1"/>
                      <w:vertAlign w:val="baseli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1285" w:type="dxa"/>
                  <w:tcBorders>
                    <w:tl2br w:val="nil"/>
                    <w:tr2bl w:val="nil"/>
                  </w:tcBorders>
                  <w:vAlign w:val="center"/>
                </w:tcPr>
                <w:p>
                  <w:pPr>
                    <w:spacing w:before="24" w:after="24"/>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1215" w:type="dxa"/>
                  <w:tcBorders>
                    <w:tl2br w:val="nil"/>
                    <w:tr2bl w:val="nil"/>
                  </w:tcBorders>
                  <w:vAlign w:val="center"/>
                </w:tcPr>
                <w:p>
                  <w:pP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263.76</w:t>
                  </w:r>
                </w:p>
              </w:tc>
              <w:tc>
                <w:tcPr>
                  <w:tcW w:w="2265" w:type="dxa"/>
                  <w:tcBorders>
                    <w:tl2br w:val="nil"/>
                    <w:tr2bl w:val="nil"/>
                  </w:tcBorders>
                  <w:vAlign w:val="center"/>
                </w:tcPr>
                <w:p>
                  <w:pPr>
                    <w:jc w:val="center"/>
                    <w:rPr>
                      <w:rFonts w:hint="eastAsia"/>
                      <w:color w:val="000000" w:themeColor="text1"/>
                      <w:vertAlign w:val="baseli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bidi w:val="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7.76</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根据治理单元、现场实际情况及治理工程部署，将香山梁水园村北</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194810" cy="2879725"/>
                  <wp:effectExtent l="0" t="0" r="15240" b="15875"/>
                  <wp:docPr id="75" name="图片 3"/>
                  <wp:cNvGraphicFramePr/>
                  <a:graphic xmlns:a="http://schemas.openxmlformats.org/drawingml/2006/main">
                    <a:graphicData uri="http://schemas.openxmlformats.org/drawingml/2006/picture">
                      <pic:pic xmlns:pic="http://schemas.openxmlformats.org/drawingml/2006/picture">
                        <pic:nvPicPr>
                          <pic:cNvPr id="75" name="图片 3"/>
                          <pic:cNvPicPr/>
                        </pic:nvPicPr>
                        <pic:blipFill>
                          <a:blip r:embed="rId7"/>
                          <a:stretch>
                            <a:fillRect/>
                          </a:stretch>
                        </pic:blipFill>
                        <pic:spPr>
                          <a:xfrm>
                            <a:off x="0" y="0"/>
                            <a:ext cx="4194810" cy="287972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根据生态修复措施、矿山地形现状、地表植被发育情况以及地表土壤分布状况，生态修复技术措施包括：废弃建筑拆除工程</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削高填低（削高填低及削坡降台）</w:t>
            </w:r>
            <w:r>
              <w:rPr>
                <w:rFonts w:hint="eastAsia"/>
                <w:color w:val="000000" w:themeColor="text1"/>
                <w:highlight w:val="none"/>
                <w14:textFill>
                  <w14:solidFill>
                    <w14:schemeClr w14:val="tx1"/>
                  </w14:solidFill>
                </w14:textFill>
              </w:rPr>
              <w:t>、绿化覆土、植被恢复工程等工程措施。</w:t>
            </w:r>
          </w:p>
          <w:p>
            <w:pPr>
              <w:pStyle w:val="1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香山梁水园村北</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3"/>
              <w:gridCol w:w="2487"/>
              <w:gridCol w:w="990"/>
              <w:gridCol w:w="1005"/>
              <w:gridCol w:w="25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13"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487"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90"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1005"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550"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tcBorders>
                    <w:tl2br w:val="nil"/>
                    <w:tr2bl w:val="nil"/>
                  </w:tcBorders>
                  <w:vAlign w:val="center"/>
                </w:tcPr>
                <w:p>
                  <w:pPr>
                    <w:widowControl/>
                    <w:jc w:val="center"/>
                    <w:textAlignment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487" w:type="dxa"/>
                  <w:tcBorders>
                    <w:tl2br w:val="nil"/>
                    <w:tr2bl w:val="nil"/>
                  </w:tcBorders>
                  <w:vAlign w:val="center"/>
                </w:tcPr>
                <w:p>
                  <w:pPr>
                    <w:widowControl/>
                    <w:jc w:val="center"/>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bidi="ar"/>
                      <w14:textFill>
                        <w14:solidFill>
                          <w14:schemeClr w14:val="tx1"/>
                        </w14:solidFill>
                      </w14:textFill>
                    </w:rPr>
                    <w:t>废弃建筑拆除工程</w:t>
                  </w:r>
                </w:p>
              </w:tc>
              <w:tc>
                <w:tcPr>
                  <w:tcW w:w="990" w:type="dxa"/>
                  <w:tcBorders>
                    <w:tl2br w:val="nil"/>
                    <w:tr2bl w:val="nil"/>
                  </w:tcBorders>
                  <w:vAlign w:val="center"/>
                </w:tcPr>
                <w:p>
                  <w:pPr>
                    <w:widowControl/>
                    <w:jc w:val="center"/>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m</w:t>
                  </w:r>
                  <w:r>
                    <w:rPr>
                      <w:rFonts w:hint="eastAsia"/>
                      <w:color w:val="000000" w:themeColor="text1"/>
                      <w:sz w:val="21"/>
                      <w:szCs w:val="21"/>
                      <w:highlight w:val="none"/>
                      <w:vertAlign w:val="superscript"/>
                      <w14:textFill>
                        <w14:solidFill>
                          <w14:schemeClr w14:val="tx1"/>
                        </w14:solidFill>
                      </w14:textFill>
                    </w:rPr>
                    <w:t>3</w:t>
                  </w:r>
                </w:p>
              </w:tc>
              <w:tc>
                <w:tcPr>
                  <w:tcW w:w="1005" w:type="dxa"/>
                  <w:tcBorders>
                    <w:tl2br w:val="nil"/>
                    <w:tr2bl w:val="nil"/>
                  </w:tcBorders>
                  <w:vAlign w:val="center"/>
                </w:tcPr>
                <w:p>
                  <w:pPr>
                    <w:widowControl/>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62.56</w:t>
                  </w:r>
                </w:p>
              </w:tc>
              <w:tc>
                <w:tcPr>
                  <w:tcW w:w="2550"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运输至</w:t>
                  </w:r>
                  <w:r>
                    <w:rPr>
                      <w:rFonts w:hint="eastAsia"/>
                      <w:color w:val="000000" w:themeColor="text1"/>
                      <w:sz w:val="21"/>
                      <w:szCs w:val="21"/>
                      <w:highlight w:val="none"/>
                      <w14:textFill>
                        <w14:solidFill>
                          <w14:schemeClr w14:val="tx1"/>
                        </w14:solidFill>
                      </w14:textFill>
                    </w:rPr>
                    <w:t>政府</w:t>
                  </w:r>
                  <w:r>
                    <w:rPr>
                      <w:color w:val="000000" w:themeColor="text1"/>
                      <w:sz w:val="21"/>
                      <w:szCs w:val="21"/>
                      <w:highlight w:val="none"/>
                      <w14:textFill>
                        <w14:solidFill>
                          <w14:schemeClr w14:val="tx1"/>
                        </w14:solidFill>
                      </w14:textFill>
                    </w:rPr>
                    <w:t>指定</w:t>
                  </w:r>
                  <w:r>
                    <w:rPr>
                      <w:rFonts w:hint="eastAsia"/>
                      <w:color w:val="000000" w:themeColor="text1"/>
                      <w:sz w:val="21"/>
                      <w:szCs w:val="21"/>
                      <w:highlight w:val="none"/>
                      <w14:textFill>
                        <w14:solidFill>
                          <w14:schemeClr w14:val="tx1"/>
                        </w14:solidFill>
                      </w14:textFill>
                    </w:rPr>
                    <w:t>的建筑垃圾</w:t>
                  </w:r>
                  <w:r>
                    <w:rPr>
                      <w:color w:val="000000" w:themeColor="text1"/>
                      <w:sz w:val="21"/>
                      <w:szCs w:val="21"/>
                      <w:highlight w:val="none"/>
                      <w14:textFill>
                        <w14:solidFill>
                          <w14:schemeClr w14:val="tx1"/>
                        </w14:solidFill>
                      </w14:textFill>
                    </w:rPr>
                    <w:t>填埋场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13" w:type="dxa"/>
                  <w:tcBorders>
                    <w:tl2br w:val="nil"/>
                    <w:tr2bl w:val="nil"/>
                  </w:tcBorders>
                  <w:vAlign w:val="center"/>
                </w:tcPr>
                <w:p>
                  <w:pPr>
                    <w:jc w:val="center"/>
                    <w:rPr>
                      <w:rFonts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s="Times New Roman"/>
                      <w:snapToGrid w:val="0"/>
                      <w:color w:val="000000" w:themeColor="text1"/>
                      <w:sz w:val="21"/>
                      <w:szCs w:val="21"/>
                      <w:highlight w:val="none"/>
                      <w:lang w:val="en-US" w:eastAsia="zh-CN" w:bidi="ar-SA"/>
                      <w14:textFill>
                        <w14:solidFill>
                          <w14:schemeClr w14:val="tx1"/>
                        </w14:solidFill>
                      </w14:textFill>
                    </w:rPr>
                    <w:t>二</w:t>
                  </w:r>
                </w:p>
              </w:tc>
              <w:tc>
                <w:tcPr>
                  <w:tcW w:w="2487" w:type="dxa"/>
                  <w:tcBorders>
                    <w:tl2br w:val="nil"/>
                    <w:tr2bl w:val="nil"/>
                  </w:tcBorders>
                  <w:vAlign w:val="center"/>
                </w:tcPr>
                <w:p>
                  <w:pPr>
                    <w:jc w:val="center"/>
                    <w:rPr>
                      <w:rFonts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90" w:type="dxa"/>
                  <w:tcBorders>
                    <w:tl2br w:val="nil"/>
                    <w:tr2bl w:val="nil"/>
                  </w:tcBorders>
                  <w:vAlign w:val="center"/>
                </w:tcPr>
                <w:p>
                  <w:pPr>
                    <w:jc w:val="center"/>
                    <w:rPr>
                      <w:rFonts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005" w:type="dxa"/>
                  <w:tcBorders>
                    <w:tl2br w:val="nil"/>
                    <w:tr2bl w:val="nil"/>
                  </w:tcBorders>
                  <w:vAlign w:val="center"/>
                </w:tcPr>
                <w:p>
                  <w:pPr>
                    <w:jc w:val="center"/>
                    <w:rPr>
                      <w:rFonts w:hint="default"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275.69</w:t>
                  </w:r>
                </w:p>
              </w:tc>
              <w:tc>
                <w:tcPr>
                  <w:tcW w:w="2550" w:type="dxa"/>
                  <w:tcBorders>
                    <w:tl2br w:val="nil"/>
                    <w:tr2bl w:val="nil"/>
                  </w:tcBorders>
                  <w:vAlign w:val="center"/>
                </w:tcPr>
                <w:p>
                  <w:pPr>
                    <w:jc w:val="center"/>
                    <w:rPr>
                      <w:rFonts w:hint="default"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s="Times New Roman"/>
                      <w:snapToGrid w:val="0"/>
                      <w:color w:val="000000" w:themeColor="text1"/>
                      <w:sz w:val="21"/>
                      <w:szCs w:val="21"/>
                      <w:highlight w:val="none"/>
                      <w:lang w:val="en-US" w:eastAsia="zh-CN" w:bidi="ar-SA"/>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13" w:type="dxa"/>
                  <w:tcBorders>
                    <w:tl2br w:val="nil"/>
                    <w:tr2bl w:val="nil"/>
                  </w:tcBorders>
                  <w:vAlign w:val="center"/>
                </w:tcPr>
                <w:p>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487"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90"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005"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550"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13" w:type="dxa"/>
                  <w:tcBorders>
                    <w:tl2br w:val="nil"/>
                    <w:tr2bl w:val="nil"/>
                  </w:tcBorders>
                  <w:vAlign w:val="center"/>
                </w:tcPr>
                <w:p>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487"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90" w:type="dxa"/>
                  <w:tcBorders>
                    <w:tl2br w:val="nil"/>
                    <w:tr2bl w:val="nil"/>
                  </w:tcBorders>
                  <w:vAlign w:val="center"/>
                </w:tcPr>
                <w:p>
                  <w:pPr>
                    <w:spacing w:before="24" w:after="24"/>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rFonts w:hint="eastAsia"/>
                      <w:color w:val="000000" w:themeColor="text1"/>
                      <w:sz w:val="21"/>
                      <w:szCs w:val="21"/>
                      <w:highlight w:val="none"/>
                      <w:vertAlign w:val="superscript"/>
                      <w14:textFill>
                        <w14:solidFill>
                          <w14:schemeClr w14:val="tx1"/>
                        </w14:solidFill>
                      </w14:textFill>
                    </w:rPr>
                    <w:t>3</w:t>
                  </w:r>
                </w:p>
              </w:tc>
              <w:tc>
                <w:tcPr>
                  <w:tcW w:w="1005" w:type="dxa"/>
                  <w:tcBorders>
                    <w:tl2br w:val="nil"/>
                    <w:tr2bl w:val="nil"/>
                  </w:tcBorders>
                  <w:vAlign w:val="center"/>
                </w:tcPr>
                <w:p>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266.37</w:t>
                  </w:r>
                </w:p>
              </w:tc>
              <w:tc>
                <w:tcPr>
                  <w:tcW w:w="2550"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13" w:type="dxa"/>
                  <w:tcBorders>
                    <w:tl2br w:val="nil"/>
                    <w:tr2bl w:val="nil"/>
                  </w:tcBorders>
                  <w:vAlign w:val="center"/>
                </w:tcPr>
                <w:p>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四</w:t>
                  </w:r>
                </w:p>
              </w:tc>
              <w:tc>
                <w:tcPr>
                  <w:tcW w:w="2487"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90" w:type="dxa"/>
                  <w:tcBorders>
                    <w:tl2br w:val="nil"/>
                    <w:tr2bl w:val="nil"/>
                  </w:tcBorders>
                  <w:vAlign w:val="center"/>
                </w:tcPr>
                <w:p>
                  <w:pPr>
                    <w:spacing w:before="24" w:after="24"/>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005"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550"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13"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487"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移栽柠条</w:t>
                  </w:r>
                </w:p>
              </w:tc>
              <w:tc>
                <w:tcPr>
                  <w:tcW w:w="990"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墩</w:t>
                  </w:r>
                </w:p>
              </w:tc>
              <w:tc>
                <w:tcPr>
                  <w:tcW w:w="1005" w:type="dxa"/>
                  <w:tcBorders>
                    <w:tl2br w:val="nil"/>
                    <w:tr2bl w:val="nil"/>
                  </w:tcBorders>
                  <w:vAlign w:val="center"/>
                </w:tcPr>
                <w:p>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16745</w:t>
                  </w:r>
                </w:p>
              </w:tc>
              <w:tc>
                <w:tcPr>
                  <w:tcW w:w="2550" w:type="dxa"/>
                  <w:tcBorders>
                    <w:tl2br w:val="nil"/>
                    <w:tr2bl w:val="nil"/>
                  </w:tcBorders>
                  <w:vAlign w:val="center"/>
                </w:tcPr>
                <w:p>
                  <w:pPr>
                    <w:ind w:right="360"/>
                    <w:jc w:val="both"/>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（株</w:t>
                  </w:r>
                  <w:r>
                    <w:rPr>
                      <w:rFonts w:hint="eastAsia"/>
                      <w:color w:val="000000" w:themeColor="text1"/>
                      <w:sz w:val="21"/>
                      <w:szCs w:val="21"/>
                      <w:highlight w:val="none"/>
                      <w14:textFill>
                        <w14:solidFill>
                          <w14:schemeClr w14:val="tx1"/>
                        </w14:solidFill>
                      </w14:textFill>
                    </w:rPr>
                    <w:t>距</w:t>
                  </w:r>
                  <w:r>
                    <w:rPr>
                      <w:color w:val="000000" w:themeColor="text1"/>
                      <w:sz w:val="21"/>
                      <w:szCs w:val="21"/>
                      <w:highlight w:val="none"/>
                      <w14:textFill>
                        <w14:solidFill>
                          <w14:schemeClr w14:val="tx1"/>
                        </w14:solidFill>
                      </w14:textFill>
                    </w:rPr>
                    <w:t>1.00m×2.00m）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13" w:type="dxa"/>
                  <w:tcBorders>
                    <w:tl2br w:val="nil"/>
                    <w:tr2bl w:val="nil"/>
                  </w:tcBorders>
                  <w:vAlign w:val="center"/>
                </w:tcPr>
                <w:p>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2487"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90" w:type="dxa"/>
                  <w:tcBorders>
                    <w:tl2br w:val="nil"/>
                    <w:tr2bl w:val="nil"/>
                  </w:tcBorders>
                  <w:vAlign w:val="center"/>
                </w:tcPr>
                <w:p>
                  <w:pPr>
                    <w:spacing w:before="24" w:after="24"/>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1005" w:type="dxa"/>
                  <w:tcBorders>
                    <w:tl2br w:val="nil"/>
                    <w:tr2bl w:val="nil"/>
                  </w:tcBorders>
                  <w:vAlign w:val="center"/>
                </w:tcPr>
                <w:p>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3.32</w:t>
                  </w:r>
                </w:p>
              </w:tc>
              <w:tc>
                <w:tcPr>
                  <w:tcW w:w="2550"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7</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8.43</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根据治理单元、现场实际情况及治理工程部署，现将香山梁水园村北</w:t>
            </w:r>
            <w:r>
              <w:rPr>
                <w:rFonts w:hint="eastAsia"/>
                <w:color w:val="000000" w:themeColor="text1"/>
                <w:sz w:val="24"/>
                <w:szCs w:val="24"/>
                <w:highlight w:val="none"/>
                <w:lang w:val="en-US" w:eastAsia="zh-CN"/>
                <w14:textFill>
                  <w14:solidFill>
                    <w14:schemeClr w14:val="tx1"/>
                  </w14:solidFill>
                </w14:textFill>
              </w:rPr>
              <w:t>7</w:t>
            </w:r>
            <w:r>
              <w:rPr>
                <w:color w:val="000000" w:themeColor="text1"/>
                <w:sz w:val="24"/>
                <w:szCs w:val="24"/>
                <w:highlight w:val="none"/>
                <w14:textFill>
                  <w14:solidFill>
                    <w14:schemeClr w14:val="tx1"/>
                  </w14:solidFill>
                </w14:textFill>
              </w:rPr>
              <w:t>号治理点地形地貌整治工程进行分区。</w:t>
            </w:r>
          </w:p>
          <w:p>
            <w:pPr>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39995" cy="2991485"/>
                  <wp:effectExtent l="0" t="0" r="8255" b="18415"/>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8"/>
                          <a:stretch>
                            <a:fillRect/>
                          </a:stretch>
                        </pic:blipFill>
                        <pic:spPr>
                          <a:xfrm>
                            <a:off x="0" y="0"/>
                            <a:ext cx="5039995" cy="299148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41265" cy="1202690"/>
                  <wp:effectExtent l="0" t="0" r="6985" b="1651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9"/>
                          <a:stretch>
                            <a:fillRect/>
                          </a:stretch>
                        </pic:blipFill>
                        <pic:spPr>
                          <a:xfrm>
                            <a:off x="0" y="0"/>
                            <a:ext cx="5041265" cy="1202690"/>
                          </a:xfrm>
                          <a:prstGeom prst="rect">
                            <a:avLst/>
                          </a:prstGeom>
                          <a:noFill/>
                          <a:ln>
                            <a:noFill/>
                          </a:ln>
                        </pic:spPr>
                      </pic:pic>
                    </a:graphicData>
                  </a:graphic>
                </wp:inline>
              </w:drawing>
            </w:r>
          </w:p>
          <w:p>
            <w:pPr>
              <w:pStyle w:val="2"/>
              <w:rPr>
                <w:b/>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41265" cy="1625600"/>
                  <wp:effectExtent l="0" t="0" r="6985" b="1270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10"/>
                          <a:stretch>
                            <a:fillRect/>
                          </a:stretch>
                        </pic:blipFill>
                        <pic:spPr>
                          <a:xfrm>
                            <a:off x="0" y="0"/>
                            <a:ext cx="5041265" cy="1625600"/>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根据生态修复措施、矿山地形现状、地表植被发育情况以及地表土壤分布状况，生态修复技术措施包括：护坡</w:t>
            </w:r>
            <w:r>
              <w:rPr>
                <w:color w:val="000000" w:themeColor="text1"/>
                <w:sz w:val="24"/>
                <w:szCs w:val="24"/>
                <w:highlight w:val="none"/>
                <w14:textFill>
                  <w14:solidFill>
                    <w14:schemeClr w14:val="tx1"/>
                  </w14:solidFill>
                </w14:textFill>
              </w:rPr>
              <w:t>坡角培土及凹陷处回填</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香山梁水园村北</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护坡</w:t>
                  </w:r>
                  <w:r>
                    <w:rPr>
                      <w:color w:val="000000" w:themeColor="text1"/>
                      <w:sz w:val="21"/>
                      <w:szCs w:val="21"/>
                      <w:highlight w:val="none"/>
                      <w14:textFill>
                        <w14:solidFill>
                          <w14:schemeClr w14:val="tx1"/>
                        </w14:solidFill>
                      </w14:textFill>
                    </w:rPr>
                    <w:t>坡角培土及凹陷处回填</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216.40</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708.95</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350.55</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四</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10.39</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8</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8.60</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8</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39995" cy="3802380"/>
                  <wp:effectExtent l="0" t="0" r="8255" b="7620"/>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11"/>
                          <a:stretch>
                            <a:fillRect/>
                          </a:stretch>
                        </pic:blipFill>
                        <pic:spPr>
                          <a:xfrm>
                            <a:off x="0" y="0"/>
                            <a:ext cx="5039995" cy="3802380"/>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41265" cy="2143125"/>
                  <wp:effectExtent l="0" t="0" r="6985" b="9525"/>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12"/>
                          <a:stretch>
                            <a:fillRect/>
                          </a:stretch>
                        </pic:blipFill>
                        <pic:spPr>
                          <a:xfrm>
                            <a:off x="0" y="0"/>
                            <a:ext cx="5041265" cy="2143125"/>
                          </a:xfrm>
                          <a:prstGeom prst="rect">
                            <a:avLst/>
                          </a:prstGeom>
                          <a:noFill/>
                          <a:ln>
                            <a:noFill/>
                          </a:ln>
                        </pic:spPr>
                      </pic:pic>
                    </a:graphicData>
                  </a:graphic>
                </wp:inline>
              </w:drawing>
            </w:r>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41265" cy="1469390"/>
                  <wp:effectExtent l="0" t="0" r="6985" b="16510"/>
                  <wp:docPr id="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13"/>
                          <a:stretch>
                            <a:fillRect/>
                          </a:stretch>
                        </pic:blipFill>
                        <pic:spPr>
                          <a:xfrm>
                            <a:off x="0" y="0"/>
                            <a:ext cx="5041265" cy="1469390"/>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、采坑回填、绿化覆土、植被恢复工程等工程措施。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采坑回填</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274.12</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546.85</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501</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3</w:t>
                  </w:r>
                  <w:r>
                    <w:rPr>
                      <w:rFonts w:hint="eastAsia"/>
                      <w:color w:val="000000" w:themeColor="text1"/>
                      <w:sz w:val="21"/>
                      <w:szCs w:val="21"/>
                      <w:highlight w:val="none"/>
                      <w14:textFill>
                        <w14:solidFill>
                          <w14:schemeClr w14:val="tx1"/>
                        </w14:solidFill>
                      </w14:textFill>
                    </w:rPr>
                    <w:t>9</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四</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移栽柠条</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墩</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4381</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（株</w:t>
                  </w:r>
                  <w:r>
                    <w:rPr>
                      <w:rFonts w:hint="eastAsia"/>
                      <w:color w:val="000000" w:themeColor="text1"/>
                      <w:sz w:val="21"/>
                      <w:szCs w:val="21"/>
                      <w:highlight w:val="none"/>
                      <w14:textFill>
                        <w14:solidFill>
                          <w14:schemeClr w14:val="tx1"/>
                        </w14:solidFill>
                      </w14:textFill>
                    </w:rPr>
                    <w:t>距</w:t>
                  </w:r>
                  <w:r>
                    <w:rPr>
                      <w:color w:val="000000" w:themeColor="text1"/>
                      <w:sz w:val="21"/>
                      <w:szCs w:val="21"/>
                      <w:highlight w:val="none"/>
                      <w14:textFill>
                        <w14:solidFill>
                          <w14:schemeClr w14:val="tx1"/>
                        </w14:solidFill>
                      </w14:textFill>
                    </w:rPr>
                    <w:t>1.00m×2.00m）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6.09</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9</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9</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6.65</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9</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6"/>
              <w:bidi w:val="0"/>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2879725"/>
                  <wp:effectExtent l="0" t="0" r="6350" b="15875"/>
                  <wp:docPr id="88" name="图片 10"/>
                  <wp:cNvGraphicFramePr/>
                  <a:graphic xmlns:a="http://schemas.openxmlformats.org/drawingml/2006/main">
                    <a:graphicData uri="http://schemas.openxmlformats.org/drawingml/2006/picture">
                      <pic:pic xmlns:pic="http://schemas.openxmlformats.org/drawingml/2006/picture">
                        <pic:nvPicPr>
                          <pic:cNvPr id="88" name="图片 10"/>
                          <pic:cNvPicPr/>
                        </pic:nvPicPr>
                        <pic:blipFill>
                          <a:blip r:embed="rId14"/>
                          <a:stretch>
                            <a:fillRect/>
                          </a:stretch>
                        </pic:blipFill>
                        <pic:spPr>
                          <a:xfrm>
                            <a:off x="0" y="0"/>
                            <a:ext cx="4679950" cy="287972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9</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9</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1113155"/>
                  <wp:effectExtent l="0" t="0" r="6350" b="10795"/>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15"/>
                          <a:stretch>
                            <a:fillRect/>
                          </a:stretch>
                        </pic:blipFill>
                        <pic:spPr>
                          <a:xfrm>
                            <a:off x="0" y="0"/>
                            <a:ext cx="4679950" cy="111315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10</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9</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根据生态修复措施、矿山地形现状、地表植被发育情况以及地表土壤分布状况，生态修复技术措施包括：护坡</w:t>
            </w:r>
            <w:r>
              <w:rPr>
                <w:color w:val="000000" w:themeColor="text1"/>
                <w:sz w:val="24"/>
                <w:szCs w:val="24"/>
                <w:highlight w:val="none"/>
                <w14:textFill>
                  <w14:solidFill>
                    <w14:schemeClr w14:val="tx1"/>
                  </w14:solidFill>
                </w14:textFill>
              </w:rPr>
              <w:t>坡角培土及凹陷处回填</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、采坑回填、绿化覆土、植被恢复工程等工程措施。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9</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护坡</w:t>
                  </w:r>
                  <w:r>
                    <w:rPr>
                      <w:color w:val="000000" w:themeColor="text1"/>
                      <w:sz w:val="21"/>
                      <w:szCs w:val="21"/>
                      <w:highlight w:val="none"/>
                      <w14:textFill>
                        <w14:solidFill>
                          <w14:schemeClr w14:val="tx1"/>
                        </w14:solidFill>
                      </w14:textFill>
                    </w:rPr>
                    <w:t>坡角培土及凹陷处回填</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34.99</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采坑回填</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102.43</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105.99</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四</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195.30</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五</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4.62</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10</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0</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0.77</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14:textFill>
                  <w14:solidFill>
                    <w14:schemeClr w14:val="tx1"/>
                  </w14:solidFill>
                </w14:textFill>
              </w:rPr>
              <w:t>香山梁水园村北</w:t>
            </w:r>
            <w:r>
              <w:rPr>
                <w:color w:val="000000" w:themeColor="text1"/>
                <w:sz w:val="24"/>
                <w:szCs w:val="24"/>
                <w:highlight w:val="none"/>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0</w:t>
            </w:r>
            <w:r>
              <w:rPr>
                <w:color w:val="000000" w:themeColor="text1"/>
                <w:sz w:val="24"/>
                <w:szCs w:val="24"/>
                <w:highlight w:val="none"/>
                <w14:textFill>
                  <w14:solidFill>
                    <w14:schemeClr w14:val="tx1"/>
                  </w14:solidFill>
                </w14:textFill>
              </w:rPr>
              <w:t>号治理点地形地貌整治工程进行分区。</w:t>
            </w:r>
          </w:p>
          <w:p>
            <w:pPr>
              <w:pStyle w:val="15"/>
              <w:ind w:firstLine="420"/>
              <w:rPr>
                <w:color w:val="000000" w:themeColor="text1"/>
                <w:sz w:val="24"/>
                <w:szCs w:val="24"/>
                <w:highlight w:val="none"/>
                <w14:textFill>
                  <w14:solidFill>
                    <w14:schemeClr w14:val="tx1"/>
                  </w14:solidFill>
                </w14:textFill>
              </w:rPr>
            </w:pPr>
          </w:p>
          <w:p>
            <w:pPr>
              <w:pStyle w:val="15"/>
              <w:ind w:firstLine="420"/>
              <w:rPr>
                <w:color w:val="000000" w:themeColor="text1"/>
                <w:sz w:val="24"/>
                <w:szCs w:val="24"/>
                <w:highlight w:val="none"/>
                <w14:textFill>
                  <w14:solidFill>
                    <w14:schemeClr w14:val="tx1"/>
                  </w14:solidFill>
                </w14:textFill>
              </w:rPr>
            </w:pPr>
          </w:p>
          <w:p>
            <w:pPr>
              <w:pStyle w:val="15"/>
              <w:ind w:firstLine="420"/>
              <w:rPr>
                <w:color w:val="000000" w:themeColor="text1"/>
                <w:sz w:val="24"/>
                <w:szCs w:val="24"/>
                <w:highlight w:val="none"/>
                <w14:textFill>
                  <w14:solidFill>
                    <w14:schemeClr w14:val="tx1"/>
                  </w14:solidFill>
                </w14:textFill>
              </w:rPr>
            </w:pPr>
          </w:p>
          <w:p>
            <w:pPr>
              <w:pStyle w:val="15"/>
              <w:ind w:firstLine="420"/>
              <w:rPr>
                <w:color w:val="000000" w:themeColor="text1"/>
                <w:sz w:val="24"/>
                <w:szCs w:val="24"/>
                <w:highlight w:val="none"/>
                <w14:textFill>
                  <w14:solidFill>
                    <w14:schemeClr w14:val="tx1"/>
                  </w14:solidFill>
                </w14:textFill>
              </w:rPr>
            </w:pPr>
          </w:p>
          <w:p>
            <w:pPr>
              <w:pStyle w:val="15"/>
              <w:ind w:firstLine="420"/>
              <w:rPr>
                <w:color w:val="000000" w:themeColor="text1"/>
                <w:sz w:val="24"/>
                <w:szCs w:val="24"/>
                <w:highlight w:val="none"/>
                <w14:textFill>
                  <w14:solidFill>
                    <w14:schemeClr w14:val="tx1"/>
                  </w14:solidFill>
                </w14:textFill>
              </w:rPr>
            </w:pPr>
          </w:p>
          <w:p>
            <w:pPr>
              <w:pStyle w:val="15"/>
              <w:ind w:firstLine="420"/>
              <w:rPr>
                <w:color w:val="000000" w:themeColor="text1"/>
                <w:sz w:val="24"/>
                <w:szCs w:val="24"/>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sz w:val="24"/>
                <w:szCs w:val="24"/>
                <w:highlight w:val="none"/>
                <w14:textFill>
                  <w14:solidFill>
                    <w14:schemeClr w14:val="tx1"/>
                  </w14:solidFill>
                </w14:textFill>
              </w:rPr>
            </w:pPr>
          </w:p>
          <w:p>
            <w:pPr>
              <w:pStyle w:val="3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922520" cy="3409950"/>
                  <wp:effectExtent l="0" t="0" r="11430" b="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6"/>
                          <a:stretch>
                            <a:fillRect/>
                          </a:stretch>
                        </pic:blipFill>
                        <pic:spPr>
                          <a:xfrm>
                            <a:off x="0" y="0"/>
                            <a:ext cx="4922520" cy="3409950"/>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11</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0</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0</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23.84</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25.20</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0.74</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11</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5.26</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14:textFill>
                  <w14:solidFill>
                    <w14:schemeClr w14:val="tx1"/>
                  </w14:solidFill>
                </w14:textFill>
              </w:rPr>
              <w:t>香山梁水园村北</w:t>
            </w:r>
            <w:r>
              <w:rPr>
                <w:color w:val="000000" w:themeColor="text1"/>
                <w:sz w:val="24"/>
                <w:szCs w:val="24"/>
                <w:highlight w:val="none"/>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1</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24655" cy="2879725"/>
                  <wp:effectExtent l="0" t="0" r="4445" b="15875"/>
                  <wp:docPr id="95" name="图片 14"/>
                  <wp:cNvGraphicFramePr/>
                  <a:graphic xmlns:a="http://schemas.openxmlformats.org/drawingml/2006/main">
                    <a:graphicData uri="http://schemas.openxmlformats.org/drawingml/2006/picture">
                      <pic:pic xmlns:pic="http://schemas.openxmlformats.org/drawingml/2006/picture">
                        <pic:nvPicPr>
                          <pic:cNvPr id="95" name="图片 14"/>
                          <pic:cNvPicPr/>
                        </pic:nvPicPr>
                        <pic:blipFill>
                          <a:blip r:embed="rId17"/>
                          <a:stretch>
                            <a:fillRect/>
                          </a:stretch>
                        </pic:blipFill>
                        <pic:spPr>
                          <a:xfrm>
                            <a:off x="0" y="0"/>
                            <a:ext cx="4224655" cy="287972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87850" cy="1800225"/>
                  <wp:effectExtent l="0" t="0" r="12700" b="9525"/>
                  <wp:docPr id="96" name="图片 15"/>
                  <wp:cNvGraphicFramePr/>
                  <a:graphic xmlns:a="http://schemas.openxmlformats.org/drawingml/2006/main">
                    <a:graphicData uri="http://schemas.openxmlformats.org/drawingml/2006/picture">
                      <pic:pic xmlns:pic="http://schemas.openxmlformats.org/drawingml/2006/picture">
                        <pic:nvPicPr>
                          <pic:cNvPr id="96" name="图片 15"/>
                          <pic:cNvPicPr/>
                        </pic:nvPicPr>
                        <pic:blipFill>
                          <a:blip r:embed="rId18"/>
                          <a:stretch>
                            <a:fillRect/>
                          </a:stretch>
                        </pic:blipFill>
                        <pic:spPr>
                          <a:xfrm>
                            <a:off x="0" y="0"/>
                            <a:ext cx="4387850" cy="1800225"/>
                          </a:xfrm>
                          <a:prstGeom prst="rect">
                            <a:avLst/>
                          </a:prstGeom>
                          <a:noFill/>
                          <a:ln>
                            <a:noFill/>
                          </a:ln>
                        </pic:spPr>
                      </pic:pic>
                    </a:graphicData>
                  </a:graphic>
                </wp:inline>
              </w:drawing>
            </w:r>
          </w:p>
          <w:p>
            <w:pPr>
              <w:pStyle w:val="7"/>
              <w:outlineLvl w:val="6"/>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13</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rFonts w:hint="eastAsia"/>
                <w:color w:val="000000" w:themeColor="text1"/>
                <w:sz w:val="24"/>
                <w:szCs w:val="24"/>
                <w:highlight w:val="none"/>
                <w:lang w:eastAsia="zh-CN"/>
                <w14:textFill>
                  <w14:solidFill>
                    <w14:schemeClr w14:val="tx1"/>
                  </w14:solidFill>
                </w14:textFill>
              </w:rPr>
              <w:t>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9</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边坡坡角培土及凹陷处回填</w:t>
                  </w:r>
                </w:p>
              </w:tc>
              <w:tc>
                <w:tcPr>
                  <w:tcW w:w="956" w:type="dxa"/>
                  <w:tcBorders>
                    <w:tl2br w:val="nil"/>
                    <w:tr2bl w:val="nil"/>
                  </w:tcBorders>
                  <w:vAlign w:val="center"/>
                </w:tcPr>
                <w:p>
                  <w:pPr>
                    <w:spacing w:before="24" w:after="24"/>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445.03</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100m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23.84</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140.40</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4.00</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、香山梁水园村北</w:t>
            </w:r>
            <w:r>
              <w:rPr>
                <w:color w:val="000000" w:themeColor="text1"/>
                <w:sz w:val="24"/>
                <w:szCs w:val="24"/>
                <w:highlight w:val="none"/>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2</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52.3</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14:textFill>
                  <w14:solidFill>
                    <w14:schemeClr w14:val="tx1"/>
                  </w14:solidFill>
                </w14:textFill>
              </w:rPr>
              <w:t>香山梁水园村北</w:t>
            </w:r>
            <w:r>
              <w:rPr>
                <w:color w:val="000000" w:themeColor="text1"/>
                <w:sz w:val="24"/>
                <w:szCs w:val="24"/>
                <w:highlight w:val="none"/>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2</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2879725"/>
                  <wp:effectExtent l="0" t="0" r="6350" b="15875"/>
                  <wp:docPr id="99" name="图片 16"/>
                  <wp:cNvGraphicFramePr/>
                  <a:graphic xmlns:a="http://schemas.openxmlformats.org/drawingml/2006/main">
                    <a:graphicData uri="http://schemas.openxmlformats.org/drawingml/2006/picture">
                      <pic:pic xmlns:pic="http://schemas.openxmlformats.org/drawingml/2006/picture">
                        <pic:nvPicPr>
                          <pic:cNvPr id="99" name="图片 16"/>
                          <pic:cNvPicPr/>
                        </pic:nvPicPr>
                        <pic:blipFill>
                          <a:blip r:embed="rId19"/>
                          <a:stretch>
                            <a:fillRect/>
                          </a:stretch>
                        </pic:blipFill>
                        <pic:spPr>
                          <a:xfrm>
                            <a:off x="0" y="0"/>
                            <a:ext cx="4679950" cy="287972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14</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30"/>
              <w:rPr>
                <w:color w:val="000000" w:themeColor="text1"/>
                <w:sz w:val="24"/>
                <w:szCs w:val="24"/>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4895850" cy="3505200"/>
                  <wp:effectExtent l="0" t="0" r="0" b="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20"/>
                          <a:stretch>
                            <a:fillRect/>
                          </a:stretch>
                        </pic:blipFill>
                        <pic:spPr>
                          <a:xfrm>
                            <a:off x="0" y="0"/>
                            <a:ext cx="4895850" cy="3505200"/>
                          </a:xfrm>
                          <a:prstGeom prst="rect">
                            <a:avLst/>
                          </a:prstGeom>
                          <a:noFill/>
                          <a:ln>
                            <a:noFill/>
                          </a:ln>
                        </pic:spPr>
                      </pic:pic>
                    </a:graphicData>
                  </a:graphic>
                </wp:inline>
              </w:drawing>
            </w:r>
          </w:p>
          <w:p>
            <w:pPr>
              <w:pStyle w:val="19"/>
              <w:rPr>
                <w:color w:val="000000" w:themeColor="text1"/>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 xml:space="preserve">                         取土场位于北12号治理点位置</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890135" cy="2160270"/>
                  <wp:effectExtent l="0" t="0" r="5715" b="11430"/>
                  <wp:docPr id="104" name="图片 21"/>
                  <wp:cNvGraphicFramePr/>
                  <a:graphic xmlns:a="http://schemas.openxmlformats.org/drawingml/2006/main">
                    <a:graphicData uri="http://schemas.openxmlformats.org/drawingml/2006/picture">
                      <pic:pic xmlns:pic="http://schemas.openxmlformats.org/drawingml/2006/picture">
                        <pic:nvPicPr>
                          <pic:cNvPr id="104" name="图片 21"/>
                          <pic:cNvPicPr/>
                        </pic:nvPicPr>
                        <pic:blipFill>
                          <a:blip r:embed="rId21"/>
                          <a:stretch>
                            <a:fillRect/>
                          </a:stretch>
                        </pic:blipFill>
                        <pic:spPr>
                          <a:xfrm>
                            <a:off x="0" y="0"/>
                            <a:ext cx="4890135" cy="2160270"/>
                          </a:xfrm>
                          <a:prstGeom prst="rect">
                            <a:avLst/>
                          </a:prstGeom>
                          <a:noFill/>
                          <a:ln>
                            <a:noFill/>
                          </a:ln>
                        </pic:spPr>
                      </pic:pic>
                    </a:graphicData>
                  </a:graphic>
                </wp:inline>
              </w:drawing>
            </w:r>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31410" cy="2160270"/>
                  <wp:effectExtent l="0" t="0" r="2540" b="11430"/>
                  <wp:docPr id="105" name="图片 22"/>
                  <wp:cNvGraphicFramePr/>
                  <a:graphic xmlns:a="http://schemas.openxmlformats.org/drawingml/2006/main">
                    <a:graphicData uri="http://schemas.openxmlformats.org/drawingml/2006/picture">
                      <pic:pic xmlns:pic="http://schemas.openxmlformats.org/drawingml/2006/picture">
                        <pic:nvPicPr>
                          <pic:cNvPr id="105" name="图片 22"/>
                          <pic:cNvPicPr/>
                        </pic:nvPicPr>
                        <pic:blipFill>
                          <a:blip r:embed="rId22"/>
                          <a:stretch>
                            <a:fillRect/>
                          </a:stretch>
                        </pic:blipFill>
                        <pic:spPr>
                          <a:xfrm>
                            <a:off x="0" y="0"/>
                            <a:ext cx="4931410" cy="2160270"/>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15</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highlight w:val="none"/>
                <w14:textFill>
                  <w14:solidFill>
                    <w14:schemeClr w14:val="tx1"/>
                  </w14:solidFill>
                </w14:textFill>
              </w:rPr>
              <w:t>1</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根据生态修复措施、矿山地形现状、地表植被发育情况以及地表土壤分布状况，生态修复技术措施包括：护坡</w:t>
            </w:r>
            <w:r>
              <w:rPr>
                <w:color w:val="000000" w:themeColor="text1"/>
                <w:sz w:val="24"/>
                <w:szCs w:val="24"/>
                <w:highlight w:val="none"/>
                <w14:textFill>
                  <w14:solidFill>
                    <w14:schemeClr w14:val="tx1"/>
                  </w14:solidFill>
                </w14:textFill>
              </w:rPr>
              <w:t>坡角培土及凹陷处回填</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、采坑回填、绿化覆土、</w:t>
            </w:r>
            <w:r>
              <w:rPr>
                <w:rFonts w:hint="eastAsia"/>
                <w:color w:val="000000" w:themeColor="text1"/>
                <w:sz w:val="24"/>
                <w:szCs w:val="24"/>
                <w:highlight w:val="none"/>
                <w:lang w:eastAsia="zh-CN"/>
                <w14:textFill>
                  <w14:solidFill>
                    <w14:schemeClr w14:val="tx1"/>
                  </w14:solidFill>
                </w14:textFill>
              </w:rPr>
              <w:t>坑塘工程、</w:t>
            </w:r>
            <w:r>
              <w:rPr>
                <w:rFonts w:hint="eastAsia"/>
                <w:color w:val="000000" w:themeColor="text1"/>
                <w:sz w:val="24"/>
                <w:szCs w:val="24"/>
                <w:highlight w:val="none"/>
                <w14:textFill>
                  <w14:solidFill>
                    <w14:schemeClr w14:val="tx1"/>
                  </w14:solidFill>
                </w14:textFill>
              </w:rPr>
              <w:t>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10</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护坡</w:t>
                  </w:r>
                  <w:r>
                    <w:rPr>
                      <w:color w:val="000000" w:themeColor="text1"/>
                      <w:sz w:val="21"/>
                      <w:szCs w:val="21"/>
                      <w:highlight w:val="none"/>
                      <w14:textFill>
                        <w14:solidFill>
                          <w14:schemeClr w14:val="tx1"/>
                        </w14:solidFill>
                      </w14:textFill>
                    </w:rPr>
                    <w:t>坡角培土及凹陷处回填</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3265.21</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采坑回填</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2458.94</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2728.73</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四</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r>
                    <w:rPr>
                      <w:rFonts w:hint="eastAsia"/>
                      <w:color w:val="000000" w:themeColor="text1"/>
                      <w:sz w:val="21"/>
                      <w:szCs w:val="21"/>
                      <w:highlight w:val="none"/>
                      <w:lang w:val="en-US" w:eastAsia="zh-CN"/>
                      <w14:textFill>
                        <w14:solidFill>
                          <w14:schemeClr w14:val="tx1"/>
                        </w14:solidFill>
                      </w14:textFill>
                    </w:rPr>
                    <w:t>9</w:t>
                  </w:r>
                  <w:r>
                    <w:rPr>
                      <w:color w:val="000000" w:themeColor="text1"/>
                      <w:sz w:val="21"/>
                      <w:szCs w:val="21"/>
                      <w:highlight w:val="none"/>
                      <w14:textFill>
                        <w14:solidFill>
                          <w14:schemeClr w14:val="tx1"/>
                        </w14:solidFill>
                      </w14:textFill>
                    </w:rPr>
                    <w:t>取土场</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75.02</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项目区内，用于绿化覆土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r>
                    <w:rPr>
                      <w:rFonts w:hint="eastAsia"/>
                      <w:color w:val="000000" w:themeColor="text1"/>
                      <w:sz w:val="21"/>
                      <w:szCs w:val="21"/>
                      <w:highlight w:val="none"/>
                      <w:lang w:val="en-US" w:eastAsia="zh-CN"/>
                      <w14:textFill>
                        <w14:solidFill>
                          <w14:schemeClr w14:val="tx1"/>
                        </w14:solidFill>
                      </w14:textFill>
                    </w:rPr>
                    <w:t>10</w:t>
                  </w:r>
                  <w:r>
                    <w:rPr>
                      <w:color w:val="000000" w:themeColor="text1"/>
                      <w:sz w:val="21"/>
                      <w:szCs w:val="21"/>
                      <w:highlight w:val="none"/>
                      <w14:textFill>
                        <w14:solidFill>
                          <w14:schemeClr w14:val="tx1"/>
                        </w14:solidFill>
                      </w14:textFill>
                    </w:rPr>
                    <w:t>取土场</w:t>
                  </w:r>
                </w:p>
              </w:tc>
              <w:tc>
                <w:tcPr>
                  <w:tcW w:w="956" w:type="dxa"/>
                  <w:tcBorders>
                    <w:tl2br w:val="nil"/>
                    <w:tr2bl w:val="nil"/>
                  </w:tcBorders>
                  <w:vAlign w:val="center"/>
                </w:tcPr>
                <w:p>
                  <w:pPr>
                    <w:spacing w:before="24" w:after="24"/>
                    <w:rPr>
                      <w:rFonts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101.46</w:t>
                  </w:r>
                </w:p>
              </w:tc>
              <w:tc>
                <w:tcPr>
                  <w:tcW w:w="2194" w:type="dxa"/>
                  <w:tcBorders>
                    <w:tl2br w:val="nil"/>
                    <w:tr2bl w:val="nil"/>
                  </w:tcBorders>
                  <w:vAlign w:val="center"/>
                </w:tcPr>
                <w:p>
                  <w:pPr>
                    <w:jc w:val="center"/>
                    <w:rPr>
                      <w:rFonts w:hint="eastAsia"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项目区内，用于绿化覆土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1840.75</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s="Times New Roman"/>
                      <w:snapToGrid w:val="0"/>
                      <w:color w:val="000000" w:themeColor="text1"/>
                      <w:sz w:val="21"/>
                      <w:szCs w:val="21"/>
                      <w:highlight w:val="none"/>
                      <w:lang w:val="en-US" w:eastAsia="zh-CN" w:bidi="ar-SA"/>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五</w:t>
                  </w:r>
                </w:p>
              </w:tc>
              <w:tc>
                <w:tcPr>
                  <w:tcW w:w="2955" w:type="dxa"/>
                  <w:tcBorders>
                    <w:tl2br w:val="nil"/>
                    <w:tr2bl w:val="nil"/>
                  </w:tcBorders>
                  <w:vAlign w:val="center"/>
                </w:tcPr>
                <w:p>
                  <w:pPr>
                    <w:rPr>
                      <w:rFonts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坑塘工程</w:t>
                  </w:r>
                </w:p>
              </w:tc>
              <w:tc>
                <w:tcPr>
                  <w:tcW w:w="956" w:type="dxa"/>
                  <w:tcBorders>
                    <w:tl2br w:val="nil"/>
                    <w:tr2bl w:val="nil"/>
                  </w:tcBorders>
                  <w:vAlign w:val="center"/>
                </w:tcPr>
                <w:p>
                  <w:pPr>
                    <w:spacing w:before="24" w:after="24"/>
                    <w:rPr>
                      <w:rFonts w:hint="default"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s="Times New Roman"/>
                      <w:snapToGrid w:val="0"/>
                      <w:color w:val="000000" w:themeColor="text1"/>
                      <w:sz w:val="21"/>
                      <w:szCs w:val="21"/>
                      <w:highlight w:val="none"/>
                      <w:lang w:val="en-US" w:eastAsia="zh-CN" w:bidi="ar-SA"/>
                      <w14:textFill>
                        <w14:solidFill>
                          <w14:schemeClr w14:val="tx1"/>
                        </w14:solidFill>
                      </w14:textFill>
                    </w:rPr>
                    <w:t>/</w:t>
                  </w:r>
                </w:p>
              </w:tc>
              <w:tc>
                <w:tcPr>
                  <w:tcW w:w="904" w:type="dxa"/>
                  <w:tcBorders>
                    <w:tl2br w:val="nil"/>
                    <w:tr2bl w:val="nil"/>
                  </w:tcBorders>
                  <w:vAlign w:val="center"/>
                </w:tcPr>
                <w:p>
                  <w:pPr>
                    <w:rPr>
                      <w:rFonts w:hint="default"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s="Times New Roman"/>
                      <w:snapToGrid w:val="0"/>
                      <w:color w:val="000000" w:themeColor="text1"/>
                      <w:sz w:val="21"/>
                      <w:szCs w:val="21"/>
                      <w:highlight w:val="none"/>
                      <w:lang w:val="en-US" w:eastAsia="zh-CN" w:bidi="ar-SA"/>
                      <w14:textFill>
                        <w14:solidFill>
                          <w14:schemeClr w14:val="tx1"/>
                        </w14:solidFill>
                      </w14:textFill>
                    </w:rPr>
                    <w:t>/</w:t>
                  </w:r>
                </w:p>
              </w:tc>
              <w:tc>
                <w:tcPr>
                  <w:tcW w:w="2194" w:type="dxa"/>
                  <w:tcBorders>
                    <w:tl2br w:val="nil"/>
                    <w:tr2bl w:val="nil"/>
                  </w:tcBorders>
                  <w:vAlign w:val="center"/>
                </w:tcPr>
                <w:p>
                  <w:pPr>
                    <w:jc w:val="center"/>
                    <w:rPr>
                      <w:rFonts w:hint="default"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s="Times New Roman"/>
                      <w:snapToGrid w:val="0"/>
                      <w:color w:val="000000" w:themeColor="text1"/>
                      <w:sz w:val="21"/>
                      <w:szCs w:val="21"/>
                      <w:highlight w:val="none"/>
                      <w:lang w:val="en-US" w:eastAsia="zh-CN" w:bidi="ar-SA"/>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955" w:type="dxa"/>
                  <w:tcBorders>
                    <w:tl2br w:val="nil"/>
                    <w:tr2bl w:val="nil"/>
                  </w:tcBorders>
                  <w:vAlign w:val="center"/>
                </w:tcPr>
                <w:p>
                  <w:pPr>
                    <w:rPr>
                      <w:rFonts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坑塘</w:t>
                  </w:r>
                </w:p>
              </w:tc>
              <w:tc>
                <w:tcPr>
                  <w:tcW w:w="956" w:type="dxa"/>
                  <w:tcBorders>
                    <w:tl2br w:val="nil"/>
                    <w:tr2bl w:val="nil"/>
                  </w:tcBorders>
                  <w:vAlign w:val="center"/>
                </w:tcPr>
                <w:p>
                  <w:pPr>
                    <w:spacing w:before="24" w:after="24"/>
                    <w:rPr>
                      <w:rFonts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座</w:t>
                  </w:r>
                </w:p>
              </w:tc>
              <w:tc>
                <w:tcPr>
                  <w:tcW w:w="904" w:type="dxa"/>
                  <w:tcBorders>
                    <w:tl2br w:val="nil"/>
                    <w:tr2bl w:val="nil"/>
                  </w:tcBorders>
                  <w:vAlign w:val="center"/>
                </w:tcPr>
                <w:p>
                  <w:pPr>
                    <w:rPr>
                      <w:rFonts w:hint="eastAsia"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2194" w:type="dxa"/>
                  <w:tcBorders>
                    <w:tl2br w:val="nil"/>
                    <w:tr2bl w:val="nil"/>
                  </w:tcBorders>
                  <w:vAlign w:val="center"/>
                </w:tcPr>
                <w:p>
                  <w:pPr>
                    <w:jc w:val="left"/>
                    <w:rPr>
                      <w:rFonts w:ascii="Times New Roman" w:hAnsi="Times New Roman" w:eastAsia="宋体" w:cs="Times New Roman"/>
                      <w:snapToGrid w:val="0"/>
                      <w:color w:val="000000" w:themeColor="text1"/>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坑塘池顶尺寸60m×25m，池底尺寸44m×3m，池深4m，设计内</w:t>
                  </w:r>
                  <w:r>
                    <w:rPr>
                      <w:rFonts w:hint="eastAsia"/>
                      <w:color w:val="000000" w:themeColor="text1"/>
                      <w:sz w:val="21"/>
                      <w:szCs w:val="21"/>
                      <w:highlight w:val="none"/>
                      <w14:textFill>
                        <w14:solidFill>
                          <w14:schemeClr w14:val="tx1"/>
                        </w14:solidFill>
                      </w14:textFill>
                    </w:rPr>
                    <w:t>护坡</w:t>
                  </w:r>
                  <w:r>
                    <w:rPr>
                      <w:color w:val="000000" w:themeColor="text1"/>
                      <w:sz w:val="21"/>
                      <w:szCs w:val="21"/>
                      <w:highlight w:val="none"/>
                      <w14:textFill>
                        <w14:solidFill>
                          <w14:schemeClr w14:val="tx1"/>
                        </w14:solidFill>
                      </w14:textFill>
                    </w:rPr>
                    <w:t>1:2.5，顶宽3.0m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六</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移栽柠条</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墩</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51137</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（株</w:t>
                  </w:r>
                  <w:r>
                    <w:rPr>
                      <w:rFonts w:hint="eastAsia"/>
                      <w:color w:val="000000" w:themeColor="text1"/>
                      <w:sz w:val="21"/>
                      <w:szCs w:val="21"/>
                      <w:highlight w:val="none"/>
                      <w14:textFill>
                        <w14:solidFill>
                          <w14:schemeClr w14:val="tx1"/>
                        </w14:solidFill>
                      </w14:textFill>
                    </w:rPr>
                    <w:t>距</w:t>
                  </w:r>
                  <w:r>
                    <w:rPr>
                      <w:color w:val="000000" w:themeColor="text1"/>
                      <w:sz w:val="21"/>
                      <w:szCs w:val="21"/>
                      <w:highlight w:val="none"/>
                      <w14:textFill>
                        <w14:solidFill>
                          <w14:schemeClr w14:val="tx1"/>
                        </w14:solidFill>
                      </w14:textFill>
                    </w:rPr>
                    <w:t>1.00m×2.00m）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38.63</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9</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13</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rFonts w:hint="eastAsia"/>
                <w:color w:val="000000" w:themeColor="text1"/>
                <w:highlight w:val="none"/>
                <w:lang w:val="en-US"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5.37</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13</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2879725"/>
                  <wp:effectExtent l="0" t="0" r="6350" b="15875"/>
                  <wp:docPr id="110" name="图片 25"/>
                  <wp:cNvGraphicFramePr/>
                  <a:graphic xmlns:a="http://schemas.openxmlformats.org/drawingml/2006/main">
                    <a:graphicData uri="http://schemas.openxmlformats.org/drawingml/2006/picture">
                      <pic:pic xmlns:pic="http://schemas.openxmlformats.org/drawingml/2006/picture">
                        <pic:nvPicPr>
                          <pic:cNvPr id="110" name="图片 25"/>
                          <pic:cNvPicPr/>
                        </pic:nvPicPr>
                        <pic:blipFill>
                          <a:blip r:embed="rId23"/>
                          <a:stretch>
                            <a:fillRect/>
                          </a:stretch>
                        </pic:blipFill>
                        <pic:spPr>
                          <a:xfrm>
                            <a:off x="0" y="0"/>
                            <a:ext cx="4679950" cy="287972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16</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香山梁水园村北1</w:t>
            </w: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w:t>
            </w:r>
            <w:r>
              <w:rPr>
                <w:color w:val="000000" w:themeColor="text1"/>
                <w:sz w:val="24"/>
                <w:szCs w:val="24"/>
                <w:highlight w:val="none"/>
                <w14:textFill>
                  <w14:solidFill>
                    <w14:schemeClr w14:val="tx1"/>
                  </w14:solidFill>
                </w14:textFill>
              </w:rPr>
              <w:t>坑塘工程</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11</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香山梁水园村北</w:t>
            </w:r>
            <w:r>
              <w:rPr>
                <w:rFonts w:hint="eastAsia"/>
                <w:color w:val="000000" w:themeColor="text1"/>
                <w:sz w:val="24"/>
                <w:szCs w:val="24"/>
                <w:highlight w:val="none"/>
                <w:lang w:val="en-US" w:eastAsia="zh-CN"/>
                <w14:textFill>
                  <w14:solidFill>
                    <w14:schemeClr w14:val="tx1"/>
                  </w14:solidFill>
                </w14:textFill>
              </w:rPr>
              <w:t>13</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2171.70</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134.20</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坑塘工程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坑塘</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座</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2194" w:type="dxa"/>
                  <w:tcBorders>
                    <w:tl2br w:val="nil"/>
                    <w:tr2bl w:val="nil"/>
                  </w:tcBorders>
                  <w:vAlign w:val="center"/>
                </w:tcPr>
                <w:p>
                  <w:pPr>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坑塘池顶尺寸60m×25m，池底尺寸44m×3m，池深4m，设计内</w:t>
                  </w:r>
                  <w:r>
                    <w:rPr>
                      <w:rFonts w:hint="eastAsia"/>
                      <w:color w:val="000000" w:themeColor="text1"/>
                      <w:sz w:val="21"/>
                      <w:szCs w:val="21"/>
                      <w:highlight w:val="none"/>
                      <w14:textFill>
                        <w14:solidFill>
                          <w14:schemeClr w14:val="tx1"/>
                        </w14:solidFill>
                      </w14:textFill>
                    </w:rPr>
                    <w:t>护坡</w:t>
                  </w:r>
                  <w:r>
                    <w:rPr>
                      <w:color w:val="000000" w:themeColor="text1"/>
                      <w:sz w:val="21"/>
                      <w:szCs w:val="21"/>
                      <w:highlight w:val="none"/>
                      <w14:textFill>
                        <w14:solidFill>
                          <w14:schemeClr w14:val="tx1"/>
                        </w14:solidFill>
                      </w14:textFill>
                    </w:rPr>
                    <w:t>1:2.5，顶宽3.0m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四</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移栽柠条</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墩</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18210</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（株</w:t>
                  </w:r>
                  <w:r>
                    <w:rPr>
                      <w:rFonts w:hint="eastAsia"/>
                      <w:color w:val="000000" w:themeColor="text1"/>
                      <w:sz w:val="21"/>
                      <w:szCs w:val="21"/>
                      <w:highlight w:val="none"/>
                      <w14:textFill>
                        <w14:solidFill>
                          <w14:schemeClr w14:val="tx1"/>
                        </w14:solidFill>
                      </w14:textFill>
                    </w:rPr>
                    <w:t>距</w:t>
                  </w:r>
                  <w:r>
                    <w:rPr>
                      <w:color w:val="000000" w:themeColor="text1"/>
                      <w:sz w:val="21"/>
                      <w:szCs w:val="21"/>
                      <w:highlight w:val="none"/>
                      <w14:textFill>
                        <w14:solidFill>
                          <w14:schemeClr w14:val="tx1"/>
                        </w14:solidFill>
                      </w14:textFill>
                    </w:rPr>
                    <w:t>1.00m×2.00m）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五</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宣传牌工程</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处</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起到宣传、警示作用</w:t>
                  </w:r>
                </w:p>
              </w:tc>
            </w:tr>
          </w:tbl>
          <w:p>
            <w:pPr>
              <w:pStyle w:val="15"/>
              <w:numPr>
                <w:ilvl w:val="0"/>
                <w:numId w:val="3"/>
              </w:numPr>
              <w:ind w:left="0" w:leftChars="0" w:firstLine="480" w:firstLineChars="200"/>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香山黄泉村一采区生态修复治理区</w:t>
            </w:r>
          </w:p>
          <w:p>
            <w:pPr>
              <w:pStyle w:val="15"/>
              <w:widowControl w:val="0"/>
              <w:numPr>
                <w:ilvl w:val="0"/>
                <w:numId w:val="0"/>
              </w:numPr>
              <w:adjustRightInd w:val="0"/>
              <w:snapToGrid w:val="0"/>
              <w:spacing w:line="360" w:lineRule="auto"/>
              <w:ind w:firstLine="480" w:firstLineChars="200"/>
              <w:jc w:val="left"/>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香山黄泉村一采区生态修复治理区面积为18.30hm²，划分为7个治理点，具体工程内容如下：</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rFonts w:hint="eastAsia"/>
                <w:color w:val="000000" w:themeColor="text1"/>
                <w:sz w:val="24"/>
                <w:szCs w:val="24"/>
                <w:highlight w:val="none"/>
                <w:lang w:eastAsia="zh-CN"/>
                <w14:textFill>
                  <w14:solidFill>
                    <w14:schemeClr w14:val="tx1"/>
                  </w14:solidFill>
                </w14:textFill>
              </w:rPr>
              <w:t>香山黄泉村一采区</w:t>
            </w:r>
            <w:r>
              <w:rPr>
                <w:color w:val="000000" w:themeColor="text1"/>
                <w:sz w:val="24"/>
                <w:szCs w:val="24"/>
                <w:highlight w:val="none"/>
                <w14:textFill>
                  <w14:solidFill>
                    <w14:schemeClr w14:val="tx1"/>
                  </w14:solidFill>
                </w14:textFill>
              </w:rPr>
              <w:t>1号治理点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14:textFill>
                  <w14:solidFill>
                    <w14:schemeClr w14:val="tx1"/>
                  </w14:solidFill>
                </w14:textFill>
              </w:rPr>
              <w:t>1号治理点总治理面积为</w:t>
            </w:r>
            <w:r>
              <w:rPr>
                <w:rFonts w:hint="eastAsia"/>
                <w:color w:val="000000" w:themeColor="text1"/>
                <w:sz w:val="24"/>
                <w:szCs w:val="24"/>
                <w:highlight w:val="none"/>
                <w:lang w:val="en-US" w:eastAsia="zh-CN"/>
                <w14:textFill>
                  <w14:solidFill>
                    <w14:schemeClr w14:val="tx1"/>
                  </w14:solidFill>
                </w14:textFill>
              </w:rPr>
              <w:t>0.93</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lang w:eastAsia="zh-CN"/>
                <w14:textFill>
                  <w14:solidFill>
                    <w14:schemeClr w14:val="tx1"/>
                  </w14:solidFill>
                </w14:textFill>
              </w:rPr>
              <w:t>香山黄泉村一采区</w:t>
            </w:r>
            <w:r>
              <w:rPr>
                <w:color w:val="000000" w:themeColor="text1"/>
                <w:sz w:val="24"/>
                <w:szCs w:val="24"/>
                <w:highlight w:val="none"/>
                <w14:textFill>
                  <w14:solidFill>
                    <w14:schemeClr w14:val="tx1"/>
                  </w14:solidFill>
                </w14:textFill>
              </w:rPr>
              <w:t>1号治理点地形地貌整治工程进行分区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62780" cy="2879725"/>
                  <wp:effectExtent l="0" t="0" r="13970" b="15875"/>
                  <wp:docPr id="113" name="图片 26"/>
                  <wp:cNvGraphicFramePr/>
                  <a:graphic xmlns:a="http://schemas.openxmlformats.org/drawingml/2006/main">
                    <a:graphicData uri="http://schemas.openxmlformats.org/drawingml/2006/picture">
                      <pic:pic xmlns:pic="http://schemas.openxmlformats.org/drawingml/2006/picture">
                        <pic:nvPicPr>
                          <pic:cNvPr id="113" name="图片 26"/>
                          <pic:cNvPicPr/>
                        </pic:nvPicPr>
                        <pic:blipFill>
                          <a:blip r:embed="rId24"/>
                          <a:stretch>
                            <a:fillRect/>
                          </a:stretch>
                        </pic:blipFill>
                        <pic:spPr>
                          <a:xfrm>
                            <a:off x="0" y="0"/>
                            <a:ext cx="4462780" cy="287972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17</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14:textFill>
                  <w14:solidFill>
                    <w14:schemeClr w14:val="tx1"/>
                  </w14:solidFill>
                </w14:textFill>
              </w:rPr>
              <w:t>1号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14:textFill>
                  <w14:solidFill>
                    <w14:schemeClr w14:val="tx1"/>
                  </w14:solidFill>
                </w14:textFill>
              </w:rPr>
              <w:t>1号治理点生态修复工程量统计表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24.08</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15.10</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5"/>
                      <w:sz w:val="21"/>
                      <w:szCs w:val="21"/>
                      <w:highlight w:val="none"/>
                      <w:lang w:val="en-US" w:eastAsia="zh-CN"/>
                      <w14:textFill>
                        <w14:solidFill>
                          <w14:schemeClr w14:val="tx1"/>
                        </w14:solidFill>
                      </w14:textFill>
                    </w:rPr>
                    <w:t>0.67</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2</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bidi w:val="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4.98</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2</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6"/>
              <w:bidi w:val="0"/>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2160270"/>
                  <wp:effectExtent l="0" t="0" r="6350" b="11430"/>
                  <wp:docPr id="115" name="图片 27"/>
                  <wp:cNvGraphicFramePr/>
                  <a:graphic xmlns:a="http://schemas.openxmlformats.org/drawingml/2006/main">
                    <a:graphicData uri="http://schemas.openxmlformats.org/drawingml/2006/picture">
                      <pic:pic xmlns:pic="http://schemas.openxmlformats.org/drawingml/2006/picture">
                        <pic:nvPicPr>
                          <pic:cNvPr id="115" name="图片 27"/>
                          <pic:cNvPicPr/>
                        </pic:nvPicPr>
                        <pic:blipFill>
                          <a:blip r:embed="rId25"/>
                          <a:stretch>
                            <a:fillRect/>
                          </a:stretch>
                        </pic:blipFill>
                        <pic:spPr>
                          <a:xfrm>
                            <a:off x="0" y="0"/>
                            <a:ext cx="4679950" cy="2160270"/>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18</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1800225"/>
                  <wp:effectExtent l="0" t="0" r="6350" b="9525"/>
                  <wp:docPr id="116" name="图片 28"/>
                  <wp:cNvGraphicFramePr/>
                  <a:graphic xmlns:a="http://schemas.openxmlformats.org/drawingml/2006/main">
                    <a:graphicData uri="http://schemas.openxmlformats.org/drawingml/2006/picture">
                      <pic:pic xmlns:pic="http://schemas.openxmlformats.org/drawingml/2006/picture">
                        <pic:nvPicPr>
                          <pic:cNvPr id="116" name="图片 28"/>
                          <pic:cNvPicPr/>
                        </pic:nvPicPr>
                        <pic:blipFill>
                          <a:blip r:embed="rId26"/>
                          <a:stretch>
                            <a:fillRect/>
                          </a:stretch>
                        </pic:blipFill>
                        <pic:spPr>
                          <a:xfrm>
                            <a:off x="0" y="0"/>
                            <a:ext cx="4679950" cy="1800225"/>
                          </a:xfrm>
                          <a:prstGeom prst="rect">
                            <a:avLst/>
                          </a:prstGeom>
                          <a:noFill/>
                          <a:ln>
                            <a:noFill/>
                          </a:ln>
                        </pic:spPr>
                      </pic:pic>
                    </a:graphicData>
                  </a:graphic>
                </wp:inline>
              </w:drawing>
            </w:r>
          </w:p>
          <w:p>
            <w:pPr>
              <w:pStyle w:val="2"/>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1440180"/>
                  <wp:effectExtent l="0" t="0" r="6350" b="7620"/>
                  <wp:docPr id="117" name="图片 29"/>
                  <wp:cNvGraphicFramePr/>
                  <a:graphic xmlns:a="http://schemas.openxmlformats.org/drawingml/2006/main">
                    <a:graphicData uri="http://schemas.openxmlformats.org/drawingml/2006/picture">
                      <pic:pic xmlns:pic="http://schemas.openxmlformats.org/drawingml/2006/picture">
                        <pic:nvPicPr>
                          <pic:cNvPr id="117" name="图片 29"/>
                          <pic:cNvPicPr/>
                        </pic:nvPicPr>
                        <pic:blipFill>
                          <a:blip r:embed="rId27"/>
                          <a:stretch>
                            <a:fillRect/>
                          </a:stretch>
                        </pic:blipFill>
                        <pic:spPr>
                          <a:xfrm>
                            <a:off x="0" y="0"/>
                            <a:ext cx="4679950" cy="1440180"/>
                          </a:xfrm>
                          <a:prstGeom prst="rect">
                            <a:avLst/>
                          </a:prstGeom>
                          <a:noFill/>
                          <a:ln>
                            <a:noFill/>
                          </a:ln>
                        </pic:spPr>
                      </pic:pic>
                    </a:graphicData>
                  </a:graphic>
                </wp:inline>
              </w:drawing>
            </w:r>
          </w:p>
          <w:p>
            <w:pPr>
              <w:pStyle w:val="7"/>
              <w:outlineLvl w:val="6"/>
              <w:rPr>
                <w:rFonts w:hint="eastAsia" w:eastAsia="宋体"/>
                <w:color w:val="000000" w:themeColor="text1"/>
                <w:highlight w:val="none"/>
                <w:lang w:val="en-US"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19</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rFonts w:hint="eastAsia"/>
                <w:color w:val="000000" w:themeColor="text1"/>
                <w:sz w:val="24"/>
                <w:szCs w:val="24"/>
                <w:highlight w:val="none"/>
                <w:lang w:eastAsia="zh-CN"/>
                <w14:textFill>
                  <w14:solidFill>
                    <w14:schemeClr w14:val="tx1"/>
                  </w14:solidFill>
                </w14:textFill>
              </w:rPr>
              <w:t>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w:t>
            </w:r>
            <w:r>
              <w:rPr>
                <w:rFonts w:hint="eastAsia"/>
                <w:color w:val="000000" w:themeColor="text1"/>
                <w:sz w:val="24"/>
                <w:szCs w:val="24"/>
                <w:highlight w:val="none"/>
                <w:lang w:eastAsia="zh-CN"/>
                <w14:textFill>
                  <w14:solidFill>
                    <w14:schemeClr w14:val="tx1"/>
                  </w14:solidFill>
                </w14:textFill>
              </w:rPr>
              <w:t>和宣传牌工程</w:t>
            </w:r>
            <w:r>
              <w:rPr>
                <w:rFonts w:hint="eastAsia"/>
                <w:color w:val="000000" w:themeColor="text1"/>
                <w:sz w:val="24"/>
                <w:szCs w:val="24"/>
                <w:highlight w:val="none"/>
                <w14:textFill>
                  <w14:solidFill>
                    <w14:schemeClr w14:val="tx1"/>
                  </w14:solidFill>
                </w14:textFill>
              </w:rPr>
              <w:t>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13</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582.07</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79.42</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5"/>
                      <w:sz w:val="21"/>
                      <w:szCs w:val="21"/>
                      <w:highlight w:val="none"/>
                      <w:lang w:val="en-US" w:eastAsia="zh-CN"/>
                      <w14:textFill>
                        <w14:solidFill>
                          <w14:schemeClr w14:val="tx1"/>
                        </w14:solidFill>
                      </w14:textFill>
                    </w:rPr>
                    <w:t>6.65</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四</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宣传牌工程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处</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5"/>
                      <w:sz w:val="21"/>
                      <w:szCs w:val="21"/>
                      <w:highlight w:val="none"/>
                      <w:lang w:val="en-US" w:eastAsia="zh-CN"/>
                      <w14:textFill>
                        <w14:solidFill>
                          <w14:schemeClr w14:val="tx1"/>
                        </w14:solidFill>
                      </w14:textFill>
                    </w:rPr>
                    <w:t>1</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起到宣传、警示作用</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3</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bidi w:val="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0.56</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3</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15"/>
              <w:bidi w:val="0"/>
              <w:rPr>
                <w:color w:val="000000" w:themeColor="text1"/>
                <w:sz w:val="24"/>
                <w:szCs w:val="24"/>
                <w:highlight w:val="none"/>
                <w14:textFill>
                  <w14:solidFill>
                    <w14:schemeClr w14:val="tx1"/>
                  </w14:solidFill>
                </w14:textFill>
              </w:rPr>
            </w:pPr>
          </w:p>
          <w:p>
            <w:pPr>
              <w:pStyle w:val="6"/>
              <w:bidi w:val="0"/>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2879725"/>
                  <wp:effectExtent l="0" t="0" r="6350" b="15875"/>
                  <wp:docPr id="122" name="图片 30"/>
                  <wp:cNvGraphicFramePr/>
                  <a:graphic xmlns:a="http://schemas.openxmlformats.org/drawingml/2006/main">
                    <a:graphicData uri="http://schemas.openxmlformats.org/drawingml/2006/picture">
                      <pic:pic xmlns:pic="http://schemas.openxmlformats.org/drawingml/2006/picture">
                        <pic:nvPicPr>
                          <pic:cNvPr id="122" name="图片 30"/>
                          <pic:cNvPicPr/>
                        </pic:nvPicPr>
                        <pic:blipFill>
                          <a:blip r:embed="rId28"/>
                          <a:stretch>
                            <a:fillRect/>
                          </a:stretch>
                        </pic:blipFill>
                        <pic:spPr>
                          <a:xfrm>
                            <a:off x="0" y="0"/>
                            <a:ext cx="4679950" cy="2879725"/>
                          </a:xfrm>
                          <a:prstGeom prst="rect">
                            <a:avLst/>
                          </a:prstGeom>
                          <a:noFill/>
                          <a:ln>
                            <a:noFill/>
                          </a:ln>
                        </pic:spPr>
                      </pic:pic>
                    </a:graphicData>
                  </a:graphic>
                </wp:inline>
              </w:drawing>
            </w:r>
          </w:p>
          <w:p>
            <w:pPr>
              <w:pStyle w:val="7"/>
              <w:outlineLvl w:val="6"/>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22</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14</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118.43</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14.35</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5"/>
                      <w:sz w:val="21"/>
                      <w:szCs w:val="21"/>
                      <w:highlight w:val="none"/>
                      <w:lang w:val="en-US" w:eastAsia="zh-CN"/>
                      <w14:textFill>
                        <w14:solidFill>
                          <w14:schemeClr w14:val="tx1"/>
                        </w14:solidFill>
                      </w14:textFill>
                    </w:rPr>
                    <w:t>0.64</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4</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bidi w:val="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7.09</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4</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6"/>
              <w:bidi w:val="0"/>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2879725"/>
                  <wp:effectExtent l="0" t="0" r="6350" b="15875"/>
                  <wp:docPr id="124" name="图片 31"/>
                  <wp:cNvGraphicFramePr/>
                  <a:graphic xmlns:a="http://schemas.openxmlformats.org/drawingml/2006/main">
                    <a:graphicData uri="http://schemas.openxmlformats.org/drawingml/2006/picture">
                      <pic:pic xmlns:pic="http://schemas.openxmlformats.org/drawingml/2006/picture">
                        <pic:nvPicPr>
                          <pic:cNvPr id="124" name="图片 31"/>
                          <pic:cNvPicPr/>
                        </pic:nvPicPr>
                        <pic:blipFill>
                          <a:blip r:embed="rId29"/>
                          <a:stretch>
                            <a:fillRect/>
                          </a:stretch>
                        </pic:blipFill>
                        <pic:spPr>
                          <a:xfrm>
                            <a:off x="0" y="0"/>
                            <a:ext cx="4679950" cy="287972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23</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1440180"/>
                  <wp:effectExtent l="0" t="0" r="6350" b="7620"/>
                  <wp:docPr id="128" name="图片 34"/>
                  <wp:cNvGraphicFramePr/>
                  <a:graphic xmlns:a="http://schemas.openxmlformats.org/drawingml/2006/main">
                    <a:graphicData uri="http://schemas.openxmlformats.org/drawingml/2006/picture">
                      <pic:pic xmlns:pic="http://schemas.openxmlformats.org/drawingml/2006/picture">
                        <pic:nvPicPr>
                          <pic:cNvPr id="128" name="图片 34"/>
                          <pic:cNvPicPr/>
                        </pic:nvPicPr>
                        <pic:blipFill>
                          <a:blip r:embed="rId30"/>
                          <a:stretch>
                            <a:fillRect/>
                          </a:stretch>
                        </pic:blipFill>
                        <pic:spPr>
                          <a:xfrm>
                            <a:off x="0" y="0"/>
                            <a:ext cx="4679950" cy="1440180"/>
                          </a:xfrm>
                          <a:prstGeom prst="rect">
                            <a:avLst/>
                          </a:prstGeom>
                          <a:noFill/>
                          <a:ln>
                            <a:noFill/>
                          </a:ln>
                        </pic:spPr>
                      </pic:pic>
                    </a:graphicData>
                  </a:graphic>
                </wp:inline>
              </w:drawing>
            </w:r>
          </w:p>
          <w:p>
            <w:pPr>
              <w:pStyle w:val="7"/>
              <w:outlineLvl w:val="6"/>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24</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rFonts w:hint="eastAsia"/>
                <w:color w:val="000000" w:themeColor="text1"/>
                <w:sz w:val="24"/>
                <w:szCs w:val="24"/>
                <w:highlight w:val="none"/>
                <w:lang w:eastAsia="zh-CN"/>
                <w14:textFill>
                  <w14:solidFill>
                    <w14:schemeClr w14:val="tx1"/>
                  </w14:solidFill>
                </w14:textFill>
              </w:rPr>
              <w:t>剖面图</w:t>
            </w:r>
          </w:p>
          <w:p>
            <w:pPr>
              <w:rPr>
                <w:color w:val="000000" w:themeColor="text1"/>
                <w:highlight w:val="none"/>
                <w14:textFill>
                  <w14:solidFill>
                    <w14:schemeClr w14:val="tx1"/>
                  </w14:solidFill>
                </w14:textFill>
              </w:rPr>
            </w:pP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w:t>
            </w:r>
            <w:r>
              <w:rPr>
                <w:rFonts w:hint="eastAsia"/>
                <w:color w:val="000000" w:themeColor="text1"/>
                <w:sz w:val="24"/>
                <w:szCs w:val="24"/>
                <w:highlight w:val="none"/>
                <w:lang w:eastAsia="zh-CN"/>
                <w14:textFill>
                  <w14:solidFill>
                    <w14:schemeClr w14:val="tx1"/>
                  </w14:solidFill>
                </w14:textFill>
              </w:rPr>
              <w:t>坑塘工程、</w:t>
            </w:r>
            <w:r>
              <w:rPr>
                <w:rFonts w:hint="eastAsia"/>
                <w:color w:val="000000" w:themeColor="text1"/>
                <w:sz w:val="24"/>
                <w:szCs w:val="24"/>
                <w:highlight w:val="none"/>
                <w14:textFill>
                  <w14:solidFill>
                    <w14:schemeClr w14:val="tx1"/>
                  </w14:solidFill>
                </w14:textFill>
              </w:rPr>
              <w:t>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15</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725.05</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142.06</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三</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坑塘工程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座</w:t>
                  </w:r>
                </w:p>
              </w:tc>
              <w:tc>
                <w:tcPr>
                  <w:tcW w:w="904"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坑塘池顶尺寸60m×25m，池底尺寸44m×3m，池深4m，设计内</w:t>
                  </w:r>
                  <w:r>
                    <w:rPr>
                      <w:rFonts w:hint="eastAsia"/>
                      <w:color w:val="000000" w:themeColor="text1"/>
                      <w:sz w:val="21"/>
                      <w:szCs w:val="21"/>
                      <w:highlight w:val="none"/>
                      <w14:textFill>
                        <w14:solidFill>
                          <w14:schemeClr w14:val="tx1"/>
                        </w14:solidFill>
                      </w14:textFill>
                    </w:rPr>
                    <w:t>护坡</w:t>
                  </w:r>
                  <w:r>
                    <w:rPr>
                      <w:color w:val="000000" w:themeColor="text1"/>
                      <w:sz w:val="21"/>
                      <w:szCs w:val="21"/>
                      <w:highlight w:val="none"/>
                      <w14:textFill>
                        <w14:solidFill>
                          <w14:schemeClr w14:val="tx1"/>
                        </w14:solidFill>
                      </w14:textFill>
                    </w:rPr>
                    <w:t>1:2.5，顶宽3.0m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四</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撒播草籽</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hm</w:t>
                  </w:r>
                  <w:r>
                    <w:rPr>
                      <w:rFonts w:hint="eastAsia"/>
                      <w:color w:val="000000" w:themeColor="text1"/>
                      <w:sz w:val="21"/>
                      <w:szCs w:val="21"/>
                      <w:highlight w:val="none"/>
                      <w:vertAlign w:val="superscript"/>
                      <w14:textFill>
                        <w14:solidFill>
                          <w14:schemeClr w14:val="tx1"/>
                        </w14:solidFill>
                      </w14:textFill>
                    </w:rPr>
                    <w:t>2</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5"/>
                      <w:sz w:val="21"/>
                      <w:szCs w:val="21"/>
                      <w:highlight w:val="none"/>
                      <w:lang w:val="en-US" w:eastAsia="zh-CN"/>
                      <w14:textFill>
                        <w14:solidFill>
                          <w14:schemeClr w14:val="tx1"/>
                        </w14:solidFill>
                      </w14:textFill>
                    </w:rPr>
                    <w:t>0.99</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栽植文冠果</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株</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5"/>
                      <w:sz w:val="21"/>
                      <w:szCs w:val="21"/>
                      <w:highlight w:val="none"/>
                      <w:lang w:val="en-US" w:eastAsia="zh-CN"/>
                      <w14:textFill>
                        <w14:solidFill>
                          <w14:schemeClr w14:val="tx1"/>
                        </w14:solidFill>
                      </w14:textFill>
                    </w:rPr>
                    <w:t>2164</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5</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bidi w:val="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0.85</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5</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6"/>
              <w:bidi w:val="0"/>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19905" cy="2879725"/>
                  <wp:effectExtent l="0" t="0" r="4445" b="15875"/>
                  <wp:docPr id="126" name="图片 32"/>
                  <wp:cNvGraphicFramePr/>
                  <a:graphic xmlns:a="http://schemas.openxmlformats.org/drawingml/2006/main">
                    <a:graphicData uri="http://schemas.openxmlformats.org/drawingml/2006/picture">
                      <pic:pic xmlns:pic="http://schemas.openxmlformats.org/drawingml/2006/picture">
                        <pic:nvPicPr>
                          <pic:cNvPr id="126" name="图片 32"/>
                          <pic:cNvPicPr/>
                        </pic:nvPicPr>
                        <pic:blipFill>
                          <a:blip r:embed="rId31"/>
                          <a:stretch>
                            <a:fillRect/>
                          </a:stretch>
                        </pic:blipFill>
                        <pic:spPr>
                          <a:xfrm>
                            <a:off x="0" y="0"/>
                            <a:ext cx="4319905" cy="287972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25</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19905" cy="1440180"/>
                  <wp:effectExtent l="0" t="0" r="4445" b="7620"/>
                  <wp:docPr id="127" name="图片 33"/>
                  <wp:cNvGraphicFramePr/>
                  <a:graphic xmlns:a="http://schemas.openxmlformats.org/drawingml/2006/main">
                    <a:graphicData uri="http://schemas.openxmlformats.org/drawingml/2006/picture">
                      <pic:pic xmlns:pic="http://schemas.openxmlformats.org/drawingml/2006/picture">
                        <pic:nvPicPr>
                          <pic:cNvPr id="127" name="图片 33"/>
                          <pic:cNvPicPr/>
                        </pic:nvPicPr>
                        <pic:blipFill>
                          <a:blip r:embed="rId32"/>
                          <a:stretch>
                            <a:fillRect/>
                          </a:stretch>
                        </pic:blipFill>
                        <pic:spPr>
                          <a:xfrm>
                            <a:off x="0" y="0"/>
                            <a:ext cx="4319905" cy="1440180"/>
                          </a:xfrm>
                          <a:prstGeom prst="rect">
                            <a:avLst/>
                          </a:prstGeom>
                          <a:noFill/>
                          <a:ln>
                            <a:noFill/>
                          </a:ln>
                        </pic:spPr>
                      </pic:pic>
                    </a:graphicData>
                  </a:graphic>
                </wp:inline>
              </w:drawing>
            </w:r>
          </w:p>
          <w:p>
            <w:pPr>
              <w:pStyle w:val="7"/>
              <w:outlineLvl w:val="6"/>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26</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rFonts w:hint="eastAsia"/>
                <w:color w:val="000000" w:themeColor="text1"/>
                <w:sz w:val="24"/>
                <w:szCs w:val="24"/>
                <w:highlight w:val="none"/>
                <w:lang w:eastAsia="zh-CN"/>
                <w14:textFill>
                  <w14:solidFill>
                    <w14:schemeClr w14:val="tx1"/>
                  </w14:solidFill>
                </w14:textFill>
              </w:rPr>
              <w:t>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16</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113.78</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19.66</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栽植文冠果</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株</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5"/>
                      <w:sz w:val="21"/>
                      <w:szCs w:val="21"/>
                      <w:highlight w:val="none"/>
                      <w:lang w:val="en-US" w:eastAsia="zh-CN"/>
                      <w14:textFill>
                        <w14:solidFill>
                          <w14:schemeClr w14:val="tx1"/>
                        </w14:solidFill>
                      </w14:textFill>
                    </w:rPr>
                    <w:t>356</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bidi w:val="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2.35</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6"/>
              <w:bidi w:val="0"/>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19905" cy="2520315"/>
                  <wp:effectExtent l="0" t="0" r="4445" b="13335"/>
                  <wp:docPr id="50" name="图片 3"/>
                  <wp:cNvGraphicFramePr/>
                  <a:graphic xmlns:a="http://schemas.openxmlformats.org/drawingml/2006/main">
                    <a:graphicData uri="http://schemas.openxmlformats.org/drawingml/2006/picture">
                      <pic:pic xmlns:pic="http://schemas.openxmlformats.org/drawingml/2006/picture">
                        <pic:nvPicPr>
                          <pic:cNvPr id="50" name="图片 3"/>
                          <pic:cNvPicPr/>
                        </pic:nvPicPr>
                        <pic:blipFill>
                          <a:blip r:embed="rId33"/>
                          <a:stretch>
                            <a:fillRect/>
                          </a:stretch>
                        </pic:blipFill>
                        <pic:spPr>
                          <a:xfrm>
                            <a:off x="0" y="0"/>
                            <a:ext cx="4319905" cy="2520315"/>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27</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17</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61.74</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r>
                    <w:rPr>
                      <w:rFonts w:hint="eastAsia"/>
                      <w:color w:val="000000" w:themeColor="text1"/>
                      <w:sz w:val="21"/>
                      <w:szCs w:val="21"/>
                      <w:highlight w:val="none"/>
                      <w:lang w:val="en-US" w:eastAsia="zh-CN"/>
                      <w14:textFill>
                        <w14:solidFill>
                          <w14:schemeClr w14:val="tx1"/>
                        </w14:solidFill>
                      </w14:textFill>
                    </w:rPr>
                    <w:t xml:space="preserve"> </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55.54</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栽植文冠果</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株</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266</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7</w:t>
            </w:r>
            <w:r>
              <w:rPr>
                <w:color w:val="000000" w:themeColor="text1"/>
                <w:sz w:val="24"/>
                <w:szCs w:val="24"/>
                <w:highlight w:val="none"/>
                <w14:textFill>
                  <w14:solidFill>
                    <w14:schemeClr w14:val="tx1"/>
                  </w14:solidFill>
                </w14:textFill>
              </w:rPr>
              <w:t>号治理点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bidi w:val="0"/>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1.56</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7</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p>
          <w:p>
            <w:pPr>
              <w:pStyle w:val="6"/>
              <w:bidi w:val="0"/>
              <w:rPr>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19905" cy="2134870"/>
                  <wp:effectExtent l="0" t="0" r="4445" b="17780"/>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34"/>
                          <a:stretch>
                            <a:fillRect/>
                          </a:stretch>
                        </pic:blipFill>
                        <pic:spPr>
                          <a:xfrm>
                            <a:off x="0" y="0"/>
                            <a:ext cx="4319905" cy="2134870"/>
                          </a:xfrm>
                          <a:prstGeom prst="rect">
                            <a:avLst/>
                          </a:prstGeom>
                          <a:noFill/>
                          <a:ln>
                            <a:noFill/>
                          </a:ln>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28</w:t>
            </w:r>
            <w:r>
              <w:rPr>
                <w:rFonts w:hint="eastAsia"/>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号</w:t>
            </w:r>
            <w:r>
              <w:rPr>
                <w:color w:val="000000" w:themeColor="text1"/>
                <w:sz w:val="24"/>
                <w:szCs w:val="24"/>
                <w:highlight w:val="none"/>
                <w14:textFill>
                  <w14:solidFill>
                    <w14:schemeClr w14:val="tx1"/>
                  </w14:solidFill>
                </w14:textFill>
              </w:rPr>
              <w:t>治理</w:t>
            </w:r>
            <w:r>
              <w:rPr>
                <w:rFonts w:hint="eastAsia"/>
                <w:color w:val="000000" w:themeColor="text1"/>
                <w:sz w:val="24"/>
                <w:szCs w:val="24"/>
                <w:highlight w:val="none"/>
                <w14:textFill>
                  <w14:solidFill>
                    <w14:schemeClr w14:val="tx1"/>
                  </w14:solidFill>
                </w14:textFill>
              </w:rPr>
              <w:t>点</w:t>
            </w:r>
            <w:r>
              <w:rPr>
                <w:color w:val="000000" w:themeColor="text1"/>
                <w:sz w:val="24"/>
                <w:szCs w:val="24"/>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w:t>
            </w:r>
            <w:r>
              <w:rPr>
                <w:rFonts w:hint="eastAsia"/>
                <w:color w:val="000000" w:themeColor="text1"/>
                <w:sz w:val="24"/>
                <w:szCs w:val="24"/>
                <w:highlight w:val="none"/>
                <w:lang w:val="en-US" w:eastAsia="zh-CN"/>
                <w14:textFill>
                  <w14:solidFill>
                    <w14:schemeClr w14:val="tx1"/>
                  </w14:solidFill>
                </w14:textFill>
              </w:rPr>
              <w:t>18</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lang w:eastAsia="zh-CN"/>
                <w14:textFill>
                  <w14:solidFill>
                    <w14:schemeClr w14:val="tx1"/>
                  </w14:solidFill>
                </w14:textFill>
              </w:rPr>
              <w:t>香山黄泉村一采区</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182.50</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36.47</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栽植文冠果</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株</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660</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numPr>
                <w:ilvl w:val="0"/>
                <w:numId w:val="3"/>
              </w:numPr>
              <w:bidi w:val="0"/>
              <w:ind w:left="0" w:leftChars="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香山黄泉村二采区生态修复治理区</w:t>
            </w:r>
          </w:p>
          <w:p>
            <w:pPr>
              <w:pStyle w:val="15"/>
              <w:widowControl w:val="0"/>
              <w:numPr>
                <w:ilvl w:val="0"/>
                <w:numId w:val="0"/>
              </w:numPr>
              <w:bidi w:val="0"/>
              <w:adjustRightInd w:val="0"/>
              <w:snapToGrid w:val="0"/>
              <w:spacing w:line="360" w:lineRule="auto"/>
              <w:ind w:firstLine="480" w:firstLineChars="200"/>
              <w:jc w:val="left"/>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香山黄泉村二采区生态修复治理区面积为102.20hm²，划分为1个治理点，具体工程建设内容如下。</w:t>
            </w:r>
          </w:p>
          <w:p>
            <w:pPr>
              <w:pStyle w:val="15"/>
              <w:ind w:firstLine="420"/>
              <w:rPr>
                <w:rFonts w:hint="default"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香山黄泉村二采区</w:t>
            </w:r>
            <w:r>
              <w:rPr>
                <w:rFonts w:hint="eastAsia"/>
                <w:color w:val="000000" w:themeColor="text1"/>
                <w:sz w:val="24"/>
                <w:szCs w:val="24"/>
                <w:highlight w:val="none"/>
                <w:lang w:val="en-US" w:eastAsia="zh-CN"/>
                <w14:textFill>
                  <w14:solidFill>
                    <w14:schemeClr w14:val="tx1"/>
                  </w14:solidFill>
                </w14:textFill>
              </w:rPr>
              <w:t>6号治理点</w:t>
            </w:r>
          </w:p>
          <w:p>
            <w:pPr>
              <w:pStyle w:val="15"/>
              <w:ind w:firstLine="420"/>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ind w:firstLine="420"/>
              <w:rPr>
                <w:rFonts w:hint="eastAsia" w:eastAsia="宋体"/>
                <w:color w:val="000000" w:themeColor="text1"/>
                <w:sz w:val="24"/>
                <w:szCs w:val="24"/>
                <w:highlight w:val="none"/>
                <w:lang w:eastAsia="zh-CN"/>
                <w14:textFill>
                  <w14:solidFill>
                    <w14:schemeClr w14:val="tx1"/>
                  </w14:solidFill>
                </w14:textFill>
              </w:rPr>
            </w:pPr>
            <w:r>
              <w:rPr>
                <w:color w:val="000000" w:themeColor="text1"/>
                <w:highlight w:val="none"/>
                <w14:textFill>
                  <w14:solidFill>
                    <w14:schemeClr w14:val="tx1"/>
                  </w14:solidFill>
                </w14:textFill>
              </w:rPr>
              <w:t>香山黄泉村二采区</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7.26</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color w:val="000000" w:themeColor="text1"/>
                <w:highlight w:val="none"/>
                <w14:textFill>
                  <w14:solidFill>
                    <w14:schemeClr w14:val="tx1"/>
                  </w14:solidFill>
                </w14:textFill>
              </w:rPr>
              <w:t>香山黄泉村二采区</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分区图及剖面图如下图所示：</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2879725"/>
                  <wp:effectExtent l="0" t="0" r="6350" b="15875"/>
                  <wp:docPr id="60" name="图片 5"/>
                  <wp:cNvGraphicFramePr/>
                  <a:graphic xmlns:a="http://schemas.openxmlformats.org/drawingml/2006/main">
                    <a:graphicData uri="http://schemas.openxmlformats.org/drawingml/2006/picture">
                      <pic:pic xmlns:pic="http://schemas.openxmlformats.org/drawingml/2006/picture">
                        <pic:nvPicPr>
                          <pic:cNvPr id="60" name="图片 5"/>
                          <pic:cNvPicPr/>
                        </pic:nvPicPr>
                        <pic:blipFill>
                          <a:blip r:embed="rId35"/>
                          <a:stretch>
                            <a:fillRect/>
                          </a:stretch>
                        </pic:blipFill>
                        <pic:spPr>
                          <a:xfrm>
                            <a:off x="0" y="0"/>
                            <a:ext cx="4679950" cy="2879725"/>
                          </a:xfrm>
                          <a:prstGeom prst="rect">
                            <a:avLst/>
                          </a:prstGeom>
                          <a:noFill/>
                          <a:ln>
                            <a:noFill/>
                          </a:ln>
                        </pic:spPr>
                      </pic:pic>
                    </a:graphicData>
                  </a:graphic>
                </wp:inline>
              </w:drawing>
            </w:r>
          </w:p>
          <w:p>
            <w:pPr>
              <w:pStyle w:val="7"/>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29</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香山黄泉村二采区</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color w:val="000000" w:themeColor="text1"/>
                <w:highlight w:val="none"/>
                <w14:textFill>
                  <w14:solidFill>
                    <w14:schemeClr w14:val="tx1"/>
                  </w14:solidFill>
                </w14:textFill>
              </w:rPr>
              <w:t>分区图</w:t>
            </w:r>
          </w:p>
          <w:p>
            <w:pPr>
              <w:pStyle w:val="6"/>
              <w:bidi w:val="0"/>
              <w:rPr>
                <w:rFonts w:hint="eastAsia"/>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1337310"/>
                  <wp:effectExtent l="0" t="0" r="6350" b="15240"/>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36"/>
                          <a:stretch>
                            <a:fillRect/>
                          </a:stretch>
                        </pic:blipFill>
                        <pic:spPr>
                          <a:xfrm>
                            <a:off x="0" y="0"/>
                            <a:ext cx="4679950" cy="1337310"/>
                          </a:xfrm>
                          <a:prstGeom prst="rect">
                            <a:avLst/>
                          </a:prstGeom>
                          <a:noFill/>
                          <a:ln>
                            <a:noFill/>
                          </a:ln>
                        </pic:spPr>
                      </pic:pic>
                    </a:graphicData>
                  </a:graphic>
                </wp:inline>
              </w:drawing>
            </w:r>
          </w:p>
          <w:p>
            <w:pPr>
              <w:pStyle w:val="6"/>
              <w:bidi w:val="0"/>
              <w:rPr>
                <w:rFonts w:hint="eastAsia"/>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79950" cy="1337310"/>
                  <wp:effectExtent l="0" t="0" r="6350" b="1524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37"/>
                          <a:stretch>
                            <a:fillRect/>
                          </a:stretch>
                        </pic:blipFill>
                        <pic:spPr>
                          <a:xfrm>
                            <a:off x="0" y="0"/>
                            <a:ext cx="4679950" cy="1337310"/>
                          </a:xfrm>
                          <a:prstGeom prst="rect">
                            <a:avLst/>
                          </a:prstGeom>
                          <a:noFill/>
                          <a:ln>
                            <a:noFill/>
                          </a:ln>
                        </pic:spPr>
                      </pic:pic>
                    </a:graphicData>
                  </a:graphic>
                </wp:inline>
              </w:drawing>
            </w:r>
          </w:p>
          <w:p>
            <w:pPr>
              <w:pStyle w:val="7"/>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30</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香山黄泉村二采区</w:t>
            </w:r>
            <w:r>
              <w:rPr>
                <w:rFonts w:hint="eastAsia"/>
                <w:color w:val="000000" w:themeColor="text1"/>
                <w:highlight w:val="none"/>
                <w:lang w:val="en-US" w:eastAsia="zh-CN"/>
                <w14:textFill>
                  <w14:solidFill>
                    <w14:schemeClr w14:val="tx1"/>
                  </w14:solidFill>
                </w14:textFill>
              </w:rPr>
              <w:t>6</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highlight w:val="none"/>
                <w:lang w:eastAsia="zh-CN"/>
                <w14:textFill>
                  <w14:solidFill>
                    <w14:schemeClr w14:val="tx1"/>
                  </w14:solidFill>
                </w14:textFill>
              </w:rPr>
              <w:t>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bidi w:val="0"/>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r>
              <w:rPr>
                <w:rFonts w:hint="eastAsia"/>
                <w:color w:val="000000" w:themeColor="text1"/>
                <w:sz w:val="24"/>
                <w:szCs w:val="24"/>
                <w:highlight w:val="none"/>
                <w:lang w:eastAsia="zh-CN"/>
                <w14:textFill>
                  <w14:solidFill>
                    <w14:schemeClr w14:val="tx1"/>
                  </w14:solidFill>
                </w14:textFill>
              </w:rPr>
              <w:t>：</w:t>
            </w:r>
          </w:p>
          <w:p>
            <w:pPr>
              <w:pStyle w:val="7"/>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2-19   </w:t>
            </w:r>
            <w:r>
              <w:rPr>
                <w:color w:val="000000" w:themeColor="text1"/>
                <w:highlight w:val="none"/>
                <w14:textFill>
                  <w14:solidFill>
                    <w14:schemeClr w14:val="tx1"/>
                  </w14:solidFill>
                </w14:textFill>
              </w:rPr>
              <w:t>香山黄泉村二采区</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号治理点生态修复工程量统计表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896"/>
              <w:gridCol w:w="1015"/>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89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101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89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1015"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293.06</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89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采坑回填</w:t>
                  </w:r>
                </w:p>
              </w:tc>
              <w:tc>
                <w:tcPr>
                  <w:tcW w:w="1015"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234.26</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三</w:t>
                  </w:r>
                </w:p>
              </w:tc>
              <w:tc>
                <w:tcPr>
                  <w:tcW w:w="289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1015"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89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r>
                    <w:rPr>
                      <w:rFonts w:hint="eastAsia"/>
                      <w:color w:val="000000" w:themeColor="text1"/>
                      <w:sz w:val="21"/>
                      <w:szCs w:val="21"/>
                      <w:highlight w:val="none"/>
                      <w:lang w:val="en-US" w:eastAsia="zh-CN"/>
                      <w14:textFill>
                        <w14:solidFill>
                          <w14:schemeClr w14:val="tx1"/>
                        </w14:solidFill>
                      </w14:textFill>
                    </w:rPr>
                    <w:t xml:space="preserve"> </w:t>
                  </w:r>
                </w:p>
              </w:tc>
              <w:tc>
                <w:tcPr>
                  <w:tcW w:w="1015"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322.52</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四</w:t>
                  </w:r>
                </w:p>
              </w:tc>
              <w:tc>
                <w:tcPr>
                  <w:tcW w:w="2896"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1015"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89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撒播草籽</w:t>
                  </w:r>
                </w:p>
              </w:tc>
              <w:tc>
                <w:tcPr>
                  <w:tcW w:w="1015" w:type="dxa"/>
                  <w:tcBorders>
                    <w:tl2br w:val="nil"/>
                    <w:tr2bl w:val="nil"/>
                  </w:tcBorders>
                  <w:vAlign w:val="center"/>
                </w:tcPr>
                <w:p>
                  <w:pPr>
                    <w:spacing w:before="24" w:after="24"/>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hm</w:t>
                  </w:r>
                  <w:r>
                    <w:rPr>
                      <w:rFonts w:hint="eastAsia"/>
                      <w:color w:val="000000" w:themeColor="text1"/>
                      <w:sz w:val="21"/>
                      <w:szCs w:val="21"/>
                      <w:highlight w:val="none"/>
                      <w:vertAlign w:val="superscript"/>
                      <w:lang w:val="en-US" w:eastAsia="zh-CN"/>
                      <w14:textFill>
                        <w14:solidFill>
                          <w14:schemeClr w14:val="tx1"/>
                        </w14:solidFill>
                      </w14:textFill>
                    </w:rPr>
                    <w:t>2</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9.56</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numPr>
                <w:ilvl w:val="0"/>
                <w:numId w:val="3"/>
              </w:numPr>
              <w:bidi w:val="0"/>
              <w:ind w:left="0" w:leftChars="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香山黄泉村三采区生态修复治理区</w:t>
            </w:r>
          </w:p>
          <w:p>
            <w:pPr>
              <w:pStyle w:val="15"/>
              <w:numPr>
                <w:ilvl w:val="0"/>
                <w:numId w:val="0"/>
              </w:numPr>
              <w:bidi w:val="0"/>
              <w:ind w:firstLine="480" w:firstLineChars="20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香山黄泉村三采区生态修复治理区面积为16.13hm²，划分为5个治理点</w:t>
            </w:r>
            <w:r>
              <w:rPr>
                <w:rFonts w:hint="eastAsia"/>
                <w:color w:val="000000" w:themeColor="text1"/>
                <w:highlight w:val="none"/>
                <w:lang w:eastAsia="zh-CN"/>
                <w14:textFill>
                  <w14:solidFill>
                    <w14:schemeClr w14:val="tx1"/>
                  </w14:solidFill>
                </w14:textFill>
              </w:rPr>
              <w:t>，具体工程建设内容如下</w:t>
            </w:r>
            <w:r>
              <w:rPr>
                <w:rFonts w:hint="eastAsia"/>
                <w:color w:val="000000" w:themeColor="text1"/>
                <w:highlight w:val="none"/>
                <w14:textFill>
                  <w14:solidFill>
                    <w14:schemeClr w14:val="tx1"/>
                  </w14:solidFill>
                </w14:textFill>
              </w:rPr>
              <w:t>。</w:t>
            </w:r>
          </w:p>
          <w:p>
            <w:pPr>
              <w:pStyle w:val="1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香山黄泉村三采区</w:t>
            </w:r>
            <w:r>
              <w:rPr>
                <w:rFonts w:hint="eastAsia"/>
                <w:color w:val="000000" w:themeColor="text1"/>
                <w:highlight w:val="none"/>
                <w:lang w:val="en-US" w:eastAsia="zh-CN"/>
                <w14:textFill>
                  <w14:solidFill>
                    <w14:schemeClr w14:val="tx1"/>
                  </w14:solidFill>
                </w14:textFill>
              </w:rPr>
              <w:t>1号治理点</w:t>
            </w:r>
          </w:p>
          <w:p>
            <w:pPr>
              <w:pStyle w:val="15"/>
              <w:ind w:firstLine="420"/>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w:t>
            </w:r>
            <w:r>
              <w:rPr>
                <w:color w:val="000000" w:themeColor="text1"/>
                <w:sz w:val="24"/>
                <w:szCs w:val="24"/>
                <w:highlight w:val="none"/>
                <w14:textFill>
                  <w14:solidFill>
                    <w14:schemeClr w14:val="tx1"/>
                  </w14:solidFill>
                </w14:textFill>
              </w:rPr>
              <w:t>地形地貌治理分区</w:t>
            </w:r>
          </w:p>
          <w:p>
            <w:pPr>
              <w:pStyle w:val="15"/>
              <w:bidi w:val="0"/>
              <w:rPr>
                <w:rFonts w:hint="eastAsia"/>
                <w:color w:val="000000" w:themeColor="text1"/>
                <w:sz w:val="24"/>
                <w:szCs w:val="24"/>
                <w:highlight w:val="none"/>
                <w:lang w:eastAsia="zh-CN"/>
                <w14:textFill>
                  <w14:solidFill>
                    <w14:schemeClr w14:val="tx1"/>
                  </w14:solidFill>
                </w14:textFill>
              </w:rPr>
            </w:pP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2.76</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sz w:val="24"/>
                <w:szCs w:val="24"/>
                <w:highlight w:val="none"/>
                <w:lang w:val="en-US" w:eastAsia="zh-CN"/>
                <w14:textFill>
                  <w14:solidFill>
                    <w14:schemeClr w14:val="tx1"/>
                  </w14:solidFill>
                </w14:textFill>
              </w:rPr>
              <w:t>1</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分区图及剖面图如下图所示：</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537710" cy="2662555"/>
                  <wp:effectExtent l="0" t="0" r="15240" b="4445"/>
                  <wp:docPr id="65" name="图片 8"/>
                  <wp:cNvGraphicFramePr/>
                  <a:graphic xmlns:a="http://schemas.openxmlformats.org/drawingml/2006/main">
                    <a:graphicData uri="http://schemas.openxmlformats.org/drawingml/2006/picture">
                      <pic:pic xmlns:pic="http://schemas.openxmlformats.org/drawingml/2006/picture">
                        <pic:nvPicPr>
                          <pic:cNvPr id="65" name="图片 8"/>
                          <pic:cNvPicPr/>
                        </pic:nvPicPr>
                        <pic:blipFill>
                          <a:blip r:embed="rId38"/>
                          <a:stretch>
                            <a:fillRect/>
                          </a:stretch>
                        </pic:blipFill>
                        <pic:spPr>
                          <a:xfrm>
                            <a:off x="0" y="0"/>
                            <a:ext cx="4537710" cy="2662555"/>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31</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color w:val="000000" w:themeColor="text1"/>
                <w:highlight w:val="none"/>
                <w14:textFill>
                  <w14:solidFill>
                    <w14:schemeClr w14:val="tx1"/>
                  </w14:solidFill>
                </w14:textFill>
              </w:rPr>
              <w:t>分区图</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59860" cy="904875"/>
                  <wp:effectExtent l="0" t="0" r="2540" b="9525"/>
                  <wp:docPr id="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
                          <pic:cNvPicPr>
                            <a:picLocks noChangeAspect="1"/>
                          </pic:cNvPicPr>
                        </pic:nvPicPr>
                        <pic:blipFill>
                          <a:blip r:embed="rId39"/>
                          <a:stretch>
                            <a:fillRect/>
                          </a:stretch>
                        </pic:blipFill>
                        <pic:spPr>
                          <a:xfrm>
                            <a:off x="0" y="0"/>
                            <a:ext cx="3959860" cy="904875"/>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32</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highlight w:val="none"/>
                <w:lang w:eastAsia="zh-CN"/>
                <w14:textFill>
                  <w14:solidFill>
                    <w14:schemeClr w14:val="tx1"/>
                  </w14:solidFill>
                </w14:textFill>
              </w:rPr>
              <w:t>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bidi w:val="0"/>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r>
              <w:rPr>
                <w:rFonts w:hint="eastAsia"/>
                <w:color w:val="000000" w:themeColor="text1"/>
                <w:sz w:val="24"/>
                <w:szCs w:val="24"/>
                <w:highlight w:val="none"/>
                <w:lang w:eastAsia="zh-CN"/>
                <w14:textFill>
                  <w14:solidFill>
                    <w14:schemeClr w14:val="tx1"/>
                  </w14:solidFill>
                </w14:textFill>
              </w:rPr>
              <w:t>：</w:t>
            </w:r>
          </w:p>
          <w:p>
            <w:pPr>
              <w:pStyle w:val="7"/>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2-20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sz w:val="24"/>
                <w:szCs w:val="24"/>
                <w:highlight w:val="none"/>
                <w14:textFill>
                  <w14:solidFill>
                    <w14:schemeClr w14:val="tx1"/>
                  </w14:solidFill>
                </w14:textFill>
              </w:rPr>
              <w:t>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378.09</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94.15</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撒播草籽</w:t>
                  </w:r>
                </w:p>
              </w:tc>
              <w:tc>
                <w:tcPr>
                  <w:tcW w:w="956" w:type="dxa"/>
                  <w:tcBorders>
                    <w:tl2br w:val="nil"/>
                    <w:tr2bl w:val="nil"/>
                  </w:tcBorders>
                  <w:vAlign w:val="center"/>
                </w:tcPr>
                <w:p>
                  <w:pPr>
                    <w:spacing w:before="24" w:after="24"/>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hm</w:t>
                  </w:r>
                  <w:r>
                    <w:rPr>
                      <w:rFonts w:hint="eastAsia"/>
                      <w:color w:val="000000" w:themeColor="text1"/>
                      <w:sz w:val="21"/>
                      <w:szCs w:val="21"/>
                      <w:highlight w:val="none"/>
                      <w:vertAlign w:val="superscript"/>
                      <w:lang w:val="en-US" w:eastAsia="zh-CN"/>
                      <w14:textFill>
                        <w14:solidFill>
                          <w14:schemeClr w14:val="tx1"/>
                        </w14:solidFill>
                      </w14:textFill>
                    </w:rPr>
                    <w:t>2</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2.79</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t>香山黄泉村三采区</w:t>
            </w:r>
            <w:r>
              <w:rPr>
                <w:rFonts w:hint="eastAsia"/>
                <w:color w:val="000000" w:themeColor="text1"/>
                <w:highlight w:val="none"/>
                <w:lang w:val="en-US" w:eastAsia="zh-CN"/>
                <w14:textFill>
                  <w14:solidFill>
                    <w14:schemeClr w14:val="tx1"/>
                  </w14:solidFill>
                </w14:textFill>
              </w:rPr>
              <w:t>2号治理点</w:t>
            </w:r>
          </w:p>
          <w:p>
            <w:pPr>
              <w:pStyle w:val="15"/>
              <w:ind w:firstLine="420"/>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地形地貌治理分区</w:t>
            </w:r>
          </w:p>
          <w:p>
            <w:pPr>
              <w:pStyle w:val="15"/>
              <w:bidi w:val="0"/>
              <w:rPr>
                <w:rFonts w:hint="eastAsia"/>
                <w:color w:val="000000" w:themeColor="text1"/>
                <w:sz w:val="24"/>
                <w:szCs w:val="24"/>
                <w:highlight w:val="none"/>
                <w:lang w:eastAsia="zh-CN"/>
                <w14:textFill>
                  <w14:solidFill>
                    <w14:schemeClr w14:val="tx1"/>
                  </w14:solidFill>
                </w14:textFill>
              </w:rPr>
            </w:pP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2.41</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三采区</w:t>
            </w:r>
            <w:r>
              <w:rPr>
                <w:rFonts w:hint="eastAsia"/>
                <w:color w:val="000000" w:themeColor="text1"/>
                <w:sz w:val="24"/>
                <w:szCs w:val="24"/>
                <w:highlight w:val="none"/>
                <w:lang w:val="en-US" w:eastAsia="zh-CN"/>
                <w14:textFill>
                  <w14:solidFill>
                    <w14:schemeClr w14:val="tx1"/>
                  </w14:solidFill>
                </w14:textFill>
              </w:rPr>
              <w:t>2</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分区图及剖面图如下图所示：</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01185" cy="1873885"/>
                  <wp:effectExtent l="0" t="0" r="18415" b="12065"/>
                  <wp:docPr id="66" name="图片 9"/>
                  <wp:cNvGraphicFramePr/>
                  <a:graphic xmlns:a="http://schemas.openxmlformats.org/drawingml/2006/main">
                    <a:graphicData uri="http://schemas.openxmlformats.org/drawingml/2006/picture">
                      <pic:pic xmlns:pic="http://schemas.openxmlformats.org/drawingml/2006/picture">
                        <pic:nvPicPr>
                          <pic:cNvPr id="66" name="图片 9"/>
                          <pic:cNvPicPr/>
                        </pic:nvPicPr>
                        <pic:blipFill>
                          <a:blip r:embed="rId40"/>
                          <a:stretch>
                            <a:fillRect/>
                          </a:stretch>
                        </pic:blipFill>
                        <pic:spPr>
                          <a:xfrm>
                            <a:off x="0" y="0"/>
                            <a:ext cx="4401185" cy="1873885"/>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33</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三采区</w:t>
            </w:r>
            <w:r>
              <w:rPr>
                <w:rFonts w:hint="eastAsia"/>
                <w:color w:val="000000" w:themeColor="text1"/>
                <w:highlight w:val="none"/>
                <w:lang w:val="en-US" w:eastAsia="zh-CN"/>
                <w14:textFill>
                  <w14:solidFill>
                    <w14:schemeClr w14:val="tx1"/>
                  </w14:solidFill>
                </w14:textFill>
              </w:rPr>
              <w:t>2</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color w:val="000000" w:themeColor="text1"/>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bidi w:val="0"/>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r>
              <w:rPr>
                <w:rFonts w:hint="eastAsia"/>
                <w:color w:val="000000" w:themeColor="text1"/>
                <w:sz w:val="24"/>
                <w:szCs w:val="24"/>
                <w:highlight w:val="none"/>
                <w:lang w:eastAsia="zh-CN"/>
                <w14:textFill>
                  <w14:solidFill>
                    <w14:schemeClr w14:val="tx1"/>
                  </w14:solidFill>
                </w14:textFill>
              </w:rPr>
              <w:t>：</w:t>
            </w:r>
          </w:p>
          <w:p>
            <w:pPr>
              <w:pStyle w:val="7"/>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2-21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sz w:val="24"/>
                <w:szCs w:val="24"/>
                <w:highlight w:val="none"/>
                <w14:textFill>
                  <w14:solidFill>
                    <w14:schemeClr w14:val="tx1"/>
                  </w14:solidFill>
                </w14:textFill>
              </w:rPr>
              <w:t>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90.91</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51.15</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撒播草籽</w:t>
                  </w:r>
                </w:p>
              </w:tc>
              <w:tc>
                <w:tcPr>
                  <w:tcW w:w="956" w:type="dxa"/>
                  <w:tcBorders>
                    <w:tl2br w:val="nil"/>
                    <w:tr2bl w:val="nil"/>
                  </w:tcBorders>
                  <w:vAlign w:val="center"/>
                </w:tcPr>
                <w:p>
                  <w:pPr>
                    <w:spacing w:before="24" w:after="24"/>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hm</w:t>
                  </w:r>
                  <w:r>
                    <w:rPr>
                      <w:rFonts w:hint="eastAsia"/>
                      <w:color w:val="000000" w:themeColor="text1"/>
                      <w:sz w:val="21"/>
                      <w:szCs w:val="21"/>
                      <w:highlight w:val="none"/>
                      <w:vertAlign w:val="superscript"/>
                      <w:lang w:val="en-US" w:eastAsia="zh-CN"/>
                      <w14:textFill>
                        <w14:solidFill>
                          <w14:schemeClr w14:val="tx1"/>
                        </w14:solidFill>
                      </w14:textFill>
                    </w:rPr>
                    <w:t>2</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1.52</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香山黄泉村三采区</w:t>
            </w:r>
            <w:r>
              <w:rPr>
                <w:rFonts w:hint="eastAsia"/>
                <w:color w:val="000000" w:themeColor="text1"/>
                <w:highlight w:val="none"/>
                <w:lang w:val="en-US" w:eastAsia="zh-CN"/>
                <w14:textFill>
                  <w14:solidFill>
                    <w14:schemeClr w14:val="tx1"/>
                  </w14:solidFill>
                </w14:textFill>
              </w:rPr>
              <w:t>3号治理点</w:t>
            </w:r>
          </w:p>
          <w:p>
            <w:pPr>
              <w:pStyle w:val="15"/>
              <w:ind w:firstLine="420"/>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地形地貌治理分区</w:t>
            </w:r>
          </w:p>
          <w:p>
            <w:pPr>
              <w:pStyle w:val="15"/>
              <w:bidi w:val="0"/>
              <w:rPr>
                <w:rFonts w:hint="eastAsia"/>
                <w:color w:val="000000" w:themeColor="text1"/>
                <w:sz w:val="24"/>
                <w:szCs w:val="24"/>
                <w:highlight w:val="none"/>
                <w:lang w:eastAsia="zh-CN"/>
                <w14:textFill>
                  <w14:solidFill>
                    <w14:schemeClr w14:val="tx1"/>
                  </w14:solidFill>
                </w14:textFill>
              </w:rPr>
            </w:pP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三采区</w:t>
            </w: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3.98</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三采区</w:t>
            </w:r>
            <w:r>
              <w:rPr>
                <w:rFonts w:hint="eastAsia"/>
                <w:color w:val="000000" w:themeColor="text1"/>
                <w:sz w:val="24"/>
                <w:szCs w:val="24"/>
                <w:highlight w:val="none"/>
                <w:lang w:val="en-US" w:eastAsia="zh-CN"/>
                <w14:textFill>
                  <w14:solidFill>
                    <w14:schemeClr w14:val="tx1"/>
                  </w14:solidFill>
                </w14:textFill>
              </w:rPr>
              <w:t>3</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分区图及剖面图如下图所示：</w:t>
            </w:r>
          </w:p>
          <w:p>
            <w:pPr>
              <w:pStyle w:val="6"/>
              <w:bidi w:val="0"/>
              <w:rPr>
                <w:rFonts w:hint="eastAsia"/>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47210" cy="2879725"/>
                  <wp:effectExtent l="0" t="0" r="15240" b="15875"/>
                  <wp:docPr id="67" name="图片 10"/>
                  <wp:cNvGraphicFramePr/>
                  <a:graphic xmlns:a="http://schemas.openxmlformats.org/drawingml/2006/main">
                    <a:graphicData uri="http://schemas.openxmlformats.org/drawingml/2006/picture">
                      <pic:pic xmlns:pic="http://schemas.openxmlformats.org/drawingml/2006/picture">
                        <pic:nvPicPr>
                          <pic:cNvPr id="67" name="图片 10"/>
                          <pic:cNvPicPr/>
                        </pic:nvPicPr>
                        <pic:blipFill>
                          <a:blip r:embed="rId41"/>
                          <a:stretch>
                            <a:fillRect/>
                          </a:stretch>
                        </pic:blipFill>
                        <pic:spPr>
                          <a:xfrm>
                            <a:off x="0" y="0"/>
                            <a:ext cx="4347210" cy="2879725"/>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34</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color w:val="000000" w:themeColor="text1"/>
                <w:highlight w:val="none"/>
                <w14:textFill>
                  <w14:solidFill>
                    <w14:schemeClr w14:val="tx1"/>
                  </w14:solidFill>
                </w14:textFill>
              </w:rPr>
              <w:t>分区图</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59860" cy="1440180"/>
                  <wp:effectExtent l="0" t="0" r="2540" b="7620"/>
                  <wp:docPr id="71" name="图片 14"/>
                  <wp:cNvGraphicFramePr/>
                  <a:graphic xmlns:a="http://schemas.openxmlformats.org/drawingml/2006/main">
                    <a:graphicData uri="http://schemas.openxmlformats.org/drawingml/2006/picture">
                      <pic:pic xmlns:pic="http://schemas.openxmlformats.org/drawingml/2006/picture">
                        <pic:nvPicPr>
                          <pic:cNvPr id="71" name="图片 14"/>
                          <pic:cNvPicPr/>
                        </pic:nvPicPr>
                        <pic:blipFill>
                          <a:blip r:embed="rId42"/>
                          <a:stretch>
                            <a:fillRect/>
                          </a:stretch>
                        </pic:blipFill>
                        <pic:spPr>
                          <a:xfrm>
                            <a:off x="0" y="0"/>
                            <a:ext cx="3959860" cy="1440180"/>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35</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highlight w:val="none"/>
                <w:lang w:eastAsia="zh-CN"/>
                <w14:textFill>
                  <w14:solidFill>
                    <w14:schemeClr w14:val="tx1"/>
                  </w14:solidFill>
                </w14:textFill>
              </w:rPr>
              <w:t>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bidi w:val="0"/>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r>
              <w:rPr>
                <w:rFonts w:hint="eastAsia"/>
                <w:color w:val="000000" w:themeColor="text1"/>
                <w:sz w:val="24"/>
                <w:szCs w:val="24"/>
                <w:highlight w:val="none"/>
                <w:lang w:eastAsia="zh-CN"/>
                <w14:textFill>
                  <w14:solidFill>
                    <w14:schemeClr w14:val="tx1"/>
                  </w14:solidFill>
                </w14:textFill>
              </w:rPr>
              <w:t>：</w:t>
            </w:r>
          </w:p>
          <w:p>
            <w:pPr>
              <w:pStyle w:val="7"/>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2-22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3</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sz w:val="24"/>
                <w:szCs w:val="24"/>
                <w:highlight w:val="none"/>
                <w14:textFill>
                  <w14:solidFill>
                    <w14:schemeClr w14:val="tx1"/>
                  </w14:solidFill>
                </w14:textFill>
              </w:rPr>
              <w:t>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456.43</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82.33</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撒播草籽</w:t>
                  </w:r>
                </w:p>
              </w:tc>
              <w:tc>
                <w:tcPr>
                  <w:tcW w:w="956" w:type="dxa"/>
                  <w:tcBorders>
                    <w:tl2br w:val="nil"/>
                    <w:tr2bl w:val="nil"/>
                  </w:tcBorders>
                  <w:vAlign w:val="center"/>
                </w:tcPr>
                <w:p>
                  <w:pPr>
                    <w:spacing w:before="24" w:after="24"/>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hm</w:t>
                  </w:r>
                  <w:r>
                    <w:rPr>
                      <w:rFonts w:hint="eastAsia"/>
                      <w:color w:val="000000" w:themeColor="text1"/>
                      <w:sz w:val="21"/>
                      <w:szCs w:val="21"/>
                      <w:highlight w:val="none"/>
                      <w:vertAlign w:val="superscript"/>
                      <w:lang w:val="en-US" w:eastAsia="zh-CN"/>
                      <w14:textFill>
                        <w14:solidFill>
                          <w14:schemeClr w14:val="tx1"/>
                        </w14:solidFill>
                      </w14:textFill>
                    </w:rPr>
                    <w:t>2</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2.44</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bidi w:val="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t>香山黄泉村三采区</w:t>
            </w:r>
            <w:r>
              <w:rPr>
                <w:rFonts w:hint="eastAsia"/>
                <w:color w:val="000000" w:themeColor="text1"/>
                <w:highlight w:val="none"/>
                <w:lang w:val="en-US" w:eastAsia="zh-CN"/>
                <w14:textFill>
                  <w14:solidFill>
                    <w14:schemeClr w14:val="tx1"/>
                  </w14:solidFill>
                </w14:textFill>
              </w:rPr>
              <w:t>4号治理点</w:t>
            </w:r>
          </w:p>
          <w:p>
            <w:pPr>
              <w:pStyle w:val="15"/>
              <w:ind w:firstLine="420"/>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地形地貌治理分区</w:t>
            </w:r>
          </w:p>
          <w:p>
            <w:pPr>
              <w:pStyle w:val="15"/>
              <w:bidi w:val="0"/>
              <w:rPr>
                <w:rFonts w:hint="eastAsia"/>
                <w:color w:val="000000" w:themeColor="text1"/>
                <w:sz w:val="24"/>
                <w:szCs w:val="24"/>
                <w:highlight w:val="none"/>
                <w:lang w:eastAsia="zh-CN"/>
                <w14:textFill>
                  <w14:solidFill>
                    <w14:schemeClr w14:val="tx1"/>
                  </w14:solidFill>
                </w14:textFill>
              </w:rPr>
            </w:pP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三采区</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5.41</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三采区</w:t>
            </w:r>
            <w:r>
              <w:rPr>
                <w:rFonts w:hint="eastAsia"/>
                <w:color w:val="000000" w:themeColor="text1"/>
                <w:sz w:val="24"/>
                <w:szCs w:val="24"/>
                <w:highlight w:val="none"/>
                <w:lang w:val="en-US" w:eastAsia="zh-CN"/>
                <w14:textFill>
                  <w14:solidFill>
                    <w14:schemeClr w14:val="tx1"/>
                  </w14:solidFill>
                </w14:textFill>
              </w:rPr>
              <w:t>4</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分区图及剖面图如下图所示：</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08805" cy="1730375"/>
                  <wp:effectExtent l="0" t="0" r="10795" b="3175"/>
                  <wp:docPr id="68" name="图片 11"/>
                  <wp:cNvGraphicFramePr/>
                  <a:graphic xmlns:a="http://schemas.openxmlformats.org/drawingml/2006/main">
                    <a:graphicData uri="http://schemas.openxmlformats.org/drawingml/2006/picture">
                      <pic:pic xmlns:pic="http://schemas.openxmlformats.org/drawingml/2006/picture">
                        <pic:nvPicPr>
                          <pic:cNvPr id="68" name="图片 11"/>
                          <pic:cNvPicPr/>
                        </pic:nvPicPr>
                        <pic:blipFill>
                          <a:blip r:embed="rId43"/>
                          <a:stretch>
                            <a:fillRect/>
                          </a:stretch>
                        </pic:blipFill>
                        <pic:spPr>
                          <a:xfrm>
                            <a:off x="0" y="0"/>
                            <a:ext cx="4408805" cy="1730375"/>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36</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color w:val="000000" w:themeColor="text1"/>
                <w:highlight w:val="none"/>
                <w14:textFill>
                  <w14:solidFill>
                    <w14:schemeClr w14:val="tx1"/>
                  </w14:solidFill>
                </w14:textFill>
              </w:rPr>
              <w:t>分区图</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72280" cy="1284605"/>
                  <wp:effectExtent l="0" t="0" r="13970" b="10795"/>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44"/>
                          <a:stretch>
                            <a:fillRect/>
                          </a:stretch>
                        </pic:blipFill>
                        <pic:spPr>
                          <a:xfrm>
                            <a:off x="0" y="0"/>
                            <a:ext cx="4272280" cy="1284605"/>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37</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highlight w:val="none"/>
                <w:lang w:eastAsia="zh-CN"/>
                <w14:textFill>
                  <w14:solidFill>
                    <w14:schemeClr w14:val="tx1"/>
                  </w14:solidFill>
                </w14:textFill>
              </w:rPr>
              <w:t>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bidi w:val="0"/>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r>
              <w:rPr>
                <w:rFonts w:hint="eastAsia"/>
                <w:color w:val="000000" w:themeColor="text1"/>
                <w:sz w:val="24"/>
                <w:szCs w:val="24"/>
                <w:highlight w:val="none"/>
                <w:lang w:eastAsia="zh-CN"/>
                <w14:textFill>
                  <w14:solidFill>
                    <w14:schemeClr w14:val="tx1"/>
                  </w14:solidFill>
                </w14:textFill>
              </w:rPr>
              <w:t>：</w:t>
            </w:r>
          </w:p>
          <w:p>
            <w:pPr>
              <w:pStyle w:val="7"/>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2-23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sz w:val="24"/>
                <w:szCs w:val="24"/>
                <w:highlight w:val="none"/>
                <w14:textFill>
                  <w14:solidFill>
                    <w14:schemeClr w14:val="tx1"/>
                  </w14:solidFill>
                </w14:textFill>
              </w:rPr>
              <w:t>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96.69</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22.35</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撒播草籽</w:t>
                  </w:r>
                </w:p>
              </w:tc>
              <w:tc>
                <w:tcPr>
                  <w:tcW w:w="956" w:type="dxa"/>
                  <w:tcBorders>
                    <w:tl2br w:val="nil"/>
                    <w:tr2bl w:val="nil"/>
                  </w:tcBorders>
                  <w:vAlign w:val="center"/>
                </w:tcPr>
                <w:p>
                  <w:pPr>
                    <w:spacing w:before="24" w:after="24"/>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hm</w:t>
                  </w:r>
                  <w:r>
                    <w:rPr>
                      <w:rFonts w:hint="eastAsia"/>
                      <w:color w:val="000000" w:themeColor="text1"/>
                      <w:sz w:val="21"/>
                      <w:szCs w:val="21"/>
                      <w:highlight w:val="none"/>
                      <w:vertAlign w:val="superscript"/>
                      <w:lang w:val="en-US" w:eastAsia="zh-CN"/>
                      <w14:textFill>
                        <w14:solidFill>
                          <w14:schemeClr w14:val="tx1"/>
                        </w14:solidFill>
                      </w14:textFill>
                    </w:rPr>
                    <w:t>2</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0.66</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3"/>
              <w:widowControl w:val="0"/>
              <w:numPr>
                <w:ilvl w:val="0"/>
                <w:numId w:val="0"/>
              </w:numPr>
              <w:adjustRightInd w:val="0"/>
              <w:snapToGrid w:val="0"/>
              <w:jc w:val="center"/>
              <w:rPr>
                <w:color w:val="000000" w:themeColor="text1"/>
                <w:highlight w:val="none"/>
                <w14:textFill>
                  <w14:solidFill>
                    <w14:schemeClr w14:val="tx1"/>
                  </w14:solidFill>
                </w14:textFill>
              </w:rPr>
            </w:pPr>
          </w:p>
          <w:p>
            <w:pPr>
              <w:pStyle w:val="1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5、</w:t>
            </w:r>
            <w:r>
              <w:rPr>
                <w:color w:val="000000" w:themeColor="text1"/>
                <w:highlight w:val="none"/>
                <w14:textFill>
                  <w14:solidFill>
                    <w14:schemeClr w14:val="tx1"/>
                  </w14:solidFill>
                </w14:textFill>
              </w:rPr>
              <w:t>香山黄泉村三采区</w:t>
            </w:r>
            <w:r>
              <w:rPr>
                <w:rFonts w:hint="eastAsia"/>
                <w:color w:val="000000" w:themeColor="text1"/>
                <w:highlight w:val="none"/>
                <w:lang w:val="en-US" w:eastAsia="zh-CN"/>
                <w14:textFill>
                  <w14:solidFill>
                    <w14:schemeClr w14:val="tx1"/>
                  </w14:solidFill>
                </w14:textFill>
              </w:rPr>
              <w:t>5号治理点</w:t>
            </w:r>
          </w:p>
          <w:p>
            <w:pPr>
              <w:pStyle w:val="15"/>
              <w:ind w:firstLine="420"/>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地形地貌治理分区</w:t>
            </w:r>
          </w:p>
          <w:p>
            <w:pPr>
              <w:pStyle w:val="15"/>
              <w:bidi w:val="0"/>
              <w:rPr>
                <w:rFonts w:hint="eastAsia"/>
                <w:color w:val="000000" w:themeColor="text1"/>
                <w:sz w:val="24"/>
                <w:szCs w:val="24"/>
                <w:highlight w:val="none"/>
                <w:lang w:eastAsia="zh-CN"/>
                <w14:textFill>
                  <w14:solidFill>
                    <w14:schemeClr w14:val="tx1"/>
                  </w14:solidFill>
                </w14:textFill>
              </w:rPr>
            </w:pP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三采区</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1.56</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三采区</w:t>
            </w:r>
            <w:r>
              <w:rPr>
                <w:rFonts w:hint="eastAsia"/>
                <w:color w:val="000000" w:themeColor="text1"/>
                <w:sz w:val="24"/>
                <w:szCs w:val="24"/>
                <w:highlight w:val="none"/>
                <w:lang w:val="en-US" w:eastAsia="zh-CN"/>
                <w14:textFill>
                  <w14:solidFill>
                    <w14:schemeClr w14:val="tx1"/>
                  </w14:solidFill>
                </w14:textFill>
              </w:rPr>
              <w:t>5</w:t>
            </w:r>
            <w:r>
              <w:rPr>
                <w:color w:val="000000" w:themeColor="text1"/>
                <w:sz w:val="24"/>
                <w:szCs w:val="24"/>
                <w:highlight w:val="none"/>
                <w14:textFill>
                  <w14:solidFill>
                    <w14:schemeClr w14:val="tx1"/>
                  </w14:solidFill>
                </w14:textFill>
              </w:rPr>
              <w:t>号治理点地形地貌整治工程进行分区</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分区图及剖面图如下图所示：</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551680" cy="1742440"/>
                  <wp:effectExtent l="0" t="0" r="1270" b="10160"/>
                  <wp:docPr id="69" name="图片 12"/>
                  <wp:cNvGraphicFramePr/>
                  <a:graphic xmlns:a="http://schemas.openxmlformats.org/drawingml/2006/main">
                    <a:graphicData uri="http://schemas.openxmlformats.org/drawingml/2006/picture">
                      <pic:pic xmlns:pic="http://schemas.openxmlformats.org/drawingml/2006/picture">
                        <pic:nvPicPr>
                          <pic:cNvPr id="69" name="图片 12"/>
                          <pic:cNvPicPr/>
                        </pic:nvPicPr>
                        <pic:blipFill>
                          <a:blip r:embed="rId45"/>
                          <a:stretch>
                            <a:fillRect/>
                          </a:stretch>
                        </pic:blipFill>
                        <pic:spPr>
                          <a:xfrm>
                            <a:off x="0" y="0"/>
                            <a:ext cx="4551680" cy="1742440"/>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38</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color w:val="000000" w:themeColor="text1"/>
                <w:highlight w:val="none"/>
                <w14:textFill>
                  <w14:solidFill>
                    <w14:schemeClr w14:val="tx1"/>
                  </w14:solidFill>
                </w14:textFill>
              </w:rPr>
              <w:t>分区图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bidi w:val="0"/>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r>
              <w:rPr>
                <w:rFonts w:hint="eastAsia"/>
                <w:color w:val="000000" w:themeColor="text1"/>
                <w:sz w:val="24"/>
                <w:szCs w:val="24"/>
                <w:highlight w:val="none"/>
                <w:lang w:eastAsia="zh-CN"/>
                <w14:textFill>
                  <w14:solidFill>
                    <w14:schemeClr w14:val="tx1"/>
                  </w14:solidFill>
                </w14:textFill>
              </w:rPr>
              <w:t>：</w:t>
            </w:r>
          </w:p>
          <w:p>
            <w:pPr>
              <w:pStyle w:val="7"/>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2-24  </w:t>
            </w:r>
            <w:r>
              <w:rPr>
                <w:color w:val="000000" w:themeColor="text1"/>
                <w:highlight w:val="none"/>
                <w14:textFill>
                  <w14:solidFill>
                    <w14:schemeClr w14:val="tx1"/>
                  </w14:solidFill>
                </w14:textFill>
              </w:rPr>
              <w:t>香山黄泉村</w:t>
            </w:r>
            <w:r>
              <w:rPr>
                <w:rFonts w:hint="eastAsia"/>
                <w:color w:val="000000" w:themeColor="text1"/>
                <w:highlight w:val="none"/>
                <w:lang w:eastAsia="zh-CN"/>
                <w14:textFill>
                  <w14:solidFill>
                    <w14:schemeClr w14:val="tx1"/>
                  </w14:solidFill>
                </w14:textFill>
              </w:rPr>
              <w:t>三</w:t>
            </w:r>
            <w:r>
              <w:rPr>
                <w:color w:val="000000" w:themeColor="text1"/>
                <w:highlight w:val="none"/>
                <w14:textFill>
                  <w14:solidFill>
                    <w14:schemeClr w14:val="tx1"/>
                  </w14:solidFill>
                </w14:textFill>
              </w:rPr>
              <w:t>采区</w:t>
            </w:r>
            <w:r>
              <w:rPr>
                <w:rFonts w:hint="eastAsia"/>
                <w:color w:val="000000" w:themeColor="text1"/>
                <w:highlight w:val="none"/>
                <w:lang w:val="en-US" w:eastAsia="zh-CN"/>
                <w14:textFill>
                  <w14:solidFill>
                    <w14:schemeClr w14:val="tx1"/>
                  </w14:solidFill>
                </w14:textFill>
              </w:rPr>
              <w:t>5</w:t>
            </w:r>
            <w:r>
              <w:rPr>
                <w:rFonts w:hint="eastAsia"/>
                <w:color w:val="000000" w:themeColor="text1"/>
                <w:highlight w:val="none"/>
                <w14:textFill>
                  <w14:solidFill>
                    <w14:schemeClr w14:val="tx1"/>
                  </w14:solidFill>
                </w14:textFill>
              </w:rPr>
              <w:t>号</w:t>
            </w:r>
            <w:r>
              <w:rPr>
                <w:color w:val="000000" w:themeColor="text1"/>
                <w:highlight w:val="none"/>
                <w14:textFill>
                  <w14:solidFill>
                    <w14:schemeClr w14:val="tx1"/>
                  </w14:solidFill>
                </w14:textFill>
              </w:rPr>
              <w:t>治理</w:t>
            </w:r>
            <w:r>
              <w:rPr>
                <w:rFonts w:hint="eastAsia"/>
                <w:color w:val="000000" w:themeColor="text1"/>
                <w:highlight w:val="none"/>
                <w14:textFill>
                  <w14:solidFill>
                    <w14:schemeClr w14:val="tx1"/>
                  </w14:solidFill>
                </w14:textFill>
              </w:rPr>
              <w:t>点</w:t>
            </w:r>
            <w:r>
              <w:rPr>
                <w:rFonts w:hint="eastAsia"/>
                <w:color w:val="000000" w:themeColor="text1"/>
                <w:sz w:val="24"/>
                <w:szCs w:val="24"/>
                <w:highlight w:val="none"/>
                <w14:textFill>
                  <w14:solidFill>
                    <w14:schemeClr w14:val="tx1"/>
                  </w14:solidFill>
                </w14:textFill>
              </w:rPr>
              <w:t>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49.74</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20.53</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撒播草籽</w:t>
                  </w:r>
                </w:p>
              </w:tc>
              <w:tc>
                <w:tcPr>
                  <w:tcW w:w="956" w:type="dxa"/>
                  <w:tcBorders>
                    <w:tl2br w:val="nil"/>
                    <w:tr2bl w:val="nil"/>
                  </w:tcBorders>
                  <w:vAlign w:val="center"/>
                </w:tcPr>
                <w:p>
                  <w:pPr>
                    <w:spacing w:before="24" w:after="24"/>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hm</w:t>
                  </w:r>
                  <w:r>
                    <w:rPr>
                      <w:rFonts w:hint="eastAsia"/>
                      <w:color w:val="000000" w:themeColor="text1"/>
                      <w:sz w:val="21"/>
                      <w:szCs w:val="21"/>
                      <w:highlight w:val="none"/>
                      <w:vertAlign w:val="superscript"/>
                      <w:lang w:val="en-US" w:eastAsia="zh-CN"/>
                      <w14:textFill>
                        <w14:solidFill>
                          <w14:schemeClr w14:val="tx1"/>
                        </w14:solidFill>
                      </w14:textFill>
                    </w:rPr>
                    <w:t>2</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0.61</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numPr>
                <w:ilvl w:val="0"/>
                <w:numId w:val="3"/>
              </w:numPr>
              <w:bidi w:val="0"/>
              <w:ind w:left="0" w:leftChars="0" w:firstLine="480" w:firstLineChars="200"/>
              <w:rPr>
                <w:rFonts w:hint="eastAsia"/>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常乐镇原上游村西生态修复治理区</w:t>
            </w:r>
            <w:r>
              <w:rPr>
                <w:rFonts w:hint="eastAsia"/>
                <w:color w:val="000000" w:themeColor="text1"/>
                <w:highlight w:val="none"/>
                <w:lang w:val="en-US" w:eastAsia="zh-CN"/>
                <w14:textFill>
                  <w14:solidFill>
                    <w14:schemeClr w14:val="tx1"/>
                  </w14:solidFill>
                </w14:textFill>
              </w:rPr>
              <w:t xml:space="preserve"> </w:t>
            </w:r>
          </w:p>
          <w:p>
            <w:pPr>
              <w:pStyle w:val="15"/>
              <w:widowControl w:val="0"/>
              <w:numPr>
                <w:ilvl w:val="0"/>
                <w:numId w:val="0"/>
              </w:numPr>
              <w:bidi w:val="0"/>
              <w:adjustRightInd w:val="0"/>
              <w:snapToGrid w:val="0"/>
              <w:spacing w:line="360" w:lineRule="auto"/>
              <w:ind w:firstLine="480" w:firstLineChars="200"/>
              <w:jc w:val="left"/>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常乐镇原上游村西生态修复治理区面积为2.03hm²，包含1个治理点，具体工程建设内容如下。</w:t>
            </w:r>
          </w:p>
          <w:p>
            <w:pPr>
              <w:pStyle w:val="15"/>
              <w:bidi w:val="0"/>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w:t>
            </w:r>
            <w:r>
              <w:rPr>
                <w:color w:val="000000" w:themeColor="text1"/>
                <w:highlight w:val="none"/>
                <w:lang w:val="en-US" w:eastAsia="zh-CN"/>
                <w14:textFill>
                  <w14:solidFill>
                    <w14:schemeClr w14:val="tx1"/>
                  </w14:solidFill>
                </w14:textFill>
              </w:rPr>
              <w:t>常乐镇原上游村西1</w:t>
            </w:r>
            <w:r>
              <w:rPr>
                <w:rFonts w:hint="eastAsia"/>
                <w:color w:val="000000" w:themeColor="text1"/>
                <w:highlight w:val="none"/>
                <w:lang w:val="en-US" w:eastAsia="zh-CN"/>
                <w14:textFill>
                  <w14:solidFill>
                    <w14:schemeClr w14:val="tx1"/>
                  </w14:solidFill>
                </w14:textFill>
              </w:rPr>
              <w:t>号治理点</w:t>
            </w:r>
          </w:p>
          <w:p>
            <w:pPr>
              <w:pStyle w:val="15"/>
              <w:ind w:firstLine="420"/>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地形地貌治理分区</w:t>
            </w:r>
          </w:p>
          <w:p>
            <w:pPr>
              <w:pStyle w:val="15"/>
              <w:bidi w:val="0"/>
              <w:rPr>
                <w:color w:val="000000" w:themeColor="text1"/>
                <w:highlight w:val="none"/>
                <w14:textFill>
                  <w14:solidFill>
                    <w14:schemeClr w14:val="tx1"/>
                  </w14:solidFill>
                </w14:textFill>
              </w:rPr>
            </w:pPr>
            <w:r>
              <w:rPr>
                <w:color w:val="000000" w:themeColor="text1"/>
                <w:highlight w:val="none"/>
                <w:lang w:val="en-US" w:eastAsia="zh-CN"/>
                <w14:textFill>
                  <w14:solidFill>
                    <w14:schemeClr w14:val="tx1"/>
                  </w14:solidFill>
                </w14:textFill>
              </w:rPr>
              <w:t>常乐镇原上游村西</w:t>
            </w:r>
            <w:r>
              <w:rPr>
                <w:rFonts w:hint="eastAsia"/>
                <w:color w:val="000000" w:themeColor="text1"/>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号治理点总治理面积为</w:t>
            </w:r>
            <w:r>
              <w:rPr>
                <w:rFonts w:hint="eastAsia"/>
                <w:color w:val="000000" w:themeColor="text1"/>
                <w:sz w:val="24"/>
                <w:szCs w:val="24"/>
                <w:highlight w:val="none"/>
                <w:lang w:val="en-US" w:eastAsia="zh-CN"/>
                <w14:textFill>
                  <w14:solidFill>
                    <w14:schemeClr w14:val="tx1"/>
                  </w14:solidFill>
                </w14:textFill>
              </w:rPr>
              <w:t>2.03</w:t>
            </w:r>
            <w:r>
              <w:rPr>
                <w:rFonts w:hint="eastAsia"/>
                <w:color w:val="000000" w:themeColor="text1"/>
                <w:sz w:val="24"/>
                <w:szCs w:val="24"/>
                <w:highlight w:val="none"/>
                <w14:textFill>
                  <w14:solidFill>
                    <w14:schemeClr w14:val="tx1"/>
                  </w14:solidFill>
                </w14:textFill>
              </w:rPr>
              <w:t>hm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根据治理单元、现场实际情况及治理工程部署，现将</w:t>
            </w:r>
            <w:r>
              <w:rPr>
                <w:color w:val="000000" w:themeColor="text1"/>
                <w:highlight w:val="none"/>
                <w:lang w:val="en-US" w:eastAsia="zh-CN"/>
                <w14:textFill>
                  <w14:solidFill>
                    <w14:schemeClr w14:val="tx1"/>
                  </w14:solidFill>
                </w14:textFill>
              </w:rPr>
              <w:t>常乐镇原上游村西</w:t>
            </w:r>
            <w:r>
              <w:rPr>
                <w:rFonts w:hint="eastAsia"/>
                <w:color w:val="000000" w:themeColor="text1"/>
                <w:highlight w:val="none"/>
                <w:lang w:val="en-US" w:eastAsia="zh-CN"/>
                <w14:textFill>
                  <w14:solidFill>
                    <w14:schemeClr w14:val="tx1"/>
                  </w14:solidFill>
                </w14:textFill>
              </w:rPr>
              <w:t>1</w:t>
            </w:r>
            <w:r>
              <w:rPr>
                <w:color w:val="000000" w:themeColor="text1"/>
                <w:sz w:val="24"/>
                <w:szCs w:val="24"/>
                <w:highlight w:val="none"/>
                <w14:textFill>
                  <w14:solidFill>
                    <w14:schemeClr w14:val="tx1"/>
                  </w14:solidFill>
                </w14:textFill>
              </w:rPr>
              <w:t>号治理点地形地貌整治工程进行</w:t>
            </w:r>
            <w:r>
              <w:rPr>
                <w:rFonts w:hint="eastAsia"/>
                <w:color w:val="000000" w:themeColor="text1"/>
                <w:sz w:val="24"/>
                <w:szCs w:val="24"/>
                <w:highlight w:val="none"/>
                <w:lang w:eastAsia="zh-CN"/>
                <w14:textFill>
                  <w14:solidFill>
                    <w14:schemeClr w14:val="tx1"/>
                  </w14:solidFill>
                </w14:textFill>
              </w:rPr>
              <w:t>治理</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分区图及剖面图如下图所示：</w:t>
            </w:r>
          </w:p>
          <w:p>
            <w:pPr>
              <w:pStyle w:val="6"/>
              <w:bidi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13555" cy="2378075"/>
                  <wp:effectExtent l="0" t="0" r="10795" b="3175"/>
                  <wp:docPr id="81" name="图片 19"/>
                  <wp:cNvGraphicFramePr/>
                  <a:graphic xmlns:a="http://schemas.openxmlformats.org/drawingml/2006/main">
                    <a:graphicData uri="http://schemas.openxmlformats.org/drawingml/2006/picture">
                      <pic:pic xmlns:pic="http://schemas.openxmlformats.org/drawingml/2006/picture">
                        <pic:nvPicPr>
                          <pic:cNvPr id="81" name="图片 19"/>
                          <pic:cNvPicPr/>
                        </pic:nvPicPr>
                        <pic:blipFill>
                          <a:blip r:embed="rId46"/>
                          <a:stretch>
                            <a:fillRect/>
                          </a:stretch>
                        </pic:blipFill>
                        <pic:spPr>
                          <a:xfrm>
                            <a:off x="0" y="0"/>
                            <a:ext cx="4313555" cy="2378075"/>
                          </a:xfrm>
                          <a:prstGeom prst="rect">
                            <a:avLst/>
                          </a:prstGeom>
                          <a:noFill/>
                          <a:ln>
                            <a:noFill/>
                          </a:ln>
                        </pic:spPr>
                      </pic:pic>
                    </a:graphicData>
                  </a:graphic>
                </wp:inline>
              </w:drawing>
            </w:r>
          </w:p>
          <w:p>
            <w:pPr>
              <w:pStyle w:val="7"/>
              <w:bidi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39</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lang w:val="en-US" w:eastAsia="zh-CN"/>
                <w14:textFill>
                  <w14:solidFill>
                    <w14:schemeClr w14:val="tx1"/>
                  </w14:solidFill>
                </w14:textFill>
              </w:rPr>
              <w:t>常乐镇原上游村西</w:t>
            </w:r>
            <w:r>
              <w:rPr>
                <w:rFonts w:hint="eastAsia"/>
                <w:color w:val="000000" w:themeColor="text1"/>
                <w:highlight w:val="none"/>
                <w:lang w:val="en-US" w:eastAsia="zh-CN"/>
                <w14:textFill>
                  <w14:solidFill>
                    <w14:schemeClr w14:val="tx1"/>
                  </w14:solidFill>
                </w14:textFill>
              </w:rPr>
              <w:t>1</w:t>
            </w:r>
            <w:r>
              <w:rPr>
                <w:rFonts w:hint="eastAsia"/>
                <w:color w:val="000000" w:themeColor="text1"/>
                <w:sz w:val="24"/>
                <w:szCs w:val="24"/>
                <w:highlight w:val="none"/>
                <w14:textFill>
                  <w14:solidFill>
                    <w14:schemeClr w14:val="tx1"/>
                  </w14:solidFill>
                </w14:textFill>
              </w:rPr>
              <w:t>号治理点</w:t>
            </w:r>
            <w:r>
              <w:rPr>
                <w:color w:val="000000" w:themeColor="text1"/>
                <w:highlight w:val="none"/>
                <w14:textFill>
                  <w14:solidFill>
                    <w14:schemeClr w14:val="tx1"/>
                  </w14:solidFill>
                </w14:textFill>
              </w:rPr>
              <w:t>分区图</w:t>
            </w:r>
          </w:p>
          <w:p>
            <w:pP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04970" cy="1440180"/>
                  <wp:effectExtent l="0" t="0" r="5080" b="7620"/>
                  <wp:docPr id="86" name="图片 21"/>
                  <wp:cNvGraphicFramePr/>
                  <a:graphic xmlns:a="http://schemas.openxmlformats.org/drawingml/2006/main">
                    <a:graphicData uri="http://schemas.openxmlformats.org/drawingml/2006/picture">
                      <pic:pic xmlns:pic="http://schemas.openxmlformats.org/drawingml/2006/picture">
                        <pic:nvPicPr>
                          <pic:cNvPr id="86" name="图片 21"/>
                          <pic:cNvPicPr/>
                        </pic:nvPicPr>
                        <pic:blipFill>
                          <a:blip r:embed="rId47"/>
                          <a:stretch>
                            <a:fillRect/>
                          </a:stretch>
                        </pic:blipFill>
                        <pic:spPr>
                          <a:xfrm>
                            <a:off x="0" y="0"/>
                            <a:ext cx="4204970" cy="1440180"/>
                          </a:xfrm>
                          <a:prstGeom prst="rect">
                            <a:avLst/>
                          </a:prstGeom>
                          <a:noFill/>
                          <a:ln>
                            <a:noFill/>
                          </a:ln>
                        </pic:spPr>
                      </pic:pic>
                    </a:graphicData>
                  </a:graphic>
                </wp:inline>
              </w:drawing>
            </w:r>
          </w:p>
          <w:p>
            <w:pPr>
              <w:pStyle w:val="7"/>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图2-</w:t>
            </w:r>
            <w:r>
              <w:rPr>
                <w:rFonts w:hint="eastAsia"/>
                <w:color w:val="000000" w:themeColor="text1"/>
                <w:highlight w:val="none"/>
                <w:lang w:val="en-US" w:eastAsia="zh-CN"/>
                <w14:textFill>
                  <w14:solidFill>
                    <w14:schemeClr w14:val="tx1"/>
                  </w14:solidFill>
                </w14:textFill>
              </w:rPr>
              <w:t>40</w:t>
            </w:r>
            <w:r>
              <w:rPr>
                <w:rFonts w:hint="eastAsia"/>
                <w:color w:val="000000" w:themeColor="text1"/>
                <w:highlight w:val="none"/>
                <w14:textFill>
                  <w14:solidFill>
                    <w14:schemeClr w14:val="tx1"/>
                  </w14:solidFill>
                </w14:textFill>
              </w:rPr>
              <w:t xml:space="preserve"> </w:t>
            </w:r>
            <w:r>
              <w:rPr>
                <w:rFonts w:hint="eastAsia"/>
                <w:color w:val="000000" w:themeColor="text1"/>
                <w:highlight w:val="none"/>
                <w:lang w:val="en-US" w:eastAsia="zh-CN"/>
                <w14:textFill>
                  <w14:solidFill>
                    <w14:schemeClr w14:val="tx1"/>
                  </w14:solidFill>
                </w14:textFill>
              </w:rPr>
              <w:t xml:space="preserve"> </w:t>
            </w:r>
            <w:r>
              <w:rPr>
                <w:color w:val="000000" w:themeColor="text1"/>
                <w:highlight w:val="none"/>
                <w:lang w:val="en-US" w:eastAsia="zh-CN"/>
                <w14:textFill>
                  <w14:solidFill>
                    <w14:schemeClr w14:val="tx1"/>
                  </w14:solidFill>
                </w14:textFill>
              </w:rPr>
              <w:t>常乐镇原上游村西</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号治理点</w:t>
            </w:r>
            <w:r>
              <w:rPr>
                <w:rFonts w:hint="eastAsia"/>
                <w:color w:val="000000" w:themeColor="text1"/>
                <w:highlight w:val="none"/>
                <w:lang w:eastAsia="zh-CN"/>
                <w14:textFill>
                  <w14:solidFill>
                    <w14:schemeClr w14:val="tx1"/>
                  </w14:solidFill>
                </w14:textFill>
              </w:rPr>
              <w:t>剖面图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（2）生态修复方案主要内容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根据生态修复措施、矿山地形现状、地表植被发育情况以及地表土壤分布状况，生态修复技术措施包括：</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、绿化覆土、植被恢复工程等工程措施。</w:t>
            </w:r>
          </w:p>
          <w:p>
            <w:pPr>
              <w:pStyle w:val="15"/>
              <w:bidi w:val="0"/>
              <w:rPr>
                <w:rFonts w:hint="eastAsia"/>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主要工作量如下表</w:t>
            </w:r>
            <w:r>
              <w:rPr>
                <w:rFonts w:hint="eastAsia"/>
                <w:color w:val="000000" w:themeColor="text1"/>
                <w:sz w:val="24"/>
                <w:szCs w:val="24"/>
                <w:highlight w:val="none"/>
                <w:lang w:eastAsia="zh-CN"/>
                <w14:textFill>
                  <w14:solidFill>
                    <w14:schemeClr w14:val="tx1"/>
                  </w14:solidFill>
                </w14:textFill>
              </w:rPr>
              <w:t>：</w:t>
            </w:r>
          </w:p>
          <w:p>
            <w:pPr>
              <w:pStyle w:val="7"/>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 xml:space="preserve">2-25  </w:t>
            </w:r>
            <w:r>
              <w:rPr>
                <w:color w:val="000000" w:themeColor="text1"/>
                <w:highlight w:val="none"/>
                <w:lang w:val="en-US" w:eastAsia="zh-CN"/>
                <w14:textFill>
                  <w14:solidFill>
                    <w14:schemeClr w14:val="tx1"/>
                  </w14:solidFill>
                </w14:textFill>
              </w:rPr>
              <w:t>常乐镇原上游村西</w:t>
            </w:r>
            <w:r>
              <w:rPr>
                <w:rFonts w:hint="eastAsia"/>
                <w:color w:val="000000" w:themeColor="text1"/>
                <w:highlight w:val="none"/>
                <w:lang w:val="en-US" w:eastAsia="zh-CN"/>
                <w14:textFill>
                  <w14:solidFill>
                    <w14:schemeClr w14:val="tx1"/>
                  </w14:solidFill>
                </w14:textFill>
              </w:rPr>
              <w:t>1</w:t>
            </w:r>
            <w:r>
              <w:rPr>
                <w:rFonts w:hint="eastAsia"/>
                <w:color w:val="000000" w:themeColor="text1"/>
                <w:highlight w:val="none"/>
                <w14:textFill>
                  <w14:solidFill>
                    <w14:schemeClr w14:val="tx1"/>
                  </w14:solidFill>
                </w14:textFill>
              </w:rPr>
              <w:t>号治理点</w:t>
            </w:r>
            <w:r>
              <w:rPr>
                <w:rFonts w:hint="eastAsia"/>
                <w:color w:val="000000" w:themeColor="text1"/>
                <w:sz w:val="24"/>
                <w:szCs w:val="24"/>
                <w:highlight w:val="none"/>
                <w14:textFill>
                  <w14:solidFill>
                    <w14:schemeClr w14:val="tx1"/>
                  </w14:solidFill>
                </w14:textFill>
              </w:rPr>
              <w:t>生态修复工程量统计表</w:t>
            </w:r>
          </w:p>
          <w:tbl>
            <w:tblPr>
              <w:tblStyle w:val="25"/>
              <w:tblW w:w="77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955"/>
              <w:gridCol w:w="956"/>
              <w:gridCol w:w="904"/>
              <w:gridCol w:w="2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编号</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工程名称</w:t>
                  </w:r>
                </w:p>
              </w:tc>
              <w:tc>
                <w:tcPr>
                  <w:tcW w:w="95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单位</w:t>
                  </w:r>
                </w:p>
              </w:tc>
              <w:tc>
                <w:tcPr>
                  <w:tcW w:w="904"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一</w:t>
                  </w:r>
                </w:p>
              </w:tc>
              <w:tc>
                <w:tcPr>
                  <w:tcW w:w="2955" w:type="dxa"/>
                  <w:tcBorders>
                    <w:tl2br w:val="nil"/>
                    <w:tr2bl w:val="nil"/>
                  </w:tcBorders>
                  <w:vAlign w:val="center"/>
                </w:tcPr>
                <w:p>
                  <w:pPr>
                    <w:bidi w:val="0"/>
                    <w:rPr>
                      <w:color w:val="000000" w:themeColor="text1"/>
                      <w:szCs w:val="21"/>
                      <w:highlight w:val="none"/>
                      <w14:textFill>
                        <w14:solidFill>
                          <w14:schemeClr w14:val="tx1"/>
                        </w14:solidFill>
                      </w14:textFill>
                    </w:rPr>
                  </w:pPr>
                  <w:r>
                    <w:rPr>
                      <w:color w:val="000000" w:themeColor="text1"/>
                      <w:sz w:val="21"/>
                      <w:szCs w:val="21"/>
                      <w:highlight w:val="none"/>
                      <w:lang w:val="en-US" w:eastAsia="zh-CN"/>
                      <w14:textFill>
                        <w14:solidFill>
                          <w14:schemeClr w14:val="tx1"/>
                        </w14:solidFill>
                      </w14:textFill>
                    </w:rPr>
                    <w:t>边坡坡角培土及凹陷处回填</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37.41</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二</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削高填低</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71.69</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绿化覆土</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color w:val="000000" w:themeColor="text1"/>
                      <w:sz w:val="21"/>
                      <w:szCs w:val="21"/>
                      <w:highlight w:val="none"/>
                      <w14:textFill>
                        <w14:solidFill>
                          <w14:schemeClr w14:val="tx1"/>
                        </w14:solidFill>
                      </w14:textFill>
                    </w:rPr>
                    <w:t>采场剥离和挖出的黄土</w:t>
                  </w:r>
                  <w:r>
                    <w:rPr>
                      <w:rFonts w:hint="eastAsia"/>
                      <w:color w:val="000000" w:themeColor="text1"/>
                      <w:sz w:val="21"/>
                      <w:szCs w:val="21"/>
                      <w:highlight w:val="none"/>
                      <w:lang w:val="en-US" w:eastAsia="zh-CN"/>
                      <w14:textFill>
                        <w14:solidFill>
                          <w14:schemeClr w14:val="tx1"/>
                        </w14:solidFill>
                      </w14:textFill>
                    </w:rPr>
                    <w:t xml:space="preserve"> </w:t>
                  </w:r>
                </w:p>
              </w:tc>
              <w:tc>
                <w:tcPr>
                  <w:tcW w:w="956" w:type="dxa"/>
                  <w:tcBorders>
                    <w:tl2br w:val="nil"/>
                    <w:tr2bl w:val="nil"/>
                  </w:tcBorders>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904"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24.52</w:t>
                  </w:r>
                </w:p>
              </w:tc>
              <w:tc>
                <w:tcPr>
                  <w:tcW w:w="2194" w:type="dxa"/>
                  <w:tcBorders>
                    <w:tl2br w:val="nil"/>
                    <w:tr2bl w:val="nil"/>
                  </w:tcBorders>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6"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三</w:t>
                  </w:r>
                </w:p>
              </w:tc>
              <w:tc>
                <w:tcPr>
                  <w:tcW w:w="2955" w:type="dxa"/>
                  <w:tcBorders>
                    <w:tl2br w:val="nil"/>
                    <w:tr2bl w:val="nil"/>
                  </w:tcBorders>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植被恢复工程</w:t>
                  </w:r>
                </w:p>
              </w:tc>
              <w:tc>
                <w:tcPr>
                  <w:tcW w:w="956" w:type="dxa"/>
                  <w:tcBorders>
                    <w:tl2br w:val="nil"/>
                    <w:tr2bl w:val="nil"/>
                  </w:tcBorders>
                  <w:vAlign w:val="center"/>
                </w:tcPr>
                <w:p>
                  <w:pPr>
                    <w:spacing w:before="24" w:after="24"/>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904" w:type="dxa"/>
                  <w:tcBorders>
                    <w:tl2br w:val="nil"/>
                    <w:tr2bl w:val="nil"/>
                  </w:tcBorders>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194" w:type="dxa"/>
                  <w:tcBorders>
                    <w:tl2br w:val="nil"/>
                    <w:tr2bl w:val="nil"/>
                  </w:tcBorders>
                  <w:vAlign w:val="center"/>
                </w:tcPr>
                <w:p>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736" w:type="dxa"/>
                  <w:tcBorders>
                    <w:tl2br w:val="nil"/>
                    <w:tr2bl w:val="nil"/>
                  </w:tcBorders>
                  <w:vAlign w:val="center"/>
                </w:tcPr>
                <w:p>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955"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撒播草籽</w:t>
                  </w:r>
                </w:p>
              </w:tc>
              <w:tc>
                <w:tcPr>
                  <w:tcW w:w="956" w:type="dxa"/>
                  <w:tcBorders>
                    <w:tl2br w:val="nil"/>
                    <w:tr2bl w:val="nil"/>
                  </w:tcBorders>
                  <w:vAlign w:val="center"/>
                </w:tcPr>
                <w:p>
                  <w:pPr>
                    <w:spacing w:before="24" w:after="24"/>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hm</w:t>
                  </w:r>
                  <w:r>
                    <w:rPr>
                      <w:rFonts w:hint="eastAsia"/>
                      <w:color w:val="000000" w:themeColor="text1"/>
                      <w:sz w:val="21"/>
                      <w:szCs w:val="21"/>
                      <w:highlight w:val="none"/>
                      <w:vertAlign w:val="superscript"/>
                      <w:lang w:val="en-US" w:eastAsia="zh-CN"/>
                      <w14:textFill>
                        <w14:solidFill>
                          <w14:schemeClr w14:val="tx1"/>
                        </w14:solidFill>
                      </w14:textFill>
                    </w:rPr>
                    <w:t>2</w:t>
                  </w:r>
                </w:p>
              </w:tc>
              <w:tc>
                <w:tcPr>
                  <w:tcW w:w="904" w:type="dxa"/>
                  <w:tcBorders>
                    <w:tl2br w:val="nil"/>
                    <w:tr2bl w:val="nil"/>
                  </w:tcBorders>
                  <w:vAlign w:val="center"/>
                </w:tcPr>
                <w:p>
                  <w:pP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pPr>
                  <w:r>
                    <w:rPr>
                      <w:rFonts w:hint="eastAsia" w:cs="Times New Roman"/>
                      <w:color w:val="000000" w:themeColor="text1"/>
                      <w:spacing w:val="-5"/>
                      <w:sz w:val="21"/>
                      <w:szCs w:val="21"/>
                      <w:highlight w:val="none"/>
                      <w:lang w:val="en-US" w:eastAsia="zh-CN"/>
                      <w14:textFill>
                        <w14:solidFill>
                          <w14:schemeClr w14:val="tx1"/>
                        </w14:solidFill>
                      </w14:textFill>
                    </w:rPr>
                    <w:t>1.09</w:t>
                  </w:r>
                </w:p>
              </w:tc>
              <w:tc>
                <w:tcPr>
                  <w:tcW w:w="2194" w:type="dxa"/>
                  <w:tcBorders>
                    <w:tl2br w:val="nil"/>
                    <w:tr2bl w:val="nil"/>
                  </w:tcBorders>
                  <w:vAlign w:val="center"/>
                </w:tcPr>
                <w:p>
                  <w:pPr>
                    <w:jc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bl>
          <w:p>
            <w:pPr>
              <w:pStyle w:val="15"/>
              <w:bidi w:val="0"/>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六、视频监控</w:t>
            </w:r>
          </w:p>
          <w:p>
            <w:pPr>
              <w:pStyle w:val="15"/>
              <w:bidi w:val="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本次新建6个盗采出入口高清视频监控点。</w:t>
            </w:r>
          </w:p>
          <w:p>
            <w:pPr>
              <w:pStyle w:val="7"/>
              <w:bidi w:val="0"/>
              <w:rPr>
                <w:rFonts w:hint="eastAsia"/>
                <w:color w:val="000000" w:themeColor="text1"/>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表</w:t>
            </w:r>
            <w:r>
              <w:rPr>
                <w:rFonts w:hint="eastAsia"/>
                <w:color w:val="000000" w:themeColor="text1"/>
                <w:highlight w:val="none"/>
                <w:lang w:val="en-US" w:eastAsia="zh-CN"/>
                <w14:textFill>
                  <w14:solidFill>
                    <w14:schemeClr w14:val="tx1"/>
                  </w14:solidFill>
                </w14:textFill>
              </w:rPr>
              <w:t>2-26   监控设备统计表</w:t>
            </w:r>
          </w:p>
          <w:tbl>
            <w:tblPr>
              <w:tblStyle w:val="24"/>
              <w:tblW w:w="7818" w:type="dxa"/>
              <w:tblInd w:w="-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62"/>
              <w:gridCol w:w="1777"/>
              <w:gridCol w:w="2666"/>
              <w:gridCol w:w="1290"/>
              <w:gridCol w:w="132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762"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类别</w:t>
                  </w:r>
                </w:p>
              </w:tc>
              <w:tc>
                <w:tcPr>
                  <w:tcW w:w="1777"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序号</w:t>
                  </w:r>
                </w:p>
              </w:tc>
              <w:tc>
                <w:tcPr>
                  <w:tcW w:w="2666"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项目</w:t>
                  </w:r>
                </w:p>
              </w:tc>
              <w:tc>
                <w:tcPr>
                  <w:tcW w:w="129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单位</w:t>
                  </w:r>
                </w:p>
              </w:tc>
              <w:tc>
                <w:tcPr>
                  <w:tcW w:w="132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数量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62" w:type="dxa"/>
                  <w:vMerge w:val="restart"/>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新建6米监控</w:t>
                  </w:r>
                </w:p>
              </w:tc>
              <w:tc>
                <w:tcPr>
                  <w:tcW w:w="1777"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p>
              </w:tc>
              <w:tc>
                <w:tcPr>
                  <w:tcW w:w="2666"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星光智能型摄像机</w:t>
                  </w:r>
                </w:p>
              </w:tc>
              <w:tc>
                <w:tcPr>
                  <w:tcW w:w="129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台</w:t>
                  </w:r>
                </w:p>
              </w:tc>
              <w:tc>
                <w:tcPr>
                  <w:tcW w:w="132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62" w:type="dxa"/>
                  <w:vMerge w:val="continue"/>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777"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p>
              </w:tc>
              <w:tc>
                <w:tcPr>
                  <w:tcW w:w="2666"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全结构化球机</w:t>
                  </w:r>
                </w:p>
              </w:tc>
              <w:tc>
                <w:tcPr>
                  <w:tcW w:w="129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台</w:t>
                  </w:r>
                </w:p>
              </w:tc>
              <w:tc>
                <w:tcPr>
                  <w:tcW w:w="132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62" w:type="dxa"/>
                  <w:vMerge w:val="continue"/>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777" w:type="dxa"/>
                  <w:tcBorders>
                    <w:tl2br w:val="nil"/>
                    <w:tr2bl w:val="nil"/>
                  </w:tcBorders>
                  <w:shd w:val="clear" w:color="auto" w:fill="auto"/>
                  <w:vAlign w:val="bottom"/>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w:t>
                  </w:r>
                </w:p>
              </w:tc>
              <w:tc>
                <w:tcPr>
                  <w:tcW w:w="2666" w:type="dxa"/>
                  <w:tcBorders>
                    <w:tl2br w:val="nil"/>
                    <w:tr2bl w:val="nil"/>
                  </w:tcBorders>
                  <w:shd w:val="clear" w:color="auto" w:fill="auto"/>
                  <w:vAlign w:val="bottom"/>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球机支架</w:t>
                  </w:r>
                </w:p>
              </w:tc>
              <w:tc>
                <w:tcPr>
                  <w:tcW w:w="1290" w:type="dxa"/>
                  <w:tcBorders>
                    <w:tl2br w:val="nil"/>
                    <w:tr2bl w:val="nil"/>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个</w:t>
                  </w:r>
                </w:p>
              </w:tc>
              <w:tc>
                <w:tcPr>
                  <w:tcW w:w="1323" w:type="dxa"/>
                  <w:tcBorders>
                    <w:tl2br w:val="nil"/>
                    <w:tr2bl w:val="nil"/>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762" w:type="dxa"/>
                  <w:vMerge w:val="continue"/>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777" w:type="dxa"/>
                  <w:tcBorders>
                    <w:tl2br w:val="nil"/>
                    <w:tr2bl w:val="nil"/>
                  </w:tcBorders>
                  <w:shd w:val="clear" w:color="auto" w:fill="auto"/>
                  <w:vAlign w:val="bottom"/>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w:t>
                  </w:r>
                </w:p>
              </w:tc>
              <w:tc>
                <w:tcPr>
                  <w:tcW w:w="2666"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工业交换机</w:t>
                  </w:r>
                </w:p>
              </w:tc>
              <w:tc>
                <w:tcPr>
                  <w:tcW w:w="129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个</w:t>
                  </w:r>
                </w:p>
              </w:tc>
              <w:tc>
                <w:tcPr>
                  <w:tcW w:w="1323" w:type="dxa"/>
                  <w:tcBorders>
                    <w:tl2br w:val="nil"/>
                    <w:tr2bl w:val="nil"/>
                  </w:tcBorders>
                  <w:shd w:val="clear" w:color="auto" w:fill="auto"/>
                  <w:vAlign w:val="bottom"/>
                </w:tcPr>
                <w:p>
                  <w:pPr>
                    <w:keepNext w:val="0"/>
                    <w:keepLines w:val="0"/>
                    <w:widowControl/>
                    <w:suppressLineNumbers w:val="0"/>
                    <w:jc w:val="center"/>
                    <w:textAlignment w:val="bottom"/>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62" w:type="dxa"/>
                  <w:vMerge w:val="continue"/>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777"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5</w:t>
                  </w:r>
                </w:p>
              </w:tc>
              <w:tc>
                <w:tcPr>
                  <w:tcW w:w="2666"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通用NVR</w:t>
                  </w:r>
                </w:p>
              </w:tc>
              <w:tc>
                <w:tcPr>
                  <w:tcW w:w="129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台</w:t>
                  </w:r>
                </w:p>
              </w:tc>
              <w:tc>
                <w:tcPr>
                  <w:tcW w:w="132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762" w:type="dxa"/>
                  <w:vMerge w:val="continue"/>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777"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w:t>
                  </w:r>
                </w:p>
              </w:tc>
              <w:tc>
                <w:tcPr>
                  <w:tcW w:w="2666" w:type="dxa"/>
                  <w:tcBorders>
                    <w:tl2br w:val="nil"/>
                    <w:tr2bl w:val="nil"/>
                  </w:tcBorders>
                  <w:shd w:val="clear" w:color="auto" w:fill="auto"/>
                  <w:vAlign w:val="center"/>
                </w:tcPr>
                <w:p>
                  <w:pPr>
                    <w:bidi w:val="0"/>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4GNVR</w:t>
                  </w:r>
                </w:p>
              </w:tc>
              <w:tc>
                <w:tcPr>
                  <w:tcW w:w="129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台</w:t>
                  </w:r>
                </w:p>
              </w:tc>
              <w:tc>
                <w:tcPr>
                  <w:tcW w:w="1323"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snapToGrid w:val="0"/>
                      <w:color w:val="000000" w:themeColor="text1"/>
                      <w:kern w:val="0"/>
                      <w:sz w:val="21"/>
                      <w:szCs w:val="21"/>
                      <w:highlight w:val="none"/>
                      <w:u w:val="none"/>
                      <w:lang w:val="en-US" w:eastAsia="zh-CN" w:bidi="ar"/>
                      <w14:textFill>
                        <w14:solidFill>
                          <w14:schemeClr w14:val="tx1"/>
                        </w14:solidFill>
                      </w14:textFill>
                    </w:rPr>
                    <w:t>4</w:t>
                  </w:r>
                </w:p>
              </w:tc>
            </w:tr>
          </w:tbl>
          <w:p>
            <w:pPr>
              <w:pStyle w:val="5"/>
              <w:outlineLvl w:val="1"/>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4、项目工程量</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根据各个子项目工程治理措施，废弃矿山生态修复技术措施包括：废弃建筑拆除工程、护坡</w:t>
            </w:r>
            <w:r>
              <w:rPr>
                <w:color w:val="000000" w:themeColor="text1"/>
                <w:sz w:val="24"/>
                <w:szCs w:val="24"/>
                <w:highlight w:val="none"/>
                <w14:textFill>
                  <w14:solidFill>
                    <w14:schemeClr w14:val="tx1"/>
                  </w14:solidFill>
                </w14:textFill>
              </w:rPr>
              <w:t>坡角培土及凹陷处回填</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削高填低（削高填低及削坡降台）</w:t>
            </w:r>
            <w:r>
              <w:rPr>
                <w:rFonts w:hint="eastAsia"/>
                <w:color w:val="000000" w:themeColor="text1"/>
                <w:sz w:val="24"/>
                <w:szCs w:val="24"/>
                <w:highlight w:val="none"/>
                <w14:textFill>
                  <w14:solidFill>
                    <w14:schemeClr w14:val="tx1"/>
                  </w14:solidFill>
                </w14:textFill>
              </w:rPr>
              <w:t>、采坑回填、绿化覆土、植被恢复工程、宣传牌工程</w:t>
            </w:r>
            <w:r>
              <w:rPr>
                <w:rFonts w:hint="eastAsia"/>
                <w:color w:val="000000" w:themeColor="text1"/>
                <w:sz w:val="24"/>
                <w:szCs w:val="24"/>
                <w:highlight w:val="none"/>
                <w:lang w:eastAsia="zh-CN"/>
                <w14:textFill>
                  <w14:solidFill>
                    <w14:schemeClr w14:val="tx1"/>
                  </w14:solidFill>
                </w14:textFill>
              </w:rPr>
              <w:t>、视频监控工程</w:t>
            </w:r>
            <w:r>
              <w:rPr>
                <w:rFonts w:hint="eastAsia"/>
                <w:color w:val="000000" w:themeColor="text1"/>
                <w:sz w:val="24"/>
                <w:szCs w:val="24"/>
                <w:highlight w:val="none"/>
                <w14:textFill>
                  <w14:solidFill>
                    <w14:schemeClr w14:val="tx1"/>
                  </w14:solidFill>
                </w14:textFill>
              </w:rPr>
              <w:t>等工程措施，主要工作量如下表：</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表2-13</w:t>
            </w:r>
            <w:r>
              <w:rPr>
                <w:color w:val="000000" w:themeColor="text1"/>
                <w:sz w:val="24"/>
                <w:szCs w:val="24"/>
                <w:highlight w:val="none"/>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 xml:space="preserve"> 工程量统计表</w:t>
            </w:r>
          </w:p>
          <w:tbl>
            <w:tblPr>
              <w:tblStyle w:val="24"/>
              <w:tblW w:w="774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877"/>
              <w:gridCol w:w="2113"/>
              <w:gridCol w:w="1020"/>
              <w:gridCol w:w="1470"/>
              <w:gridCol w:w="226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编号</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工程名称</w:t>
                  </w:r>
                </w:p>
              </w:tc>
              <w:tc>
                <w:tcPr>
                  <w:tcW w:w="102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单位</w:t>
                  </w:r>
                </w:p>
              </w:tc>
              <w:tc>
                <w:tcPr>
                  <w:tcW w:w="1470" w:type="dxa"/>
                  <w:tcBorders>
                    <w:tl2br w:val="nil"/>
                    <w:tr2bl w:val="nil"/>
                  </w:tcBorders>
                  <w:shd w:val="clear" w:color="auto" w:fill="auto"/>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工程量</w:t>
                  </w:r>
                </w:p>
              </w:tc>
              <w:tc>
                <w:tcPr>
                  <w:tcW w:w="2265"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一</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bidi="ar"/>
                      <w14:textFill>
                        <w14:solidFill>
                          <w14:schemeClr w14:val="tx1"/>
                        </w14:solidFill>
                      </w14:textFill>
                    </w:rPr>
                    <w:t>护坡</w:t>
                  </w:r>
                  <w:r>
                    <w:rPr>
                      <w:color w:val="000000" w:themeColor="text1"/>
                      <w:sz w:val="21"/>
                      <w:szCs w:val="21"/>
                      <w:highlight w:val="none"/>
                      <w:lang w:bidi="ar"/>
                      <w14:textFill>
                        <w14:solidFill>
                          <w14:schemeClr w14:val="tx1"/>
                        </w14:solidFill>
                      </w14:textFill>
                    </w:rPr>
                    <w:t>坡角培土及凹陷处回填</w:t>
                  </w:r>
                </w:p>
              </w:tc>
              <w:tc>
                <w:tcPr>
                  <w:tcW w:w="1020" w:type="dxa"/>
                  <w:tcBorders>
                    <w:tl2br w:val="nil"/>
                    <w:tr2bl w:val="nil"/>
                  </w:tcBorders>
                  <w:shd w:val="clear" w:color="auto" w:fill="auto"/>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4075.17</w:t>
                  </w:r>
                </w:p>
              </w:tc>
              <w:tc>
                <w:tcPr>
                  <w:tcW w:w="2265"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二</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采坑回填</w:t>
                  </w:r>
                </w:p>
              </w:tc>
              <w:tc>
                <w:tcPr>
                  <w:tcW w:w="1020" w:type="dxa"/>
                  <w:tcBorders>
                    <w:tl2br w:val="nil"/>
                    <w:tr2bl w:val="nil"/>
                  </w:tcBorders>
                  <w:shd w:val="clear" w:color="auto" w:fill="auto"/>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3137.55</w:t>
                  </w:r>
                </w:p>
              </w:tc>
              <w:tc>
                <w:tcPr>
                  <w:tcW w:w="2265"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三</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削高填低</w:t>
                  </w:r>
                </w:p>
              </w:tc>
              <w:tc>
                <w:tcPr>
                  <w:tcW w:w="102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100m</w:t>
                  </w:r>
                  <w:r>
                    <w:rPr>
                      <w:color w:val="000000" w:themeColor="text1"/>
                      <w:sz w:val="21"/>
                      <w:szCs w:val="21"/>
                      <w:highlight w:val="none"/>
                      <w:vertAlign w:val="superscript"/>
                      <w:lang w:bidi="ar"/>
                      <w14:textFill>
                        <w14:solidFill>
                          <w14:schemeClr w14:val="tx1"/>
                        </w14:solidFill>
                      </w14:textFill>
                    </w:rPr>
                    <w:t>3</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11998.60</w:t>
                  </w:r>
                </w:p>
              </w:tc>
              <w:tc>
                <w:tcPr>
                  <w:tcW w:w="2265"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四</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bidi="ar"/>
                      <w14:textFill>
                        <w14:solidFill>
                          <w14:schemeClr w14:val="tx1"/>
                        </w14:solidFill>
                      </w14:textFill>
                    </w:rPr>
                    <w:t>绿化覆土</w:t>
                  </w:r>
                </w:p>
              </w:tc>
              <w:tc>
                <w:tcPr>
                  <w:tcW w:w="1020"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470"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265"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1</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取土场取土</w:t>
                  </w:r>
                </w:p>
              </w:tc>
              <w:tc>
                <w:tcPr>
                  <w:tcW w:w="1020" w:type="dxa"/>
                  <w:tcBorders>
                    <w:tl2br w:val="nil"/>
                    <w:tr2bl w:val="nil"/>
                  </w:tcBorders>
                  <w:shd w:val="clear" w:color="auto" w:fill="auto"/>
                  <w:vAlign w:val="center"/>
                </w:tcPr>
                <w:p>
                  <w:pPr>
                    <w:spacing w:before="24" w:after="24"/>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246.70</w:t>
                  </w:r>
                </w:p>
              </w:tc>
              <w:tc>
                <w:tcPr>
                  <w:tcW w:w="2265"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eastAsia="zh-CN" w:bidi="ar"/>
                      <w14:textFill>
                        <w14:solidFill>
                          <w14:schemeClr w14:val="tx1"/>
                        </w14:solidFill>
                      </w14:textFill>
                    </w:rPr>
                    <w:t>位于</w:t>
                  </w: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香山梁水园村北</w:t>
                  </w:r>
                  <w:r>
                    <w:rPr>
                      <w:rFonts w:hint="eastAsia" w:cs="Times New Roman"/>
                      <w:snapToGrid w:val="0"/>
                      <w:color w:val="000000" w:themeColor="text1"/>
                      <w:sz w:val="21"/>
                      <w:szCs w:val="21"/>
                      <w:highlight w:val="none"/>
                      <w:lang w:val="en-US" w:eastAsia="zh-CN" w:bidi="ar"/>
                      <w14:textFill>
                        <w14:solidFill>
                          <w14:schemeClr w14:val="tx1"/>
                        </w14:solidFill>
                      </w14:textFill>
                    </w:rPr>
                    <w:t>12号治理点</w:t>
                  </w:r>
                  <w:r>
                    <w:rPr>
                      <w:rFonts w:hint="eastAsia"/>
                      <w:color w:val="000000" w:themeColor="text1"/>
                      <w:sz w:val="21"/>
                      <w:szCs w:val="21"/>
                      <w:highlight w:val="none"/>
                      <w:lang w:bidi="ar"/>
                      <w14:textFill>
                        <w14:solidFill>
                          <w14:schemeClr w14:val="tx1"/>
                        </w14:solidFill>
                      </w14:textFill>
                    </w:rPr>
                    <w:t>，用于绿化覆土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2</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采场剥离和挖出的黄土</w:t>
                  </w:r>
                </w:p>
              </w:tc>
              <w:tc>
                <w:tcPr>
                  <w:tcW w:w="1020" w:type="dxa"/>
                  <w:tcBorders>
                    <w:tl2br w:val="nil"/>
                    <w:tr2bl w:val="nil"/>
                  </w:tcBorders>
                  <w:shd w:val="clear" w:color="auto" w:fill="auto"/>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100m</w:t>
                  </w:r>
                  <w:r>
                    <w:rPr>
                      <w:color w:val="000000" w:themeColor="text1"/>
                      <w:sz w:val="21"/>
                      <w:szCs w:val="21"/>
                      <w:highlight w:val="none"/>
                      <w:vertAlign w:val="superscript"/>
                      <w14:textFill>
                        <w14:solidFill>
                          <w14:schemeClr w14:val="tx1"/>
                        </w14:solidFill>
                      </w14:textFill>
                    </w:rPr>
                    <w:t>3</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5117.31</w:t>
                  </w:r>
                </w:p>
              </w:tc>
              <w:tc>
                <w:tcPr>
                  <w:tcW w:w="2265"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五</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植被恢复工程</w:t>
                  </w:r>
                </w:p>
              </w:tc>
              <w:tc>
                <w:tcPr>
                  <w:tcW w:w="1020"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1470"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2265"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1</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移栽柠条</w:t>
                  </w:r>
                </w:p>
              </w:tc>
              <w:tc>
                <w:tcPr>
                  <w:tcW w:w="102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墩</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144820</w:t>
                  </w:r>
                </w:p>
              </w:tc>
              <w:tc>
                <w:tcPr>
                  <w:tcW w:w="2265"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（株距1.00m×2.00m）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2</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撒播草籽</w:t>
                  </w:r>
                </w:p>
              </w:tc>
              <w:tc>
                <w:tcPr>
                  <w:tcW w:w="102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hm</w:t>
                  </w:r>
                  <w:r>
                    <w:rPr>
                      <w:color w:val="000000" w:themeColor="text1"/>
                      <w:sz w:val="21"/>
                      <w:szCs w:val="21"/>
                      <w:highlight w:val="none"/>
                      <w:vertAlign w:val="superscript"/>
                      <w:lang w:bidi="ar"/>
                      <w14:textFill>
                        <w14:solidFill>
                          <w14:schemeClr w14:val="tx1"/>
                        </w14:solidFill>
                      </w14:textFill>
                    </w:rPr>
                    <w:t>2</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113</w:t>
                  </w:r>
                </w:p>
              </w:tc>
              <w:tc>
                <w:tcPr>
                  <w:tcW w:w="2265" w:type="dxa"/>
                  <w:tcBorders>
                    <w:tl2br w:val="nil"/>
                    <w:tr2bl w:val="nil"/>
                  </w:tcBorders>
                  <w:shd w:val="clear" w:color="auto" w:fill="auto"/>
                  <w:vAlign w:val="center"/>
                </w:tcPr>
                <w:p>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3</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栽植文冠果</w:t>
                  </w:r>
                </w:p>
              </w:tc>
              <w:tc>
                <w:tcPr>
                  <w:tcW w:w="102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bidi="ar"/>
                      <w14:textFill>
                        <w14:solidFill>
                          <w14:schemeClr w14:val="tx1"/>
                        </w14:solidFill>
                      </w14:textFill>
                    </w:rPr>
                    <w:t>3445</w:t>
                  </w:r>
                </w:p>
              </w:tc>
              <w:tc>
                <w:tcPr>
                  <w:tcW w:w="2265"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（株行距3.00m×3.00m）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六</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坑塘工程</w:t>
                  </w:r>
                </w:p>
              </w:tc>
              <w:tc>
                <w:tcPr>
                  <w:tcW w:w="102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座</w:t>
                  </w:r>
                </w:p>
              </w:tc>
              <w:tc>
                <w:tcPr>
                  <w:tcW w:w="147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6</w:t>
                  </w:r>
                </w:p>
              </w:tc>
              <w:tc>
                <w:tcPr>
                  <w:tcW w:w="2265"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坑塘池顶尺寸60m×25m，池底尺寸44m×3m，池深4m，设计内</w:t>
                  </w:r>
                  <w:r>
                    <w:rPr>
                      <w:rFonts w:hint="eastAsia"/>
                      <w:color w:val="000000" w:themeColor="text1"/>
                      <w:sz w:val="21"/>
                      <w:szCs w:val="21"/>
                      <w:highlight w:val="none"/>
                      <w:lang w:bidi="ar"/>
                      <w14:textFill>
                        <w14:solidFill>
                          <w14:schemeClr w14:val="tx1"/>
                        </w14:solidFill>
                      </w14:textFill>
                    </w:rPr>
                    <w:t>护坡</w:t>
                  </w:r>
                  <w:r>
                    <w:rPr>
                      <w:color w:val="000000" w:themeColor="text1"/>
                      <w:sz w:val="21"/>
                      <w:szCs w:val="21"/>
                      <w:highlight w:val="none"/>
                      <w:lang w:bidi="ar"/>
                      <w14:textFill>
                        <w14:solidFill>
                          <w14:schemeClr w14:val="tx1"/>
                        </w14:solidFill>
                      </w14:textFill>
                    </w:rPr>
                    <w:t>1:2.5，顶宽3.0m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bidi="ar"/>
                      <w14:textFill>
                        <w14:solidFill>
                          <w14:schemeClr w14:val="tx1"/>
                        </w14:solidFill>
                      </w14:textFill>
                    </w:rPr>
                    <w:t>七</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宣传牌工程</w:t>
                  </w:r>
                </w:p>
              </w:tc>
              <w:tc>
                <w:tcPr>
                  <w:tcW w:w="102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处</w:t>
                  </w:r>
                </w:p>
              </w:tc>
              <w:tc>
                <w:tcPr>
                  <w:tcW w:w="147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5</w:t>
                  </w:r>
                </w:p>
              </w:tc>
              <w:tc>
                <w:tcPr>
                  <w:tcW w:w="2265"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color w:val="000000" w:themeColor="text1"/>
                      <w:sz w:val="21"/>
                      <w:szCs w:val="21"/>
                      <w:highlight w:val="none"/>
                      <w:lang w:bidi="ar"/>
                      <w14:textFill>
                        <w14:solidFill>
                          <w14:schemeClr w14:val="tx1"/>
                        </w14:solidFill>
                      </w14:textFill>
                    </w:rPr>
                    <w:t>起到宣传、警示作用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rFonts w:hint="eastAsia" w:eastAsia="宋体"/>
                      <w:color w:val="000000" w:themeColor="text1"/>
                      <w:sz w:val="21"/>
                      <w:szCs w:val="21"/>
                      <w:highlight w:val="none"/>
                      <w:lang w:eastAsia="zh-CN" w:bidi="ar"/>
                      <w14:textFill>
                        <w14:solidFill>
                          <w14:schemeClr w14:val="tx1"/>
                        </w14:solidFill>
                      </w14:textFill>
                    </w:rPr>
                  </w:pPr>
                  <w:r>
                    <w:rPr>
                      <w:rFonts w:hint="eastAsia"/>
                      <w:color w:val="000000" w:themeColor="text1"/>
                      <w:sz w:val="21"/>
                      <w:szCs w:val="21"/>
                      <w:highlight w:val="none"/>
                      <w:lang w:eastAsia="zh-CN" w:bidi="ar"/>
                      <w14:textFill>
                        <w14:solidFill>
                          <w14:schemeClr w14:val="tx1"/>
                        </w14:solidFill>
                      </w14:textFill>
                    </w:rPr>
                    <w:t>八</w:t>
                  </w:r>
                </w:p>
              </w:tc>
              <w:tc>
                <w:tcPr>
                  <w:tcW w:w="2113" w:type="dxa"/>
                  <w:tcBorders>
                    <w:tl2br w:val="nil"/>
                    <w:tr2bl w:val="nil"/>
                  </w:tcBorders>
                  <w:shd w:val="clear" w:color="auto" w:fill="auto"/>
                  <w:vAlign w:val="center"/>
                </w:tcPr>
                <w:p>
                  <w:pPr>
                    <w:widowControl/>
                    <w:textAlignment w:val="center"/>
                    <w:rPr>
                      <w:color w:val="000000" w:themeColor="text1"/>
                      <w:sz w:val="21"/>
                      <w:szCs w:val="21"/>
                      <w:highlight w:val="none"/>
                      <w:lang w:bidi="ar"/>
                      <w14:textFill>
                        <w14:solidFill>
                          <w14:schemeClr w14:val="tx1"/>
                        </w14:solidFill>
                      </w14:textFill>
                    </w:rPr>
                  </w:pPr>
                  <w:r>
                    <w:rPr>
                      <w:rFonts w:hint="eastAsia"/>
                      <w:color w:val="000000" w:themeColor="text1"/>
                      <w:sz w:val="21"/>
                      <w:szCs w:val="21"/>
                      <w:highlight w:val="none"/>
                      <w:lang w:bidi="ar"/>
                      <w14:textFill>
                        <w14:solidFill>
                          <w14:schemeClr w14:val="tx1"/>
                        </w14:solidFill>
                      </w14:textFill>
                    </w:rPr>
                    <w:t>废弃建筑拆除工程</w:t>
                  </w:r>
                </w:p>
              </w:tc>
              <w:tc>
                <w:tcPr>
                  <w:tcW w:w="1020" w:type="dxa"/>
                  <w:tcBorders>
                    <w:tl2br w:val="nil"/>
                    <w:tr2bl w:val="nil"/>
                  </w:tcBorders>
                  <w:shd w:val="clear" w:color="auto" w:fill="auto"/>
                  <w:vAlign w:val="center"/>
                </w:tcPr>
                <w:p>
                  <w:pPr>
                    <w:widowControl/>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m</w:t>
                  </w:r>
                  <w:r>
                    <w:rPr>
                      <w:rFonts w:hint="eastAsia"/>
                      <w:color w:val="000000" w:themeColor="text1"/>
                      <w:sz w:val="21"/>
                      <w:szCs w:val="21"/>
                      <w:highlight w:val="none"/>
                      <w:vertAlign w:val="superscript"/>
                      <w14:textFill>
                        <w14:solidFill>
                          <w14:schemeClr w14:val="tx1"/>
                        </w14:solidFill>
                      </w14:textFill>
                    </w:rPr>
                    <w:t>3</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bidi="ar"/>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148.45</w:t>
                  </w:r>
                </w:p>
              </w:tc>
              <w:tc>
                <w:tcPr>
                  <w:tcW w:w="2265" w:type="dxa"/>
                  <w:tcBorders>
                    <w:tl2br w:val="nil"/>
                    <w:tr2bl w:val="nil"/>
                  </w:tcBorders>
                  <w:shd w:val="clear" w:color="auto" w:fill="auto"/>
                  <w:vAlign w:val="center"/>
                </w:tcPr>
                <w:p>
                  <w:pPr>
                    <w:rPr>
                      <w:color w:val="000000" w:themeColor="text1"/>
                      <w:sz w:val="21"/>
                      <w:szCs w:val="21"/>
                      <w:highlight w:val="none"/>
                      <w:lang w:bidi="ar"/>
                      <w14:textFill>
                        <w14:solidFill>
                          <w14:schemeClr w14:val="tx1"/>
                        </w14:solidFill>
                      </w14:textFill>
                    </w:rPr>
                  </w:pPr>
                  <w:r>
                    <w:rPr>
                      <w:color w:val="000000" w:themeColor="text1"/>
                      <w:sz w:val="21"/>
                      <w:szCs w:val="21"/>
                      <w:highlight w:val="none"/>
                      <w14:textFill>
                        <w14:solidFill>
                          <w14:schemeClr w14:val="tx1"/>
                        </w14:solidFill>
                      </w14:textFill>
                    </w:rPr>
                    <w:t>运至</w:t>
                  </w:r>
                  <w:r>
                    <w:rPr>
                      <w:rFonts w:hint="eastAsia"/>
                      <w:color w:val="000000" w:themeColor="text1"/>
                      <w:sz w:val="21"/>
                      <w:szCs w:val="21"/>
                      <w:highlight w:val="none"/>
                      <w14:textFill>
                        <w14:solidFill>
                          <w14:schemeClr w14:val="tx1"/>
                        </w14:solidFill>
                      </w14:textFill>
                    </w:rPr>
                    <w:t>政府</w:t>
                  </w:r>
                  <w:r>
                    <w:rPr>
                      <w:color w:val="000000" w:themeColor="text1"/>
                      <w:sz w:val="21"/>
                      <w:szCs w:val="21"/>
                      <w:highlight w:val="none"/>
                      <w14:textFill>
                        <w14:solidFill>
                          <w14:schemeClr w14:val="tx1"/>
                        </w14:solidFill>
                      </w14:textFill>
                    </w:rPr>
                    <w:t>指定</w:t>
                  </w:r>
                  <w:r>
                    <w:rPr>
                      <w:rFonts w:hint="eastAsia"/>
                      <w:color w:val="000000" w:themeColor="text1"/>
                      <w:sz w:val="21"/>
                      <w:szCs w:val="21"/>
                      <w:highlight w:val="none"/>
                      <w14:textFill>
                        <w14:solidFill>
                          <w14:schemeClr w14:val="tx1"/>
                        </w14:solidFill>
                      </w14:textFill>
                    </w:rPr>
                    <w:t>建筑</w:t>
                  </w:r>
                  <w:r>
                    <w:rPr>
                      <w:color w:val="000000" w:themeColor="text1"/>
                      <w:sz w:val="21"/>
                      <w:szCs w:val="21"/>
                      <w:highlight w:val="none"/>
                      <w14:textFill>
                        <w14:solidFill>
                          <w14:schemeClr w14:val="tx1"/>
                        </w14:solidFill>
                      </w14:textFill>
                    </w:rPr>
                    <w:t>垃圾填埋场</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77" w:type="dxa"/>
                  <w:tcBorders>
                    <w:tl2br w:val="nil"/>
                    <w:tr2bl w:val="nil"/>
                  </w:tcBorders>
                  <w:shd w:val="clear" w:color="auto" w:fill="auto"/>
                  <w:vAlign w:val="center"/>
                </w:tcPr>
                <w:p>
                  <w:pPr>
                    <w:widowControl/>
                    <w:textAlignment w:val="center"/>
                    <w:rPr>
                      <w:rFonts w:hint="eastAsia" w:eastAsia="宋体"/>
                      <w:color w:val="000000" w:themeColor="text1"/>
                      <w:sz w:val="21"/>
                      <w:szCs w:val="21"/>
                      <w:highlight w:val="none"/>
                      <w:lang w:eastAsia="zh-CN" w:bidi="ar"/>
                      <w14:textFill>
                        <w14:solidFill>
                          <w14:schemeClr w14:val="tx1"/>
                        </w14:solidFill>
                      </w14:textFill>
                    </w:rPr>
                  </w:pPr>
                  <w:r>
                    <w:rPr>
                      <w:rFonts w:hint="eastAsia"/>
                      <w:color w:val="000000" w:themeColor="text1"/>
                      <w:sz w:val="21"/>
                      <w:szCs w:val="21"/>
                      <w:highlight w:val="none"/>
                      <w:lang w:eastAsia="zh-CN" w:bidi="ar"/>
                      <w14:textFill>
                        <w14:solidFill>
                          <w14:schemeClr w14:val="tx1"/>
                        </w14:solidFill>
                      </w14:textFill>
                    </w:rPr>
                    <w:t>九</w:t>
                  </w:r>
                </w:p>
              </w:tc>
              <w:tc>
                <w:tcPr>
                  <w:tcW w:w="2113" w:type="dxa"/>
                  <w:tcBorders>
                    <w:tl2br w:val="nil"/>
                    <w:tr2bl w:val="nil"/>
                  </w:tcBorders>
                  <w:shd w:val="clear" w:color="auto" w:fill="auto"/>
                  <w:vAlign w:val="center"/>
                </w:tcPr>
                <w:p>
                  <w:pPr>
                    <w:widowControl/>
                    <w:textAlignment w:val="center"/>
                    <w:rPr>
                      <w:rFonts w:hint="eastAsia" w:eastAsia="宋体"/>
                      <w:color w:val="000000" w:themeColor="text1"/>
                      <w:sz w:val="21"/>
                      <w:szCs w:val="21"/>
                      <w:highlight w:val="none"/>
                      <w:lang w:eastAsia="zh-CN" w:bidi="ar"/>
                      <w14:textFill>
                        <w14:solidFill>
                          <w14:schemeClr w14:val="tx1"/>
                        </w14:solidFill>
                      </w14:textFill>
                    </w:rPr>
                  </w:pPr>
                  <w:r>
                    <w:rPr>
                      <w:rFonts w:hint="eastAsia"/>
                      <w:color w:val="000000" w:themeColor="text1"/>
                      <w:sz w:val="21"/>
                      <w:szCs w:val="21"/>
                      <w:highlight w:val="none"/>
                      <w:lang w:eastAsia="zh-CN" w:bidi="ar"/>
                      <w14:textFill>
                        <w14:solidFill>
                          <w14:schemeClr w14:val="tx1"/>
                        </w14:solidFill>
                      </w14:textFill>
                    </w:rPr>
                    <w:t>视频监控工程</w:t>
                  </w:r>
                </w:p>
              </w:tc>
              <w:tc>
                <w:tcPr>
                  <w:tcW w:w="1020" w:type="dxa"/>
                  <w:tcBorders>
                    <w:tl2br w:val="nil"/>
                    <w:tr2bl w:val="nil"/>
                  </w:tcBorders>
                  <w:shd w:val="clear" w:color="auto" w:fill="auto"/>
                  <w:vAlign w:val="center"/>
                </w:tcPr>
                <w:p>
                  <w:pPr>
                    <w:widowControl/>
                    <w:textAlignment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个</w:t>
                  </w:r>
                </w:p>
              </w:tc>
              <w:tc>
                <w:tcPr>
                  <w:tcW w:w="1470" w:type="dxa"/>
                  <w:tcBorders>
                    <w:tl2br w:val="nil"/>
                    <w:tr2bl w:val="nil"/>
                  </w:tcBorders>
                  <w:shd w:val="clear" w:color="auto" w:fill="auto"/>
                  <w:vAlign w:val="center"/>
                </w:tcPr>
                <w:p>
                  <w:pPr>
                    <w:widowControl/>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eastAsia="宋体"/>
                      <w:color w:val="000000" w:themeColor="text1"/>
                      <w:sz w:val="21"/>
                      <w:szCs w:val="21"/>
                      <w:highlight w:val="none"/>
                      <w:lang w:val="en-US" w:eastAsia="zh-CN"/>
                      <w14:textFill>
                        <w14:solidFill>
                          <w14:schemeClr w14:val="tx1"/>
                        </w14:solidFill>
                      </w14:textFill>
                    </w:rPr>
                    <w:t>6</w:t>
                  </w:r>
                </w:p>
              </w:tc>
              <w:tc>
                <w:tcPr>
                  <w:tcW w:w="2265" w:type="dxa"/>
                  <w:tcBorders>
                    <w:tl2br w:val="nil"/>
                    <w:tr2bl w:val="nil"/>
                  </w:tcBorders>
                  <w:shd w:val="clear" w:color="auto" w:fill="auto"/>
                  <w:vAlign w:val="center"/>
                </w:tcPr>
                <w:p>
                  <w:pP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bl>
          <w:p>
            <w:pPr>
              <w:pStyle w:val="5"/>
              <w:outlineLvl w:val="1"/>
              <w:rPr>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5、土石方平衡</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本项目设涉及土石方平衡的工程主要包括：地形地貌整治工程（包括</w:t>
            </w:r>
            <w:r>
              <w:rPr>
                <w:color w:val="000000" w:themeColor="text1"/>
                <w:sz w:val="24"/>
                <w:szCs w:val="24"/>
                <w:highlight w:val="none"/>
                <w14:textFill>
                  <w14:solidFill>
                    <w14:schemeClr w14:val="tx1"/>
                  </w14:solidFill>
                </w14:textFill>
              </w:rPr>
              <w:t>边坡坡角培土及凹陷处回填</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削高填低</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采坑回填</w:t>
            </w:r>
            <w:r>
              <w:rPr>
                <w:rFonts w:hint="eastAsia"/>
                <w:color w:val="000000" w:themeColor="text1"/>
                <w:sz w:val="24"/>
                <w:szCs w:val="24"/>
                <w:highlight w:val="none"/>
                <w14:textFill>
                  <w14:solidFill>
                    <w14:schemeClr w14:val="tx1"/>
                  </w14:solidFill>
                </w14:textFill>
              </w:rPr>
              <w:t>）和绿化覆土工程。</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地形地貌整治中，</w:t>
            </w:r>
            <w:r>
              <w:rPr>
                <w:color w:val="000000" w:themeColor="text1"/>
                <w:sz w:val="24"/>
                <w:szCs w:val="24"/>
                <w:highlight w:val="none"/>
                <w14:textFill>
                  <w14:solidFill>
                    <w14:schemeClr w14:val="tx1"/>
                  </w14:solidFill>
                </w14:textFill>
              </w:rPr>
              <w:t>削高填低</w:t>
            </w:r>
            <w:r>
              <w:rPr>
                <w:rFonts w:hint="eastAsia"/>
                <w:color w:val="000000" w:themeColor="text1"/>
                <w:sz w:val="24"/>
                <w:szCs w:val="24"/>
                <w:highlight w:val="none"/>
                <w14:textFill>
                  <w14:solidFill>
                    <w14:schemeClr w14:val="tx1"/>
                  </w14:solidFill>
                </w14:textFill>
              </w:rPr>
              <w:t>工程中多余的土方用于</w:t>
            </w:r>
            <w:r>
              <w:rPr>
                <w:color w:val="000000" w:themeColor="text1"/>
                <w:sz w:val="24"/>
                <w:szCs w:val="24"/>
                <w:highlight w:val="none"/>
                <w14:textFill>
                  <w14:solidFill>
                    <w14:schemeClr w14:val="tx1"/>
                  </w14:solidFill>
                </w14:textFill>
              </w:rPr>
              <w:t>采坑回填</w:t>
            </w:r>
            <w:r>
              <w:rPr>
                <w:rFonts w:hint="eastAsia"/>
                <w:color w:val="000000" w:themeColor="text1"/>
                <w:sz w:val="24"/>
                <w:szCs w:val="24"/>
                <w:highlight w:val="none"/>
                <w14:textFill>
                  <w14:solidFill>
                    <w14:schemeClr w14:val="tx1"/>
                  </w14:solidFill>
                </w14:textFill>
              </w:rPr>
              <w:t>工程及</w:t>
            </w:r>
            <w:r>
              <w:rPr>
                <w:color w:val="000000" w:themeColor="text1"/>
                <w:sz w:val="24"/>
                <w:szCs w:val="24"/>
                <w:highlight w:val="none"/>
                <w14:textFill>
                  <w14:solidFill>
                    <w14:schemeClr w14:val="tx1"/>
                  </w14:solidFill>
                </w14:textFill>
              </w:rPr>
              <w:t>边坡坡角培土及凹陷处回填</w:t>
            </w:r>
            <w:r>
              <w:rPr>
                <w:rFonts w:hint="eastAsia"/>
                <w:color w:val="000000" w:themeColor="text1"/>
                <w:sz w:val="24"/>
                <w:szCs w:val="24"/>
                <w:highlight w:val="none"/>
                <w14:textFill>
                  <w14:solidFill>
                    <w14:schemeClr w14:val="tx1"/>
                  </w14:solidFill>
                </w14:textFill>
              </w:rPr>
              <w:t>工程，土石方平衡以挖作填，就地全部利用，挖填土石方平衡，没有余土外运。</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绿化覆土工程中，土源为治理区内的取土场和采场剥离和挖出的黄土，覆土厚度为0.3m（栽植灌木区域灌木之间也进行覆，栽植时采取坑穴换土）。</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每个治理点均可以实现土石方平衡，各个治理点之间不存在土石方拉运，各个治理点的土石方平衡表见下表：</w:t>
            </w:r>
          </w:p>
          <w:p>
            <w:pPr>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表2-14</w:t>
            </w:r>
            <w:r>
              <w:rPr>
                <w:rFonts w:hint="eastAsia"/>
                <w:color w:val="000000" w:themeColor="text1"/>
                <w:sz w:val="24"/>
                <w:szCs w:val="24"/>
                <w:highlight w:val="none"/>
                <w:lang w:val="en-US" w:eastAsia="zh-CN"/>
                <w14:textFill>
                  <w14:solidFill>
                    <w14:schemeClr w14:val="tx1"/>
                  </w14:solidFill>
                </w14:textFill>
              </w:rPr>
              <w:t xml:space="preserve">  </w:t>
            </w:r>
            <w:r>
              <w:rPr>
                <w:rFonts w:hint="eastAsia"/>
                <w:color w:val="000000" w:themeColor="text1"/>
                <w:sz w:val="24"/>
                <w:szCs w:val="24"/>
                <w:highlight w:val="none"/>
                <w14:textFill>
                  <w14:solidFill>
                    <w14:schemeClr w14:val="tx1"/>
                  </w14:solidFill>
                </w14:textFill>
              </w:rPr>
              <w:t>各个治理点土石方平衡一览表（</w:t>
            </w:r>
            <w:r>
              <w:rPr>
                <w:color w:val="000000" w:themeColor="text1"/>
                <w:sz w:val="24"/>
                <w:szCs w:val="24"/>
                <w:highlight w:val="none"/>
                <w14:textFill>
                  <w14:solidFill>
                    <w14:schemeClr w14:val="tx1"/>
                  </w14:solidFill>
                </w14:textFill>
              </w:rPr>
              <w:t>单位：</w:t>
            </w:r>
            <w:r>
              <w:rPr>
                <w:rFonts w:hint="eastAsia"/>
                <w:color w:val="000000" w:themeColor="text1"/>
                <w:sz w:val="24"/>
                <w:szCs w:val="24"/>
                <w:highlight w:val="none"/>
                <w14:textFill>
                  <w14:solidFill>
                    <w14:schemeClr w14:val="tx1"/>
                  </w14:solidFill>
                </w14:textFill>
              </w:rPr>
              <w:t>万</w:t>
            </w:r>
            <w:r>
              <w:rPr>
                <w:color w:val="000000" w:themeColor="text1"/>
                <w:sz w:val="24"/>
                <w:szCs w:val="24"/>
                <w:highlight w:val="none"/>
                <w14:textFill>
                  <w14:solidFill>
                    <w14:schemeClr w14:val="tx1"/>
                  </w14:solidFill>
                </w14:textFill>
              </w:rPr>
              <w:t>m</w:t>
            </w:r>
            <w:r>
              <w:rPr>
                <w:color w:val="000000" w:themeColor="text1"/>
                <w:sz w:val="24"/>
                <w:szCs w:val="24"/>
                <w:highlight w:val="none"/>
                <w:vertAlign w:val="super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w:t>
            </w:r>
          </w:p>
          <w:tbl>
            <w:tblPr>
              <w:tblStyle w:val="24"/>
              <w:tblW w:w="8068" w:type="dxa"/>
              <w:tblInd w:w="-22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369"/>
              <w:gridCol w:w="330"/>
              <w:gridCol w:w="1077"/>
              <w:gridCol w:w="850"/>
              <w:gridCol w:w="850"/>
              <w:gridCol w:w="850"/>
              <w:gridCol w:w="1077"/>
              <w:gridCol w:w="850"/>
              <w:gridCol w:w="1077"/>
              <w:gridCol w:w="369"/>
              <w:gridCol w:w="36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治理区</w:t>
                  </w: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治理点</w:t>
                  </w:r>
                </w:p>
              </w:tc>
              <w:tc>
                <w:tcPr>
                  <w:tcW w:w="107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工程名称</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挖方</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填方</w:t>
                  </w:r>
                </w:p>
              </w:tc>
              <w:tc>
                <w:tcPr>
                  <w:tcW w:w="1927"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调入方</w:t>
                  </w:r>
                </w:p>
              </w:tc>
              <w:tc>
                <w:tcPr>
                  <w:tcW w:w="1927"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调出方</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外购土</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弃土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p>
              </w:tc>
              <w:tc>
                <w:tcPr>
                  <w:tcW w:w="330"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p>
              </w:tc>
              <w:tc>
                <w:tcPr>
                  <w:tcW w:w="107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p>
              </w:tc>
              <w:tc>
                <w:tcPr>
                  <w:tcW w:w="850" w:type="dxa"/>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p>
              </w:tc>
              <w:tc>
                <w:tcPr>
                  <w:tcW w:w="850" w:type="dxa"/>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数量</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来源</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数量</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去向</w:t>
                  </w:r>
                </w:p>
              </w:tc>
              <w:tc>
                <w:tcPr>
                  <w:tcW w:w="369" w:type="dxa"/>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p>
              </w:tc>
              <w:tc>
                <w:tcPr>
                  <w:tcW w:w="369" w:type="dxa"/>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香山梁水园村北</w:t>
                  </w: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snapToGrid w:val="0"/>
                      <w:color w:val="000000" w:themeColor="text1"/>
                      <w:kern w:val="0"/>
                      <w:sz w:val="21"/>
                      <w:szCs w:val="21"/>
                      <w:highlight w:val="none"/>
                      <w:u w:val="none"/>
                      <w:lang w:val="en-US" w:eastAsia="zh-CN" w:bidi="ar"/>
                      <w14:textFill>
                        <w14:solidFill>
                          <w14:schemeClr w14:val="tx1"/>
                        </w14:solidFill>
                      </w14:textFill>
                    </w:rPr>
                    <w:t>2.71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3.69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2.42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24.58</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17.33</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2.42</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4.83</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采坑回填</w:t>
                  </w: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采坑回填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6.28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4.83</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8.38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8.38</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8.38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8.38</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35.67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35.67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15.63</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15.63</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6号治理点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2.76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2.76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2.66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2.66</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2.66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2.66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5.42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5.42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2.66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2.66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2.16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2.16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9.25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7.09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2.16</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3.51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3.51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3.51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3.51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12.76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12.76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5.67</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5.67</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采坑回填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2.74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2.74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8.21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5.47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2.74</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3.47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3.47</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3.47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3.47</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11.67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11.67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6.20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6.20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9号治理点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2.38</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1.06</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0.32</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36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采坑回填</w:t>
                  </w:r>
                </w:p>
              </w:tc>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采坑回填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1.95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1.95</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1.95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1.95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4.39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4.39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3.27</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3.27</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0.49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0.49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1.53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1.51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5.96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4.45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1.51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7.38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7.38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2.91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2.91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12号治理点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19.37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18.34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81.15</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46.17</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18.34</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16.63</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采坑回填</w:t>
                  </w: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采坑回填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2.36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18.99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16.63</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1-9取土场</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0.75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0.75</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1-10取土场</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18.41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18.41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20.17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0.75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1-9取土场</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1-10取土场</w:t>
                  </w: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18.41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104.70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104.70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55.15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55.15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21.72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21.72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1.34</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23.06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23.06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香山黄泉村一采区</w:t>
                  </w: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0.15</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5.82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5.82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iCs w:val="0"/>
                      <w:snapToGrid w:val="0"/>
                      <w:color w:val="000000" w:themeColor="text1"/>
                      <w:kern w:val="0"/>
                      <w:sz w:val="21"/>
                      <w:szCs w:val="21"/>
                      <w:highlight w:val="none"/>
                      <w:u w:val="none"/>
                      <w:lang w:val="en-US" w:eastAsia="zh-CN" w:bidi="ar"/>
                      <w14:textFill>
                        <w14:solidFill>
                          <w14:schemeClr w14:val="tx1"/>
                        </w14:solidFill>
                      </w14:textFill>
                    </w:rPr>
                    <w:t>1.50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eastAsia="zh-CN"/>
                      <w14:textFill>
                        <w14:solidFill>
                          <w14:schemeClr w14:val="tx1"/>
                        </w14:solidFill>
                      </w14:textFill>
                    </w:rPr>
                  </w:pPr>
                  <w:r>
                    <w:rPr>
                      <w:rFonts w:hint="eastAsia" w:cs="Times New Roman"/>
                      <w:i w:val="0"/>
                      <w:iCs w:val="0"/>
                      <w:color w:val="000000" w:themeColor="text1"/>
                      <w:sz w:val="21"/>
                      <w:szCs w:val="21"/>
                      <w:highlight w:val="none"/>
                      <w:u w:val="none"/>
                      <w:lang w:val="en-US" w:eastAsia="zh-CN"/>
                      <w14:textFill>
                        <w14:solidFill>
                          <w14:schemeClr w14:val="tx1"/>
                        </w14:solidFill>
                      </w14:textFill>
                    </w:rPr>
                    <w:t>1.50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1.50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0.64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1-1取土场</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0.85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7.32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7.32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1.49</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snapToGrid w:val="0"/>
                      <w:color w:val="000000" w:themeColor="text1"/>
                      <w:kern w:val="0"/>
                      <w:sz w:val="21"/>
                      <w:szCs w:val="21"/>
                      <w:highlight w:val="none"/>
                      <w:u w:val="none"/>
                      <w:lang w:val="en-US" w:eastAsia="zh-CN" w:bidi="ar"/>
                      <w14:textFill>
                        <w14:solidFill>
                          <w14:schemeClr w14:val="tx1"/>
                        </w14:solidFill>
                      </w14:textFill>
                    </w:rPr>
                    <w:t xml:space="preserve"> 1.49</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lang w:val="en-US"/>
                      <w14:textFill>
                        <w14:solidFill>
                          <w14:schemeClr w14:val="tx1"/>
                        </w14:solidFill>
                      </w14:textFill>
                    </w:rPr>
                  </w:pPr>
                  <w:r>
                    <w:rPr>
                      <w:rFonts w:hint="eastAsia"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0.14</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1-2取土场</w:t>
                  </w:r>
                </w:p>
              </w:tc>
              <w:tc>
                <w:tcPr>
                  <w:tcW w:w="8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369"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0.08</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69"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7.25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7.25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1.42</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8.67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8.67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6号治理点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0.62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0.62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0.56</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0.36</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2.19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2.19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0.36</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香山黄泉村二采区</w:t>
                  </w: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6号治理点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4.06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2.34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1.72</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采坑回填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0.16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1.87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1.72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3.23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3.23</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3.23</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3.23</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7.44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7.44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4.94</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4.94</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香山黄泉村三采区</w:t>
                  </w: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3.78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3.78</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0.94</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4.72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4.72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0.94</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1.42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4.56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4.56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0.82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0.82</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0.82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0.82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5.39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5.39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0.82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0.82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0.97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0.22</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1.19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0.50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0.21</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0.21</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0.70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0.70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0.21</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常乐镇原上游村西1号治理点</w:t>
                  </w:r>
                </w:p>
              </w:tc>
              <w:tc>
                <w:tcPr>
                  <w:tcW w:w="33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7号治理点</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0.37</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0.37</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削高填低</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1.09</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0.72</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0.37</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边坡坡角培土及凹陷处回填</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覆土工程</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0.25</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采场剥离和挖出的黄土</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69"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330"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77"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小计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1.34</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0.62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0.62</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776" w:type="dxa"/>
                  <w:gridSpan w:val="3"/>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pPr>
                  <w:r>
                    <w:rPr>
                      <w:rFonts w:hint="eastAsia" w:ascii="Times New Roman" w:hAnsi="Times New Roman" w:eastAsia="宋体" w:cs="Times New Roman"/>
                      <w:snapToGrid w:val="0"/>
                      <w:color w:val="000000" w:themeColor="text1"/>
                      <w:sz w:val="21"/>
                      <w:szCs w:val="21"/>
                      <w:highlight w:val="none"/>
                      <w:lang w:val="en-US" w:eastAsia="zh-CN" w:bidi="ar"/>
                      <w14:textFill>
                        <w14:solidFill>
                          <w14:schemeClr w14:val="tx1"/>
                        </w14:solidFill>
                      </w14:textFill>
                    </w:rPr>
                    <w:t>总计</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2"/>
                      <w:szCs w:val="22"/>
                      <w:highlight w:val="none"/>
                      <w:u w:val="none"/>
                      <w:lang w:val="en-US" w:eastAsia="zh-CN" w:bidi="ar"/>
                      <w14:textFill>
                        <w14:solidFill>
                          <w14:schemeClr w14:val="tx1"/>
                        </w14:solidFill>
                      </w14:textFill>
                    </w:rPr>
                    <w:t>250.16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2"/>
                      <w:szCs w:val="22"/>
                      <w:highlight w:val="none"/>
                      <w:u w:val="none"/>
                      <w:lang w:val="en-US" w:eastAsia="zh-CN" w:bidi="ar"/>
                      <w14:textFill>
                        <w14:solidFill>
                          <w14:schemeClr w14:val="tx1"/>
                        </w14:solidFill>
                      </w14:textFill>
                    </w:rPr>
                    <w:t>250.16</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2"/>
                      <w:szCs w:val="22"/>
                      <w:highlight w:val="none"/>
                      <w:u w:val="none"/>
                      <w:lang w:val="en-US" w:eastAsia="zh-CN" w:bidi="ar"/>
                      <w14:textFill>
                        <w14:solidFill>
                          <w14:schemeClr w14:val="tx1"/>
                        </w14:solidFill>
                      </w14:textFill>
                    </w:rPr>
                    <w:t>105.68</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2"/>
                      <w:szCs w:val="22"/>
                      <w:highlight w:val="none"/>
                      <w:u w:val="none"/>
                      <w:lang w:val="en-US" w:eastAsia="zh-CN" w:bidi="ar"/>
                      <w14:textFill>
                        <w14:solidFill>
                          <w14:schemeClr w14:val="tx1"/>
                        </w14:solidFill>
                      </w14:textFill>
                    </w:rPr>
                    <w:t>105.68</w:t>
                  </w:r>
                </w:p>
              </w:tc>
              <w:tc>
                <w:tcPr>
                  <w:tcW w:w="107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36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snapToGrid w:val="0"/>
                      <w:color w:val="000000" w:themeColor="text1"/>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bl>
          <w:p>
            <w:pPr>
              <w:rPr>
                <w:color w:val="000000" w:themeColor="text1"/>
                <w:highlight w:val="none"/>
                <w14:textFill>
                  <w14:solidFill>
                    <w14:schemeClr w14:val="tx1"/>
                  </w14:solidFill>
                </w14:textFill>
              </w:rPr>
            </w:pP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整体土石方平衡见下表：</w:t>
            </w:r>
          </w:p>
          <w:p>
            <w:pPr>
              <w:pStyle w:val="7"/>
              <w:outlineLvl w:val="6"/>
              <w:rPr>
                <w:color w:val="000000" w:themeColor="text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表2-15整体工程土石方平衡一览表（</w:t>
            </w:r>
            <w:r>
              <w:rPr>
                <w:color w:val="000000" w:themeColor="text1"/>
                <w:sz w:val="24"/>
                <w:szCs w:val="24"/>
                <w:highlight w:val="none"/>
                <w14:textFill>
                  <w14:solidFill>
                    <w14:schemeClr w14:val="tx1"/>
                  </w14:solidFill>
                </w14:textFill>
              </w:rPr>
              <w:t>单位：</w:t>
            </w:r>
            <w:r>
              <w:rPr>
                <w:rFonts w:hint="eastAsia"/>
                <w:color w:val="000000" w:themeColor="text1"/>
                <w:sz w:val="24"/>
                <w:szCs w:val="24"/>
                <w:highlight w:val="none"/>
                <w14:textFill>
                  <w14:solidFill>
                    <w14:schemeClr w14:val="tx1"/>
                  </w14:solidFill>
                </w14:textFill>
              </w:rPr>
              <w:t>万</w:t>
            </w:r>
            <w:r>
              <w:rPr>
                <w:color w:val="000000" w:themeColor="text1"/>
                <w:sz w:val="24"/>
                <w:szCs w:val="24"/>
                <w:highlight w:val="none"/>
                <w14:textFill>
                  <w14:solidFill>
                    <w14:schemeClr w14:val="tx1"/>
                  </w14:solidFill>
                </w14:textFill>
              </w:rPr>
              <w:t>m</w:t>
            </w:r>
            <w:r>
              <w:rPr>
                <w:color w:val="000000" w:themeColor="text1"/>
                <w:sz w:val="24"/>
                <w:szCs w:val="24"/>
                <w:highlight w:val="none"/>
                <w:vertAlign w:val="superscript"/>
                <w14:textFill>
                  <w14:solidFill>
                    <w14:schemeClr w14:val="tx1"/>
                  </w14:solidFill>
                </w14:textFill>
              </w:rPr>
              <w:t>3</w:t>
            </w:r>
            <w:r>
              <w:rPr>
                <w:rFonts w:hint="eastAsia"/>
                <w:color w:val="000000" w:themeColor="text1"/>
                <w:sz w:val="24"/>
                <w:szCs w:val="24"/>
                <w:highlight w:val="none"/>
                <w14:textFill>
                  <w14:solidFill>
                    <w14:schemeClr w14:val="tx1"/>
                  </w14:solidFill>
                </w14:textFill>
              </w:rPr>
              <w:t>）</w:t>
            </w:r>
          </w:p>
          <w:tbl>
            <w:tblPr>
              <w:tblStyle w:val="24"/>
              <w:tblW w:w="7912" w:type="dxa"/>
              <w:tblInd w:w="-10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34"/>
              <w:gridCol w:w="1064"/>
              <w:gridCol w:w="885"/>
              <w:gridCol w:w="900"/>
              <w:gridCol w:w="900"/>
              <w:gridCol w:w="1044"/>
              <w:gridCol w:w="846"/>
              <w:gridCol w:w="945"/>
              <w:gridCol w:w="450"/>
              <w:gridCol w:w="4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434"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序号</w:t>
                  </w:r>
                </w:p>
              </w:tc>
              <w:tc>
                <w:tcPr>
                  <w:tcW w:w="1064"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工程名称</w:t>
                  </w:r>
                </w:p>
              </w:tc>
              <w:tc>
                <w:tcPr>
                  <w:tcW w:w="885"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挖方</w:t>
                  </w:r>
                </w:p>
              </w:tc>
              <w:tc>
                <w:tcPr>
                  <w:tcW w:w="90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填方</w:t>
                  </w:r>
                </w:p>
              </w:tc>
              <w:tc>
                <w:tcPr>
                  <w:tcW w:w="1944"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调入方</w:t>
                  </w:r>
                </w:p>
              </w:tc>
              <w:tc>
                <w:tcPr>
                  <w:tcW w:w="1791"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调出方</w:t>
                  </w:r>
                </w:p>
              </w:tc>
              <w:tc>
                <w:tcPr>
                  <w:tcW w:w="45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外购土</w:t>
                  </w:r>
                </w:p>
              </w:tc>
              <w:tc>
                <w:tcPr>
                  <w:tcW w:w="444"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弃土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434"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64"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85"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90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数量</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来源</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数量</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去向</w:t>
                  </w:r>
                </w:p>
              </w:tc>
              <w:tc>
                <w:tcPr>
                  <w:tcW w:w="45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444"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43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w:t>
                  </w:r>
                </w:p>
              </w:tc>
              <w:tc>
                <w:tcPr>
                  <w:tcW w:w="10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护坡坡角培土及凹陷处回填</w:t>
                  </w: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2.34</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27.47</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25.12</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削高填低</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434"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w:t>
                  </w:r>
                </w:p>
              </w:tc>
              <w:tc>
                <w:tcPr>
                  <w:tcW w:w="1064"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削高填低</w:t>
                  </w: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190.18</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138.14</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25.12</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护坡坡角培土及凹陷处回填</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434"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64"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26.91</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采坑回填</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43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w:t>
                  </w:r>
                </w:p>
              </w:tc>
              <w:tc>
                <w:tcPr>
                  <w:tcW w:w="10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采坑回填</w:t>
                  </w: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3.99</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30.91</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26.91</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削高填低</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43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4</w:t>
                  </w:r>
                </w:p>
              </w:tc>
              <w:tc>
                <w:tcPr>
                  <w:tcW w:w="10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采场剥离和挖出的黄土</w:t>
                  </w: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51.17</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51.17</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绿化覆土工程</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97" w:hRule="atLeast"/>
              </w:trPr>
              <w:tc>
                <w:tcPr>
                  <w:tcW w:w="43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w:t>
                  </w:r>
                </w:p>
              </w:tc>
              <w:tc>
                <w:tcPr>
                  <w:tcW w:w="106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取土场取土</w:t>
                  </w: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2.47</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2.47</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绿化覆土工程</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34"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6</w:t>
                  </w:r>
                </w:p>
              </w:tc>
              <w:tc>
                <w:tcPr>
                  <w:tcW w:w="1064"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绿化覆土工程</w:t>
                  </w: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53.64</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51.17</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采场剥离和挖出的黄土</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34"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1064"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2.47</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取土场取土</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498" w:type="dxa"/>
                  <w:gridSpan w:val="2"/>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总计</w:t>
                  </w:r>
                </w:p>
              </w:tc>
              <w:tc>
                <w:tcPr>
                  <w:tcW w:w="8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250.16</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250.16</w:t>
                  </w:r>
                </w:p>
              </w:tc>
              <w:tc>
                <w:tcPr>
                  <w:tcW w:w="9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105.68</w:t>
                  </w:r>
                </w:p>
              </w:tc>
              <w:tc>
                <w:tcPr>
                  <w:tcW w:w="10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846"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105.68</w:t>
                  </w:r>
                </w:p>
              </w:tc>
              <w:tc>
                <w:tcPr>
                  <w:tcW w:w="94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0.00</w:t>
                  </w:r>
                </w:p>
              </w:tc>
              <w:tc>
                <w:tcPr>
                  <w:tcW w:w="45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c>
                <w:tcPr>
                  <w:tcW w:w="444"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i w:val="0"/>
                      <w:iCs w:val="0"/>
                      <w:snapToGrid w:val="0"/>
                      <w:color w:val="000000" w:themeColor="text1"/>
                      <w:kern w:val="0"/>
                      <w:sz w:val="21"/>
                      <w:szCs w:val="21"/>
                      <w:highlight w:val="none"/>
                      <w:u w:val="none"/>
                      <w:lang w:val="en-US" w:eastAsia="zh-CN" w:bidi="ar"/>
                      <w14:textFill>
                        <w14:solidFill>
                          <w14:schemeClr w14:val="tx1"/>
                        </w14:solidFill>
                      </w14:textFill>
                    </w:rPr>
                    <w:t>0</w:t>
                  </w:r>
                </w:p>
              </w:tc>
            </w:tr>
          </w:tbl>
          <w:p>
            <w:pPr>
              <w:pStyle w:val="3"/>
              <w:numPr>
                <w:ilvl w:val="0"/>
                <w:numId w:val="0"/>
              </w:numPr>
              <w:jc w:val="both"/>
              <w:rPr>
                <w:color w:val="000000" w:themeColor="text1"/>
                <w:highlight w:val="none"/>
                <w14:textFill>
                  <w14:solidFill>
                    <w14:schemeClr w14:val="tx1"/>
                  </w14:solidFill>
                </w14:textFill>
              </w:rPr>
            </w:pP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各工程土石方平衡流向图如下：</w:t>
            </w:r>
          </w:p>
          <w:p>
            <w:pPr>
              <w:rPr>
                <w:b/>
                <w:bCs/>
                <w:color w:val="000000" w:themeColor="text1"/>
                <w:sz w:val="24"/>
                <w:szCs w:val="24"/>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5036820" cy="3371215"/>
                  <wp:effectExtent l="0" t="0" r="11430" b="63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48"/>
                          <a:stretch>
                            <a:fillRect/>
                          </a:stretch>
                        </pic:blipFill>
                        <pic:spPr>
                          <a:xfrm>
                            <a:off x="0" y="0"/>
                            <a:ext cx="5036820" cy="3371215"/>
                          </a:xfrm>
                          <a:prstGeom prst="rect">
                            <a:avLst/>
                          </a:prstGeom>
                          <a:noFill/>
                          <a:ln>
                            <a:noFill/>
                          </a:ln>
                        </pic:spPr>
                      </pic:pic>
                    </a:graphicData>
                  </a:graphic>
                </wp:inline>
              </w:drawing>
            </w:r>
          </w:p>
          <w:p>
            <w:pPr>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图2-18</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14:textFill>
                  <w14:solidFill>
                    <w14:schemeClr w14:val="tx1"/>
                  </w14:solidFill>
                </w14:textFill>
              </w:rPr>
              <w:t>工程土石方平衡流向图（单位：万</w:t>
            </w:r>
            <w:r>
              <w:rPr>
                <w:b/>
                <w:bCs/>
                <w:color w:val="000000" w:themeColor="text1"/>
                <w:sz w:val="24"/>
                <w:szCs w:val="24"/>
                <w:highlight w:val="none"/>
                <w14:textFill>
                  <w14:solidFill>
                    <w14:schemeClr w14:val="tx1"/>
                  </w14:solidFill>
                </w14:textFill>
              </w:rPr>
              <w:t>m</w:t>
            </w:r>
            <w:r>
              <w:rPr>
                <w:b/>
                <w:bCs/>
                <w:color w:val="000000" w:themeColor="text1"/>
                <w:sz w:val="24"/>
                <w:szCs w:val="24"/>
                <w:highlight w:val="none"/>
                <w:vertAlign w:val="superscript"/>
                <w14:textFill>
                  <w14:solidFill>
                    <w14:schemeClr w14:val="tx1"/>
                  </w14:solidFill>
                </w14:textFill>
              </w:rPr>
              <w:t>3</w:t>
            </w:r>
            <w:r>
              <w:rPr>
                <w:rFonts w:hint="eastAsia"/>
                <w:b/>
                <w:bCs/>
                <w:color w:val="000000" w:themeColor="text1"/>
                <w:sz w:val="24"/>
                <w:szCs w:val="24"/>
                <w:highlight w:val="none"/>
                <w14:textFill>
                  <w14:solidFill>
                    <w14:schemeClr w14:val="tx1"/>
                  </w14:solidFill>
                </w14:textFill>
              </w:rPr>
              <w:t>）</w:t>
            </w:r>
          </w:p>
          <w:p>
            <w:pPr>
              <w:rPr>
                <w:b/>
                <w:bCs/>
                <w:color w:val="000000" w:themeColor="text1"/>
                <w:sz w:val="24"/>
                <w:szCs w:val="24"/>
                <w:highlight w:val="none"/>
                <w14:textFill>
                  <w14:solidFill>
                    <w14:schemeClr w14:val="tx1"/>
                  </w14:solidFill>
                </w14:textFill>
              </w:rPr>
            </w:pPr>
          </w:p>
          <w:p>
            <w:pPr>
              <w:pStyle w:val="15"/>
              <w:numPr>
                <w:ilvl w:val="0"/>
                <w:numId w:val="4"/>
              </w:numPr>
              <w:ind w:firstLine="0" w:firstLineChars="0"/>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劳动定员及工作配置</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（1）施工人员配置</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本项目施工期平均人数</w:t>
            </w:r>
            <w:r>
              <w:rPr>
                <w:rFonts w:hint="eastAsia"/>
                <w:color w:val="000000" w:themeColor="text1"/>
                <w:sz w:val="24"/>
                <w:szCs w:val="24"/>
                <w:highlight w:val="none"/>
                <w14:textFill>
                  <w14:solidFill>
                    <w14:schemeClr w14:val="tx1"/>
                  </w14:solidFill>
                </w14:textFill>
              </w:rPr>
              <w:t>6</w:t>
            </w:r>
            <w:r>
              <w:rPr>
                <w:color w:val="000000" w:themeColor="text1"/>
                <w:sz w:val="24"/>
                <w:szCs w:val="24"/>
                <w:highlight w:val="none"/>
                <w14:textFill>
                  <w14:solidFill>
                    <w14:schemeClr w14:val="tx1"/>
                  </w14:solidFill>
                </w14:textFill>
              </w:rPr>
              <w:t>0人。每天工作8小时，昼间施工，本项目施工工人均为当地雇工，在家食宿，不设置施工营地。</w:t>
            </w:r>
          </w:p>
          <w:p>
            <w:pPr>
              <w:pStyle w:val="15"/>
              <w:ind w:left="480" w:leftChars="200" w:firstLine="0" w:firstLineChars="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（2）运营期人员配置</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本项目是由中卫市沙坡头区自然资源局建设，生态修复后设置管理人员2人对治理区进行管理和维护。</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本项目临时聘用当地村民种植，负责修复区后期的施肥、除草、浇水、喷洒农药等管护工作，保证树苗的成活率，临时聘用人员均不在修复区内进行食宿等。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4" w:type="dxa"/>
            <w:tcBorders>
              <w:tl2br w:val="nil"/>
              <w:tr2bl w:val="nil"/>
            </w:tcBorders>
            <w:vAlign w:val="center"/>
          </w:tcPr>
          <w:p>
            <w:pPr>
              <w:pStyle w:val="15"/>
              <w:ind w:firstLine="420"/>
              <w:jc w:val="center"/>
              <w:rPr>
                <w:color w:val="000000" w:themeColor="text1"/>
                <w:sz w:val="24"/>
                <w:szCs w:val="24"/>
                <w:highlight w:val="yellow"/>
                <w14:textFill>
                  <w14:solidFill>
                    <w14:schemeClr w14:val="tx1"/>
                  </w14:solidFill>
                </w14:textFill>
              </w:rPr>
            </w:pPr>
            <w:r>
              <w:rPr>
                <w:rFonts w:hint="eastAsia"/>
                <w:color w:val="000000" w:themeColor="text1"/>
                <w:sz w:val="24"/>
                <w:szCs w:val="24"/>
                <w:highlight w:val="yellow"/>
                <w14:textFill>
                  <w14:solidFill>
                    <w14:schemeClr w14:val="tx1"/>
                  </w14:solidFill>
                </w14:textFill>
              </w:rPr>
              <w:t>总</w:t>
            </w:r>
            <w:r>
              <w:rPr>
                <w:rFonts w:hint="eastAsia"/>
                <w:color w:val="000000" w:themeColor="text1"/>
                <w:sz w:val="24"/>
                <w:szCs w:val="24"/>
                <w:highlight w:val="none"/>
                <w14:textFill>
                  <w14:solidFill>
                    <w14:schemeClr w14:val="tx1"/>
                  </w14:solidFill>
                </w14:textFill>
              </w:rPr>
              <w:t>平面及现场布置</w:t>
            </w:r>
          </w:p>
        </w:tc>
        <w:tc>
          <w:tcPr>
            <w:tcW w:w="8158" w:type="dxa"/>
            <w:tcBorders>
              <w:tl2br w:val="nil"/>
              <w:tr2bl w:val="nil"/>
            </w:tcBorders>
          </w:tcPr>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总的布置原则应遵循因地制宜、利于施工、易于管理、方便生活、安全经济的原则。施工时应结合以下几点考虑施工布置：尽量少占或不占耕地，减少对附近居民的生产、生活影响；合理利用有利地形，尽量减少临时建筑工程量；采用分段就近集中布置。</w:t>
            </w:r>
          </w:p>
          <w:p>
            <w:pPr>
              <w:pStyle w:val="15"/>
              <w:numPr>
                <w:ilvl w:val="0"/>
                <w:numId w:val="5"/>
              </w:numPr>
              <w:ind w:firstLine="0" w:firstLineChars="0"/>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施工现场平面布</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工程规模及工地现有条件，施工总布置规划遵循以主体工程施工需要为中心，统筹兼顾、全面规划、力求布置紧凑，并做到便于管理、方便生产和生活，各施工设施的布置应尽量满足主体工程施工工艺要求，避免干扰，减少物料的重复往返运输的原则进行布置，本次施工场地条件较好，施工道路可由原矿区道路直达施工场地，工程所需的机械设备和建筑材料可直接搬运至工区，无需二次转运，材料可堆放于修复区较平坦位置。+</w:t>
            </w:r>
          </w:p>
          <w:p>
            <w:pPr>
              <w:pStyle w:val="15"/>
              <w:ind w:firstLine="0" w:firstLineChars="0"/>
              <w:rPr>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2、</w:t>
            </w:r>
            <w:r>
              <w:rPr>
                <w:b/>
                <w:bCs/>
                <w:color w:val="000000" w:themeColor="text1"/>
                <w:sz w:val="24"/>
                <w:szCs w:val="24"/>
                <w:highlight w:val="none"/>
                <w14:textFill>
                  <w14:solidFill>
                    <w14:schemeClr w14:val="tx1"/>
                  </w14:solidFill>
                </w14:textFill>
              </w:rPr>
              <w:t>施工</w:t>
            </w:r>
            <w:r>
              <w:rPr>
                <w:rFonts w:hint="eastAsia"/>
                <w:b/>
                <w:bCs/>
                <w:color w:val="000000" w:themeColor="text1"/>
                <w:sz w:val="24"/>
                <w:szCs w:val="24"/>
                <w:highlight w:val="none"/>
                <w14:textFill>
                  <w14:solidFill>
                    <w14:schemeClr w14:val="tx1"/>
                  </w14:solidFill>
                </w14:textFill>
              </w:rPr>
              <w:t>水、电</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施工现场临时供水水源，可利用附近的居民点就近接入，对于距离治理区水源较远的可采取就近拉运，水质必须符合饮用水和施工用水标准。</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施工期用电电源，可利用工地附近电力系统供给。对于距离治理区电源较远的可采取购买或租用临时发电机供电。</w:t>
            </w:r>
          </w:p>
          <w:p>
            <w:pPr>
              <w:pStyle w:val="15"/>
              <w:ind w:firstLine="0" w:firstLineChars="0"/>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t>3</w:t>
            </w:r>
            <w:r>
              <w:rPr>
                <w:rFonts w:hint="eastAsia"/>
                <w:b/>
                <w:bCs/>
                <w:color w:val="000000" w:themeColor="text1"/>
                <w:sz w:val="24"/>
                <w:szCs w:val="24"/>
                <w:highlight w:val="none"/>
                <w14:textFill>
                  <w14:solidFill>
                    <w14:schemeClr w14:val="tx1"/>
                  </w14:solidFill>
                </w14:textFill>
              </w:rPr>
              <w:t>、大型机械配置</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项目工程施工主要为土方、所用机械设备较多，主要涉及的大型设备包括挖掘机装载机、推</w:t>
            </w:r>
            <w:r>
              <w:rPr>
                <w:rFonts w:hint="eastAsia"/>
                <w:color w:val="000000" w:themeColor="text1"/>
                <w:sz w:val="24"/>
                <w:szCs w:val="24"/>
                <w:highlight w:val="none"/>
                <w:lang w:eastAsia="zh-CN"/>
                <w14:textFill>
                  <w14:solidFill>
                    <w14:schemeClr w14:val="tx1"/>
                  </w14:solidFill>
                </w14:textFill>
              </w:rPr>
              <w:t>土</w:t>
            </w:r>
            <w:r>
              <w:rPr>
                <w:rFonts w:hint="eastAsia"/>
                <w:color w:val="000000" w:themeColor="text1"/>
                <w:sz w:val="24"/>
                <w:szCs w:val="24"/>
                <w:highlight w:val="none"/>
                <w14:textFill>
                  <w14:solidFill>
                    <w14:schemeClr w14:val="tx1"/>
                  </w14:solidFill>
                </w14:textFill>
              </w:rPr>
              <w:t>机和拖拉机。</w:t>
            </w:r>
          </w:p>
          <w:p>
            <w:pPr>
              <w:pStyle w:val="15"/>
              <w:ind w:firstLine="420"/>
              <w:rPr>
                <w:color w:val="000000" w:themeColor="text1"/>
                <w:sz w:val="24"/>
                <w:szCs w:val="24"/>
                <w:highlight w:val="yellow"/>
                <w14:textFill>
                  <w14:solidFill>
                    <w14:schemeClr w14:val="tx1"/>
                  </w14:solidFill>
                </w14:textFill>
              </w:rPr>
            </w:pPr>
            <w:r>
              <w:rPr>
                <w:rFonts w:hint="eastAsia"/>
                <w:color w:val="000000" w:themeColor="text1"/>
                <w:sz w:val="24"/>
                <w:szCs w:val="24"/>
                <w:highlight w:val="none"/>
                <w14:textFill>
                  <w14:solidFill>
                    <w14:schemeClr w14:val="tx1"/>
                  </w14:solidFill>
                </w14:textFill>
              </w:rPr>
              <w:t>大型机械的进场计划在大型设备进场前，先让大部分涉及到安装的各个其他小型施工机械设备进场，并且在大型机械设备进场之前施工单位需要与业主做好协商，提前解决好设备摆放问题。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4" w:type="dxa"/>
            <w:tcBorders>
              <w:tl2br w:val="nil"/>
              <w:tr2bl w:val="nil"/>
            </w:tcBorders>
            <w:vAlign w:val="center"/>
          </w:tcPr>
          <w:p>
            <w:pPr>
              <w:widowControl/>
              <w:rPr>
                <w:rFonts w:ascii="宋体" w:hAnsi="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14:textFill>
                  <w14:solidFill>
                    <w14:schemeClr w14:val="tx1"/>
                  </w14:solidFill>
                </w14:textFill>
              </w:rPr>
              <w:t>施工方案</w:t>
            </w:r>
          </w:p>
        </w:tc>
        <w:tc>
          <w:tcPr>
            <w:tcW w:w="8158" w:type="dxa"/>
            <w:tcBorders>
              <w:tl2br w:val="nil"/>
              <w:tr2bl w:val="nil"/>
            </w:tcBorders>
          </w:tcPr>
          <w:p>
            <w:pPr>
              <w:pStyle w:val="15"/>
              <w:numPr>
                <w:ilvl w:val="0"/>
                <w:numId w:val="6"/>
              </w:numPr>
              <w:ind w:firstLine="0" w:firstLineChars="0"/>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建设周期及</w:t>
            </w:r>
            <w:r>
              <w:rPr>
                <w:b/>
                <w:bCs/>
                <w:color w:val="000000" w:themeColor="text1"/>
                <w:sz w:val="24"/>
                <w:szCs w:val="24"/>
                <w:highlight w:val="none"/>
                <w14:textFill>
                  <w14:solidFill>
                    <w14:schemeClr w14:val="tx1"/>
                  </w14:solidFill>
                </w14:textFill>
              </w:rPr>
              <w:t>施工进度安排</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本项目</w:t>
            </w:r>
            <w:r>
              <w:rPr>
                <w:rFonts w:hint="eastAsia"/>
                <w:color w:val="000000" w:themeColor="text1"/>
                <w:sz w:val="24"/>
                <w:szCs w:val="24"/>
                <w:highlight w:val="none"/>
                <w:lang w:eastAsia="zh-CN"/>
                <w14:textFill>
                  <w14:solidFill>
                    <w14:schemeClr w14:val="tx1"/>
                  </w14:solidFill>
                </w14:textFill>
              </w:rPr>
              <w:t>二期</w:t>
            </w:r>
            <w:r>
              <w:rPr>
                <w:color w:val="000000" w:themeColor="text1"/>
                <w:sz w:val="24"/>
                <w:szCs w:val="24"/>
                <w:highlight w:val="none"/>
                <w14:textFill>
                  <w14:solidFill>
                    <w14:schemeClr w14:val="tx1"/>
                  </w14:solidFill>
                </w14:textFill>
              </w:rPr>
              <w:t>实施时间为2023年</w:t>
            </w:r>
            <w:r>
              <w:rPr>
                <w:rFonts w:hint="eastAsia"/>
                <w:color w:val="000000" w:themeColor="text1"/>
                <w:sz w:val="24"/>
                <w:szCs w:val="24"/>
                <w:highlight w:val="none"/>
                <w:lang w:val="en-US" w:eastAsia="zh-CN"/>
                <w14:textFill>
                  <w14:solidFill>
                    <w14:schemeClr w14:val="tx1"/>
                  </w14:solidFill>
                </w14:textFill>
              </w:rPr>
              <w:t>6</w:t>
            </w:r>
            <w:r>
              <w:rPr>
                <w:color w:val="000000" w:themeColor="text1"/>
                <w:sz w:val="24"/>
                <w:szCs w:val="24"/>
                <w:highlight w:val="none"/>
                <w14:textFill>
                  <w14:solidFill>
                    <w14:schemeClr w14:val="tx1"/>
                  </w14:solidFill>
                </w14:textFill>
              </w:rPr>
              <w:t>月-2025年1月。本次治理工程分为三个阶段，分别为前期工作阶段、施工阶段和验收工</w:t>
            </w:r>
            <w:r>
              <w:rPr>
                <w:rFonts w:hint="eastAsia"/>
                <w:color w:val="000000" w:themeColor="text1"/>
                <w:sz w:val="24"/>
                <w:szCs w:val="24"/>
                <w:highlight w:val="none"/>
                <w14:textFill>
                  <w14:solidFill>
                    <w14:schemeClr w14:val="tx1"/>
                  </w14:solidFill>
                </w14:textFill>
              </w:rPr>
              <w:t>作阶段。</w: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表2-16施工时序安排表</w:t>
            </w:r>
          </w:p>
          <w:tbl>
            <w:tblPr>
              <w:tblStyle w:val="24"/>
              <w:tblW w:w="8010"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885"/>
              <w:gridCol w:w="1335"/>
              <w:gridCol w:w="3646"/>
              <w:gridCol w:w="1375"/>
              <w:gridCol w:w="76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8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阶段</w:t>
                  </w:r>
                </w:p>
              </w:tc>
              <w:tc>
                <w:tcPr>
                  <w:tcW w:w="133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工作内容</w:t>
                  </w:r>
                </w:p>
              </w:tc>
              <w:tc>
                <w:tcPr>
                  <w:tcW w:w="364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工作内容</w:t>
                  </w:r>
                </w:p>
              </w:tc>
              <w:tc>
                <w:tcPr>
                  <w:tcW w:w="137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进度计划</w:t>
                  </w:r>
                </w:p>
              </w:tc>
              <w:tc>
                <w:tcPr>
                  <w:tcW w:w="769"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8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前期</w:t>
                  </w:r>
                </w:p>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工作</w:t>
                  </w:r>
                </w:p>
              </w:tc>
              <w:tc>
                <w:tcPr>
                  <w:tcW w:w="133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施工准备</w:t>
                  </w:r>
                </w:p>
              </w:tc>
              <w:tc>
                <w:tcPr>
                  <w:tcW w:w="364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设计单位编制初设报告、施工招投标、施工单位进场、设计交底等</w:t>
                  </w:r>
                </w:p>
              </w:tc>
              <w:tc>
                <w:tcPr>
                  <w:tcW w:w="137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2022.12-2023.1</w:t>
                  </w:r>
                </w:p>
              </w:tc>
              <w:tc>
                <w:tcPr>
                  <w:tcW w:w="769"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85" w:type="dxa"/>
                  <w:vMerge w:val="restart"/>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施工</w:t>
                  </w:r>
                </w:p>
              </w:tc>
              <w:tc>
                <w:tcPr>
                  <w:tcW w:w="133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主体工程施工</w:t>
                  </w:r>
                </w:p>
              </w:tc>
              <w:tc>
                <w:tcPr>
                  <w:tcW w:w="364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削坡卸载、矿坑回填挖运、土地平整、土地翻耕、地质灾害隐患消除工程等</w:t>
                  </w:r>
                </w:p>
              </w:tc>
              <w:tc>
                <w:tcPr>
                  <w:tcW w:w="1375" w:type="dxa"/>
                  <w:tcBorders>
                    <w:tl2br w:val="nil"/>
                    <w:tr2bl w:val="nil"/>
                  </w:tcBorders>
                  <w:vAlign w:val="center"/>
                </w:tcPr>
                <w:p>
                  <w:pPr>
                    <w:rPr>
                      <w:rFonts w:hint="default"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2023.</w:t>
                  </w:r>
                  <w:r>
                    <w:rPr>
                      <w:rFonts w:hint="eastAsia"/>
                      <w:color w:val="000000" w:themeColor="text1"/>
                      <w:sz w:val="21"/>
                      <w:szCs w:val="21"/>
                      <w:highlight w:val="none"/>
                      <w:lang w:val="en-US" w:eastAsia="zh-CN"/>
                      <w14:textFill>
                        <w14:solidFill>
                          <w14:schemeClr w14:val="tx1"/>
                        </w14:solidFill>
                      </w14:textFill>
                    </w:rPr>
                    <w:t>6</w:t>
                  </w:r>
                  <w:r>
                    <w:rPr>
                      <w:color w:val="000000" w:themeColor="text1"/>
                      <w:sz w:val="21"/>
                      <w:szCs w:val="21"/>
                      <w:highlight w:val="none"/>
                      <w14:textFill>
                        <w14:solidFill>
                          <w14:schemeClr w14:val="tx1"/>
                        </w14:solidFill>
                      </w14:textFill>
                    </w:rPr>
                    <w:t>-202</w:t>
                  </w:r>
                  <w:r>
                    <w:rPr>
                      <w:rFonts w:hint="eastAsia"/>
                      <w:color w:val="000000" w:themeColor="text1"/>
                      <w:sz w:val="21"/>
                      <w:szCs w:val="21"/>
                      <w:highlight w:val="none"/>
                      <w:lang w:val="en-US" w:eastAsia="zh-CN"/>
                      <w14:textFill>
                        <w14:solidFill>
                          <w14:schemeClr w14:val="tx1"/>
                        </w14:solidFill>
                      </w14:textFill>
                    </w:rPr>
                    <w:t>3</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12</w:t>
                  </w:r>
                </w:p>
              </w:tc>
              <w:tc>
                <w:tcPr>
                  <w:tcW w:w="769" w:type="dxa"/>
                  <w:tcBorders>
                    <w:tl2br w:val="nil"/>
                    <w:tr2bl w:val="nil"/>
                  </w:tcBorders>
                  <w:vAlign w:val="center"/>
                </w:tcPr>
                <w:p>
                  <w:pP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85" w:type="dxa"/>
                  <w:vMerge w:val="continue"/>
                  <w:tcBorders>
                    <w:tl2br w:val="nil"/>
                    <w:tr2bl w:val="nil"/>
                  </w:tcBorders>
                  <w:vAlign w:val="center"/>
                </w:tcPr>
                <w:p>
                  <w:pPr>
                    <w:rPr>
                      <w:color w:val="000000" w:themeColor="text1"/>
                      <w:sz w:val="21"/>
                      <w:szCs w:val="21"/>
                      <w:highlight w:val="none"/>
                      <w14:textFill>
                        <w14:solidFill>
                          <w14:schemeClr w14:val="tx1"/>
                        </w14:solidFill>
                      </w14:textFill>
                    </w:rPr>
                  </w:pPr>
                </w:p>
              </w:tc>
              <w:tc>
                <w:tcPr>
                  <w:tcW w:w="133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绿化工程施工</w:t>
                  </w:r>
                </w:p>
              </w:tc>
              <w:tc>
                <w:tcPr>
                  <w:tcW w:w="364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撒播种草、栽植灌木</w:t>
                  </w:r>
                </w:p>
              </w:tc>
              <w:tc>
                <w:tcPr>
                  <w:tcW w:w="137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2023.4-2023.7</w:t>
                  </w:r>
                </w:p>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2024.4-2024.7</w:t>
                  </w:r>
                </w:p>
              </w:tc>
              <w:tc>
                <w:tcPr>
                  <w:tcW w:w="769"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85" w:type="dxa"/>
                  <w:vMerge w:val="restart"/>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验收</w:t>
                  </w:r>
                </w:p>
              </w:tc>
              <w:tc>
                <w:tcPr>
                  <w:tcW w:w="133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初步验收</w:t>
                  </w:r>
                </w:p>
              </w:tc>
              <w:tc>
                <w:tcPr>
                  <w:tcW w:w="364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土石方工程验收、植被恢复工程初步验收</w:t>
                  </w:r>
                </w:p>
              </w:tc>
              <w:tc>
                <w:tcPr>
                  <w:tcW w:w="137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2025.2</w:t>
                  </w:r>
                </w:p>
              </w:tc>
              <w:tc>
                <w:tcPr>
                  <w:tcW w:w="769"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397" w:hRule="atLeast"/>
              </w:trPr>
              <w:tc>
                <w:tcPr>
                  <w:tcW w:w="885" w:type="dxa"/>
                  <w:vMerge w:val="continue"/>
                  <w:tcBorders>
                    <w:tl2br w:val="nil"/>
                    <w:tr2bl w:val="nil"/>
                  </w:tcBorders>
                  <w:vAlign w:val="center"/>
                </w:tcPr>
                <w:p>
                  <w:pPr>
                    <w:rPr>
                      <w:color w:val="000000" w:themeColor="text1"/>
                      <w:sz w:val="21"/>
                      <w:szCs w:val="21"/>
                      <w:highlight w:val="none"/>
                      <w14:textFill>
                        <w14:solidFill>
                          <w14:schemeClr w14:val="tx1"/>
                        </w14:solidFill>
                      </w14:textFill>
                    </w:rPr>
                  </w:pPr>
                </w:p>
              </w:tc>
              <w:tc>
                <w:tcPr>
                  <w:tcW w:w="133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最终验收</w:t>
                  </w:r>
                </w:p>
              </w:tc>
              <w:tc>
                <w:tcPr>
                  <w:tcW w:w="3646"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植被恢复效果验收</w:t>
                  </w:r>
                </w:p>
              </w:tc>
              <w:tc>
                <w:tcPr>
                  <w:tcW w:w="1375"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2025.3</w:t>
                  </w:r>
                </w:p>
              </w:tc>
              <w:tc>
                <w:tcPr>
                  <w:tcW w:w="769" w:type="dxa"/>
                  <w:tcBorders>
                    <w:tl2br w:val="nil"/>
                    <w:tr2bl w:val="nil"/>
                  </w:tcBorders>
                  <w:vAlign w:val="center"/>
                </w:tcPr>
                <w:p>
                  <w:pP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r>
          </w:tbl>
          <w:p>
            <w:pPr>
              <w:pStyle w:val="15"/>
              <w:ind w:firstLine="0" w:firstLineChars="0"/>
              <w:rPr>
                <w:b/>
                <w:bCs/>
                <w:color w:val="000000" w:themeColor="text1"/>
                <w:sz w:val="24"/>
                <w:szCs w:val="24"/>
                <w:highlight w:val="none"/>
                <w14:textFill>
                  <w14:solidFill>
                    <w14:schemeClr w14:val="tx1"/>
                  </w14:solidFill>
                </w14:textFill>
              </w:rPr>
            </w:pPr>
            <w:r>
              <w:rPr>
                <w:b/>
                <w:bCs/>
                <w:color w:val="000000" w:themeColor="text1"/>
                <w:sz w:val="24"/>
                <w:szCs w:val="24"/>
                <w:highlight w:val="none"/>
                <w14:textFill>
                  <w14:solidFill>
                    <w14:schemeClr w14:val="tx1"/>
                  </w14:solidFill>
                </w14:textFill>
              </w:rPr>
              <w:t>2</w:t>
            </w:r>
            <w:r>
              <w:rPr>
                <w:rFonts w:hint="eastAsia"/>
                <w:b/>
                <w:bCs/>
                <w:color w:val="000000" w:themeColor="text1"/>
                <w:sz w:val="24"/>
                <w:szCs w:val="24"/>
                <w:highlight w:val="none"/>
                <w14:textFill>
                  <w14:solidFill>
                    <w14:schemeClr w14:val="tx1"/>
                  </w14:solidFill>
                </w14:textFill>
              </w:rPr>
              <w:t>、施工工艺</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项目共分为香山梁水园村北生态修复治理区、香山黄泉村</w:t>
            </w:r>
            <w:r>
              <w:rPr>
                <w:rFonts w:hint="eastAsia"/>
                <w:color w:val="000000" w:themeColor="text1"/>
                <w:sz w:val="24"/>
                <w:szCs w:val="24"/>
                <w:highlight w:val="none"/>
                <w:lang w:eastAsia="zh-CN"/>
                <w14:textFill>
                  <w14:solidFill>
                    <w14:schemeClr w14:val="tx1"/>
                  </w14:solidFill>
                </w14:textFill>
              </w:rPr>
              <w:t>一</w:t>
            </w:r>
            <w:r>
              <w:rPr>
                <w:rFonts w:hint="eastAsia"/>
                <w:color w:val="000000" w:themeColor="text1"/>
                <w:sz w:val="24"/>
                <w:szCs w:val="24"/>
                <w:highlight w:val="none"/>
                <w14:textFill>
                  <w14:solidFill>
                    <w14:schemeClr w14:val="tx1"/>
                  </w14:solidFill>
                </w14:textFill>
              </w:rPr>
              <w:t>采区生态修复治理区</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香山黄泉村</w:t>
            </w:r>
            <w:r>
              <w:rPr>
                <w:rFonts w:hint="eastAsia"/>
                <w:color w:val="000000" w:themeColor="text1"/>
                <w:sz w:val="24"/>
                <w:szCs w:val="24"/>
                <w:highlight w:val="none"/>
                <w:lang w:eastAsia="zh-CN"/>
                <w14:textFill>
                  <w14:solidFill>
                    <w14:schemeClr w14:val="tx1"/>
                  </w14:solidFill>
                </w14:textFill>
              </w:rPr>
              <w:t>二</w:t>
            </w:r>
            <w:r>
              <w:rPr>
                <w:rFonts w:hint="eastAsia"/>
                <w:color w:val="000000" w:themeColor="text1"/>
                <w:sz w:val="24"/>
                <w:szCs w:val="24"/>
                <w:highlight w:val="none"/>
                <w14:textFill>
                  <w14:solidFill>
                    <w14:schemeClr w14:val="tx1"/>
                  </w14:solidFill>
                </w14:textFill>
              </w:rPr>
              <w:t>采区生态修复治理区</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14:textFill>
                  <w14:solidFill>
                    <w14:schemeClr w14:val="tx1"/>
                  </w14:solidFill>
                </w14:textFill>
              </w:rPr>
              <w:t>香山黄泉村</w:t>
            </w:r>
            <w:r>
              <w:rPr>
                <w:rFonts w:hint="eastAsia"/>
                <w:color w:val="000000" w:themeColor="text1"/>
                <w:sz w:val="24"/>
                <w:szCs w:val="24"/>
                <w:highlight w:val="none"/>
                <w:lang w:eastAsia="zh-CN"/>
                <w14:textFill>
                  <w14:solidFill>
                    <w14:schemeClr w14:val="tx1"/>
                  </w14:solidFill>
                </w14:textFill>
              </w:rPr>
              <w:t>三</w:t>
            </w:r>
            <w:r>
              <w:rPr>
                <w:rFonts w:hint="eastAsia"/>
                <w:color w:val="000000" w:themeColor="text1"/>
                <w:sz w:val="24"/>
                <w:szCs w:val="24"/>
                <w:highlight w:val="none"/>
                <w14:textFill>
                  <w14:solidFill>
                    <w14:schemeClr w14:val="tx1"/>
                  </w14:solidFill>
                </w14:textFill>
              </w:rPr>
              <w:t>采区生态修复治理区</w:t>
            </w:r>
            <w:r>
              <w:rPr>
                <w:rFonts w:hint="eastAsia"/>
                <w:color w:val="000000" w:themeColor="text1"/>
                <w:sz w:val="24"/>
                <w:szCs w:val="24"/>
                <w:highlight w:val="none"/>
                <w:lang w:eastAsia="zh-CN"/>
                <w14:textFill>
                  <w14:solidFill>
                    <w14:schemeClr w14:val="tx1"/>
                  </w14:solidFill>
                </w14:textFill>
              </w:rPr>
              <w:t>、常乐镇原上游村西生态修复治理区</w:t>
            </w:r>
            <w:r>
              <w:rPr>
                <w:rFonts w:hint="eastAsia"/>
                <w:color w:val="000000" w:themeColor="text1"/>
                <w:sz w:val="24"/>
                <w:szCs w:val="24"/>
                <w:highlight w:val="none"/>
                <w:lang w:val="en-US" w:eastAsia="zh-CN"/>
                <w14:textFill>
                  <w14:solidFill>
                    <w14:schemeClr w14:val="tx1"/>
                  </w14:solidFill>
                </w14:textFill>
              </w:rPr>
              <w:t>5</w:t>
            </w:r>
            <w:r>
              <w:rPr>
                <w:rFonts w:hint="eastAsia"/>
                <w:color w:val="000000" w:themeColor="text1"/>
                <w:sz w:val="24"/>
                <w:szCs w:val="24"/>
                <w:highlight w:val="none"/>
                <w14:textFill>
                  <w14:solidFill>
                    <w14:schemeClr w14:val="tx1"/>
                  </w14:solidFill>
                </w14:textFill>
              </w:rPr>
              <w:t>个治理区，生态修复内容主要包括地形地貌整治工程、绿化覆土、坑塘工程、植被恢复工程、宣传警示工程、视频监控工程。</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其中，地形地貌整治工程包括：废弃建筑拆除工程、护坡坡角培土及陷处回填工削高填低工程（削高填低及削坡降台)、采坑回填工程。</w:t>
            </w:r>
          </w:p>
          <w:p>
            <w:pPr>
              <w:pStyle w:val="15"/>
              <w:ind w:firstLine="420"/>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本项目施工期工艺流程及产污环节示意图如下：</w:t>
            </w:r>
          </w:p>
          <w:p>
            <w:pPr>
              <w:rPr>
                <w:color w:val="000000" w:themeColor="text1"/>
                <w:sz w:val="24"/>
                <w:szCs w:val="24"/>
                <w:highlight w:val="yellow"/>
                <w:lang w:val="en-US"/>
                <w14:textFill>
                  <w14:solidFill>
                    <w14:schemeClr w14:val="tx1"/>
                  </w14:solidFill>
                </w14:textFill>
              </w:rPr>
            </w:pPr>
            <w:r>
              <w:rPr>
                <w:rFonts w:hint="eastAsia"/>
                <w:color w:val="000000" w:themeColor="text1"/>
                <w:sz w:val="24"/>
                <w:szCs w:val="24"/>
                <w:highlight w:val="none"/>
                <w:lang w:val="en-US"/>
                <w14:textFill>
                  <w14:solidFill>
                    <w14:schemeClr w14:val="tx1"/>
                  </w14:solidFill>
                </w14:textFill>
              </w:rPr>
              <w:object>
                <v:shape id="_x0000_i1025" o:spt="75" type="#_x0000_t75" style="height:270.05pt;width:352.55pt;" o:ole="t" filled="f" o:preferrelative="t" stroked="f" coordsize="21600,21600">
                  <v:path/>
                  <v:fill on="f" focussize="0,0"/>
                  <v:stroke on="f"/>
                  <v:imagedata r:id="rId50" o:title=""/>
                  <o:lock v:ext="edit" aspectratio="f"/>
                  <w10:wrap type="none"/>
                  <w10:anchorlock/>
                </v:shape>
                <o:OLEObject Type="Embed" ProgID="Visio.Drawing.15" ShapeID="_x0000_i1025" DrawAspect="Content" ObjectID="_1468075725" r:id="rId49">
                  <o:LockedField>false</o:LockedField>
                </o:OLEObject>
              </w:object>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14:textFill>
                  <w14:solidFill>
                    <w14:schemeClr w14:val="tx1"/>
                  </w14:solidFill>
                </w14:textFill>
              </w:rPr>
              <w:t>-1</w:t>
            </w:r>
            <w:r>
              <w:rPr>
                <w:rFonts w:hint="eastAsia"/>
                <w:color w:val="000000" w:themeColor="text1"/>
                <w:sz w:val="24"/>
                <w:szCs w:val="24"/>
                <w:highlight w:val="none"/>
                <w:lang w:val="en-US" w:eastAsia="zh-CN"/>
                <w14:textFill>
                  <w14:solidFill>
                    <w14:schemeClr w14:val="tx1"/>
                  </w14:solidFill>
                </w14:textFill>
              </w:rPr>
              <w:t>7</w:t>
            </w:r>
            <w:r>
              <w:rPr>
                <w:rFonts w:hint="eastAsia"/>
                <w:color w:val="000000" w:themeColor="text1"/>
                <w:sz w:val="24"/>
                <w:szCs w:val="24"/>
                <w:highlight w:val="none"/>
                <w14:textFill>
                  <w14:solidFill>
                    <w14:schemeClr w14:val="tx1"/>
                  </w14:solidFill>
                </w14:textFill>
              </w:rPr>
              <w:t xml:space="preserve"> </w:t>
            </w:r>
            <w:r>
              <w:rPr>
                <w:color w:val="000000" w:themeColor="text1"/>
                <w:sz w:val="24"/>
                <w:szCs w:val="24"/>
                <w:highlight w:val="none"/>
                <w14:textFill>
                  <w14:solidFill>
                    <w14:schemeClr w14:val="tx1"/>
                  </w14:solidFill>
                </w14:textFill>
              </w:rPr>
              <w:t xml:space="preserve"> </w:t>
            </w:r>
            <w:r>
              <w:rPr>
                <w:rFonts w:hint="eastAsia"/>
                <w:color w:val="000000" w:themeColor="text1"/>
                <w14:textFill>
                  <w14:solidFill>
                    <w14:schemeClr w14:val="tx1"/>
                  </w14:solidFill>
                </w14:textFill>
              </w:rPr>
              <w:t>施工期工艺流程及产污环节示意图</w:t>
            </w:r>
          </w:p>
          <w:p>
            <w:pPr>
              <w:spacing w:line="360" w:lineRule="auto"/>
              <w:jc w:val="both"/>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3、分项工程与技术要求</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（1）废弃建筑拆除工程</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根据勘测成果，项目区需要拆除废弃建筑物</w:t>
            </w:r>
            <w:r>
              <w:rPr>
                <w:rFonts w:hint="eastAsia"/>
                <w:color w:val="000000" w:themeColor="text1"/>
                <w:sz w:val="24"/>
                <w:szCs w:val="24"/>
                <w:highlight w:val="none"/>
                <w:lang w:val="en-US" w:eastAsia="zh-CN"/>
                <w14:textFill>
                  <w14:solidFill>
                    <w14:schemeClr w14:val="tx1"/>
                  </w14:solidFill>
                </w14:textFill>
              </w:rPr>
              <w:t>148.45</w:t>
            </w:r>
            <w:r>
              <w:rPr>
                <w:color w:val="000000" w:themeColor="text1"/>
                <w:sz w:val="24"/>
                <w:szCs w:val="24"/>
                <w:highlight w:val="none"/>
                <w14:textFill>
                  <w14:solidFill>
                    <w14:schemeClr w14:val="tx1"/>
                  </w14:solidFill>
                </w14:textFill>
              </w:rPr>
              <w:t>m</w:t>
            </w:r>
            <w:r>
              <w:rPr>
                <w:rFonts w:hint="eastAsia"/>
                <w:color w:val="000000" w:themeColor="text1"/>
                <w:sz w:val="24"/>
                <w:szCs w:val="24"/>
                <w:highlight w:val="none"/>
                <w:vertAlign w:val="superscript"/>
                <w14:textFill>
                  <w14:solidFill>
                    <w14:schemeClr w14:val="tx1"/>
                  </w14:solidFill>
                </w14:textFill>
              </w:rPr>
              <w:t>3</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根据废弃矿山工业广场建筑物大多为砖砌瓦房，采用推土机、挖掘机等对工业场地进行机械拆除，采用推倒法，推倒前，应发出信号，待全体人员避到安全地方后，方可进行。</w:t>
            </w:r>
            <w:r>
              <w:rPr>
                <w:color w:val="000000" w:themeColor="text1"/>
                <w:sz w:val="24"/>
                <w:szCs w:val="24"/>
                <w:highlight w:val="none"/>
                <w14:textFill>
                  <w14:solidFill>
                    <w14:schemeClr w14:val="tx1"/>
                  </w14:solidFill>
                </w14:textFill>
              </w:rPr>
              <w:t>废弃建筑物设计采用推土机、挖掘机等进行机械拆除，拆除垃圾用挖机装自卸汽车运输，运输至</w:t>
            </w:r>
            <w:r>
              <w:rPr>
                <w:rFonts w:hint="eastAsia"/>
                <w:color w:val="000000" w:themeColor="text1"/>
                <w:sz w:val="24"/>
                <w:szCs w:val="24"/>
                <w:highlight w:val="none"/>
                <w14:textFill>
                  <w14:solidFill>
                    <w14:schemeClr w14:val="tx1"/>
                  </w14:solidFill>
                </w14:textFill>
              </w:rPr>
              <w:t>政府</w:t>
            </w:r>
            <w:r>
              <w:rPr>
                <w:color w:val="000000" w:themeColor="text1"/>
                <w:sz w:val="24"/>
                <w:szCs w:val="24"/>
                <w:highlight w:val="none"/>
                <w14:textFill>
                  <w14:solidFill>
                    <w14:schemeClr w14:val="tx1"/>
                  </w14:solidFill>
                </w14:textFill>
              </w:rPr>
              <w:t>指定</w:t>
            </w:r>
            <w:r>
              <w:rPr>
                <w:rFonts w:hint="eastAsia"/>
                <w:color w:val="000000" w:themeColor="text1"/>
                <w:sz w:val="24"/>
                <w:szCs w:val="24"/>
                <w:highlight w:val="none"/>
                <w14:textFill>
                  <w14:solidFill>
                    <w14:schemeClr w14:val="tx1"/>
                  </w14:solidFill>
                </w14:textFill>
              </w:rPr>
              <w:t>建筑</w:t>
            </w:r>
            <w:r>
              <w:rPr>
                <w:color w:val="000000" w:themeColor="text1"/>
                <w:sz w:val="24"/>
                <w:szCs w:val="24"/>
                <w:highlight w:val="none"/>
                <w14:textFill>
                  <w14:solidFill>
                    <w14:schemeClr w14:val="tx1"/>
                  </w14:solidFill>
                </w14:textFill>
              </w:rPr>
              <w:t>垃圾填埋场</w:t>
            </w:r>
            <w:r>
              <w:rPr>
                <w:rFonts w:hint="eastAsia"/>
                <w:color w:val="000000" w:themeColor="text1"/>
                <w:sz w:val="24"/>
                <w:szCs w:val="24"/>
                <w:highlight w:val="none"/>
                <w14:textFill>
                  <w14:solidFill>
                    <w14:schemeClr w14:val="tx1"/>
                  </w14:solidFill>
                </w14:textFill>
              </w:rPr>
              <w:t>。</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（2）护坡坡角培土及凹陷处回填工程</w:t>
            </w:r>
          </w:p>
          <w:p>
            <w:pPr>
              <w:pStyle w:val="15"/>
              <w:ind w:firstLine="420"/>
              <w:jc w:val="both"/>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由于矿山开采形成高陡护坡和护坡凹陷。高陡护坡上部存在裂缝滑塌现象，且坡脚被挖空，存在一定的地质灾害隐患，影响治理区内地貌景观以及生态自然修复。为消除安全隐患、修复地貌、促进生态自然修复，根据治理区地形地貌特点，对高陡护坡采取护坡坡角培土及凹陷处回填，构建与周边地形地貌相协调的护坡、稳固的护坡。</w:t>
            </w:r>
          </w:p>
          <w:p>
            <w:pPr>
              <w:pStyle w:val="15"/>
              <w:ind w:firstLine="420"/>
              <w:jc w:val="both"/>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回填分级进行，每级台阶高度6-8m，坡比1:1.5，预留平台宽度3m，每级平台设2%-5%的反坡，在台阶外侧设置土埂，土埂高0.3m，底宽0.5m，顶宽0.3m。护坡坡角培土及凹陷处回填工程的工程量为</w:t>
            </w:r>
            <w:r>
              <w:rPr>
                <w:rFonts w:hint="eastAsia"/>
                <w:color w:val="000000" w:themeColor="text1"/>
                <w:sz w:val="24"/>
                <w:szCs w:val="24"/>
                <w:highlight w:val="none"/>
                <w:lang w:val="en-US" w:eastAsia="zh-CN" w:bidi="ar"/>
                <w14:textFill>
                  <w14:solidFill>
                    <w14:schemeClr w14:val="tx1"/>
                  </w14:solidFill>
                </w14:textFill>
              </w:rPr>
              <w:t>407517.94</w:t>
            </w:r>
            <w:r>
              <w:rPr>
                <w:rStyle w:val="33"/>
                <w:rFonts w:hint="eastAsia"/>
                <w:color w:val="000000" w:themeColor="text1"/>
                <w:sz w:val="24"/>
                <w:szCs w:val="24"/>
                <w:highlight w:val="none"/>
                <w14:textFill>
                  <w14:solidFill>
                    <w14:schemeClr w14:val="tx1"/>
                  </w14:solidFill>
                </w14:textFill>
              </w:rPr>
              <w:t>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，挖方量为</w:t>
            </w:r>
            <w:r>
              <w:rPr>
                <w:rStyle w:val="33"/>
                <w:rFonts w:hint="eastAsia"/>
                <w:color w:val="000000" w:themeColor="text1"/>
                <w:sz w:val="24"/>
                <w:szCs w:val="24"/>
                <w:highlight w:val="none"/>
                <w:lang w:val="en-US" w:eastAsia="zh-CN"/>
                <w14:textFill>
                  <w14:solidFill>
                    <w14:schemeClr w14:val="tx1"/>
                  </w14:solidFill>
                </w14:textFill>
              </w:rPr>
              <w:t>23405.57</w:t>
            </w:r>
            <w:r>
              <w:rPr>
                <w:rStyle w:val="33"/>
                <w:rFonts w:hint="eastAsia"/>
                <w:color w:val="000000" w:themeColor="text1"/>
                <w:sz w:val="24"/>
                <w:szCs w:val="24"/>
                <w:highlight w:val="none"/>
                <w14:textFill>
                  <w14:solidFill>
                    <w14:schemeClr w14:val="tx1"/>
                  </w14:solidFill>
                </w14:textFill>
              </w:rPr>
              <w:t>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，填方量为</w:t>
            </w:r>
            <w:r>
              <w:rPr>
                <w:rStyle w:val="33"/>
                <w:rFonts w:hint="eastAsia"/>
                <w:color w:val="000000" w:themeColor="text1"/>
                <w:sz w:val="24"/>
                <w:szCs w:val="24"/>
                <w:highlight w:val="none"/>
                <w:lang w:val="en-US" w:eastAsia="zh-CN"/>
                <w14:textFill>
                  <w14:solidFill>
                    <w14:schemeClr w14:val="tx1"/>
                  </w14:solidFill>
                </w14:textFill>
              </w:rPr>
              <w:t>274653.64</w:t>
            </w:r>
            <w:r>
              <w:rPr>
                <w:rStyle w:val="33"/>
                <w:rFonts w:hint="eastAsia"/>
                <w:color w:val="000000" w:themeColor="text1"/>
                <w:sz w:val="24"/>
                <w:szCs w:val="24"/>
                <w:highlight w:val="none"/>
                <w14:textFill>
                  <w14:solidFill>
                    <w14:schemeClr w14:val="tx1"/>
                  </w14:solidFill>
                </w14:textFill>
              </w:rPr>
              <w:t>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，削高填低工程有剩余土方，可用于</w:t>
            </w:r>
            <w:r>
              <w:rPr>
                <w:rFonts w:hint="eastAsia"/>
                <w:color w:val="000000" w:themeColor="text1"/>
                <w:sz w:val="24"/>
                <w:szCs w:val="24"/>
                <w:highlight w:val="none"/>
                <w14:textFill>
                  <w14:solidFill>
                    <w14:schemeClr w14:val="tx1"/>
                  </w14:solidFill>
                </w14:textFill>
              </w:rPr>
              <w:t>护坡坡角培土及凹陷处回填工程</w:t>
            </w:r>
            <w:r>
              <w:rPr>
                <w:rStyle w:val="33"/>
                <w:rFonts w:hint="eastAsia"/>
                <w:color w:val="000000" w:themeColor="text1"/>
                <w:sz w:val="24"/>
                <w:szCs w:val="24"/>
                <w:highlight w:val="none"/>
                <w14:textFill>
                  <w14:solidFill>
                    <w14:schemeClr w14:val="tx1"/>
                  </w14:solidFill>
                </w14:textFill>
              </w:rPr>
              <w:t>。</w:t>
            </w:r>
          </w:p>
          <w:p>
            <w:pPr>
              <w:pStyle w:val="15"/>
              <w:ind w:left="480" w:leftChars="200" w:firstLine="0" w:firstLineChars="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（3）削高填低工程（削高填低及削坡降台）</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由于矿山未按规范设计合理开采，导致采坑大小不一，凌乱分布，占用土地资源及破坏地形地貌、土壤植被景观。因此，结合区内地形条件，同时根据依坡就势原则，采用挖掘机结合推土机推土的措施进行整治，挖高填低，整体挖填整平，使场地整平后与周边地形地貌景观协调一致。</w:t>
            </w:r>
          </w:p>
          <w:p>
            <w:pPr>
              <w:pStyle w:val="15"/>
              <w:ind w:firstLine="420"/>
              <w:jc w:val="both"/>
              <w:rPr>
                <w:color w:val="000000" w:themeColor="text1"/>
                <w:sz w:val="24"/>
                <w:szCs w:val="24"/>
                <w:highlight w:val="yellow"/>
                <w14:textFill>
                  <w14:solidFill>
                    <w14:schemeClr w14:val="tx1"/>
                  </w14:solidFill>
                </w14:textFill>
              </w:rPr>
            </w:pPr>
            <w:r>
              <w:rPr>
                <w:rFonts w:hint="eastAsia"/>
                <w:color w:val="000000" w:themeColor="text1"/>
                <w:sz w:val="24"/>
                <w:szCs w:val="24"/>
                <w:highlight w:val="none"/>
                <w14:textFill>
                  <w14:solidFill>
                    <w14:schemeClr w14:val="tx1"/>
                  </w14:solidFill>
                </w14:textFill>
              </w:rPr>
              <w:t>对</w:t>
            </w:r>
            <w:r>
              <w:rPr>
                <w:color w:val="000000" w:themeColor="text1"/>
                <w:spacing w:val="-3"/>
                <w:sz w:val="24"/>
                <w:szCs w:val="24"/>
                <w:highlight w:val="none"/>
                <w14:textFill>
                  <w14:solidFill>
                    <w14:schemeClr w14:val="tx1"/>
                  </w14:solidFill>
                </w14:textFill>
              </w:rPr>
              <w:t>进行削高填低，并对坡脚大于</w:t>
            </w:r>
            <w:r>
              <w:rPr>
                <w:rFonts w:eastAsia="Times New Roman"/>
                <w:color w:val="000000" w:themeColor="text1"/>
                <w:sz w:val="24"/>
                <w:szCs w:val="24"/>
                <w:highlight w:val="none"/>
                <w14:textFill>
                  <w14:solidFill>
                    <w14:schemeClr w14:val="tx1"/>
                  </w14:solidFill>
                </w14:textFill>
              </w:rPr>
              <w:t>10m</w:t>
            </w:r>
            <w:r>
              <w:rPr>
                <w:color w:val="000000" w:themeColor="text1"/>
                <w:sz w:val="24"/>
                <w:szCs w:val="24"/>
                <w:highlight w:val="none"/>
                <w14:textFill>
                  <w14:solidFill>
                    <w14:schemeClr w14:val="tx1"/>
                  </w14:solidFill>
                </w14:textFill>
              </w:rPr>
              <w:t>部位进行</w:t>
            </w:r>
            <w:r>
              <w:rPr>
                <w:color w:val="000000" w:themeColor="text1"/>
                <w:spacing w:val="-6"/>
                <w:sz w:val="24"/>
                <w:szCs w:val="24"/>
                <w:highlight w:val="none"/>
                <w14:textFill>
                  <w14:solidFill>
                    <w14:schemeClr w14:val="tx1"/>
                  </w14:solidFill>
                </w14:textFill>
              </w:rPr>
              <w:t>削坡降台，每级台阶高度</w:t>
            </w:r>
            <w:r>
              <w:rPr>
                <w:rFonts w:eastAsia="Times New Roman"/>
                <w:color w:val="000000" w:themeColor="text1"/>
                <w:sz w:val="24"/>
                <w:szCs w:val="24"/>
                <w:highlight w:val="none"/>
                <w14:textFill>
                  <w14:solidFill>
                    <w14:schemeClr w14:val="tx1"/>
                  </w14:solidFill>
                </w14:textFill>
              </w:rPr>
              <w:t>6-8m</w:t>
            </w:r>
            <w:r>
              <w:rPr>
                <w:color w:val="000000" w:themeColor="text1"/>
                <w:spacing w:val="-16"/>
                <w:sz w:val="24"/>
                <w:szCs w:val="24"/>
                <w:highlight w:val="none"/>
                <w14:textFill>
                  <w14:solidFill>
                    <w14:schemeClr w14:val="tx1"/>
                  </w14:solidFill>
                </w14:textFill>
              </w:rPr>
              <w:t>，坡比</w:t>
            </w:r>
            <w:r>
              <w:rPr>
                <w:rFonts w:eastAsia="Times New Roman"/>
                <w:color w:val="000000" w:themeColor="text1"/>
                <w:sz w:val="24"/>
                <w:szCs w:val="24"/>
                <w:highlight w:val="none"/>
                <w14:textFill>
                  <w14:solidFill>
                    <w14:schemeClr w14:val="tx1"/>
                  </w14:solidFill>
                </w14:textFill>
              </w:rPr>
              <w:t>1:1.5</w:t>
            </w:r>
            <w:r>
              <w:rPr>
                <w:color w:val="000000" w:themeColor="text1"/>
                <w:spacing w:val="-8"/>
                <w:sz w:val="24"/>
                <w:szCs w:val="24"/>
                <w:highlight w:val="none"/>
                <w14:textFill>
                  <w14:solidFill>
                    <w14:schemeClr w14:val="tx1"/>
                  </w14:solidFill>
                </w14:textFill>
              </w:rPr>
              <w:t>，预留平台宽度</w:t>
            </w:r>
            <w:r>
              <w:rPr>
                <w:rFonts w:eastAsia="Times New Roman"/>
                <w:color w:val="000000" w:themeColor="text1"/>
                <w:sz w:val="24"/>
                <w:szCs w:val="24"/>
                <w:highlight w:val="none"/>
                <w14:textFill>
                  <w14:solidFill>
                    <w14:schemeClr w14:val="tx1"/>
                  </w14:solidFill>
                </w14:textFill>
              </w:rPr>
              <w:t>3m</w:t>
            </w:r>
            <w:r>
              <w:rPr>
                <w:color w:val="000000" w:themeColor="text1"/>
                <w:sz w:val="24"/>
                <w:szCs w:val="24"/>
                <w:highlight w:val="none"/>
                <w14:textFill>
                  <w14:solidFill>
                    <w14:schemeClr w14:val="tx1"/>
                  </w14:solidFill>
                </w14:textFill>
              </w:rPr>
              <w:t>，每级平台设</w:t>
            </w:r>
            <w:r>
              <w:rPr>
                <w:rFonts w:eastAsia="Times New Roman"/>
                <w:color w:val="000000" w:themeColor="text1"/>
                <w:sz w:val="24"/>
                <w:szCs w:val="24"/>
                <w:highlight w:val="none"/>
                <w14:textFill>
                  <w14:solidFill>
                    <w14:schemeClr w14:val="tx1"/>
                  </w14:solidFill>
                </w14:textFill>
              </w:rPr>
              <w:t>2%-5%</w:t>
            </w:r>
            <w:r>
              <w:rPr>
                <w:color w:val="000000" w:themeColor="text1"/>
                <w:spacing w:val="-13"/>
                <w:sz w:val="24"/>
                <w:szCs w:val="24"/>
                <w:highlight w:val="none"/>
                <w14:textFill>
                  <w14:solidFill>
                    <w14:schemeClr w14:val="tx1"/>
                  </w14:solidFill>
                </w14:textFill>
              </w:rPr>
              <w:t>的反坡，在台阶外侧设置土埂，土埂高</w:t>
            </w:r>
            <w:r>
              <w:rPr>
                <w:rFonts w:eastAsia="Times New Roman"/>
                <w:color w:val="000000" w:themeColor="text1"/>
                <w:spacing w:val="-8"/>
                <w:sz w:val="24"/>
                <w:szCs w:val="24"/>
                <w:highlight w:val="none"/>
                <w14:textFill>
                  <w14:solidFill>
                    <w14:schemeClr w14:val="tx1"/>
                  </w14:solidFill>
                </w14:textFill>
              </w:rPr>
              <w:t>0.3m</w:t>
            </w:r>
            <w:r>
              <w:rPr>
                <w:color w:val="000000" w:themeColor="text1"/>
                <w:spacing w:val="-21"/>
                <w:sz w:val="24"/>
                <w:szCs w:val="24"/>
                <w:highlight w:val="none"/>
                <w14:textFill>
                  <w14:solidFill>
                    <w14:schemeClr w14:val="tx1"/>
                  </w14:solidFill>
                </w14:textFill>
              </w:rPr>
              <w:t>，底宽</w:t>
            </w:r>
            <w:r>
              <w:rPr>
                <w:rFonts w:eastAsia="Times New Roman"/>
                <w:color w:val="000000" w:themeColor="text1"/>
                <w:spacing w:val="-8"/>
                <w:sz w:val="24"/>
                <w:szCs w:val="24"/>
                <w:highlight w:val="none"/>
                <w14:textFill>
                  <w14:solidFill>
                    <w14:schemeClr w14:val="tx1"/>
                  </w14:solidFill>
                </w14:textFill>
              </w:rPr>
              <w:t>0.5m</w:t>
            </w:r>
            <w:r>
              <w:rPr>
                <w:color w:val="000000" w:themeColor="text1"/>
                <w:spacing w:val="-21"/>
                <w:sz w:val="24"/>
                <w:szCs w:val="24"/>
                <w:highlight w:val="none"/>
                <w14:textFill>
                  <w14:solidFill>
                    <w14:schemeClr w14:val="tx1"/>
                  </w14:solidFill>
                </w14:textFill>
              </w:rPr>
              <w:t>，顶宽</w:t>
            </w:r>
            <w:r>
              <w:rPr>
                <w:rFonts w:eastAsia="Times New Roman"/>
                <w:color w:val="000000" w:themeColor="text1"/>
                <w:sz w:val="24"/>
                <w:szCs w:val="24"/>
                <w:highlight w:val="none"/>
                <w14:textFill>
                  <w14:solidFill>
                    <w14:schemeClr w14:val="tx1"/>
                  </w14:solidFill>
                </w14:textFill>
              </w:rPr>
              <w:t>0.3m</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14:textFill>
                  <w14:solidFill>
                    <w14:schemeClr w14:val="tx1"/>
                  </w14:solidFill>
                </w14:textFill>
              </w:rPr>
              <w:t>工程量为</w:t>
            </w:r>
            <w:r>
              <w:rPr>
                <w:rStyle w:val="33"/>
                <w:rFonts w:hint="eastAsia"/>
                <w:color w:val="000000" w:themeColor="text1"/>
                <w:sz w:val="24"/>
                <w:szCs w:val="24"/>
                <w:highlight w:val="none"/>
                <w14:textFill>
                  <w14:solidFill>
                    <w14:schemeClr w14:val="tx1"/>
                  </w14:solidFill>
                </w14:textFill>
              </w:rPr>
              <w:t>1199860.08m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，挖方量为</w:t>
            </w:r>
            <w:r>
              <w:rPr>
                <w:rStyle w:val="33"/>
                <w:rFonts w:hint="eastAsia"/>
                <w:color w:val="000000" w:themeColor="text1"/>
                <w:sz w:val="24"/>
                <w:szCs w:val="24"/>
                <w:highlight w:val="none"/>
                <w:lang w:val="en-US" w:eastAsia="zh-CN"/>
                <w14:textFill>
                  <w14:solidFill>
                    <w14:schemeClr w14:val="tx1"/>
                  </w14:solidFill>
                </w14:textFill>
              </w:rPr>
              <w:t>1901822.08</w:t>
            </w:r>
            <w:r>
              <w:rPr>
                <w:rStyle w:val="33"/>
                <w:rFonts w:hint="eastAsia"/>
                <w:color w:val="000000" w:themeColor="text1"/>
                <w:sz w:val="24"/>
                <w:szCs w:val="24"/>
                <w:highlight w:val="none"/>
                <w14:textFill>
                  <w14:solidFill>
                    <w14:schemeClr w14:val="tx1"/>
                  </w14:solidFill>
                </w14:textFill>
              </w:rPr>
              <w:t>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，填方量为</w:t>
            </w:r>
            <w:r>
              <w:rPr>
                <w:rStyle w:val="33"/>
                <w:rFonts w:hint="eastAsia"/>
                <w:color w:val="000000" w:themeColor="text1"/>
                <w:sz w:val="24"/>
                <w:szCs w:val="24"/>
                <w:highlight w:val="none"/>
                <w:lang w:val="en-US" w:eastAsia="zh-CN"/>
                <w14:textFill>
                  <w14:solidFill>
                    <w14:schemeClr w14:val="tx1"/>
                  </w14:solidFill>
                </w14:textFill>
              </w:rPr>
              <w:t>1381427.95</w:t>
            </w:r>
            <w:r>
              <w:rPr>
                <w:rStyle w:val="33"/>
                <w:rFonts w:hint="eastAsia"/>
                <w:color w:val="000000" w:themeColor="text1"/>
                <w:sz w:val="24"/>
                <w:szCs w:val="24"/>
                <w:highlight w:val="none"/>
                <w14:textFill>
                  <w14:solidFill>
                    <w14:schemeClr w14:val="tx1"/>
                  </w14:solidFill>
                </w14:textFill>
              </w:rPr>
              <w:t>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，多余土方用于</w:t>
            </w:r>
            <w:r>
              <w:rPr>
                <w:rFonts w:hint="eastAsia"/>
                <w:color w:val="000000" w:themeColor="text1"/>
                <w:sz w:val="24"/>
                <w:szCs w:val="24"/>
                <w:highlight w:val="none"/>
                <w14:textFill>
                  <w14:solidFill>
                    <w14:schemeClr w14:val="tx1"/>
                  </w14:solidFill>
                </w14:textFill>
              </w:rPr>
              <w:t>护坡坡角培土及凹陷处回填工程及采坑回填。</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（4）采坑回填</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历史遗留的矿坑治理，主要采用回填措施，回填土源来源周围的及削坡土方。</w:t>
            </w:r>
            <w:r>
              <w:rPr>
                <w:rFonts w:hint="eastAsia"/>
                <w:color w:val="000000" w:themeColor="text1"/>
                <w:sz w:val="24"/>
                <w:szCs w:val="24"/>
                <w:highlight w:val="none"/>
                <w14:textFill>
                  <w14:solidFill>
                    <w14:schemeClr w14:val="tx1"/>
                  </w14:solidFill>
                </w14:textFill>
              </w:rPr>
              <w:t>采坑回填工程的工程量为</w:t>
            </w:r>
            <w:r>
              <w:rPr>
                <w:rFonts w:hint="eastAsia"/>
                <w:color w:val="000000" w:themeColor="text1"/>
                <w:sz w:val="24"/>
                <w:szCs w:val="24"/>
                <w:highlight w:val="none"/>
                <w:lang w:bidi="ar"/>
                <w14:textFill>
                  <w14:solidFill>
                    <w14:schemeClr w14:val="tx1"/>
                  </w14:solidFill>
                </w14:textFill>
              </w:rPr>
              <w:t>313755.88</w:t>
            </w:r>
            <w:r>
              <w:rPr>
                <w:rStyle w:val="33"/>
                <w:rFonts w:hint="eastAsia"/>
                <w:color w:val="000000" w:themeColor="text1"/>
                <w:sz w:val="24"/>
                <w:szCs w:val="24"/>
                <w:highlight w:val="none"/>
                <w14:textFill>
                  <w14:solidFill>
                    <w14:schemeClr w14:val="tx1"/>
                  </w14:solidFill>
                </w14:textFill>
              </w:rPr>
              <w:t>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，挖方量为</w:t>
            </w:r>
            <w:r>
              <w:rPr>
                <w:rStyle w:val="33"/>
                <w:rFonts w:hint="eastAsia"/>
                <w:color w:val="000000" w:themeColor="text1"/>
                <w:sz w:val="24"/>
                <w:szCs w:val="24"/>
                <w:highlight w:val="none"/>
                <w:lang w:val="en-US" w:eastAsia="zh-CN"/>
                <w14:textFill>
                  <w14:solidFill>
                    <w14:schemeClr w14:val="tx1"/>
                  </w14:solidFill>
                </w14:textFill>
              </w:rPr>
              <w:t>39924.57</w:t>
            </w:r>
            <w:r>
              <w:rPr>
                <w:rStyle w:val="33"/>
                <w:rFonts w:hint="eastAsia"/>
                <w:color w:val="000000" w:themeColor="text1"/>
                <w:sz w:val="24"/>
                <w:szCs w:val="24"/>
                <w:highlight w:val="none"/>
                <w14:textFill>
                  <w14:solidFill>
                    <w14:schemeClr w14:val="tx1"/>
                  </w14:solidFill>
                </w14:textFill>
              </w:rPr>
              <w:t>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，填方量为</w:t>
            </w:r>
            <w:r>
              <w:rPr>
                <w:rStyle w:val="33"/>
                <w:rFonts w:hint="eastAsia"/>
                <w:color w:val="000000" w:themeColor="text1"/>
                <w:sz w:val="24"/>
                <w:szCs w:val="24"/>
                <w:highlight w:val="none"/>
                <w:lang w:val="en-US" w:eastAsia="zh-CN"/>
                <w14:textFill>
                  <w14:solidFill>
                    <w14:schemeClr w14:val="tx1"/>
                  </w14:solidFill>
                </w14:textFill>
              </w:rPr>
              <w:t>309070.63</w:t>
            </w:r>
            <w:r>
              <w:rPr>
                <w:rStyle w:val="33"/>
                <w:rFonts w:hint="eastAsia"/>
                <w:color w:val="000000" w:themeColor="text1"/>
                <w:sz w:val="24"/>
                <w:szCs w:val="24"/>
                <w:highlight w:val="none"/>
                <w14:textFill>
                  <w14:solidFill>
                    <w14:schemeClr w14:val="tx1"/>
                  </w14:solidFill>
                </w14:textFill>
              </w:rPr>
              <w:t>m</w:t>
            </w:r>
            <w:r>
              <w:rPr>
                <w:rStyle w:val="33"/>
                <w:rFonts w:hint="eastAsia"/>
                <w:color w:val="000000" w:themeColor="text1"/>
                <w:sz w:val="24"/>
                <w:szCs w:val="24"/>
                <w:highlight w:val="none"/>
                <w:vertAlign w:val="superscript"/>
                <w14:textFill>
                  <w14:solidFill>
                    <w14:schemeClr w14:val="tx1"/>
                  </w14:solidFill>
                </w14:textFill>
              </w:rPr>
              <w:t>3</w:t>
            </w:r>
            <w:r>
              <w:rPr>
                <w:rStyle w:val="33"/>
                <w:rFonts w:hint="eastAsia"/>
                <w:color w:val="000000" w:themeColor="text1"/>
                <w:sz w:val="24"/>
                <w:szCs w:val="24"/>
                <w:highlight w:val="none"/>
                <w14:textFill>
                  <w14:solidFill>
                    <w14:schemeClr w14:val="tx1"/>
                  </w14:solidFill>
                </w14:textFill>
              </w:rPr>
              <w:t>，削高填低工程有剩余土方，可用于采坑回填工程。</w:t>
            </w:r>
            <w:r>
              <w:rPr>
                <w:color w:val="000000" w:themeColor="text1"/>
                <w:sz w:val="24"/>
                <w:szCs w:val="24"/>
                <w:highlight w:val="none"/>
                <w14:textFill>
                  <w14:solidFill>
                    <w14:schemeClr w14:val="tx1"/>
                  </w14:solidFill>
                </w14:textFill>
              </w:rPr>
              <w:t>回填标高及降段标高应与周边地形标高尽量达成一致，表面形成一定纵向坡度，避免积水。若土方距施工区较远时，由自卸汽车把土方运</w:t>
            </w:r>
            <w:r>
              <w:rPr>
                <w:rFonts w:hint="eastAsia"/>
                <w:color w:val="000000" w:themeColor="text1"/>
                <w:sz w:val="24"/>
                <w:szCs w:val="24"/>
                <w:highlight w:val="none"/>
                <w14:textFill>
                  <w14:solidFill>
                    <w14:schemeClr w14:val="tx1"/>
                  </w14:solidFill>
                </w14:textFill>
              </w:rPr>
              <w:t>到施工区内，再由推土机或人工摊平；若土方距施工区较近或在施工区内时，由推土机直接把土方推到施工区内并摊平。</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土方回填应自下而上、分层回填、分层压实，采用施工机械进行一次压实，压实度达到60%。</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（5）绿化覆土工程</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治理区现状条件，除高陡边坡无法覆土外，其余开采平台及垫填边坡等平缓区域均进行覆土，土源为治理区内的取土场和采场剥离，本次设计覆土位置为植被恢复区域，覆土厚度为0.3m（栽植灌木区域灌木之间也进行覆，栽植时采取坑穴换土）。</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采场剥离和挖出的黄土</w:t>
            </w:r>
            <w:r>
              <w:rPr>
                <w:rFonts w:hint="eastAsia"/>
                <w:color w:val="000000" w:themeColor="text1"/>
                <w:sz w:val="24"/>
                <w:szCs w:val="24"/>
                <w:highlight w:val="none"/>
                <w:lang w:eastAsia="zh-CN"/>
                <w14:textFill>
                  <w14:solidFill>
                    <w14:schemeClr w14:val="tx1"/>
                  </w14:solidFill>
                </w14:textFill>
              </w:rPr>
              <w:t>要求</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改变不同土层的粒径级配，提高土壤孔隙度、降低土壤容重、改善土壤结构</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本方法使修复后的土地能够很好的保持土壤水分，使水土流失大为减轻，弥补了项目区土壤保水保肥差等缺点。</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（6）植被恢复工程</w:t>
            </w:r>
          </w:p>
          <w:p>
            <w:pPr>
              <w:pStyle w:val="15"/>
              <w:ind w:firstLine="420"/>
              <w:rPr>
                <w:rFonts w:hint="eastAsia"/>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①</w:t>
            </w:r>
            <w:r>
              <w:rPr>
                <w:rFonts w:hint="eastAsia"/>
                <w:color w:val="000000" w:themeColor="text1"/>
                <w:sz w:val="24"/>
                <w:szCs w:val="24"/>
                <w:highlight w:val="none"/>
                <w14:textFill>
                  <w14:solidFill>
                    <w14:schemeClr w14:val="tx1"/>
                  </w14:solidFill>
                </w14:textFill>
              </w:rPr>
              <w:t>植被</w:t>
            </w:r>
            <w:r>
              <w:rPr>
                <w:color w:val="000000" w:themeColor="text1"/>
                <w:sz w:val="24"/>
                <w:szCs w:val="24"/>
                <w:highlight w:val="none"/>
                <w14:textFill>
                  <w14:solidFill>
                    <w14:schemeClr w14:val="tx1"/>
                  </w14:solidFill>
                </w14:textFill>
              </w:rPr>
              <w:t>恢复</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次治理工程植被恢复以种灌木和种草为主。灌木选择适宜当地的文冠果、柠条、红柳。文冠果、红柳设计种植在生态修复治理区相对平坦、地下径流沟道两岸，柠条设计种植在生态修复治理区修复后平台及坡面区域。文冠果设计栽植规格：株行距3.00m×3.00m；柠条、红柳设计栽植规格：株行距1.00m×2.00m；苗木必须符合《宁夏主要造林树种苗木质量分级》和本项目设计的规格标准及质量要求。苗木调运严格执行“三证一签” 制度，既林木种子生产经营许可证、苗木质量检验合格证、植物检疫证三证齐全,在运输过程中随车携带苗木标签。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草籽选择扁穗冰草、沙蒿、梭梭草、短花针茅，采用撒播种草方式。将扁穗冰草、沙蒿、梭梭草、短花针茅种子按1：1：1：1等比例混合撒播，播种量为36kg/hm</w:t>
            </w:r>
            <w:r>
              <w:rPr>
                <w:rFonts w:hint="eastAsia"/>
                <w:color w:val="000000" w:themeColor="text1"/>
                <w:sz w:val="24"/>
                <w:szCs w:val="24"/>
                <w:highlight w:val="none"/>
                <w:vertAlign w:val="superscript"/>
                <w14:textFill>
                  <w14:solidFill>
                    <w14:schemeClr w14:val="tx1"/>
                  </w14:solidFill>
                </w14:textFill>
              </w:rPr>
              <w:t>2</w:t>
            </w:r>
            <w:r>
              <w:rPr>
                <w:rFonts w:hint="eastAsia"/>
                <w:color w:val="000000" w:themeColor="text1"/>
                <w:sz w:val="24"/>
                <w:szCs w:val="24"/>
                <w:highlight w:val="none"/>
                <w14:textFill>
                  <w14:solidFill>
                    <w14:schemeClr w14:val="tx1"/>
                  </w14:solidFill>
                </w14:textFill>
              </w:rPr>
              <w:t>。播种前草籽需进行处理，一般采用晒种、浸泡、破壳，以促进发芽。草籽必须是一级种，并且要有“一签、三证”，即要有标签、生产经营许可证、质量合格证和植物检疫证。</w:t>
            </w:r>
          </w:p>
          <w:p>
            <w:pPr>
              <w:pStyle w:val="15"/>
              <w:ind w:firstLine="420"/>
              <w:rPr>
                <w:color w:val="000000" w:themeColor="text1"/>
                <w:sz w:val="24"/>
                <w:szCs w:val="24"/>
                <w:highlight w:val="none"/>
                <w14:textFill>
                  <w14:solidFill>
                    <w14:schemeClr w14:val="tx1"/>
                  </w14:solidFill>
                </w14:textFill>
              </w:rPr>
            </w:pPr>
            <w:r>
              <w:rPr>
                <w:rFonts w:hint="eastAsia" w:ascii="宋体" w:hAnsi="宋体"/>
                <w:color w:val="000000" w:themeColor="text1"/>
                <w:sz w:val="24"/>
                <w:szCs w:val="24"/>
                <w:highlight w:val="none"/>
                <w14:textFill>
                  <w14:solidFill>
                    <w14:schemeClr w14:val="tx1"/>
                  </w14:solidFill>
                </w14:textFill>
              </w:rPr>
              <w:t>②</w:t>
            </w:r>
            <w:r>
              <w:rPr>
                <w:rFonts w:hint="eastAsia"/>
                <w:color w:val="000000" w:themeColor="text1"/>
                <w:sz w:val="24"/>
                <w:szCs w:val="24"/>
                <w:highlight w:val="none"/>
                <w14:textFill>
                  <w14:solidFill>
                    <w14:schemeClr w14:val="tx1"/>
                  </w14:solidFill>
                </w14:textFill>
              </w:rPr>
              <w:t>植被养护</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灌溉：对新栽植的苗木应根据不同树种和不同立地条件进行适期、适量的灌溉，应保持土壤中的水分；已栽植成活的苗木，在久旱或立地条件差，土壤干旱的环境中也应及时进行灌溉。夏季灌溉宜早、晚进行，冬季灌溉选在中午进行。灌溉要一次浇透，尤其是春夏季节。</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施肥：根据苗木的生长需要和土壤肥力情况，合理施肥，平衡土壤中各种矿质营养元素，保持土壤肥力和合理结构。在苗木的休眠期以有机肥为主，在与土壤拌匀后，采用穴施、环施等方法。施肥后踏实，并平整场地，随时浇水，严禁肥料裸露；生长季节可根据需要，进行土壤的追肥或叶面喷肥。地被植物返青前，可施腐熟粉碎的有机肥，或者适量的氮肥、磷肥；生长期因根据涨势，适当增施磷、钾肥；晚秋可施氮、磷、钾复合肥或纯氮肥2-3次。</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增施生根粉：生根粉兑水系稀释后，每亩10－20克，可促进根部吸收，激活休眠的土壤，使土壤里的养分加速供给植物，也可有效解除由土壤残留造成的除草剂的药害；可迅速解除因微量元素速效成分不足的黄叶生理性病害；可帮助受根腐病等根部病害的作物迅速产生新根，缩短僵苗时间。</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整理修剪：栽后将上年的枯枝败叶修剪清除干净，为防止病虫害的传播需烧掉或深埋。修剪时，切口都必须靠节，剪口应在剪口芽的反侧呈45度倾斜；剪口要平整。休眠期修剪以整形为主，可稍重剪；生长期修剪以调整树势为主，宜轻剪。</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（7）坑塘工程</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本项目共建设6座坑塘。</w:t>
            </w:r>
            <w:r>
              <w:rPr>
                <w:color w:val="000000" w:themeColor="text1"/>
                <w:sz w:val="24"/>
                <w:szCs w:val="24"/>
                <w:highlight w:val="none"/>
                <w14:textFill>
                  <w14:solidFill>
                    <w14:schemeClr w14:val="tx1"/>
                  </w14:solidFill>
                </w14:textFill>
              </w:rPr>
              <w:t>坑塘采用棱台形，坑塘池顶尺寸60m×25m，池底尺寸44m×3m，池深4m，设计内</w:t>
            </w:r>
            <w:r>
              <w:rPr>
                <w:rFonts w:hint="eastAsia"/>
                <w:color w:val="000000" w:themeColor="text1"/>
                <w:sz w:val="24"/>
                <w:szCs w:val="24"/>
                <w:highlight w:val="none"/>
                <w14:textFill>
                  <w14:solidFill>
                    <w14:schemeClr w14:val="tx1"/>
                  </w14:solidFill>
                </w14:textFill>
              </w:rPr>
              <w:t>护坡</w:t>
            </w:r>
            <w:r>
              <w:rPr>
                <w:color w:val="000000" w:themeColor="text1"/>
                <w:sz w:val="24"/>
                <w:szCs w:val="24"/>
                <w:highlight w:val="none"/>
                <w14:textFill>
                  <w14:solidFill>
                    <w14:schemeClr w14:val="tx1"/>
                  </w14:solidFill>
                </w14:textFill>
              </w:rPr>
              <w:t>1:2.5，顶宽3.0m。坑塘四周设浸塑公路围网，浸塑围网带方框，在坑塘四周明显处设置“水深危险”标志牌。</w:t>
            </w:r>
          </w:p>
          <w:p>
            <w:pPr>
              <w:rPr>
                <w:color w:val="000000" w:themeColor="text1"/>
                <w:sz w:val="24"/>
                <w:szCs w:val="24"/>
                <w:highlight w:val="none"/>
                <w:lang w:val="en-US"/>
                <w14:textFill>
                  <w14:solidFill>
                    <w14:schemeClr w14:val="tx1"/>
                  </w14:solidFill>
                </w14:textFill>
              </w:rPr>
            </w:pPr>
            <w:r>
              <w:rPr>
                <w:rFonts w:hint="eastAsia"/>
                <w:color w:val="000000" w:themeColor="text1"/>
                <w:sz w:val="24"/>
                <w:szCs w:val="24"/>
                <w:highlight w:val="none"/>
                <w:lang w:val="en-US" w:bidi="ar-SA"/>
                <w14:textFill>
                  <w14:solidFill>
                    <w14:schemeClr w14:val="tx1"/>
                  </w14:solidFill>
                </w14:textFill>
              </w:rPr>
              <w:drawing>
                <wp:inline distT="0" distB="0" distL="114300" distR="114300">
                  <wp:extent cx="3959860" cy="2879725"/>
                  <wp:effectExtent l="0" t="0" r="2540" b="15875"/>
                  <wp:docPr id="5" name="图片 5" descr="坑塘设计图"/>
                  <wp:cNvGraphicFramePr/>
                  <a:graphic xmlns:a="http://schemas.openxmlformats.org/drawingml/2006/main">
                    <a:graphicData uri="http://schemas.openxmlformats.org/drawingml/2006/picture">
                      <pic:pic xmlns:pic="http://schemas.openxmlformats.org/drawingml/2006/picture">
                        <pic:nvPicPr>
                          <pic:cNvPr id="5" name="图片 5" descr="坑塘设计图"/>
                          <pic:cNvPicPr/>
                        </pic:nvPicPr>
                        <pic:blipFill>
                          <a:blip r:embed="rId51"/>
                          <a:stretch>
                            <a:fillRect/>
                          </a:stretch>
                        </pic:blipFill>
                        <pic:spPr>
                          <a:xfrm>
                            <a:off x="0" y="0"/>
                            <a:ext cx="3959860" cy="2879725"/>
                          </a:xfrm>
                          <a:prstGeom prst="rect">
                            <a:avLst/>
                          </a:prstGeom>
                        </pic:spPr>
                      </pic:pic>
                    </a:graphicData>
                  </a:graphic>
                </wp:inline>
              </w:drawing>
            </w:r>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图2-1</w:t>
            </w: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 xml:space="preserve"> 坑塘设计图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8</w:t>
            </w:r>
            <w:r>
              <w:rPr>
                <w:rFonts w:hint="eastAsia"/>
                <w:color w:val="000000" w:themeColor="text1"/>
                <w:sz w:val="24"/>
                <w:szCs w:val="24"/>
                <w:highlight w:val="none"/>
                <w14:textFill>
                  <w14:solidFill>
                    <w14:schemeClr w14:val="tx1"/>
                  </w14:solidFill>
                </w14:textFill>
              </w:rPr>
              <w:t>）宣传警示工程</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在治理区周围靠近道路等处布设生态修复宣传牌</w:t>
            </w:r>
            <w:r>
              <w:rPr>
                <w:rFonts w:hint="eastAsia"/>
                <w:color w:val="000000" w:themeColor="text1"/>
                <w:sz w:val="24"/>
                <w:szCs w:val="24"/>
                <w:highlight w:val="none"/>
                <w14:textFill>
                  <w14:solidFill>
                    <w14:schemeClr w14:val="tx1"/>
                  </w14:solidFill>
                </w14:textFill>
              </w:rPr>
              <w:t>5</w:t>
            </w:r>
            <w:r>
              <w:rPr>
                <w:color w:val="000000" w:themeColor="text1"/>
                <w:sz w:val="24"/>
                <w:szCs w:val="24"/>
                <w:highlight w:val="none"/>
                <w14:textFill>
                  <w14:solidFill>
                    <w14:schemeClr w14:val="tx1"/>
                  </w14:solidFill>
                </w14:textFill>
              </w:rPr>
              <w:t>处，以起到宣传、警示作用。宣传牌尺寸为5000mm×3000mm，支撑采用双立柱，埋地深800mm。基础长×宽×深：800×800×800mm，底座采用C20混凝土现浇或预制混凝土预埋件后现场埋设。基础开挖后原土夯实后作为基础持力层，通过预埋扣件与立柱牢固连接。</w:t>
            </w:r>
          </w:p>
          <w:p>
            <w:pPr>
              <w:rPr>
                <w:color w:val="000000" w:themeColor="text1"/>
                <w:sz w:val="24"/>
                <w:szCs w:val="24"/>
                <w:highlight w:val="none"/>
                <w:lang w:val="en-US"/>
                <w14:textFill>
                  <w14:solidFill>
                    <w14:schemeClr w14:val="tx1"/>
                  </w14:solidFill>
                </w14:textFill>
              </w:rPr>
            </w:pPr>
            <w:bookmarkStart w:id="2" w:name="OLE_LINK1"/>
            <w:r>
              <w:rPr>
                <w:color w:val="000000" w:themeColor="text1"/>
                <w:sz w:val="24"/>
                <w:szCs w:val="24"/>
                <w:highlight w:val="none"/>
                <w:lang w:val="en-US" w:bidi="ar-SA"/>
                <w14:textFill>
                  <w14:solidFill>
                    <w14:schemeClr w14:val="tx1"/>
                  </w14:solidFill>
                </w14:textFill>
              </w:rPr>
              <mc:AlternateContent>
                <mc:Choice Requires="wpg">
                  <w:drawing>
                    <wp:inline distT="0" distB="0" distL="114300" distR="114300">
                      <wp:extent cx="4050030" cy="3418205"/>
                      <wp:effectExtent l="3175" t="3810" r="4445" b="6985"/>
                      <wp:docPr id="17" name="组合 5"/>
                      <wp:cNvGraphicFramePr/>
                      <a:graphic xmlns:a="http://schemas.openxmlformats.org/drawingml/2006/main">
                        <a:graphicData uri="http://schemas.microsoft.com/office/word/2010/wordprocessingGroup">
                          <wpg:wgp>
                            <wpg:cNvGrpSpPr/>
                            <wpg:grpSpPr>
                              <a:xfrm>
                                <a:off x="0" y="0"/>
                                <a:ext cx="4050030" cy="3418205"/>
                                <a:chOff x="0" y="0"/>
                                <a:chExt cx="4796" cy="6390"/>
                              </a:xfrm>
                            </wpg:grpSpPr>
                            <pic:pic xmlns:pic="http://schemas.openxmlformats.org/drawingml/2006/picture">
                              <pic:nvPicPr>
                                <pic:cNvPr id="15" name="图片 6"/>
                                <pic:cNvPicPr>
                                  <a:picLocks noChangeAspect="1"/>
                                </pic:cNvPicPr>
                              </pic:nvPicPr>
                              <pic:blipFill>
                                <a:blip r:embed="rId52"/>
                                <a:stretch>
                                  <a:fillRect/>
                                </a:stretch>
                              </pic:blipFill>
                              <pic:spPr>
                                <a:xfrm>
                                  <a:off x="5" y="236"/>
                                  <a:ext cx="4786" cy="6148"/>
                                </a:xfrm>
                                <a:prstGeom prst="rect">
                                  <a:avLst/>
                                </a:prstGeom>
                                <a:noFill/>
                                <a:ln>
                                  <a:noFill/>
                                </a:ln>
                              </pic:spPr>
                            </pic:pic>
                            <wps:wsp>
                              <wps:cNvPr id="16" name="矩形 7"/>
                              <wps:cNvSpPr/>
                              <wps:spPr>
                                <a:xfrm>
                                  <a:off x="2" y="2"/>
                                  <a:ext cx="4791" cy="6385"/>
                                </a:xfrm>
                                <a:prstGeom prst="rect">
                                  <a:avLst/>
                                </a:prstGeom>
                                <a:noFill/>
                                <a:ln w="3175" cap="flat" cmpd="sng">
                                  <a:solidFill>
                                    <a:srgbClr val="000000"/>
                                  </a:solidFill>
                                  <a:prstDash val="solid"/>
                                  <a:miter/>
                                  <a:headEnd type="none" w="med" len="med"/>
                                  <a:tailEnd type="none" w="med" len="med"/>
                                </a:ln>
                              </wps:spPr>
                              <wps:bodyPr upright="1"/>
                            </wps:wsp>
                          </wpg:wgp>
                        </a:graphicData>
                      </a:graphic>
                    </wp:inline>
                  </w:drawing>
                </mc:Choice>
                <mc:Fallback>
                  <w:pict>
                    <v:group id="组合 5" o:spid="_x0000_s1026" o:spt="203" style="height:269.15pt;width:318.9pt;" coordsize="4796,6390" o:gfxdata="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">
                      <o:lock v:ext="edit" aspectratio="f"/>
                      <v:shape id="图片 6" o:spid="_x0000_s1026" o:spt="75" type="#_x0000_t75" style="position:absolute;left:5;top:236;height:6148;width:4786;" filled="f" o:preferrelative="t" stroked="f" coordsize="21600,21600" o:gfxdata="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vIZvW8AAAA&#10;2wAAAA8AAAAAAAAAAQAgAAAAIgAAAGRycy9kb3ducmV2LnhtbFBLAQIUABQAAAAIAIdO4kAzLwWe&#10;OwAAADkAAAAQAAAAAAAAAAEAIAAAAAsBAABkcnMvc2hhcGV4bWwueG1sUEsFBgAAAAAGAAYAWwEA&#10;ALUDAAAAAA==&#10;">
                        <v:fill on="f" focussize="0,0"/>
                        <v:stroke on="f"/>
                        <v:imagedata r:id="rId52" o:title=""/>
                        <o:lock v:ext="edit" aspectratio="t"/>
                      </v:shape>
                      <v:rect id="矩形 7" o:spid="_x0000_s1026" o:spt="1" style="position:absolute;left:2;top:2;height:6385;width:4791;" filled="f" stroked="t" coordsize="21600,21600" o:gfxdata="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0MLKugAAANsA&#10;AAAPAAAAAAAAAAEAIAAAACIAAABkcnMvZG93bnJldi54bWxQSwECFAAUAAAACACHTuJAMy8FnjsA&#10;AAA5AAAAEAAAAAAAAAABACAAAAAJAQAAZHJzL3NoYXBleG1sLnhtbFBLBQYAAAAABgAGAFsBAACz&#10;AwAAAAA=&#10;">
                        <v:fill on="f" focussize="0,0"/>
                        <v:stroke weight="0.25pt" color="#000000" joinstyle="miter"/>
                        <v:imagedata o:title=""/>
                        <o:lock v:ext="edit" aspectratio="f"/>
                      </v:rect>
                      <w10:wrap type="none"/>
                      <w10:anchorlock/>
                    </v:group>
                  </w:pict>
                </mc:Fallback>
              </mc:AlternateContent>
            </w:r>
            <w:bookmarkEnd w:id="2"/>
          </w:p>
          <w:p>
            <w:pPr>
              <w:pStyle w:val="7"/>
              <w:outlineLvl w:val="6"/>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图2-</w:t>
            </w:r>
            <w:r>
              <w:rPr>
                <w:rFonts w:hint="eastAsia"/>
                <w:color w:val="000000" w:themeColor="text1"/>
                <w:sz w:val="24"/>
                <w:szCs w:val="24"/>
                <w:highlight w:val="none"/>
                <w:lang w:val="en-US" w:eastAsia="zh-CN"/>
                <w14:textFill>
                  <w14:solidFill>
                    <w14:schemeClr w14:val="tx1"/>
                  </w14:solidFill>
                </w14:textFill>
              </w:rPr>
              <w:t>19</w:t>
            </w:r>
            <w:r>
              <w:rPr>
                <w:rFonts w:hint="eastAsia"/>
                <w:color w:val="000000" w:themeColor="text1"/>
                <w:sz w:val="24"/>
                <w:szCs w:val="24"/>
                <w:highlight w:val="none"/>
                <w14:textFill>
                  <w14:solidFill>
                    <w14:schemeClr w14:val="tx1"/>
                  </w14:solidFill>
                </w14:textFill>
              </w:rPr>
              <w:t xml:space="preserve"> 宣传牌设计图</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9</w:t>
            </w:r>
            <w:r>
              <w:rPr>
                <w:rFonts w:hint="eastAsia"/>
                <w:color w:val="000000" w:themeColor="text1"/>
                <w:sz w:val="24"/>
                <w:szCs w:val="24"/>
                <w:highlight w:val="none"/>
                <w14:textFill>
                  <w14:solidFill>
                    <w14:schemeClr w14:val="tx1"/>
                  </w14:solidFill>
                </w14:textFill>
              </w:rPr>
              <w:t>）视频监控工程</w:t>
            </w:r>
          </w:p>
          <w:p>
            <w:pPr>
              <w:pStyle w:val="15"/>
              <w:ind w:firstLine="420"/>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新建</w:t>
            </w:r>
            <w:r>
              <w:rPr>
                <w:rFonts w:hint="eastAsia"/>
                <w:color w:val="000000" w:themeColor="text1"/>
                <w:sz w:val="24"/>
                <w:szCs w:val="24"/>
                <w:highlight w:val="none"/>
                <w:lang w:val="en-US" w:eastAsia="zh-CN"/>
                <w14:textFill>
                  <w14:solidFill>
                    <w14:schemeClr w14:val="tx1"/>
                  </w14:solidFill>
                </w14:textFill>
              </w:rPr>
              <w:t>6</w:t>
            </w:r>
            <w:r>
              <w:rPr>
                <w:rFonts w:hint="eastAsia"/>
                <w:color w:val="000000" w:themeColor="text1"/>
                <w:sz w:val="24"/>
                <w:szCs w:val="24"/>
                <w:highlight w:val="none"/>
                <w14:textFill>
                  <w14:solidFill>
                    <w14:schemeClr w14:val="tx1"/>
                  </w14:solidFill>
                </w14:textFill>
              </w:rPr>
              <w:t>个矿山盗采出入口高清视频监控点</w:t>
            </w:r>
            <w:r>
              <w:rPr>
                <w:rFonts w:hint="eastAsia"/>
                <w:color w:val="000000" w:themeColor="text1"/>
                <w:sz w:val="24"/>
                <w:szCs w:val="24"/>
                <w:highlight w:val="none"/>
                <w:lang w:eastAsia="zh-CN"/>
                <w14:textFill>
                  <w14:solidFill>
                    <w14:schemeClr w14:val="tx1"/>
                  </w14:solidFill>
                </w14:textFill>
              </w:rPr>
              <w:t>。</w:t>
            </w:r>
          </w:p>
          <w:p>
            <w:pPr>
              <w:pStyle w:val="15"/>
              <w:ind w:firstLine="420"/>
              <w:rPr>
                <w:color w:val="000000" w:themeColor="text1"/>
                <w:sz w:val="24"/>
                <w:szCs w:val="24"/>
                <w:highlight w:val="yellow"/>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64" w:type="dxa"/>
            <w:tcBorders>
              <w:tl2br w:val="nil"/>
              <w:tr2bl w:val="nil"/>
            </w:tcBorders>
            <w:vAlign w:val="center"/>
          </w:tcPr>
          <w:p>
            <w:pPr>
              <w:widowControl/>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其他</w:t>
            </w:r>
          </w:p>
        </w:tc>
        <w:tc>
          <w:tcPr>
            <w:tcW w:w="8158" w:type="dxa"/>
            <w:tcBorders>
              <w:tl2br w:val="nil"/>
              <w:tr2bl w:val="nil"/>
            </w:tcBorders>
            <w:vAlign w:val="center"/>
          </w:tcPr>
          <w:p>
            <w:pPr>
              <w:rPr>
                <w:rFonts w:hint="eastAsia"/>
                <w:color w:val="000000" w:themeColor="text1"/>
                <w:highlight w:val="none"/>
                <w14:textFill>
                  <w14:solidFill>
                    <w14:schemeClr w14:val="tx1"/>
                  </w14:solidFill>
                </w14:textFill>
              </w:rPr>
            </w:pPr>
          </w:p>
          <w:p>
            <w:pPr>
              <w:rPr>
                <w:rFonts w:hint="eastAsia"/>
                <w:color w:val="000000" w:themeColor="text1"/>
                <w:highlight w:val="none"/>
                <w14:textFill>
                  <w14:solidFill>
                    <w14:schemeClr w14:val="tx1"/>
                  </w14:solidFill>
                </w14:textFill>
              </w:rPr>
            </w:pPr>
          </w:p>
          <w:p>
            <w:pPr>
              <w:rPr>
                <w:rFonts w:hint="eastAsia"/>
                <w:color w:val="000000" w:themeColor="text1"/>
                <w:highlight w:val="none"/>
                <w14:textFill>
                  <w14:solidFill>
                    <w14:schemeClr w14:val="tx1"/>
                  </w14:solidFill>
                </w14:textFill>
              </w:rPr>
            </w:pPr>
          </w:p>
          <w:p>
            <w:pPr>
              <w:rPr>
                <w:rFonts w:hint="eastAsia"/>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w:t>
            </w: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rPr>
                <w:color w:val="000000" w:themeColor="text1"/>
                <w:highlight w:val="none"/>
                <w14:textFill>
                  <w14:solidFill>
                    <w14:schemeClr w14:val="tx1"/>
                  </w14:solidFill>
                </w14:textFill>
              </w:rPr>
            </w:pPr>
          </w:p>
          <w:p>
            <w:pPr>
              <w:jc w:val="both"/>
              <w:rPr>
                <w:rFonts w:hint="eastAsia"/>
                <w:color w:val="000000" w:themeColor="text1"/>
                <w:highlight w:val="none"/>
                <w14:textFill>
                  <w14:solidFill>
                    <w14:schemeClr w14:val="tx1"/>
                  </w14:solidFill>
                </w14:textFill>
              </w:rPr>
            </w:pPr>
          </w:p>
        </w:tc>
      </w:tr>
    </w:tbl>
    <w:p>
      <w:pPr>
        <w:jc w:val="both"/>
        <w:rPr>
          <w:highlight w:val="yellow"/>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2"/>
        </w:numPr>
        <w:rPr>
          <w:highlight w:val="none"/>
        </w:rPr>
      </w:pPr>
      <w:r>
        <w:rPr>
          <w:rFonts w:hint="eastAsia"/>
          <w:highlight w:val="none"/>
        </w:rPr>
        <w:t>生态环境现状、保护目标及评价标准</w:t>
      </w:r>
    </w:p>
    <w:tbl>
      <w:tblPr>
        <w:tblStyle w:val="25"/>
        <w:tblW w:w="852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9"/>
        <w:gridCol w:w="7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rPr>
                <w:sz w:val="24"/>
                <w:szCs w:val="24"/>
                <w:highlight w:val="yellow"/>
              </w:rPr>
            </w:pPr>
            <w:r>
              <w:rPr>
                <w:rFonts w:hint="eastAsia" w:ascii="宋体" w:hAnsi="宋体" w:cs="宋体"/>
                <w:color w:val="000000"/>
                <w:sz w:val="24"/>
                <w:szCs w:val="24"/>
                <w:highlight w:val="none"/>
              </w:rPr>
              <w:t>生态环境现状</w:t>
            </w:r>
          </w:p>
        </w:tc>
        <w:tc>
          <w:tcPr>
            <w:tcW w:w="7673" w:type="dxa"/>
            <w:tcBorders>
              <w:tl2br w:val="nil"/>
              <w:tr2bl w:val="nil"/>
            </w:tcBorders>
          </w:tcPr>
          <w:p>
            <w:pPr>
              <w:pStyle w:val="15"/>
              <w:ind w:firstLine="0" w:firstLineChars="0"/>
              <w:rPr>
                <w:b/>
                <w:sz w:val="24"/>
                <w:szCs w:val="24"/>
                <w:highlight w:val="none"/>
              </w:rPr>
            </w:pPr>
            <w:r>
              <w:rPr>
                <w:rFonts w:hint="eastAsia"/>
                <w:b/>
                <w:sz w:val="24"/>
                <w:szCs w:val="24"/>
                <w:highlight w:val="none"/>
              </w:rPr>
              <w:t>1、生态环境现状</w:t>
            </w:r>
          </w:p>
          <w:p>
            <w:pPr>
              <w:pStyle w:val="15"/>
              <w:ind w:firstLine="420"/>
              <w:rPr>
                <w:sz w:val="24"/>
                <w:szCs w:val="24"/>
                <w:highlight w:val="none"/>
              </w:rPr>
            </w:pPr>
            <w:r>
              <w:rPr>
                <w:rFonts w:hint="eastAsia"/>
                <w:sz w:val="24"/>
                <w:szCs w:val="24"/>
                <w:highlight w:val="none"/>
              </w:rPr>
              <w:t>（1）主体功能区划</w:t>
            </w:r>
          </w:p>
          <w:p>
            <w:pPr>
              <w:pStyle w:val="15"/>
              <w:ind w:firstLine="420"/>
              <w:rPr>
                <w:sz w:val="24"/>
                <w:szCs w:val="24"/>
                <w:highlight w:val="none"/>
              </w:rPr>
            </w:pPr>
            <w:r>
              <w:rPr>
                <w:rFonts w:hint="eastAsia"/>
                <w:sz w:val="24"/>
                <w:szCs w:val="24"/>
                <w:highlight w:val="none"/>
              </w:rPr>
              <w:t>根据《宁夏回族自治区主体功能区规划》将全区国土空间划分为以下主体功能区：按开发方式，划分为重点开发区域、限制开发区域和禁止开发区域；按开发内容，划分为城市化地区、农产品主产区和重点生态功能区；按层次，划分为国家级和自治区级两个层面。本项目位于宁夏回族自治区中卫市沙坡头区</w:t>
            </w:r>
            <w:r>
              <w:rPr>
                <w:sz w:val="24"/>
                <w:szCs w:val="24"/>
                <w:highlight w:val="none"/>
              </w:rPr>
              <w:t>香山乡</w:t>
            </w:r>
            <w:r>
              <w:rPr>
                <w:rFonts w:hint="eastAsia"/>
                <w:sz w:val="24"/>
                <w:szCs w:val="24"/>
                <w:highlight w:val="none"/>
              </w:rPr>
              <w:t>，属于省级层面重点生态功能区域。</w:t>
            </w:r>
            <w:r>
              <w:rPr>
                <w:sz w:val="24"/>
                <w:szCs w:val="24"/>
                <w:highlight w:val="none"/>
              </w:rPr>
              <w:t>对照宁夏回族自治区主体</w:t>
            </w:r>
            <w:r>
              <w:rPr>
                <w:rFonts w:hint="eastAsia"/>
                <w:sz w:val="24"/>
                <w:szCs w:val="24"/>
                <w:highlight w:val="none"/>
              </w:rPr>
              <w:t>功能区划图可知（具体位置关系图见附图</w:t>
            </w:r>
            <w:r>
              <w:rPr>
                <w:rFonts w:hint="eastAsia"/>
                <w:sz w:val="24"/>
                <w:szCs w:val="24"/>
                <w:highlight w:val="none"/>
                <w:lang w:val="en-US" w:eastAsia="zh-CN"/>
              </w:rPr>
              <w:t>10</w:t>
            </w:r>
            <w:r>
              <w:rPr>
                <w:rFonts w:hint="eastAsia"/>
                <w:sz w:val="24"/>
                <w:szCs w:val="24"/>
                <w:highlight w:val="none"/>
              </w:rPr>
              <w:t>），项目所处位置在省级重点生态功能区内。</w:t>
            </w:r>
          </w:p>
          <w:p>
            <w:pPr>
              <w:pStyle w:val="15"/>
              <w:ind w:firstLine="420"/>
              <w:rPr>
                <w:sz w:val="24"/>
                <w:szCs w:val="24"/>
                <w:highlight w:val="yellow"/>
              </w:rPr>
            </w:pPr>
            <w:r>
              <w:rPr>
                <w:rFonts w:hint="eastAsia"/>
                <w:sz w:val="24"/>
                <w:szCs w:val="24"/>
                <w:highlight w:val="none"/>
              </w:rPr>
              <w:t>重点生态功能区，即生态系统脆弱或生态功能重要，资源环境承载能力较低，不具备大规模高强度工业化、城镇化开发的条件，必须把增强生态产品生产能力作为首要任务，从而应该限制进行大规模高强度工业化、城镇化开发的地区。本项目属于</w:t>
            </w:r>
            <w:r>
              <w:rPr>
                <w:sz w:val="24"/>
                <w:szCs w:val="24"/>
                <w:highlight w:val="none"/>
              </w:rPr>
              <w:t>矿山生态修复治理工程</w:t>
            </w:r>
            <w:r>
              <w:rPr>
                <w:rFonts w:hint="eastAsia"/>
                <w:sz w:val="24"/>
                <w:szCs w:val="24"/>
                <w:highlight w:val="none"/>
              </w:rPr>
              <w:t>，不涉及开发性、生产性建设活动，对生态具有积极作用，因此影响较小。</w:t>
            </w:r>
          </w:p>
          <w:p>
            <w:pPr>
              <w:pStyle w:val="15"/>
              <w:ind w:firstLine="420"/>
              <w:rPr>
                <w:sz w:val="24"/>
                <w:szCs w:val="24"/>
                <w:highlight w:val="none"/>
              </w:rPr>
            </w:pPr>
            <w:r>
              <w:rPr>
                <w:rFonts w:hint="eastAsia"/>
                <w:sz w:val="24"/>
                <w:szCs w:val="24"/>
                <w:highlight w:val="none"/>
              </w:rPr>
              <w:t>（2）</w:t>
            </w:r>
            <w:r>
              <w:rPr>
                <w:sz w:val="24"/>
                <w:szCs w:val="24"/>
                <w:highlight w:val="none"/>
              </w:rPr>
              <w:t>生态功能区划</w:t>
            </w:r>
          </w:p>
          <w:p>
            <w:pPr>
              <w:spacing w:line="360" w:lineRule="auto"/>
              <w:ind w:firstLine="480" w:firstLineChars="200"/>
              <w:jc w:val="left"/>
              <w:rPr>
                <w:rFonts w:hint="eastAsia" w:ascii="Times New Roman" w:hAnsi="Times New Roman" w:eastAsia="宋体" w:cs="Times New Roman"/>
                <w:snapToGrid w:val="0"/>
                <w:sz w:val="24"/>
                <w:szCs w:val="24"/>
                <w:highlight w:val="none"/>
                <w:lang w:val="en-US" w:eastAsia="zh-CN" w:bidi="ar-SA"/>
              </w:rPr>
            </w:pPr>
            <w:r>
              <w:rPr>
                <w:rFonts w:hint="eastAsia" w:ascii="Times New Roman" w:hAnsi="Times New Roman" w:eastAsia="宋体" w:cs="Times New Roman"/>
                <w:snapToGrid w:val="0"/>
                <w:sz w:val="24"/>
                <w:szCs w:val="24"/>
                <w:highlight w:val="none"/>
                <w:lang w:val="en-US" w:eastAsia="zh-CN" w:bidi="ar-SA"/>
              </w:rPr>
              <w:t>根据《宁夏回族自治区主体功能区规划》</w:t>
            </w:r>
            <w:r>
              <w:rPr>
                <w:rFonts w:hint="eastAsia" w:cs="Times New Roman"/>
                <w:snapToGrid w:val="0"/>
                <w:sz w:val="24"/>
                <w:szCs w:val="24"/>
                <w:highlight w:val="none"/>
                <w:lang w:val="en-US" w:eastAsia="zh-CN" w:bidi="ar-SA"/>
              </w:rPr>
              <w:t>，</w:t>
            </w:r>
            <w:r>
              <w:rPr>
                <w:rFonts w:hint="eastAsia" w:ascii="Times New Roman" w:hAnsi="Times New Roman" w:eastAsia="宋体" w:cs="Times New Roman"/>
                <w:snapToGrid w:val="0"/>
                <w:sz w:val="24"/>
                <w:szCs w:val="24"/>
                <w:highlight w:val="none"/>
                <w:lang w:val="en-US" w:eastAsia="zh-CN" w:bidi="ar-SA"/>
              </w:rPr>
              <w:t>重点生态功能区包括国家级重点生态功能区和自治区级重点生态功能区。其中彭阳县、盐池县、同心县、西吉县、隆德县、泾源县、海原县、红寺堡区等七县一区，属黄土高原丘陵沟壑水土保持生态功能区，是国家主体功能区规划中明确的国家级限制开发的重要生态功能区，面积为29538平方公里。</w:t>
            </w:r>
          </w:p>
          <w:p>
            <w:pPr>
              <w:spacing w:line="360" w:lineRule="auto"/>
              <w:ind w:firstLine="480" w:firstLineChars="200"/>
              <w:jc w:val="left"/>
              <w:rPr>
                <w:rFonts w:hint="eastAsia" w:ascii="宋体" w:hAnsi="宋体" w:eastAsia="宋体" w:cs="宋体"/>
                <w:sz w:val="24"/>
                <w:szCs w:val="24"/>
              </w:rPr>
            </w:pPr>
            <w:r>
              <w:rPr>
                <w:rFonts w:hint="eastAsia" w:ascii="宋体" w:hAnsi="宋体" w:eastAsia="宋体" w:cs="宋体"/>
                <w:sz w:val="24"/>
                <w:szCs w:val="24"/>
              </w:rPr>
              <w:t>根据《自治区人民政府关于印发宁夏回族自治区主体功能区规划的通知》（宁政发【2014】53号）</w:t>
            </w:r>
            <w:r>
              <w:rPr>
                <w:rFonts w:hint="eastAsia" w:ascii="宋体" w:hAnsi="宋体" w:cs="宋体"/>
                <w:sz w:val="24"/>
                <w:szCs w:val="24"/>
                <w:lang w:val="en-US" w:eastAsia="zh-CN"/>
              </w:rPr>
              <w:t>,</w:t>
            </w:r>
            <w:r>
              <w:rPr>
                <w:rFonts w:hint="eastAsia" w:ascii="宋体" w:hAnsi="宋体" w:eastAsia="宋体" w:cs="宋体"/>
                <w:sz w:val="24"/>
                <w:szCs w:val="24"/>
              </w:rPr>
              <w:t>保护和扩大绿色生态空间，有效利用现有土地空间</w:t>
            </w:r>
            <w:r>
              <w:rPr>
                <w:rFonts w:hint="eastAsia" w:ascii="宋体" w:hAnsi="宋体" w:cs="宋体"/>
                <w:sz w:val="24"/>
                <w:szCs w:val="24"/>
                <w:lang w:val="en-US" w:eastAsia="zh-CN"/>
              </w:rPr>
              <w:t>,</w:t>
            </w:r>
            <w:r>
              <w:rPr>
                <w:rFonts w:hint="eastAsia" w:ascii="宋体" w:hAnsi="宋体" w:eastAsia="宋体" w:cs="宋体"/>
                <w:sz w:val="24"/>
                <w:szCs w:val="24"/>
              </w:rPr>
              <w:t>做好生态环境、基本农田等保护规划，减少工业化、城镇化对生态环境的影响，避免出现土地过多占用、水资源过度开发和生态环境压力过大等问题，努力提高环境质量，加大防沙治沙力度，着力构建防风固沙生态屏障。</w:t>
            </w:r>
          </w:p>
          <w:p>
            <w:pPr>
              <w:pStyle w:val="15"/>
              <w:ind w:firstLine="420"/>
              <w:jc w:val="both"/>
              <w:rPr>
                <w:sz w:val="24"/>
                <w:szCs w:val="24"/>
                <w:highlight w:val="none"/>
              </w:rPr>
            </w:pPr>
            <w:r>
              <w:rPr>
                <w:rFonts w:hint="eastAsia" w:ascii="宋体" w:hAnsi="宋体" w:eastAsia="宋体" w:cs="宋体"/>
                <w:sz w:val="24"/>
                <w:szCs w:val="24"/>
              </w:rPr>
              <w:t>本项目为沙坡头区陈水矿区历史遗留废弃矿山生态修复项目，通过本项目的实施可消除因不合法采矿活动引发的地质灾害隐患，修复治理区地形地貌景观，提升生态环境质量和水土保持能力，增强生态系统服务功能，全面恢复治理历史遗留废弃矿山地质环境，矿山生态环境明显好转</w:t>
            </w:r>
            <w:r>
              <w:rPr>
                <w:rFonts w:hint="eastAsia" w:ascii="宋体" w:hAnsi="宋体" w:cs="宋体"/>
                <w:sz w:val="24"/>
                <w:szCs w:val="24"/>
                <w:lang w:eastAsia="zh-CN"/>
              </w:rPr>
              <w:t>，</w:t>
            </w:r>
            <w:r>
              <w:rPr>
                <w:rFonts w:hint="eastAsia" w:ascii="宋体" w:hAnsi="宋体" w:eastAsia="宋体" w:cs="宋体"/>
                <w:sz w:val="24"/>
                <w:szCs w:val="24"/>
              </w:rPr>
              <w:t>其建设符合“宁夏回族自治区主体功能区规划”的要求。</w:t>
            </w:r>
            <w:r>
              <w:rPr>
                <w:rFonts w:hint="eastAsia"/>
                <w:sz w:val="24"/>
                <w:szCs w:val="24"/>
                <w:highlight w:val="none"/>
              </w:rPr>
              <w:t>对照宁夏生态功能区划图可知，</w:t>
            </w:r>
            <w:r>
              <w:rPr>
                <w:sz w:val="24"/>
                <w:szCs w:val="24"/>
                <w:highlight w:val="none"/>
              </w:rPr>
              <w:t>本项目</w:t>
            </w:r>
            <w:r>
              <w:rPr>
                <w:rFonts w:hint="eastAsia"/>
                <w:sz w:val="24"/>
                <w:szCs w:val="24"/>
                <w:highlight w:val="none"/>
              </w:rPr>
              <w:t>位于生态功能二级分区内，</w:t>
            </w:r>
            <w:r>
              <w:rPr>
                <w:sz w:val="24"/>
                <w:szCs w:val="24"/>
                <w:highlight w:val="none"/>
              </w:rPr>
              <w:t>所在区域属于</w:t>
            </w:r>
            <w:r>
              <w:rPr>
                <w:rFonts w:hint="eastAsia"/>
                <w:sz w:val="24"/>
                <w:szCs w:val="24"/>
                <w:highlight w:val="none"/>
              </w:rPr>
              <w:t>Ⅱ</w:t>
            </w:r>
            <w:r>
              <w:rPr>
                <w:sz w:val="24"/>
                <w:szCs w:val="24"/>
                <w:highlight w:val="none"/>
              </w:rPr>
              <w:t>2-</w:t>
            </w:r>
            <w:r>
              <w:rPr>
                <w:rFonts w:hint="eastAsia"/>
                <w:sz w:val="24"/>
                <w:szCs w:val="24"/>
                <w:highlight w:val="none"/>
              </w:rPr>
              <w:t>5香山低山丘陵荒漠草原保护生态功能区，生态功能区特征见下表，项目与宁夏生态功能区划位置关系图见附图</w:t>
            </w:r>
            <w:r>
              <w:rPr>
                <w:rFonts w:hint="eastAsia"/>
                <w:sz w:val="24"/>
                <w:szCs w:val="24"/>
                <w:highlight w:val="none"/>
                <w:lang w:val="en-US" w:eastAsia="zh-CN"/>
              </w:rPr>
              <w:t>11</w:t>
            </w:r>
            <w:r>
              <w:rPr>
                <w:rFonts w:hint="eastAsia"/>
                <w:sz w:val="24"/>
                <w:szCs w:val="24"/>
                <w:highlight w:val="none"/>
              </w:rPr>
              <w:t>。</w:t>
            </w:r>
          </w:p>
          <w:p>
            <w:pPr>
              <w:pStyle w:val="5"/>
              <w:spacing w:line="240" w:lineRule="auto"/>
              <w:ind w:firstLine="723" w:firstLineChars="300"/>
              <w:jc w:val="both"/>
              <w:outlineLvl w:val="1"/>
              <w:rPr>
                <w:sz w:val="24"/>
                <w:szCs w:val="24"/>
                <w:highlight w:val="none"/>
              </w:rPr>
            </w:pPr>
            <w:r>
              <w:rPr>
                <w:rFonts w:hint="eastAsia"/>
                <w:sz w:val="24"/>
                <w:szCs w:val="24"/>
                <w:highlight w:val="none"/>
              </w:rPr>
              <w:t>表3-1</w:t>
            </w:r>
            <w:r>
              <w:rPr>
                <w:rFonts w:hint="eastAsia"/>
                <w:sz w:val="24"/>
                <w:szCs w:val="24"/>
                <w:highlight w:val="none"/>
                <w:lang w:val="en-US" w:eastAsia="zh-CN"/>
              </w:rPr>
              <w:t xml:space="preserve">            </w:t>
            </w:r>
            <w:r>
              <w:rPr>
                <w:rFonts w:hint="eastAsia"/>
                <w:sz w:val="24"/>
                <w:szCs w:val="24"/>
                <w:highlight w:val="none"/>
              </w:rPr>
              <w:t>生态功能区特征表</w:t>
            </w:r>
          </w:p>
          <w:tbl>
            <w:tblPr>
              <w:tblStyle w:val="25"/>
              <w:tblW w:w="736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10"/>
              <w:gridCol w:w="810"/>
              <w:gridCol w:w="1159"/>
              <w:gridCol w:w="45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10" w:type="dxa"/>
                  <w:tcBorders>
                    <w:tl2br w:val="nil"/>
                    <w:tr2bl w:val="nil"/>
                  </w:tcBorders>
                  <w:vAlign w:val="center"/>
                </w:tcPr>
                <w:p>
                  <w:pPr>
                    <w:spacing w:line="360" w:lineRule="auto"/>
                    <w:rPr>
                      <w:sz w:val="21"/>
                      <w:szCs w:val="21"/>
                      <w:highlight w:val="none"/>
                    </w:rPr>
                  </w:pPr>
                  <w:r>
                    <w:rPr>
                      <w:rFonts w:hint="eastAsia"/>
                      <w:sz w:val="21"/>
                      <w:szCs w:val="21"/>
                      <w:highlight w:val="none"/>
                    </w:rPr>
                    <w:t>一级区</w:t>
                  </w:r>
                </w:p>
              </w:tc>
              <w:tc>
                <w:tcPr>
                  <w:tcW w:w="810" w:type="dxa"/>
                  <w:tcBorders>
                    <w:tl2br w:val="nil"/>
                    <w:tr2bl w:val="nil"/>
                  </w:tcBorders>
                  <w:vAlign w:val="center"/>
                </w:tcPr>
                <w:p>
                  <w:pPr>
                    <w:spacing w:line="360" w:lineRule="auto"/>
                    <w:rPr>
                      <w:sz w:val="21"/>
                      <w:szCs w:val="21"/>
                      <w:highlight w:val="none"/>
                    </w:rPr>
                  </w:pPr>
                  <w:r>
                    <w:rPr>
                      <w:rFonts w:hint="eastAsia"/>
                      <w:sz w:val="21"/>
                      <w:szCs w:val="21"/>
                      <w:highlight w:val="none"/>
                    </w:rPr>
                    <w:t>二级区</w:t>
                  </w:r>
                </w:p>
              </w:tc>
              <w:tc>
                <w:tcPr>
                  <w:tcW w:w="1159" w:type="dxa"/>
                  <w:tcBorders>
                    <w:tl2br w:val="nil"/>
                    <w:tr2bl w:val="nil"/>
                  </w:tcBorders>
                  <w:vAlign w:val="center"/>
                </w:tcPr>
                <w:p>
                  <w:pPr>
                    <w:spacing w:line="360" w:lineRule="auto"/>
                    <w:rPr>
                      <w:sz w:val="21"/>
                      <w:szCs w:val="21"/>
                      <w:highlight w:val="none"/>
                    </w:rPr>
                  </w:pPr>
                  <w:r>
                    <w:rPr>
                      <w:rFonts w:hint="eastAsia"/>
                      <w:sz w:val="21"/>
                      <w:szCs w:val="21"/>
                      <w:highlight w:val="none"/>
                    </w:rPr>
                    <w:t>功能区代号及名称</w:t>
                  </w:r>
                </w:p>
              </w:tc>
              <w:tc>
                <w:tcPr>
                  <w:tcW w:w="4584" w:type="dxa"/>
                  <w:tcBorders>
                    <w:tl2br w:val="nil"/>
                    <w:tr2bl w:val="nil"/>
                  </w:tcBorders>
                  <w:vAlign w:val="center"/>
                </w:tcPr>
                <w:p>
                  <w:pPr>
                    <w:spacing w:line="360" w:lineRule="auto"/>
                    <w:rPr>
                      <w:sz w:val="21"/>
                      <w:szCs w:val="21"/>
                      <w:highlight w:val="none"/>
                    </w:rPr>
                  </w:pPr>
                  <w:r>
                    <w:rPr>
                      <w:rFonts w:hint="eastAsia"/>
                      <w:sz w:val="21"/>
                      <w:szCs w:val="21"/>
                      <w:highlight w:val="none"/>
                    </w:rPr>
                    <w:t>主要生态特点、问题及措施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810" w:type="dxa"/>
                  <w:tcBorders>
                    <w:tl2br w:val="nil"/>
                    <w:tr2bl w:val="nil"/>
                  </w:tcBorders>
                  <w:vAlign w:val="center"/>
                </w:tcPr>
                <w:p>
                  <w:pPr>
                    <w:spacing w:line="360" w:lineRule="auto"/>
                    <w:rPr>
                      <w:sz w:val="21"/>
                      <w:szCs w:val="21"/>
                      <w:highlight w:val="none"/>
                    </w:rPr>
                  </w:pPr>
                  <w:r>
                    <w:rPr>
                      <w:rFonts w:hint="eastAsia"/>
                      <w:sz w:val="21"/>
                      <w:szCs w:val="21"/>
                      <w:highlight w:val="none"/>
                    </w:rPr>
                    <w:t>中部台地、山间平原干旱风沙生态区</w:t>
                  </w:r>
                </w:p>
              </w:tc>
              <w:tc>
                <w:tcPr>
                  <w:tcW w:w="810" w:type="dxa"/>
                  <w:tcBorders>
                    <w:tl2br w:val="nil"/>
                    <w:tr2bl w:val="nil"/>
                  </w:tcBorders>
                  <w:vAlign w:val="center"/>
                </w:tcPr>
                <w:p>
                  <w:pPr>
                    <w:spacing w:line="360" w:lineRule="auto"/>
                    <w:rPr>
                      <w:sz w:val="21"/>
                      <w:szCs w:val="21"/>
                      <w:highlight w:val="none"/>
                    </w:rPr>
                  </w:pPr>
                  <w:r>
                    <w:rPr>
                      <w:rFonts w:hint="eastAsia"/>
                      <w:sz w:val="21"/>
                      <w:szCs w:val="21"/>
                      <w:highlight w:val="none"/>
                    </w:rPr>
                    <w:t>中部山间平原木林农生态亚区</w:t>
                  </w:r>
                </w:p>
              </w:tc>
              <w:tc>
                <w:tcPr>
                  <w:tcW w:w="1159" w:type="dxa"/>
                  <w:tcBorders>
                    <w:tl2br w:val="nil"/>
                    <w:tr2bl w:val="nil"/>
                  </w:tcBorders>
                  <w:vAlign w:val="center"/>
                </w:tcPr>
                <w:p>
                  <w:pPr>
                    <w:spacing w:line="360" w:lineRule="auto"/>
                    <w:rPr>
                      <w:sz w:val="21"/>
                      <w:szCs w:val="21"/>
                      <w:highlight w:val="none"/>
                    </w:rPr>
                  </w:pPr>
                  <w:r>
                    <w:rPr>
                      <w:rFonts w:hint="eastAsia"/>
                      <w:sz w:val="21"/>
                      <w:szCs w:val="21"/>
                      <w:highlight w:val="none"/>
                    </w:rPr>
                    <w:t>Ⅱ2⑤香山低山丘陵荒漠草原保护、中卫山羊保种生态功能区</w:t>
                  </w:r>
                </w:p>
              </w:tc>
              <w:tc>
                <w:tcPr>
                  <w:tcW w:w="4584" w:type="dxa"/>
                  <w:tcBorders>
                    <w:tl2br w:val="nil"/>
                    <w:tr2bl w:val="nil"/>
                  </w:tcBorders>
                  <w:vAlign w:val="center"/>
                </w:tcPr>
                <w:p>
                  <w:pPr>
                    <w:spacing w:line="360" w:lineRule="auto"/>
                    <w:jc w:val="left"/>
                    <w:rPr>
                      <w:sz w:val="21"/>
                      <w:szCs w:val="21"/>
                      <w:highlight w:val="none"/>
                    </w:rPr>
                  </w:pPr>
                  <w:r>
                    <w:rPr>
                      <w:rFonts w:hint="eastAsia"/>
                      <w:sz w:val="21"/>
                      <w:szCs w:val="21"/>
                      <w:highlight w:val="none"/>
                    </w:rPr>
                    <w:t>香山属中低山地貌，植被为荒漠草原类型，以猫头刺、短花针茅等旱生植物为主，覆盖度只有10-30%,香山地区有大面积干旱草场，是中卫山羊的放牧基地，保护好荒漠草原和保护中卫山羊物种资源十分重要。本区的生态敏感问题是草场退化，其治理措施是先禁牧，雨季补种优质牧草，提高草场质量.香山地区三乡的坡耕地应全部退耕种草，建立人工草场，保护和发展中卫山羊的传统优势。</w:t>
                  </w:r>
                </w:p>
              </w:tc>
            </w:tr>
          </w:tbl>
          <w:p>
            <w:pPr>
              <w:pStyle w:val="15"/>
              <w:ind w:firstLine="420"/>
              <w:rPr>
                <w:color w:val="000000" w:themeColor="text1"/>
                <w:sz w:val="24"/>
                <w:szCs w:val="24"/>
                <w:highlight w:val="yellow"/>
                <w14:textFill>
                  <w14:solidFill>
                    <w14:schemeClr w14:val="tx1"/>
                  </w14:solidFill>
                </w14:textFill>
              </w:rPr>
            </w:pPr>
            <w:r>
              <w:rPr>
                <w:rFonts w:hint="eastAsia"/>
                <w:color w:val="000000" w:themeColor="text1"/>
                <w:sz w:val="24"/>
                <w:szCs w:val="24"/>
                <w:highlight w:val="none"/>
                <w14:textFill>
                  <w14:solidFill>
                    <w14:schemeClr w14:val="tx1"/>
                  </w14:solidFill>
                </w14:textFill>
              </w:rPr>
              <w:t>（3）土地利用现状</w:t>
            </w:r>
          </w:p>
          <w:p>
            <w:pPr>
              <w:pStyle w:val="15"/>
              <w:bidi w:val="0"/>
              <w:jc w:val="both"/>
              <w:rPr>
                <w:sz w:val="24"/>
                <w:szCs w:val="24"/>
                <w:highlight w:val="yellow"/>
              </w:rPr>
            </w:pPr>
            <w:r>
              <w:rPr>
                <w:rFonts w:hint="eastAsia"/>
                <w:lang w:val="en-US" w:eastAsia="zh-CN"/>
              </w:rPr>
              <w:t>根据沙坡头区2020年土地利用变更调查数据，项目总面积为158.71hm</w:t>
            </w:r>
            <w:r>
              <w:rPr>
                <w:rFonts w:hint="eastAsia"/>
                <w:vertAlign w:val="superscript"/>
                <w:lang w:val="en-US" w:eastAsia="zh-CN"/>
              </w:rPr>
              <w:t>2</w:t>
            </w:r>
            <w:r>
              <w:rPr>
                <w:rFonts w:hint="eastAsia"/>
                <w:lang w:val="en-US" w:eastAsia="zh-CN"/>
              </w:rPr>
              <w:t>，土地利用类型包括耕地、林地、草地、工矿仓储用地和其他土地。</w:t>
            </w:r>
            <w:r>
              <w:rPr>
                <w:rFonts w:hint="eastAsia"/>
                <w:color w:val="000000" w:themeColor="text1"/>
                <w:sz w:val="24"/>
                <w:szCs w:val="24"/>
                <w:highlight w:val="none"/>
                <w14:textFill>
                  <w14:solidFill>
                    <w14:schemeClr w14:val="tx1"/>
                  </w14:solidFill>
                </w14:textFill>
              </w:rPr>
              <w:t>本项目土地利用现状图见附图</w:t>
            </w:r>
            <w:r>
              <w:rPr>
                <w:rFonts w:hint="eastAsia"/>
                <w:color w:val="000000" w:themeColor="text1"/>
                <w:sz w:val="24"/>
                <w:szCs w:val="24"/>
                <w:highlight w:val="none"/>
                <w:lang w:val="en-US" w:eastAsia="zh-CN"/>
                <w14:textFill>
                  <w14:solidFill>
                    <w14:schemeClr w14:val="tx1"/>
                  </w14:solidFill>
                </w14:textFill>
              </w:rPr>
              <w:t>12</w:t>
            </w:r>
            <w:r>
              <w:rPr>
                <w:rFonts w:hint="eastAsia"/>
                <w:color w:val="000000" w:themeColor="text1"/>
                <w:sz w:val="24"/>
                <w:szCs w:val="24"/>
                <w:highlight w:val="none"/>
                <w14:textFill>
                  <w14:solidFill>
                    <w14:schemeClr w14:val="tx1"/>
                  </w14:solidFill>
                </w14:textFill>
              </w:rPr>
              <w:t>。</w:t>
            </w:r>
          </w:p>
          <w:p>
            <w:pPr>
              <w:pStyle w:val="7"/>
              <w:spacing w:line="240" w:lineRule="auto"/>
              <w:outlineLvl w:val="6"/>
              <w:rPr>
                <w:sz w:val="24"/>
                <w:szCs w:val="24"/>
                <w:highlight w:val="yellow"/>
              </w:rPr>
            </w:pPr>
            <w:r>
              <w:rPr>
                <w:rFonts w:hint="eastAsia"/>
                <w:sz w:val="24"/>
                <w:szCs w:val="24"/>
                <w:highlight w:val="none"/>
              </w:rPr>
              <w:t>表3-2</w:t>
            </w:r>
            <w:r>
              <w:rPr>
                <w:sz w:val="24"/>
                <w:szCs w:val="24"/>
                <w:highlight w:val="none"/>
              </w:rPr>
              <w:t>项目区土地利用现状总表</w:t>
            </w:r>
          </w:p>
          <w:tbl>
            <w:tblPr>
              <w:tblStyle w:val="24"/>
              <w:tblW w:w="7400" w:type="dxa"/>
              <w:tblInd w:w="-1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86"/>
              <w:gridCol w:w="2022"/>
              <w:gridCol w:w="2956"/>
              <w:gridCol w:w="163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25" w:hRule="atLeast"/>
              </w:trPr>
              <w:tc>
                <w:tcPr>
                  <w:tcW w:w="2808"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一级地类</w:t>
                  </w:r>
                </w:p>
              </w:tc>
              <w:tc>
                <w:tcPr>
                  <w:tcW w:w="295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二级地类</w:t>
                  </w:r>
                </w:p>
              </w:tc>
              <w:tc>
                <w:tcPr>
                  <w:tcW w:w="163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01</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耕地</w:t>
                  </w: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旱地(0103)</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03</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林地</w:t>
                  </w:r>
                </w:p>
              </w:tc>
              <w:tc>
                <w:tcPr>
                  <w:tcW w:w="295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灌木林地(0305)</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9.21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9.21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04</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草地</w:t>
                  </w: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天然牧草地(0401)</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lang w:val="en-US"/>
                    </w:rPr>
                  </w:pPr>
                  <w:r>
                    <w:rPr>
                      <w:rFonts w:hint="eastAsia" w:cs="Times New Roman"/>
                      <w:i w:val="0"/>
                      <w:iCs w:val="0"/>
                      <w:snapToGrid w:val="0"/>
                      <w:color w:val="000000"/>
                      <w:kern w:val="0"/>
                      <w:sz w:val="21"/>
                      <w:szCs w:val="21"/>
                      <w:u w:val="none"/>
                      <w:lang w:val="en-US" w:eastAsia="zh-CN" w:bidi="ar"/>
                    </w:rPr>
                    <w:t>81.32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其他草地(0404)</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1.29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lang w:val="en-US"/>
                    </w:rPr>
                  </w:pPr>
                  <w:r>
                    <w:rPr>
                      <w:rFonts w:hint="eastAsia" w:cs="Times New Roman"/>
                      <w:i w:val="0"/>
                      <w:iCs w:val="0"/>
                      <w:snapToGrid w:val="0"/>
                      <w:color w:val="000000"/>
                      <w:kern w:val="0"/>
                      <w:sz w:val="21"/>
                      <w:szCs w:val="21"/>
                      <w:u w:val="none"/>
                      <w:lang w:val="en-US" w:eastAsia="zh-CN" w:bidi="ar"/>
                    </w:rPr>
                    <w:t>82.61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05</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商业服务业用地</w:t>
                  </w:r>
                </w:p>
              </w:tc>
              <w:tc>
                <w:tcPr>
                  <w:tcW w:w="295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商业服务业设施用地(05H1)</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06</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工矿仓储用地</w:t>
                  </w: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采矿用地(0602)</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07</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住宅用地</w:t>
                  </w: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农村宅基地(0702)</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0.97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0.97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10</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交通运输用地</w:t>
                  </w:r>
                </w:p>
              </w:tc>
              <w:tc>
                <w:tcPr>
                  <w:tcW w:w="295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公路用地(1003)</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农村道路(1006)</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2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11</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水域及水利设施用地</w:t>
                  </w:r>
                </w:p>
              </w:tc>
              <w:tc>
                <w:tcPr>
                  <w:tcW w:w="295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坑塘水面(1104)</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水工建筑用地(1109)</w:t>
                  </w:r>
                </w:p>
              </w:tc>
              <w:tc>
                <w:tcPr>
                  <w:tcW w:w="163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12</w:t>
                  </w:r>
                </w:p>
              </w:tc>
              <w:tc>
                <w:tcPr>
                  <w:tcW w:w="2022"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其他土地(12)</w:t>
                  </w: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实施农用地(1202)</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裸土地(1206)</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lang w:val="en-US"/>
                    </w:rPr>
                  </w:pPr>
                  <w:r>
                    <w:rPr>
                      <w:rFonts w:hint="eastAsia" w:cs="Times New Roman"/>
                      <w:i w:val="0"/>
                      <w:iCs w:val="0"/>
                      <w:snapToGrid w:val="0"/>
                      <w:color w:val="000000"/>
                      <w:kern w:val="0"/>
                      <w:sz w:val="21"/>
                      <w:szCs w:val="21"/>
                      <w:u w:val="none"/>
                      <w:lang w:val="en-US" w:eastAsia="zh-CN" w:bidi="ar"/>
                    </w:rPr>
                    <w:t>62.40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裸岩石砾地(1207)</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2.09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5" w:hRule="atLeast"/>
              </w:trPr>
              <w:tc>
                <w:tcPr>
                  <w:tcW w:w="786"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022" w:type="dxa"/>
                  <w:vMerge w:val="continue"/>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21"/>
                      <w:szCs w:val="21"/>
                      <w:u w:val="none"/>
                    </w:rPr>
                  </w:pPr>
                </w:p>
              </w:tc>
              <w:tc>
                <w:tcPr>
                  <w:tcW w:w="2956"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小计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lang w:val="en-US"/>
                    </w:rPr>
                  </w:pPr>
                  <w:r>
                    <w:rPr>
                      <w:rFonts w:hint="eastAsia" w:cs="Times New Roman"/>
                      <w:i w:val="0"/>
                      <w:iCs w:val="0"/>
                      <w:snapToGrid w:val="0"/>
                      <w:color w:val="000000"/>
                      <w:kern w:val="0"/>
                      <w:sz w:val="21"/>
                      <w:szCs w:val="21"/>
                      <w:u w:val="none"/>
                      <w:lang w:val="en-US" w:eastAsia="zh-CN" w:bidi="ar"/>
                    </w:rPr>
                    <w:t>64.58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35" w:hRule="atLeast"/>
              </w:trPr>
              <w:tc>
                <w:tcPr>
                  <w:tcW w:w="5764" w:type="dxa"/>
                  <w:gridSpan w:val="3"/>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snapToGrid w:val="0"/>
                      <w:color w:val="000000"/>
                      <w:kern w:val="0"/>
                      <w:sz w:val="21"/>
                      <w:szCs w:val="21"/>
                      <w:u w:val="none"/>
                      <w:lang w:val="en-US" w:eastAsia="zh-CN" w:bidi="ar"/>
                    </w:rPr>
                    <w:t>合计</w:t>
                  </w:r>
                </w:p>
              </w:tc>
              <w:tc>
                <w:tcPr>
                  <w:tcW w:w="1636" w:type="dxa"/>
                  <w:tcBorders>
                    <w:tl2br w:val="nil"/>
                    <w:tr2bl w:val="nil"/>
                  </w:tcBorders>
                  <w:shd w:val="clear" w:color="auto" w:fill="auto"/>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lang w:val="en-US"/>
                    </w:rPr>
                  </w:pPr>
                  <w:r>
                    <w:rPr>
                      <w:rFonts w:hint="eastAsia" w:cs="Times New Roman"/>
                      <w:i w:val="0"/>
                      <w:iCs w:val="0"/>
                      <w:snapToGrid w:val="0"/>
                      <w:color w:val="000000"/>
                      <w:kern w:val="0"/>
                      <w:sz w:val="21"/>
                      <w:szCs w:val="21"/>
                      <w:u w:val="none"/>
                      <w:lang w:val="en-US" w:eastAsia="zh-CN" w:bidi="ar"/>
                    </w:rPr>
                    <w:t>158.71</w:t>
                  </w:r>
                </w:p>
              </w:tc>
            </w:tr>
          </w:tbl>
          <w:p>
            <w:pPr>
              <w:pStyle w:val="15"/>
              <w:bidi w:val="0"/>
              <w:rPr>
                <w:rFonts w:hint="eastAsia"/>
              </w:rPr>
            </w:pPr>
            <w:r>
              <w:rPr>
                <w:rFonts w:hint="eastAsia"/>
              </w:rPr>
              <w:t>（4）土壤类型</w:t>
            </w:r>
          </w:p>
          <w:p>
            <w:pPr>
              <w:pStyle w:val="15"/>
              <w:bidi w:val="0"/>
              <w:jc w:val="both"/>
              <w:rPr>
                <w:rFonts w:hint="eastAsia"/>
                <w:lang w:val="en-US" w:eastAsia="zh-CN"/>
              </w:rPr>
            </w:pPr>
            <w:r>
              <w:rPr>
                <w:rFonts w:hint="eastAsia"/>
                <w:lang w:val="en-US" w:eastAsia="zh-CN"/>
              </w:rPr>
              <w:t>香山梁水园村北生态修复治理区主要土类为灰钙土，亚类为灰钙土，土属为粗骨灰钙土，又称山地灰钙土，其母质层为浅棕色，轻壤土，块状，紧实，孔隙少，无根系，有少量条状和点状石灰新生体有机质含量少，表土有机质含量平均为0.36%。表土土层厚度普遍较薄，多被灰钙土覆盖，厚度20-40cm；下伏中、下更新统冲洪积块石、碎石、砂及粘砂土组成，间夹黄土状粘砂土。矿山治理时，所夹土层可以利用。</w:t>
            </w:r>
          </w:p>
          <w:p>
            <w:pPr>
              <w:pStyle w:val="15"/>
              <w:bidi w:val="0"/>
              <w:jc w:val="both"/>
              <w:rPr>
                <w:rFonts w:hint="eastAsia"/>
                <w:lang w:val="en-US" w:eastAsia="zh-CN"/>
              </w:rPr>
            </w:pPr>
            <w:r>
              <w:rPr>
                <w:rFonts w:hint="eastAsia"/>
                <w:lang w:val="en-US" w:eastAsia="zh-CN"/>
              </w:rPr>
              <w:t>香山黄泉村一采区生态修复治理区土壤主要为新积土，环境干旱，土体干燥，土层瘠薄，含有较多的碎石，一般厚约10-20cm。总体上土壤质地较粗，砂砾含量较高，松散，固结能力差，抗侵蚀能力弱，易受水流冲刷流失。</w:t>
            </w:r>
          </w:p>
          <w:p>
            <w:pPr>
              <w:pStyle w:val="15"/>
              <w:bidi w:val="0"/>
              <w:jc w:val="both"/>
              <w:rPr>
                <w:rFonts w:hint="eastAsia"/>
                <w:lang w:val="en-US" w:eastAsia="zh-CN"/>
              </w:rPr>
            </w:pPr>
            <w:r>
              <w:rPr>
                <w:rFonts w:hint="eastAsia"/>
                <w:lang w:val="en-US" w:eastAsia="zh-CN"/>
              </w:rPr>
              <w:t>香山黄泉村二采区生态修复治理区位于山区，治理区主要土类为灰钙土，亚类为灰钙土，土属为粗骨灰钙土，又称山地灰钙土，其母质层为浅棕色，轻壤土，块状，紧实，孔隙少，无根系，有少量条状和点状石灰新生体有机质含量少，表土有机质含量平均为0.36%。土层厚度普遍较薄。</w:t>
            </w:r>
          </w:p>
          <w:p>
            <w:pPr>
              <w:pStyle w:val="15"/>
              <w:bidi w:val="0"/>
              <w:jc w:val="both"/>
              <w:rPr>
                <w:rFonts w:hint="eastAsia"/>
                <w:lang w:val="en-US" w:eastAsia="zh-CN"/>
              </w:rPr>
            </w:pPr>
            <w:r>
              <w:rPr>
                <w:rFonts w:hint="eastAsia"/>
                <w:lang w:val="en-US" w:eastAsia="zh-CN"/>
              </w:rPr>
              <w:t>香山黄泉村三采区生态修复治理区主要土类为灰钙土，亚类为灰钙土，土属为粗骨灰钙土，土层瘠薄。</w:t>
            </w:r>
          </w:p>
          <w:p>
            <w:pPr>
              <w:pStyle w:val="15"/>
              <w:bidi w:val="0"/>
              <w:jc w:val="both"/>
              <w:rPr>
                <w:rFonts w:hint="eastAsia"/>
                <w:lang w:val="en-US" w:eastAsia="zh-CN"/>
              </w:rPr>
            </w:pPr>
            <w:r>
              <w:rPr>
                <w:rFonts w:hint="eastAsia"/>
                <w:lang w:val="en-US" w:eastAsia="zh-CN"/>
              </w:rPr>
              <w:t>常乐镇原上游村西生态修复治理区主要土类为红粘土，亚类为红粘土，土属为新积红粘土。</w:t>
            </w:r>
          </w:p>
          <w:p>
            <w:pPr>
              <w:pStyle w:val="15"/>
              <w:bidi w:val="0"/>
              <w:jc w:val="both"/>
              <w:rPr>
                <w:rFonts w:hint="default"/>
                <w:lang w:val="en-US" w:eastAsia="zh-CN"/>
              </w:rPr>
            </w:pPr>
            <w:r>
              <w:rPr>
                <w:rFonts w:hint="eastAsia"/>
                <w:lang w:val="en-US" w:eastAsia="zh-CN"/>
              </w:rPr>
              <w:t>本项目土壤侵蚀情况图见附图13。</w:t>
            </w:r>
          </w:p>
          <w:p>
            <w:pPr>
              <w:pStyle w:val="15"/>
              <w:ind w:firstLine="42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（5）植被分布</w:t>
            </w:r>
          </w:p>
          <w:p>
            <w:pPr>
              <w:pStyle w:val="15"/>
              <w:ind w:firstLine="420"/>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项目区属</w:t>
            </w:r>
            <w:r>
              <w:rPr>
                <w:rFonts w:hint="eastAsia"/>
                <w:color w:val="000000" w:themeColor="text1"/>
                <w:sz w:val="24"/>
                <w:szCs w:val="24"/>
                <w:highlight w:val="none"/>
                <w14:textFill>
                  <w14:solidFill>
                    <w14:schemeClr w14:val="tx1"/>
                  </w14:solidFill>
                </w14:textFill>
              </w:rPr>
              <w:t>中</w:t>
            </w:r>
            <w:r>
              <w:rPr>
                <w:color w:val="000000" w:themeColor="text1"/>
                <w:sz w:val="24"/>
                <w:szCs w:val="24"/>
                <w:highlight w:val="none"/>
                <w14:textFill>
                  <w14:solidFill>
                    <w14:schemeClr w14:val="tx1"/>
                  </w14:solidFill>
                </w14:textFill>
              </w:rPr>
              <w:t>温带荒漠草原区，以多年生草本、灌木、半灌木为主，种群少结构简单，森林资源缺乏。植被主要有油蒿、白蒿、短花针茅、蓍状亚菊杂类草群落、黑沙蓬群落等荒漠草原植被、柠条、沙柳、文冠果。</w:t>
            </w:r>
            <w:r>
              <w:rPr>
                <w:rFonts w:hint="eastAsia"/>
                <w:color w:val="000000" w:themeColor="text1"/>
                <w:sz w:val="24"/>
                <w:szCs w:val="24"/>
                <w:highlight w:val="none"/>
                <w14:textFill>
                  <w14:solidFill>
                    <w14:schemeClr w14:val="tx1"/>
                  </w14:solidFill>
                </w14:textFill>
              </w:rPr>
              <w:t>本项植被类型图见附图1</w:t>
            </w:r>
            <w:r>
              <w:rPr>
                <w:rFonts w:hint="eastAsia"/>
                <w:color w:val="000000" w:themeColor="text1"/>
                <w:sz w:val="24"/>
                <w:szCs w:val="24"/>
                <w:highlight w:val="none"/>
                <w:lang w:val="en-US" w:eastAsia="zh-CN"/>
                <w14:textFill>
                  <w14:solidFill>
                    <w14:schemeClr w14:val="tx1"/>
                  </w14:solidFill>
                </w14:textFill>
              </w:rPr>
              <w:t>4</w:t>
            </w:r>
            <w:r>
              <w:rPr>
                <w:rFonts w:hint="eastAsia"/>
                <w:color w:val="000000" w:themeColor="text1"/>
                <w:sz w:val="24"/>
                <w:szCs w:val="24"/>
                <w:highlight w:val="none"/>
                <w14:textFill>
                  <w14:solidFill>
                    <w14:schemeClr w14:val="tx1"/>
                  </w14:solidFill>
                </w14:textFill>
              </w:rPr>
              <w:t>。</w:t>
            </w:r>
          </w:p>
          <w:tbl>
            <w:tblPr>
              <w:tblStyle w:val="25"/>
              <w:tblW w:w="76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04"/>
              <w:gridCol w:w="3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4" w:type="dxa"/>
                </w:tcPr>
                <w:p>
                  <w:pPr>
                    <w:rPr>
                      <w:sz w:val="24"/>
                      <w:szCs w:val="24"/>
                      <w:highlight w:val="none"/>
                    </w:rPr>
                  </w:pPr>
                  <w:r>
                    <w:rPr>
                      <w:sz w:val="24"/>
                      <w:szCs w:val="24"/>
                      <w:highlight w:val="none"/>
                    </w:rPr>
                    <w:drawing>
                      <wp:inline distT="0" distB="0" distL="0" distR="0">
                        <wp:extent cx="2400300" cy="1800225"/>
                        <wp:effectExtent l="0" t="0" r="0" b="9525"/>
                        <wp:docPr id="2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9.jpeg"/>
                                <pic:cNvPicPr>
                                  <a:picLocks noChangeAspect="1"/>
                                </pic:cNvPicPr>
                              </pic:nvPicPr>
                              <pic:blipFill>
                                <a:blip r:embed="rId53" cstate="print"/>
                                <a:stretch>
                                  <a:fillRect/>
                                </a:stretch>
                              </pic:blipFill>
                              <pic:spPr>
                                <a:xfrm>
                                  <a:off x="0" y="0"/>
                                  <a:ext cx="2400300" cy="1800225"/>
                                </a:xfrm>
                                <a:prstGeom prst="rect">
                                  <a:avLst/>
                                </a:prstGeom>
                              </pic:spPr>
                            </pic:pic>
                          </a:graphicData>
                        </a:graphic>
                      </wp:inline>
                    </w:drawing>
                  </w:r>
                </w:p>
              </w:tc>
              <w:tc>
                <w:tcPr>
                  <w:tcW w:w="3805" w:type="dxa"/>
                </w:tcPr>
                <w:p>
                  <w:pPr>
                    <w:rPr>
                      <w:sz w:val="24"/>
                      <w:szCs w:val="24"/>
                      <w:highlight w:val="none"/>
                    </w:rPr>
                  </w:pPr>
                  <w:r>
                    <w:rPr>
                      <w:sz w:val="24"/>
                      <w:szCs w:val="24"/>
                      <w:highlight w:val="none"/>
                    </w:rPr>
                    <w:drawing>
                      <wp:inline distT="0" distB="0" distL="0" distR="0">
                        <wp:extent cx="2399665" cy="1800225"/>
                        <wp:effectExtent l="0" t="0" r="635" b="9525"/>
                        <wp:docPr id="3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0.jpeg"/>
                                <pic:cNvPicPr>
                                  <a:picLocks noChangeAspect="1"/>
                                </pic:cNvPicPr>
                              </pic:nvPicPr>
                              <pic:blipFill>
                                <a:blip r:embed="rId54" cstate="print"/>
                                <a:stretch>
                                  <a:fillRect/>
                                </a:stretch>
                              </pic:blipFill>
                              <pic:spPr>
                                <a:xfrm>
                                  <a:off x="0" y="0"/>
                                  <a:ext cx="2399665" cy="18002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4" w:type="dxa"/>
                </w:tcPr>
                <w:p>
                  <w:pPr>
                    <w:rPr>
                      <w:sz w:val="24"/>
                      <w:szCs w:val="24"/>
                      <w:highlight w:val="none"/>
                    </w:rPr>
                  </w:pPr>
                  <w:r>
                    <w:rPr>
                      <w:sz w:val="24"/>
                      <w:szCs w:val="24"/>
                      <w:highlight w:val="none"/>
                    </w:rPr>
                    <w:drawing>
                      <wp:inline distT="0" distB="0" distL="0" distR="0">
                        <wp:extent cx="2399665" cy="1800225"/>
                        <wp:effectExtent l="0" t="0" r="635" b="9525"/>
                        <wp:docPr id="3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1.jpeg"/>
                                <pic:cNvPicPr>
                                  <a:picLocks noChangeAspect="1"/>
                                </pic:cNvPicPr>
                              </pic:nvPicPr>
                              <pic:blipFill>
                                <a:blip r:embed="rId55" cstate="print"/>
                                <a:stretch>
                                  <a:fillRect/>
                                </a:stretch>
                              </pic:blipFill>
                              <pic:spPr>
                                <a:xfrm>
                                  <a:off x="0" y="0"/>
                                  <a:ext cx="2399665" cy="1800225"/>
                                </a:xfrm>
                                <a:prstGeom prst="rect">
                                  <a:avLst/>
                                </a:prstGeom>
                              </pic:spPr>
                            </pic:pic>
                          </a:graphicData>
                        </a:graphic>
                      </wp:inline>
                    </w:drawing>
                  </w:r>
                </w:p>
              </w:tc>
              <w:tc>
                <w:tcPr>
                  <w:tcW w:w="3805" w:type="dxa"/>
                </w:tcPr>
                <w:p>
                  <w:pPr>
                    <w:rPr>
                      <w:sz w:val="24"/>
                      <w:szCs w:val="24"/>
                      <w:highlight w:val="none"/>
                    </w:rPr>
                  </w:pPr>
                  <w:r>
                    <w:rPr>
                      <w:sz w:val="24"/>
                      <w:szCs w:val="24"/>
                      <w:highlight w:val="none"/>
                    </w:rPr>
                    <w:drawing>
                      <wp:inline distT="0" distB="0" distL="0" distR="0">
                        <wp:extent cx="2399665" cy="1800225"/>
                        <wp:effectExtent l="0" t="0" r="635" b="9525"/>
                        <wp:docPr id="3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2.jpeg"/>
                                <pic:cNvPicPr>
                                  <a:picLocks noChangeAspect="1"/>
                                </pic:cNvPicPr>
                              </pic:nvPicPr>
                              <pic:blipFill>
                                <a:blip r:embed="rId56" cstate="print"/>
                                <a:stretch>
                                  <a:fillRect/>
                                </a:stretch>
                              </pic:blipFill>
                              <pic:spPr>
                                <a:xfrm>
                                  <a:off x="0" y="0"/>
                                  <a:ext cx="2399665" cy="1800225"/>
                                </a:xfrm>
                                <a:prstGeom prst="rect">
                                  <a:avLst/>
                                </a:prstGeom>
                              </pic:spPr>
                            </pic:pic>
                          </a:graphicData>
                        </a:graphic>
                      </wp:inline>
                    </w:drawing>
                  </w:r>
                </w:p>
              </w:tc>
            </w:tr>
          </w:tbl>
          <w:p>
            <w:pPr>
              <w:pStyle w:val="7"/>
              <w:outlineLvl w:val="6"/>
              <w:rPr>
                <w:sz w:val="24"/>
                <w:szCs w:val="24"/>
                <w:highlight w:val="yellow"/>
              </w:rPr>
            </w:pPr>
            <w:r>
              <w:rPr>
                <w:rFonts w:hint="eastAsia"/>
                <w:sz w:val="24"/>
                <w:szCs w:val="24"/>
                <w:highlight w:val="none"/>
              </w:rPr>
              <w:t>图3-</w:t>
            </w:r>
            <w:r>
              <w:rPr>
                <w:rFonts w:hint="eastAsia"/>
                <w:sz w:val="24"/>
                <w:szCs w:val="24"/>
                <w:highlight w:val="none"/>
                <w:lang w:val="en-US" w:eastAsia="zh-CN"/>
              </w:rPr>
              <w:t>1</w:t>
            </w:r>
            <w:r>
              <w:rPr>
                <w:sz w:val="24"/>
                <w:szCs w:val="24"/>
                <w:highlight w:val="none"/>
              </w:rPr>
              <w:t>项目区域现状图</w:t>
            </w:r>
          </w:p>
          <w:p>
            <w:pPr>
              <w:pStyle w:val="15"/>
              <w:ind w:firstLine="420"/>
              <w:rPr>
                <w:sz w:val="24"/>
                <w:szCs w:val="24"/>
                <w:highlight w:val="none"/>
              </w:rPr>
            </w:pPr>
            <w:r>
              <w:rPr>
                <w:rFonts w:hint="eastAsia"/>
                <w:sz w:val="24"/>
                <w:szCs w:val="24"/>
                <w:highlight w:val="none"/>
              </w:rPr>
              <w:t>（6）动物分布情况</w:t>
            </w:r>
          </w:p>
          <w:p>
            <w:pPr>
              <w:pStyle w:val="15"/>
              <w:ind w:firstLine="420"/>
              <w:rPr>
                <w:sz w:val="24"/>
                <w:szCs w:val="24"/>
                <w:highlight w:val="none"/>
              </w:rPr>
            </w:pPr>
            <w:r>
              <w:rPr>
                <w:rFonts w:hint="eastAsia"/>
                <w:sz w:val="24"/>
                <w:szCs w:val="24"/>
                <w:highlight w:val="none"/>
              </w:rPr>
              <w:t>采场经过多年的开发，早已破坏了原有生态环境野生动物的栖息环境，加上矿山施工机械噪声及人员活动产生影响，给周围动物的生活造成了干扰，使它们的生活受到威胁而迁徙，早已远离矿山施工地周围。大型野生动物已不多见，野生动物资源较少，主要动物有体型较小的鸟类，如斑鸠、山雀等，但每种鸟的种群数量不大。哺乳类有田鼠等；两栖类有青蛙等；爬行类有蛇、蜥蜴、壁虎等；腹足类有蜗牛、田螺等以及其他昆虫类，如蝴蝶、蜻蜓等。</w:t>
            </w:r>
            <w:r>
              <w:rPr>
                <w:rFonts w:hint="eastAsia"/>
                <w:lang w:eastAsia="zh-CN"/>
              </w:rPr>
              <w:t>评价范围内</w:t>
            </w:r>
            <w:r>
              <w:rPr>
                <w:rFonts w:hint="eastAsia"/>
                <w:sz w:val="24"/>
                <w:szCs w:val="24"/>
                <w:highlight w:val="none"/>
              </w:rPr>
              <w:t>无国家濒危珍稀保护动物及其栖息地分布。</w:t>
            </w:r>
          </w:p>
          <w:p>
            <w:pPr>
              <w:pStyle w:val="15"/>
              <w:ind w:firstLine="0" w:firstLineChars="0"/>
              <w:rPr>
                <w:b/>
                <w:sz w:val="24"/>
                <w:szCs w:val="24"/>
                <w:highlight w:val="none"/>
              </w:rPr>
            </w:pPr>
            <w:r>
              <w:rPr>
                <w:rFonts w:hint="eastAsia"/>
                <w:b/>
                <w:sz w:val="24"/>
                <w:szCs w:val="24"/>
                <w:highlight w:val="none"/>
              </w:rPr>
              <w:t>2、</w:t>
            </w:r>
            <w:r>
              <w:rPr>
                <w:rFonts w:hint="eastAsia"/>
                <w:b/>
                <w:sz w:val="24"/>
                <w:szCs w:val="24"/>
                <w:highlight w:val="none"/>
                <w:lang w:eastAsia="zh-CN"/>
              </w:rPr>
              <w:t>区域</w:t>
            </w:r>
            <w:r>
              <w:rPr>
                <w:rFonts w:hint="eastAsia"/>
                <w:b/>
                <w:sz w:val="24"/>
                <w:szCs w:val="24"/>
                <w:highlight w:val="none"/>
              </w:rPr>
              <w:t>环境</w:t>
            </w:r>
            <w:r>
              <w:rPr>
                <w:b/>
                <w:sz w:val="24"/>
                <w:szCs w:val="24"/>
                <w:highlight w:val="none"/>
              </w:rPr>
              <w:t>空气质量现状</w:t>
            </w:r>
          </w:p>
          <w:p>
            <w:pPr>
              <w:pStyle w:val="15"/>
              <w:ind w:firstLine="420"/>
              <w:rPr>
                <w:rFonts w:hint="eastAsia" w:ascii="宋体" w:hAnsi="宋体" w:eastAsia="宋体" w:cs="宋体"/>
                <w:sz w:val="24"/>
                <w:szCs w:val="24"/>
              </w:rPr>
            </w:pPr>
            <w:r>
              <w:rPr>
                <w:sz w:val="24"/>
                <w:szCs w:val="24"/>
                <w:highlight w:val="none"/>
              </w:rPr>
              <w:t>根据《环境影响评价技术导则大气环境》（HJ2.2-2018），</w:t>
            </w:r>
            <w:r>
              <w:rPr>
                <w:rFonts w:hint="eastAsia" w:ascii="宋体" w:hAnsi="宋体" w:eastAsia="宋体" w:cs="宋体"/>
                <w:sz w:val="24"/>
                <w:szCs w:val="24"/>
              </w:rPr>
              <w:t>本项目选取2021年作为评价基准年，根据《2021年宁夏生态环境质量状况》</w:t>
            </w:r>
            <w:r>
              <w:rPr>
                <w:rFonts w:hint="eastAsia" w:ascii="宋体" w:hAnsi="宋体" w:cs="宋体"/>
                <w:sz w:val="24"/>
                <w:szCs w:val="24"/>
                <w:lang w:eastAsia="zh-CN"/>
              </w:rPr>
              <w:t>中卫站</w:t>
            </w:r>
            <w:r>
              <w:rPr>
                <w:rFonts w:hint="eastAsia" w:ascii="宋体" w:hAnsi="宋体" w:eastAsia="宋体" w:cs="宋体"/>
                <w:sz w:val="24"/>
                <w:szCs w:val="24"/>
              </w:rPr>
              <w:t>的</w:t>
            </w:r>
            <w:r>
              <w:rPr>
                <w:rFonts w:hint="eastAsia" w:ascii="宋体" w:hAnsi="宋体" w:cs="宋体"/>
                <w:sz w:val="24"/>
                <w:szCs w:val="24"/>
                <w:lang w:eastAsia="zh-CN"/>
              </w:rPr>
              <w:t>检测数据</w:t>
            </w:r>
            <w:r>
              <w:rPr>
                <w:rFonts w:hint="eastAsia" w:ascii="宋体" w:hAnsi="宋体" w:eastAsia="宋体" w:cs="宋体"/>
                <w:sz w:val="24"/>
                <w:szCs w:val="24"/>
              </w:rPr>
              <w:t>，剔除沙尘天气影响后，项目所在区域为达标区，具体指标见表3-</w:t>
            </w:r>
            <w:r>
              <w:rPr>
                <w:rFonts w:hint="eastAsia" w:ascii="宋体" w:hAnsi="宋体" w:cs="宋体"/>
                <w:sz w:val="24"/>
                <w:szCs w:val="24"/>
                <w:lang w:val="en-US" w:eastAsia="zh-CN"/>
              </w:rPr>
              <w:t>3</w:t>
            </w:r>
            <w:r>
              <w:rPr>
                <w:rFonts w:hint="eastAsia" w:ascii="宋体" w:hAnsi="宋体" w:eastAsia="宋体" w:cs="宋体"/>
                <w:sz w:val="24"/>
                <w:szCs w:val="24"/>
              </w:rPr>
              <w:t>。</w:t>
            </w:r>
          </w:p>
          <w:p>
            <w:pPr>
              <w:pStyle w:val="7"/>
              <w:spacing w:line="240" w:lineRule="auto"/>
              <w:ind w:firstLine="723" w:firstLineChars="300"/>
              <w:jc w:val="both"/>
              <w:outlineLvl w:val="6"/>
              <w:rPr>
                <w:sz w:val="24"/>
                <w:szCs w:val="24"/>
                <w:highlight w:val="none"/>
              </w:rPr>
            </w:pPr>
            <w:r>
              <w:rPr>
                <w:rFonts w:hint="eastAsia"/>
                <w:sz w:val="24"/>
                <w:szCs w:val="24"/>
                <w:highlight w:val="none"/>
              </w:rPr>
              <w:t>表3-3</w:t>
            </w:r>
            <w:r>
              <w:rPr>
                <w:rFonts w:hint="eastAsia"/>
                <w:sz w:val="24"/>
                <w:szCs w:val="24"/>
                <w:highlight w:val="none"/>
                <w:lang w:val="en-US" w:eastAsia="zh-CN"/>
              </w:rPr>
              <w:t xml:space="preserve">           </w:t>
            </w:r>
            <w:r>
              <w:rPr>
                <w:sz w:val="24"/>
                <w:szCs w:val="24"/>
                <w:highlight w:val="none"/>
              </w:rPr>
              <w:t>空气质量一览表</w:t>
            </w:r>
          </w:p>
          <w:p>
            <w:pPr>
              <w:rPr>
                <w:rFonts w:hint="eastAsia"/>
              </w:rPr>
            </w:pPr>
            <w:r>
              <w:drawing>
                <wp:inline distT="0" distB="0" distL="114300" distR="114300">
                  <wp:extent cx="4728845" cy="2909570"/>
                  <wp:effectExtent l="0" t="0" r="14605" b="508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57"/>
                          <a:stretch>
                            <a:fillRect/>
                          </a:stretch>
                        </pic:blipFill>
                        <pic:spPr>
                          <a:xfrm>
                            <a:off x="0" y="0"/>
                            <a:ext cx="4728845" cy="2909570"/>
                          </a:xfrm>
                          <a:prstGeom prst="rect">
                            <a:avLst/>
                          </a:prstGeom>
                          <a:noFill/>
                          <a:ln>
                            <a:noFill/>
                          </a:ln>
                        </pic:spPr>
                      </pic:pic>
                    </a:graphicData>
                  </a:graphic>
                </wp:inline>
              </w:drawing>
            </w:r>
          </w:p>
          <w:p>
            <w:pPr>
              <w:spacing w:line="360" w:lineRule="auto"/>
              <w:ind w:firstLine="480" w:firstLineChars="200"/>
              <w:jc w:val="left"/>
              <w:rPr>
                <w:rFonts w:hint="eastAsia" w:eastAsia="宋体"/>
                <w:lang w:eastAsia="zh-CN"/>
              </w:rPr>
            </w:pPr>
            <w:r>
              <w:rPr>
                <w:rFonts w:hint="eastAsia"/>
              </w:rPr>
              <w:t>由</w:t>
            </w:r>
            <w:r>
              <w:rPr>
                <w:rFonts w:hint="eastAsia"/>
                <w:lang w:eastAsia="zh-CN"/>
              </w:rPr>
              <w:t>上表</w:t>
            </w:r>
            <w:r>
              <w:rPr>
                <w:rFonts w:hint="eastAsia"/>
              </w:rPr>
              <w:t>可知，</w:t>
            </w:r>
            <w:r>
              <w:rPr>
                <w:rFonts w:hint="eastAsia" w:ascii="宋体" w:hAnsi="宋体" w:eastAsia="宋体" w:cs="宋体"/>
                <w:sz w:val="24"/>
                <w:szCs w:val="24"/>
              </w:rPr>
              <w:t>PM</w:t>
            </w:r>
            <w:r>
              <w:rPr>
                <w:rFonts w:hint="eastAsia" w:ascii="宋体" w:hAnsi="宋体" w:cs="宋体"/>
                <w:sz w:val="24"/>
                <w:szCs w:val="24"/>
                <w:vertAlign w:val="subscript"/>
                <w:lang w:val="en-US" w:eastAsia="zh-CN"/>
              </w:rPr>
              <w:t>10</w:t>
            </w:r>
            <w:r>
              <w:rPr>
                <w:rFonts w:hint="eastAsia" w:ascii="宋体" w:hAnsi="宋体" w:eastAsia="宋体" w:cs="宋体"/>
                <w:sz w:val="24"/>
                <w:szCs w:val="24"/>
              </w:rPr>
              <w:t>、PM</w:t>
            </w:r>
            <w:r>
              <w:rPr>
                <w:rFonts w:hint="eastAsia" w:ascii="宋体" w:hAnsi="宋体" w:eastAsia="宋体" w:cs="宋体"/>
                <w:sz w:val="24"/>
                <w:szCs w:val="24"/>
                <w:vertAlign w:val="subscript"/>
              </w:rPr>
              <w:t>2.5</w:t>
            </w:r>
            <w:r>
              <w:rPr>
                <w:rFonts w:hint="eastAsia" w:ascii="宋体" w:hAnsi="宋体" w:eastAsia="宋体" w:cs="宋体"/>
                <w:sz w:val="24"/>
                <w:szCs w:val="24"/>
              </w:rPr>
              <w:t>、SO</w:t>
            </w:r>
            <w:r>
              <w:rPr>
                <w:rFonts w:hint="eastAsia" w:ascii="宋体" w:hAnsi="宋体" w:eastAsia="宋体" w:cs="宋体"/>
                <w:sz w:val="24"/>
                <w:szCs w:val="24"/>
                <w:vertAlign w:val="subscript"/>
              </w:rPr>
              <w:t>2</w:t>
            </w:r>
            <w:r>
              <w:rPr>
                <w:rFonts w:hint="eastAsia" w:ascii="宋体" w:hAnsi="宋体" w:eastAsia="宋体" w:cs="宋体"/>
                <w:sz w:val="24"/>
                <w:szCs w:val="24"/>
              </w:rPr>
              <w:t>、NO</w:t>
            </w:r>
            <w:r>
              <w:rPr>
                <w:rFonts w:hint="eastAsia" w:ascii="宋体" w:hAnsi="宋体" w:eastAsia="宋体" w:cs="宋体"/>
                <w:sz w:val="24"/>
                <w:szCs w:val="24"/>
                <w:vertAlign w:val="subscript"/>
              </w:rPr>
              <w:t>2</w:t>
            </w:r>
            <w:r>
              <w:rPr>
                <w:rFonts w:hint="eastAsia" w:ascii="宋体" w:hAnsi="宋体" w:eastAsia="宋体" w:cs="宋体"/>
                <w:sz w:val="24"/>
                <w:szCs w:val="24"/>
              </w:rPr>
              <w:t>年平均质量浓度、CO和O</w:t>
            </w:r>
            <w:r>
              <w:rPr>
                <w:rFonts w:hint="eastAsia" w:ascii="宋体" w:hAnsi="宋体" w:eastAsia="宋体" w:cs="宋体"/>
                <w:sz w:val="24"/>
                <w:szCs w:val="24"/>
                <w:vertAlign w:val="subscript"/>
              </w:rPr>
              <w:t>3</w:t>
            </w:r>
            <w:r>
              <w:rPr>
                <w:rFonts w:hint="eastAsia" w:ascii="宋体" w:hAnsi="宋体" w:eastAsia="宋体" w:cs="宋体"/>
                <w:sz w:val="24"/>
                <w:szCs w:val="24"/>
                <w:lang w:eastAsia="zh-CN"/>
              </w:rPr>
              <w:t>年均</w:t>
            </w:r>
            <w:r>
              <w:rPr>
                <w:rFonts w:hint="eastAsia" w:ascii="宋体" w:hAnsi="宋体" w:eastAsia="宋体" w:cs="宋体"/>
                <w:sz w:val="24"/>
                <w:szCs w:val="24"/>
              </w:rPr>
              <w:t>浓度均达到《环境空气质量标准》（GB3095-2012）中二级标准要求</w:t>
            </w:r>
            <w:r>
              <w:rPr>
                <w:rFonts w:hint="eastAsia" w:ascii="宋体" w:hAnsi="宋体" w:cs="宋体"/>
                <w:sz w:val="24"/>
                <w:szCs w:val="24"/>
                <w:lang w:eastAsia="zh-CN"/>
              </w:rPr>
              <w:t>。</w:t>
            </w:r>
          </w:p>
          <w:p>
            <w:pPr>
              <w:pStyle w:val="15"/>
              <w:ind w:firstLine="0" w:firstLineChars="0"/>
              <w:rPr>
                <w:b/>
                <w:sz w:val="24"/>
                <w:szCs w:val="24"/>
                <w:highlight w:val="none"/>
              </w:rPr>
            </w:pPr>
            <w:r>
              <w:rPr>
                <w:rFonts w:hint="eastAsia"/>
                <w:b/>
                <w:sz w:val="24"/>
                <w:szCs w:val="24"/>
                <w:highlight w:val="none"/>
              </w:rPr>
              <w:t>3、地表水环境现状</w:t>
            </w:r>
          </w:p>
          <w:p>
            <w:pPr>
              <w:pStyle w:val="15"/>
              <w:ind w:firstLine="420"/>
              <w:rPr>
                <w:sz w:val="24"/>
                <w:szCs w:val="24"/>
                <w:highlight w:val="none"/>
              </w:rPr>
            </w:pPr>
            <w:r>
              <w:rPr>
                <w:rFonts w:hint="eastAsia"/>
                <w:sz w:val="24"/>
                <w:szCs w:val="24"/>
                <w:highlight w:val="none"/>
              </w:rPr>
              <w:t>本工程所在区域常年地表水体主要为黄河，</w:t>
            </w:r>
            <w:r>
              <w:rPr>
                <w:rFonts w:hint="eastAsia"/>
                <w:sz w:val="24"/>
                <w:szCs w:val="24"/>
                <w:highlight w:val="none"/>
                <w:lang w:eastAsia="zh-CN"/>
              </w:rPr>
              <w:t>距离</w:t>
            </w:r>
            <w:r>
              <w:rPr>
                <w:rFonts w:hint="eastAsia"/>
                <w:sz w:val="24"/>
                <w:szCs w:val="24"/>
                <w:highlight w:val="none"/>
              </w:rPr>
              <w:t>本项目</w:t>
            </w:r>
            <w:r>
              <w:rPr>
                <w:rFonts w:hint="eastAsia"/>
                <w:sz w:val="24"/>
                <w:szCs w:val="24"/>
                <w:highlight w:val="none"/>
                <w:lang w:eastAsia="zh-CN"/>
              </w:rPr>
              <w:t>最近点南侧</w:t>
            </w:r>
            <w:r>
              <w:rPr>
                <w:rFonts w:hint="eastAsia"/>
                <w:lang w:val="en-US" w:eastAsia="zh-CN"/>
              </w:rPr>
              <w:t>5.8公里</w:t>
            </w:r>
            <w:r>
              <w:rPr>
                <w:rFonts w:hint="eastAsia"/>
                <w:sz w:val="24"/>
                <w:szCs w:val="24"/>
                <w:highlight w:val="none"/>
              </w:rPr>
              <w:t>，本次评价采用《2021年中卫市生态环境质量报告书》中黄河中卫下河沿断面的监测数据，具体数据见下表：</w:t>
            </w:r>
          </w:p>
          <w:p>
            <w:pPr>
              <w:pStyle w:val="7"/>
              <w:spacing w:line="240" w:lineRule="auto"/>
              <w:outlineLvl w:val="6"/>
              <w:rPr>
                <w:sz w:val="24"/>
                <w:szCs w:val="24"/>
                <w:highlight w:val="none"/>
              </w:rPr>
            </w:pPr>
            <w:r>
              <w:rPr>
                <w:rFonts w:hint="eastAsia"/>
                <w:sz w:val="24"/>
                <w:szCs w:val="24"/>
                <w:highlight w:val="none"/>
              </w:rPr>
              <w:t>表3-</w:t>
            </w:r>
            <w:r>
              <w:rPr>
                <w:rFonts w:hint="eastAsia"/>
                <w:sz w:val="24"/>
                <w:szCs w:val="24"/>
                <w:highlight w:val="none"/>
                <w:lang w:val="en-US" w:eastAsia="zh-CN"/>
              </w:rPr>
              <w:t>5</w:t>
            </w:r>
            <w:r>
              <w:rPr>
                <w:rFonts w:hint="eastAsia"/>
                <w:sz w:val="24"/>
                <w:szCs w:val="24"/>
                <w:highlight w:val="none"/>
              </w:rPr>
              <w:t xml:space="preserve"> 地表水监测结果一览表（单位：mg/L，pH无量纲）</w:t>
            </w:r>
          </w:p>
          <w:tbl>
            <w:tblPr>
              <w:tblStyle w:val="24"/>
              <w:tblW w:w="7244"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525"/>
              <w:gridCol w:w="1227"/>
              <w:gridCol w:w="969"/>
              <w:gridCol w:w="814"/>
              <w:gridCol w:w="898"/>
              <w:gridCol w:w="898"/>
              <w:gridCol w:w="898"/>
              <w:gridCol w:w="101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textDirection w:val="tbRlV"/>
                  <w:vAlign w:val="center"/>
                </w:tcPr>
                <w:p>
                  <w:pPr>
                    <w:widowControl/>
                    <w:textAlignment w:val="bottom"/>
                    <w:rPr>
                      <w:sz w:val="21"/>
                      <w:szCs w:val="21"/>
                      <w:highlight w:val="none"/>
                    </w:rPr>
                  </w:pPr>
                  <w:r>
                    <w:rPr>
                      <w:sz w:val="21"/>
                      <w:szCs w:val="21"/>
                      <w:highlight w:val="none"/>
                    </w:rPr>
                    <w:t>序号</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项目</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Ⅱ类标准</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样本个数</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最大值</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最小值</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平均值</w:t>
                  </w:r>
                </w:p>
              </w:tc>
              <w:tc>
                <w:tcPr>
                  <w:tcW w:w="101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超标率(%)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pH</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6-9</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8.63</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7.95</w:t>
                  </w:r>
                </w:p>
              </w:tc>
              <w:tc>
                <w:tcPr>
                  <w:tcW w:w="898" w:type="dxa"/>
                  <w:tcBorders>
                    <w:tl2br w:val="nil"/>
                    <w:tr2bl w:val="nil"/>
                  </w:tcBorders>
                  <w:shd w:val="clear" w:color="auto" w:fill="auto"/>
                  <w:vAlign w:val="center"/>
                </w:tcPr>
                <w:p>
                  <w:pPr>
                    <w:widowControl/>
                    <w:textAlignment w:val="center"/>
                    <w:rPr>
                      <w:rFonts w:hint="default" w:eastAsia="宋体"/>
                      <w:sz w:val="21"/>
                      <w:szCs w:val="21"/>
                      <w:highlight w:val="none"/>
                      <w:lang w:val="en-US" w:eastAsia="zh-CN"/>
                    </w:rPr>
                  </w:pPr>
                  <w:r>
                    <w:rPr>
                      <w:rFonts w:hint="eastAsia"/>
                      <w:sz w:val="21"/>
                      <w:szCs w:val="21"/>
                      <w:highlight w:val="none"/>
                      <w:lang w:val="en-US" w:eastAsia="zh-CN"/>
                    </w:rPr>
                    <w:t>/</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2</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溶解氧</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6</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12.0</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7.3</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9.1</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3</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高锰酸盐指数</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4</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3.5</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1.8</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2.2</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4</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生化需氧量</w:t>
                  </w:r>
                </w:p>
              </w:tc>
              <w:tc>
                <w:tcPr>
                  <w:tcW w:w="969"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3</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1.4</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0.6</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101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5</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氨氮</w:t>
                  </w:r>
                </w:p>
              </w:tc>
              <w:tc>
                <w:tcPr>
                  <w:tcW w:w="969"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0.5</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0.23</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0.10</w:t>
                  </w:r>
                </w:p>
              </w:tc>
              <w:tc>
                <w:tcPr>
                  <w:tcW w:w="101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6</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汞</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0.00005</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0.00002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0.00002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0.00002</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7</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铅</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0.01</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0.001</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0.001</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0.001</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8</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挥发酚</w:t>
                  </w:r>
                </w:p>
              </w:tc>
              <w:tc>
                <w:tcPr>
                  <w:tcW w:w="969"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0.002</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0.004</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0.0002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0.0006</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9</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石油类</w:t>
                  </w:r>
                </w:p>
              </w:tc>
              <w:tc>
                <w:tcPr>
                  <w:tcW w:w="969"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0.05</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0.01</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0.01</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10</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总磷</w:t>
                  </w:r>
                </w:p>
              </w:tc>
              <w:tc>
                <w:tcPr>
                  <w:tcW w:w="969"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0.1</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0.080</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0.010</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0.044</w:t>
                  </w:r>
                </w:p>
              </w:tc>
              <w:tc>
                <w:tcPr>
                  <w:tcW w:w="101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11</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化学需氧量</w:t>
                  </w:r>
                </w:p>
              </w:tc>
              <w:tc>
                <w:tcPr>
                  <w:tcW w:w="969"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15</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11.0</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4.0</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7.7</w:t>
                  </w:r>
                </w:p>
              </w:tc>
              <w:tc>
                <w:tcPr>
                  <w:tcW w:w="101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铜</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1.0</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0.003</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0.001</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0.001</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13</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锌</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1.0</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0.03</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0.004</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0.02</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14</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氟化物</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1.0</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0.30</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0.16</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0.24</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15</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硒</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0.01</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0.0005</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0.0002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0.0002</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16</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砷</w:t>
                  </w:r>
                </w:p>
              </w:tc>
              <w:tc>
                <w:tcPr>
                  <w:tcW w:w="969"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0.05</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0.007</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0.001</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0.004</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17</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镉</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0.005</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0.00005</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0.00005</w:t>
                  </w:r>
                </w:p>
              </w:tc>
              <w:tc>
                <w:tcPr>
                  <w:tcW w:w="898"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0.00005</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18</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六价铬</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0.05</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0.002</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19</w:t>
                  </w:r>
                </w:p>
              </w:tc>
              <w:tc>
                <w:tcPr>
                  <w:tcW w:w="1227"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氰化物</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0.05</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0.001</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0.001</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20</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阴离子表面活性剂</w:t>
                  </w:r>
                </w:p>
              </w:tc>
              <w:tc>
                <w:tcPr>
                  <w:tcW w:w="969"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0.2</w:t>
                  </w:r>
                </w:p>
              </w:tc>
              <w:tc>
                <w:tcPr>
                  <w:tcW w:w="814"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0.08</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0.03</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0.04</w:t>
                  </w:r>
                </w:p>
              </w:tc>
              <w:tc>
                <w:tcPr>
                  <w:tcW w:w="1015"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52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21</w:t>
                  </w:r>
                </w:p>
              </w:tc>
              <w:tc>
                <w:tcPr>
                  <w:tcW w:w="1227"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硫化物</w:t>
                  </w:r>
                </w:p>
              </w:tc>
              <w:tc>
                <w:tcPr>
                  <w:tcW w:w="969"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0.1</w:t>
                  </w:r>
                </w:p>
              </w:tc>
              <w:tc>
                <w:tcPr>
                  <w:tcW w:w="814"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12</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0.007</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0.003</w:t>
                  </w:r>
                </w:p>
              </w:tc>
              <w:tc>
                <w:tcPr>
                  <w:tcW w:w="898" w:type="dxa"/>
                  <w:tcBorders>
                    <w:tl2br w:val="nil"/>
                    <w:tr2bl w:val="nil"/>
                  </w:tcBorders>
                  <w:shd w:val="clear" w:color="auto" w:fill="auto"/>
                  <w:vAlign w:val="center"/>
                </w:tcPr>
                <w:p>
                  <w:pPr>
                    <w:widowControl/>
                    <w:textAlignment w:val="center"/>
                    <w:rPr>
                      <w:sz w:val="21"/>
                      <w:szCs w:val="21"/>
                      <w:highlight w:val="none"/>
                    </w:rPr>
                  </w:pPr>
                  <w:r>
                    <w:rPr>
                      <w:sz w:val="21"/>
                      <w:szCs w:val="21"/>
                      <w:highlight w:val="none"/>
                    </w:rPr>
                    <w:t>0.003</w:t>
                  </w:r>
                </w:p>
              </w:tc>
              <w:tc>
                <w:tcPr>
                  <w:tcW w:w="1015" w:type="dxa"/>
                  <w:tcBorders>
                    <w:tl2br w:val="nil"/>
                    <w:tr2bl w:val="nil"/>
                  </w:tcBorders>
                  <w:shd w:val="clear" w:color="auto" w:fill="auto"/>
                  <w:vAlign w:val="center"/>
                </w:tcPr>
                <w:p>
                  <w:pPr>
                    <w:widowControl/>
                    <w:textAlignment w:val="bottom"/>
                    <w:rPr>
                      <w:sz w:val="21"/>
                      <w:szCs w:val="21"/>
                      <w:highlight w:val="none"/>
                    </w:rPr>
                  </w:pPr>
                  <w:r>
                    <w:rPr>
                      <w:sz w:val="21"/>
                      <w:szCs w:val="21"/>
                      <w:highlight w:val="none"/>
                    </w:rPr>
                    <w:t>0</w:t>
                  </w:r>
                </w:p>
              </w:tc>
            </w:tr>
          </w:tbl>
          <w:p>
            <w:pPr>
              <w:spacing w:line="360" w:lineRule="auto"/>
              <w:ind w:firstLine="480" w:firstLineChars="200"/>
              <w:jc w:val="both"/>
              <w:rPr>
                <w:rFonts w:hint="eastAsia"/>
              </w:rPr>
            </w:pPr>
            <w:r>
              <w:rPr>
                <w:rFonts w:hint="eastAsia"/>
              </w:rPr>
              <w:t>由上表</w:t>
            </w:r>
            <w:r>
              <w:rPr>
                <w:rFonts w:hint="eastAsia"/>
                <w:lang w:eastAsia="zh-CN"/>
              </w:rPr>
              <w:t>可知</w:t>
            </w:r>
            <w:r>
              <w:rPr>
                <w:rFonts w:hint="eastAsia"/>
              </w:rPr>
              <w:t>，黄河中卫下河沿断面水质指标中监测因子均满足《地表水环境质量标准》（GB3838-2002）Ⅱ类标准要求。</w:t>
            </w:r>
          </w:p>
          <w:p>
            <w:pPr>
              <w:pStyle w:val="15"/>
              <w:ind w:firstLine="0" w:firstLineChars="0"/>
              <w:rPr>
                <w:b/>
                <w:bCs/>
                <w:color w:val="auto"/>
                <w:sz w:val="24"/>
                <w:szCs w:val="24"/>
                <w:highlight w:val="none"/>
              </w:rPr>
            </w:pPr>
            <w:r>
              <w:rPr>
                <w:rFonts w:hint="eastAsia"/>
                <w:b/>
                <w:bCs/>
                <w:color w:val="auto"/>
                <w:sz w:val="24"/>
                <w:szCs w:val="24"/>
                <w:highlight w:val="none"/>
              </w:rPr>
              <w:t>4、噪声环境现状</w:t>
            </w:r>
          </w:p>
          <w:p>
            <w:pPr>
              <w:pStyle w:val="15"/>
              <w:ind w:firstLine="420"/>
              <w:jc w:val="both"/>
              <w:rPr>
                <w:rFonts w:hint="eastAsia"/>
                <w:color w:val="FF0000"/>
                <w:sz w:val="24"/>
                <w:szCs w:val="24"/>
                <w:highlight w:val="none"/>
                <w:lang w:eastAsia="zh-CN"/>
              </w:rPr>
            </w:pPr>
            <w:r>
              <w:rPr>
                <w:rFonts w:hint="eastAsia"/>
                <w:color w:val="auto"/>
                <w:sz w:val="24"/>
                <w:szCs w:val="24"/>
                <w:highlight w:val="none"/>
                <w:lang w:eastAsia="zh-CN"/>
              </w:rPr>
              <w:t>根据《建设项目环境影响报告表编制技术指南》（污染影响类）（试行），经现场勘查，距</w:t>
            </w:r>
            <w:r>
              <w:rPr>
                <w:rFonts w:hint="eastAsia"/>
                <w:color w:val="auto"/>
                <w:sz w:val="24"/>
                <w:szCs w:val="24"/>
                <w:highlight w:val="none"/>
              </w:rPr>
              <w:t>本项目香</w:t>
            </w:r>
            <w:r>
              <w:rPr>
                <w:rFonts w:hint="eastAsia" w:ascii="Times New Roman" w:hAnsi="Times New Roman" w:eastAsia="宋体" w:cs="Times New Roman"/>
                <w:color w:val="auto"/>
                <w:sz w:val="24"/>
                <w:szCs w:val="24"/>
                <w:highlight w:val="none"/>
              </w:rPr>
              <w:t>山梁水园村北</w:t>
            </w:r>
            <w:r>
              <w:rPr>
                <w:rFonts w:hint="eastAsia" w:ascii="Times New Roman" w:hAnsi="Times New Roman" w:eastAsia="宋体" w:cs="Times New Roman"/>
                <w:color w:val="auto"/>
                <w:sz w:val="24"/>
                <w:szCs w:val="24"/>
                <w:highlight w:val="none"/>
                <w:lang w:eastAsia="zh-CN"/>
              </w:rPr>
              <w:t>生态修复治理区</w:t>
            </w:r>
            <w:r>
              <w:rPr>
                <w:rFonts w:hint="eastAsia" w:ascii="Times New Roman" w:hAnsi="Times New Roman" w:eastAsia="宋体" w:cs="Times New Roman"/>
                <w:color w:val="auto"/>
                <w:sz w:val="24"/>
                <w:szCs w:val="24"/>
                <w:highlight w:val="none"/>
              </w:rPr>
              <w:t>13号治理点</w:t>
            </w:r>
            <w:r>
              <w:rPr>
                <w:rFonts w:hint="eastAsia" w:ascii="Times New Roman" w:hAnsi="Times New Roman" w:eastAsia="宋体" w:cs="Times New Roman"/>
                <w:color w:val="auto"/>
                <w:sz w:val="24"/>
                <w:szCs w:val="24"/>
                <w:highlight w:val="none"/>
                <w:lang w:eastAsia="zh-CN"/>
              </w:rPr>
              <w:t>东侧</w:t>
            </w:r>
            <w:r>
              <w:rPr>
                <w:rFonts w:hint="eastAsia" w:ascii="Times New Roman" w:hAnsi="Times New Roman" w:eastAsia="宋体" w:cs="Times New Roman"/>
                <w:color w:val="auto"/>
                <w:sz w:val="24"/>
                <w:szCs w:val="24"/>
                <w:highlight w:val="none"/>
                <w:lang w:val="en-US" w:eastAsia="zh-CN"/>
              </w:rPr>
              <w:t>25</w:t>
            </w:r>
            <w:r>
              <w:rPr>
                <w:rFonts w:hint="eastAsia" w:ascii="Times New Roman" w:hAnsi="Times New Roman" w:eastAsia="宋体" w:cs="Times New Roman"/>
                <w:color w:val="auto"/>
                <w:sz w:val="24"/>
                <w:szCs w:val="24"/>
                <w:highlight w:val="none"/>
              </w:rPr>
              <w:t>m</w:t>
            </w:r>
            <w:r>
              <w:rPr>
                <w:rFonts w:hint="eastAsia" w:ascii="Times New Roman" w:hAnsi="Times New Roman" w:eastAsia="宋体" w:cs="Times New Roman"/>
                <w:color w:val="auto"/>
                <w:sz w:val="24"/>
                <w:szCs w:val="24"/>
                <w:highlight w:val="none"/>
                <w:lang w:eastAsia="zh-CN"/>
              </w:rPr>
              <w:t>处</w:t>
            </w:r>
            <w:r>
              <w:rPr>
                <w:rFonts w:hint="eastAsia" w:ascii="Times New Roman" w:hAnsi="Times New Roman" w:eastAsia="宋体" w:cs="Times New Roman"/>
                <w:color w:val="auto"/>
                <w:sz w:val="24"/>
                <w:szCs w:val="24"/>
                <w:highlight w:val="none"/>
              </w:rPr>
              <w:t>有</w:t>
            </w:r>
            <w:r>
              <w:rPr>
                <w:rFonts w:hint="eastAsia" w:ascii="Times New Roman" w:hAnsi="Times New Roman" w:eastAsia="宋体" w:cs="Times New Roman"/>
                <w:color w:val="auto"/>
                <w:sz w:val="24"/>
                <w:szCs w:val="24"/>
                <w:highlight w:val="none"/>
                <w:lang w:eastAsia="zh-CN"/>
              </w:rPr>
              <w:t>孙家沟村</w:t>
            </w:r>
            <w:r>
              <w:rPr>
                <w:rFonts w:hint="eastAsia" w:ascii="Times New Roman" w:hAnsi="Times New Roman" w:eastAsia="宋体" w:cs="Times New Roman"/>
                <w:color w:val="auto"/>
                <w:sz w:val="24"/>
                <w:szCs w:val="24"/>
                <w:highlight w:val="none"/>
              </w:rPr>
              <w:t>生态敏感目标</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根据《声环境质量标准》（GB3096-2008）中的声环境功能区分类</w:t>
            </w:r>
            <w:r>
              <w:rPr>
                <w:rFonts w:hint="eastAsia"/>
                <w:color w:val="auto"/>
                <w:sz w:val="24"/>
                <w:szCs w:val="24"/>
                <w:highlight w:val="none"/>
              </w:rPr>
              <w:t>，声环境质量标准执行《声环境质量标准》（GB3096-2008）中的1类标准。</w:t>
            </w:r>
            <w:r>
              <w:rPr>
                <w:rFonts w:hint="eastAsia"/>
                <w:color w:val="auto"/>
                <w:sz w:val="24"/>
                <w:szCs w:val="24"/>
                <w:highlight w:val="none"/>
                <w:lang w:eastAsia="zh-CN"/>
              </w:rPr>
              <w:t>本次检测委托宁夏国新环境工程有限公司监测中心于</w:t>
            </w:r>
            <w:r>
              <w:rPr>
                <w:rFonts w:hint="eastAsia"/>
                <w:color w:val="auto"/>
                <w:sz w:val="24"/>
                <w:szCs w:val="24"/>
                <w:highlight w:val="none"/>
                <w:lang w:val="en-US" w:eastAsia="zh-CN"/>
              </w:rPr>
              <w:t>2023年4月24日、25日在监测点位进行进行为期两天的环境噪声监测，每天昼、夜各监测一次，每次不少于20min。</w:t>
            </w:r>
            <w:r>
              <w:rPr>
                <w:rFonts w:hint="eastAsia"/>
                <w:color w:val="auto"/>
                <w:sz w:val="24"/>
                <w:szCs w:val="24"/>
                <w:highlight w:val="none"/>
                <w:lang w:eastAsia="zh-CN"/>
              </w:rPr>
              <w:t>环境噪声监测结果如下表：</w:t>
            </w:r>
          </w:p>
          <w:p>
            <w:pPr>
              <w:pStyle w:val="7"/>
              <w:bidi w:val="0"/>
              <w:spacing w:line="240" w:lineRule="auto"/>
              <w:rPr>
                <w:rFonts w:hint="eastAsia"/>
                <w:lang w:val="en-US" w:eastAsia="zh-CN"/>
              </w:rPr>
            </w:pPr>
            <w:r>
              <w:rPr>
                <w:rFonts w:hint="eastAsia"/>
              </w:rPr>
              <w:t>表</w:t>
            </w:r>
            <w:r>
              <w:rPr>
                <w:rFonts w:hint="eastAsia"/>
                <w:lang w:val="en-US" w:eastAsia="zh-CN"/>
              </w:rPr>
              <w:t>3-6</w:t>
            </w:r>
            <w:r>
              <w:rPr>
                <w:rFonts w:hint="eastAsia"/>
              </w:rPr>
              <w:t xml:space="preserve">  </w:t>
            </w:r>
            <w:r>
              <w:rPr>
                <w:rFonts w:hint="eastAsia"/>
                <w:lang w:eastAsia="zh-CN"/>
              </w:rPr>
              <w:t>环境噪声</w:t>
            </w:r>
            <w:r>
              <w:rPr>
                <w:rFonts w:hint="eastAsia"/>
              </w:rPr>
              <w:t>检测结果</w:t>
            </w:r>
            <w:r>
              <w:rPr>
                <w:rFonts w:hint="eastAsia"/>
                <w:lang w:eastAsia="zh-CN"/>
              </w:rPr>
              <w:t>（</w:t>
            </w:r>
            <w:r>
              <w:rPr>
                <w:rFonts w:hint="eastAsia"/>
              </w:rPr>
              <w:t>单位：dB（A）</w:t>
            </w:r>
            <w:r>
              <w:rPr>
                <w:rFonts w:hint="eastAsia"/>
                <w:lang w:eastAsia="zh-CN"/>
              </w:rPr>
              <w:t>）</w:t>
            </w:r>
          </w:p>
          <w:tbl>
            <w:tblPr>
              <w:tblStyle w:val="24"/>
              <w:tblW w:w="704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13"/>
              <w:gridCol w:w="1326"/>
              <w:gridCol w:w="1327"/>
              <w:gridCol w:w="1328"/>
              <w:gridCol w:w="14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exact"/>
                <w:jc w:val="center"/>
              </w:trPr>
              <w:tc>
                <w:tcPr>
                  <w:tcW w:w="1613"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lang w:eastAsia="zh-CN"/>
                    </w:rPr>
                    <w:t>检测点位</w:t>
                  </w:r>
                </w:p>
              </w:tc>
              <w:tc>
                <w:tcPr>
                  <w:tcW w:w="2653" w:type="dxa"/>
                  <w:gridSpan w:val="2"/>
                  <w:tcBorders>
                    <w:tl2br w:val="nil"/>
                    <w:tr2bl w:val="nil"/>
                  </w:tcBorders>
                  <w:noWrap w:val="0"/>
                  <w:vAlign w:val="center"/>
                </w:tcPr>
                <w:p>
                  <w:pPr>
                    <w:spacing w:line="240" w:lineRule="auto"/>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2023.4.24</w:t>
                  </w:r>
                </w:p>
              </w:tc>
              <w:tc>
                <w:tcPr>
                  <w:tcW w:w="2783" w:type="dxa"/>
                  <w:gridSpan w:val="2"/>
                  <w:tcBorders>
                    <w:tl2br w:val="nil"/>
                    <w:tr2bl w:val="nil"/>
                  </w:tcBorders>
                  <w:noWrap w:val="0"/>
                  <w:vAlign w:val="center"/>
                </w:tcPr>
                <w:p>
                  <w:pPr>
                    <w:spacing w:line="240" w:lineRule="auto"/>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2023.4.25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9" w:hRule="exact"/>
                <w:jc w:val="center"/>
              </w:trPr>
              <w:tc>
                <w:tcPr>
                  <w:tcW w:w="1613"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 w:val="0"/>
                      <w:bCs/>
                      <w:sz w:val="21"/>
                      <w:szCs w:val="21"/>
                    </w:rPr>
                  </w:pPr>
                </w:p>
              </w:tc>
              <w:tc>
                <w:tcPr>
                  <w:tcW w:w="132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昼间</w:t>
                  </w:r>
                </w:p>
              </w:tc>
              <w:tc>
                <w:tcPr>
                  <w:tcW w:w="132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夜间</w:t>
                  </w:r>
                </w:p>
              </w:tc>
              <w:tc>
                <w:tcPr>
                  <w:tcW w:w="13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昼间</w:t>
                  </w:r>
                </w:p>
              </w:tc>
              <w:tc>
                <w:tcPr>
                  <w:tcW w:w="14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3" w:hRule="exact"/>
                <w:jc w:val="center"/>
              </w:trPr>
              <w:tc>
                <w:tcPr>
                  <w:tcW w:w="1613"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13号治理点</w:t>
                  </w:r>
                  <w:r>
                    <w:rPr>
                      <w:rFonts w:hint="default" w:ascii="Times New Roman" w:hAnsi="Times New Roman" w:eastAsia="宋体" w:cs="Times New Roman"/>
                      <w:b w:val="0"/>
                      <w:bCs/>
                      <w:sz w:val="21"/>
                      <w:szCs w:val="21"/>
                      <w:lang w:val="en-US" w:eastAsia="zh-CN"/>
                    </w:rPr>
                    <w:t>北侧1#</w:t>
                  </w:r>
                </w:p>
              </w:tc>
              <w:tc>
                <w:tcPr>
                  <w:tcW w:w="1326"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52</w:t>
                  </w:r>
                </w:p>
              </w:tc>
              <w:tc>
                <w:tcPr>
                  <w:tcW w:w="1327"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41</w:t>
                  </w:r>
                </w:p>
              </w:tc>
              <w:tc>
                <w:tcPr>
                  <w:tcW w:w="1328"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54</w:t>
                  </w:r>
                </w:p>
              </w:tc>
              <w:tc>
                <w:tcPr>
                  <w:tcW w:w="1455"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2" w:hRule="exact"/>
                <w:jc w:val="center"/>
              </w:trPr>
              <w:tc>
                <w:tcPr>
                  <w:tcW w:w="1613"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13号治理点</w:t>
                  </w:r>
                  <w:r>
                    <w:rPr>
                      <w:rFonts w:hint="default" w:ascii="Times New Roman" w:hAnsi="Times New Roman" w:eastAsia="宋体" w:cs="Times New Roman"/>
                      <w:b w:val="0"/>
                      <w:bCs/>
                      <w:sz w:val="21"/>
                      <w:szCs w:val="21"/>
                      <w:lang w:val="en-US" w:eastAsia="zh-CN"/>
                    </w:rPr>
                    <w:t>南侧2#</w:t>
                  </w:r>
                </w:p>
              </w:tc>
              <w:tc>
                <w:tcPr>
                  <w:tcW w:w="1326"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53</w:t>
                  </w:r>
                </w:p>
              </w:tc>
              <w:tc>
                <w:tcPr>
                  <w:tcW w:w="1327"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40</w:t>
                  </w:r>
                </w:p>
              </w:tc>
              <w:tc>
                <w:tcPr>
                  <w:tcW w:w="1328"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53</w:t>
                  </w:r>
                </w:p>
              </w:tc>
              <w:tc>
                <w:tcPr>
                  <w:tcW w:w="1455"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4" w:hRule="exact"/>
                <w:jc w:val="center"/>
              </w:trPr>
              <w:tc>
                <w:tcPr>
                  <w:tcW w:w="1613"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13号治理点</w:t>
                  </w:r>
                  <w:r>
                    <w:rPr>
                      <w:rFonts w:hint="default" w:ascii="Times New Roman" w:hAnsi="Times New Roman" w:eastAsia="宋体" w:cs="Times New Roman"/>
                      <w:b w:val="0"/>
                      <w:bCs/>
                      <w:sz w:val="21"/>
                      <w:szCs w:val="21"/>
                      <w:lang w:val="en-US" w:eastAsia="zh-CN"/>
                    </w:rPr>
                    <w:t>西侧3#</w:t>
                  </w:r>
                  <w:r>
                    <w:rPr>
                      <w:rFonts w:hint="eastAsia" w:cs="Times New Roman"/>
                      <w:b w:val="0"/>
                      <w:bCs/>
                      <w:sz w:val="21"/>
                      <w:szCs w:val="21"/>
                      <w:lang w:val="en-US" w:eastAsia="zh-CN"/>
                    </w:rPr>
                    <w:t>（敏感目标所在位置）</w:t>
                  </w:r>
                </w:p>
              </w:tc>
              <w:tc>
                <w:tcPr>
                  <w:tcW w:w="1326"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53</w:t>
                  </w:r>
                </w:p>
              </w:tc>
              <w:tc>
                <w:tcPr>
                  <w:tcW w:w="1327"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41</w:t>
                  </w:r>
                </w:p>
              </w:tc>
              <w:tc>
                <w:tcPr>
                  <w:tcW w:w="1328"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53</w:t>
                  </w:r>
                </w:p>
              </w:tc>
              <w:tc>
                <w:tcPr>
                  <w:tcW w:w="1455"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7" w:hRule="exact"/>
                <w:jc w:val="center"/>
              </w:trPr>
              <w:tc>
                <w:tcPr>
                  <w:tcW w:w="1613"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13号治理点</w:t>
                  </w:r>
                  <w:r>
                    <w:rPr>
                      <w:rFonts w:hint="default" w:ascii="Times New Roman" w:hAnsi="Times New Roman" w:eastAsia="宋体" w:cs="Times New Roman"/>
                      <w:b w:val="0"/>
                      <w:bCs/>
                      <w:sz w:val="21"/>
                      <w:szCs w:val="21"/>
                      <w:lang w:val="en-US" w:eastAsia="zh-CN"/>
                    </w:rPr>
                    <w:t>东侧4#</w:t>
                  </w:r>
                </w:p>
              </w:tc>
              <w:tc>
                <w:tcPr>
                  <w:tcW w:w="1326"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52</w:t>
                  </w:r>
                </w:p>
              </w:tc>
              <w:tc>
                <w:tcPr>
                  <w:tcW w:w="1327"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40</w:t>
                  </w:r>
                </w:p>
              </w:tc>
              <w:tc>
                <w:tcPr>
                  <w:tcW w:w="1328"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54</w:t>
                  </w:r>
                </w:p>
              </w:tc>
              <w:tc>
                <w:tcPr>
                  <w:tcW w:w="1455" w:type="dxa"/>
                  <w:tcBorders>
                    <w:tl2br w:val="nil"/>
                    <w:tr2bl w:val="nil"/>
                  </w:tcBorders>
                  <w:noWrap w:val="0"/>
                  <w:vAlign w:val="center"/>
                </w:tcPr>
                <w:p>
                  <w:pPr>
                    <w:spacing w:line="240" w:lineRule="auto"/>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40</w:t>
                  </w:r>
                </w:p>
              </w:tc>
            </w:tr>
          </w:tbl>
          <w:p>
            <w:pPr>
              <w:pStyle w:val="15"/>
              <w:bidi w:val="0"/>
              <w:ind w:left="0" w:leftChars="0" w:firstLine="480" w:firstLineChars="200"/>
              <w:rPr>
                <w:rFonts w:hint="default"/>
                <w:lang w:val="en-US" w:eastAsia="zh-CN"/>
              </w:rPr>
            </w:pPr>
            <w:r>
              <w:rPr>
                <w:rFonts w:hint="eastAsia"/>
                <w:lang w:val="en-US" w:eastAsia="zh-CN"/>
              </w:rPr>
              <w:t>经监测环境噪声监测结果满足</w:t>
            </w:r>
            <w:r>
              <w:rPr>
                <w:rFonts w:hint="default"/>
                <w:lang w:val="en-US" w:eastAsia="zh-CN"/>
              </w:rPr>
              <w:t>《声环境质量标准》（GB3096-2008）1类标准（昼间</w:t>
            </w:r>
            <w:r>
              <w:rPr>
                <w:rFonts w:hint="eastAsia"/>
                <w:lang w:val="en-US" w:eastAsia="zh-CN"/>
              </w:rPr>
              <w:t>55</w:t>
            </w:r>
            <w:r>
              <w:rPr>
                <w:rFonts w:hint="default"/>
                <w:lang w:val="en-US" w:eastAsia="zh-CN"/>
              </w:rPr>
              <w:t>B（A），夜间</w:t>
            </w:r>
            <w:r>
              <w:rPr>
                <w:rFonts w:hint="eastAsia"/>
                <w:lang w:val="en-US" w:eastAsia="zh-CN"/>
              </w:rPr>
              <w:t>45</w:t>
            </w:r>
            <w:r>
              <w:rPr>
                <w:rFonts w:hint="default"/>
                <w:lang w:val="en-US" w:eastAsia="zh-CN"/>
              </w:rPr>
              <w:t>dB（A））</w:t>
            </w:r>
            <w:r>
              <w:rPr>
                <w:rFonts w:hint="eastAsia"/>
                <w:lang w:val="en-US" w:eastAsia="zh-CN"/>
              </w:rPr>
              <w:t>。</w:t>
            </w:r>
          </w:p>
          <w:p>
            <w:pPr>
              <w:pStyle w:val="7"/>
              <w:numPr>
                <w:ilvl w:val="0"/>
                <w:numId w:val="0"/>
              </w:numPr>
              <w:spacing w:line="360" w:lineRule="auto"/>
              <w:jc w:val="left"/>
              <w:outlineLvl w:val="6"/>
              <w:rPr>
                <w:color w:val="auto"/>
                <w:sz w:val="24"/>
                <w:szCs w:val="24"/>
              </w:rPr>
            </w:pPr>
            <w:r>
              <w:rPr>
                <w:rFonts w:hint="eastAsia"/>
                <w:color w:val="auto"/>
                <w:sz w:val="24"/>
                <w:szCs w:val="24"/>
                <w:lang w:val="en-US" w:eastAsia="zh-CN"/>
              </w:rPr>
              <w:t>4、</w:t>
            </w:r>
            <w:r>
              <w:rPr>
                <w:color w:val="auto"/>
                <w:sz w:val="24"/>
                <w:szCs w:val="24"/>
              </w:rPr>
              <w:t>土壤</w:t>
            </w:r>
            <w:r>
              <w:rPr>
                <w:rFonts w:hint="eastAsia"/>
                <w:color w:val="auto"/>
                <w:sz w:val="24"/>
                <w:szCs w:val="24"/>
              </w:rPr>
              <w:t>环境质量现状</w:t>
            </w:r>
          </w:p>
          <w:p>
            <w:pPr>
              <w:spacing w:line="360" w:lineRule="auto"/>
              <w:ind w:firstLine="480" w:firstLineChars="200"/>
              <w:jc w:val="left"/>
              <w:rPr>
                <w:rFonts w:hint="eastAsia" w:ascii="Times New Roman" w:hAnsi="宋体" w:eastAsia="宋体" w:cs="Times New Roman"/>
                <w:snapToGrid w:val="0"/>
                <w:color w:val="auto"/>
                <w:sz w:val="24"/>
                <w:szCs w:val="24"/>
                <w:highlight w:val="none"/>
                <w:lang w:val="en-US" w:eastAsia="zh-CN" w:bidi="ar-SA"/>
              </w:rPr>
            </w:pPr>
            <w:r>
              <w:rPr>
                <w:rFonts w:hint="default"/>
                <w:lang w:val="en-US" w:eastAsia="zh-CN"/>
              </w:rPr>
              <w:t>本项目为矿山生态修复治理项目，根据《环境影响评价技术导则土壤环境（试行）》（HJ946-2018），属于“环境和公共设施管理业”中IV类项目，可不开展土壤环境影响评价工作。对照《环境影响评价技术导则土壤环境（试行）》（HJ946-2018）中“采矿业”判定，项目属于Ⅲ类项目，根据调查了解，项目区域不存在酸化、盐化、碱化现象，项目区域属于土壤环境“不敏感”区域，</w:t>
            </w:r>
            <w:r>
              <w:rPr>
                <w:rFonts w:hint="eastAsia" w:ascii="Times New Roman" w:hAnsi="宋体" w:eastAsia="宋体" w:cs="Times New Roman"/>
                <w:snapToGrid w:val="0"/>
                <w:color w:val="auto"/>
                <w:sz w:val="24"/>
                <w:szCs w:val="24"/>
                <w:highlight w:val="none"/>
                <w:lang w:val="en-US" w:eastAsia="zh-CN" w:bidi="ar-SA"/>
              </w:rPr>
              <w:t>对照《环境影响评价技术导则 土壤环境（试行）》评价工作等级划分表</w:t>
            </w:r>
            <w:r>
              <w:rPr>
                <w:rFonts w:hint="eastAsia" w:hAnsi="宋体" w:cs="Times New Roman"/>
                <w:snapToGrid w:val="0"/>
                <w:color w:val="auto"/>
                <w:sz w:val="24"/>
                <w:szCs w:val="24"/>
                <w:highlight w:val="none"/>
                <w:lang w:val="en-US" w:eastAsia="zh-CN" w:bidi="ar-SA"/>
              </w:rPr>
              <w:t>，</w:t>
            </w:r>
            <w:r>
              <w:rPr>
                <w:rFonts w:hint="eastAsia" w:hAnsi="宋体"/>
                <w:color w:val="auto"/>
                <w:sz w:val="24"/>
                <w:szCs w:val="24"/>
                <w:highlight w:val="none"/>
                <w:lang w:eastAsia="zh-CN"/>
              </w:rPr>
              <w:t>表</w:t>
            </w:r>
            <w:r>
              <w:rPr>
                <w:rFonts w:hint="eastAsia" w:hAnsi="宋体"/>
                <w:color w:val="auto"/>
                <w:sz w:val="24"/>
                <w:szCs w:val="24"/>
                <w:highlight w:val="none"/>
                <w:lang w:val="en-US" w:eastAsia="zh-CN"/>
              </w:rPr>
              <w:t>3-7</w:t>
            </w:r>
            <w:r>
              <w:rPr>
                <w:rFonts w:hint="eastAsia" w:ascii="Times New Roman" w:hAnsi="宋体" w:eastAsia="宋体" w:cs="Times New Roman"/>
                <w:snapToGrid w:val="0"/>
                <w:color w:val="auto"/>
                <w:sz w:val="24"/>
                <w:szCs w:val="24"/>
                <w:highlight w:val="none"/>
                <w:lang w:val="en-US" w:eastAsia="zh-CN" w:bidi="ar-SA"/>
              </w:rPr>
              <w:t>。</w:t>
            </w:r>
          </w:p>
          <w:p>
            <w:pPr>
              <w:pStyle w:val="15"/>
              <w:bidi w:val="0"/>
              <w:ind w:firstLine="964" w:firstLineChars="400"/>
              <w:rPr>
                <w:rFonts w:hint="eastAsia" w:hAnsi="宋体"/>
                <w:b/>
                <w:bCs/>
                <w:color w:val="auto"/>
                <w:sz w:val="24"/>
                <w:szCs w:val="24"/>
                <w:highlight w:val="none"/>
                <w:lang w:eastAsia="zh-CN"/>
              </w:rPr>
            </w:pPr>
            <w:r>
              <w:rPr>
                <w:b/>
                <w:bCs/>
              </w:rPr>
              <w:drawing>
                <wp:anchor distT="0" distB="0" distL="114935" distR="114935" simplePos="0" relativeHeight="251662336" behindDoc="1" locked="0" layoutInCell="1" allowOverlap="1">
                  <wp:simplePos x="0" y="0"/>
                  <wp:positionH relativeFrom="column">
                    <wp:posOffset>-3175</wp:posOffset>
                  </wp:positionH>
                  <wp:positionV relativeFrom="paragraph">
                    <wp:posOffset>201295</wp:posOffset>
                  </wp:positionV>
                  <wp:extent cx="4730750" cy="1223010"/>
                  <wp:effectExtent l="0" t="0" r="12700" b="15240"/>
                  <wp:wrapNone/>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58"/>
                          <a:stretch>
                            <a:fillRect/>
                          </a:stretch>
                        </pic:blipFill>
                        <pic:spPr>
                          <a:xfrm>
                            <a:off x="0" y="0"/>
                            <a:ext cx="4730750" cy="1223010"/>
                          </a:xfrm>
                          <a:prstGeom prst="rect">
                            <a:avLst/>
                          </a:prstGeom>
                          <a:noFill/>
                          <a:ln>
                            <a:noFill/>
                          </a:ln>
                        </pic:spPr>
                      </pic:pic>
                    </a:graphicData>
                  </a:graphic>
                </wp:anchor>
              </w:drawing>
            </w:r>
            <w:r>
              <w:rPr>
                <w:rFonts w:hint="eastAsia" w:hAnsi="宋体"/>
                <w:b/>
                <w:bCs/>
                <w:color w:val="auto"/>
                <w:sz w:val="24"/>
                <w:szCs w:val="24"/>
                <w:highlight w:val="none"/>
                <w:lang w:eastAsia="zh-CN"/>
              </w:rPr>
              <w:t>表</w:t>
            </w:r>
            <w:r>
              <w:rPr>
                <w:rFonts w:hint="eastAsia" w:hAnsi="宋体"/>
                <w:b/>
                <w:bCs/>
                <w:color w:val="auto"/>
                <w:sz w:val="24"/>
                <w:szCs w:val="24"/>
                <w:highlight w:val="none"/>
                <w:lang w:val="en-US" w:eastAsia="zh-CN"/>
              </w:rPr>
              <w:t xml:space="preserve">3-7       </w:t>
            </w:r>
            <w:r>
              <w:rPr>
                <w:rFonts w:hint="eastAsia" w:hAnsi="宋体"/>
                <w:b/>
                <w:bCs/>
                <w:color w:val="auto"/>
                <w:sz w:val="24"/>
                <w:szCs w:val="24"/>
                <w:highlight w:val="none"/>
                <w:lang w:eastAsia="zh-CN"/>
              </w:rPr>
              <w:t>生态影响性评价工作等级划分表</w:t>
            </w:r>
          </w:p>
          <w:p>
            <w:pPr>
              <w:pStyle w:val="15"/>
              <w:bidi w:val="0"/>
              <w:ind w:firstLine="1920" w:firstLineChars="800"/>
              <w:rPr>
                <w:rFonts w:hint="eastAsia" w:hAnsi="宋体"/>
                <w:color w:val="auto"/>
                <w:sz w:val="24"/>
                <w:szCs w:val="24"/>
                <w:highlight w:val="none"/>
                <w:lang w:eastAsia="zh-CN"/>
              </w:rPr>
            </w:pPr>
          </w:p>
          <w:p>
            <w:pPr>
              <w:pStyle w:val="15"/>
              <w:bidi w:val="0"/>
              <w:rPr>
                <w:rFonts w:hint="eastAsia" w:hAnsi="宋体"/>
                <w:color w:val="auto"/>
                <w:sz w:val="24"/>
                <w:szCs w:val="24"/>
                <w:highlight w:val="none"/>
              </w:rPr>
            </w:pPr>
          </w:p>
          <w:p>
            <w:pPr>
              <w:pStyle w:val="15"/>
              <w:bidi w:val="0"/>
              <w:rPr>
                <w:rFonts w:hint="eastAsia" w:hAnsi="宋体"/>
                <w:color w:val="auto"/>
                <w:sz w:val="24"/>
                <w:szCs w:val="24"/>
                <w:highlight w:val="none"/>
              </w:rPr>
            </w:pPr>
          </w:p>
          <w:p>
            <w:pPr>
              <w:pStyle w:val="15"/>
              <w:bidi w:val="0"/>
              <w:rPr>
                <w:rFonts w:hint="eastAsia" w:hAnsi="宋体"/>
                <w:color w:val="auto"/>
                <w:sz w:val="24"/>
                <w:szCs w:val="24"/>
                <w:highlight w:val="none"/>
              </w:rPr>
            </w:pPr>
          </w:p>
          <w:p>
            <w:pPr>
              <w:pStyle w:val="15"/>
              <w:bidi w:val="0"/>
              <w:rPr>
                <w:rFonts w:hint="eastAsia" w:hAnsi="宋体"/>
                <w:color w:val="auto"/>
                <w:sz w:val="24"/>
                <w:szCs w:val="24"/>
                <w:highlight w:val="none"/>
              </w:rPr>
            </w:pPr>
          </w:p>
          <w:p>
            <w:pPr>
              <w:pStyle w:val="15"/>
              <w:bidi w:val="0"/>
              <w:rPr>
                <w:rFonts w:hint="eastAsia" w:ascii="Times New Roman" w:hAnsi="宋体" w:eastAsia="宋体" w:cs="Times New Roman"/>
                <w:snapToGrid w:val="0"/>
                <w:color w:val="auto"/>
                <w:sz w:val="24"/>
                <w:szCs w:val="24"/>
                <w:highlight w:val="none"/>
                <w:lang w:val="en-US" w:eastAsia="zh-CN" w:bidi="ar-SA"/>
              </w:rPr>
            </w:pPr>
            <w:r>
              <w:rPr>
                <w:rFonts w:hint="eastAsia" w:ascii="Times New Roman" w:hAnsi="宋体" w:eastAsia="宋体" w:cs="Times New Roman"/>
                <w:snapToGrid w:val="0"/>
                <w:color w:val="auto"/>
                <w:sz w:val="24"/>
                <w:szCs w:val="24"/>
                <w:highlight w:val="none"/>
                <w:lang w:val="en-US" w:eastAsia="zh-CN" w:bidi="ar-SA"/>
              </w:rPr>
              <w:t>根据</w:t>
            </w:r>
            <w:r>
              <w:rPr>
                <w:rFonts w:hint="eastAsia" w:hAnsi="宋体" w:cs="Times New Roman"/>
                <w:snapToGrid w:val="0"/>
                <w:color w:val="auto"/>
                <w:sz w:val="24"/>
                <w:szCs w:val="24"/>
                <w:highlight w:val="none"/>
                <w:lang w:val="en-US" w:eastAsia="zh-CN" w:bidi="ar-SA"/>
              </w:rPr>
              <w:t>项目类别</w:t>
            </w:r>
            <w:r>
              <w:rPr>
                <w:rFonts w:hint="eastAsia" w:ascii="Times New Roman" w:hAnsi="宋体" w:eastAsia="宋体" w:cs="Times New Roman"/>
                <w:snapToGrid w:val="0"/>
                <w:color w:val="auto"/>
                <w:sz w:val="24"/>
                <w:szCs w:val="24"/>
                <w:highlight w:val="none"/>
                <w:lang w:val="en-US" w:eastAsia="zh-CN" w:bidi="ar-SA"/>
              </w:rPr>
              <w:t>与敏感程度划分评价工作等级，本项目土壤环境影响类别为Ⅲ类、建设项目所在地周边的土壤环境敏感程度为不敏感，最终确定本项目土壤环境影响评价等级为"-"，即不开展土壤环境影响评价工作。</w:t>
            </w:r>
          </w:p>
          <w:p>
            <w:pPr>
              <w:pStyle w:val="15"/>
              <w:bidi w:val="0"/>
              <w:ind w:left="0" w:leftChars="0" w:firstLine="241" w:firstLineChars="100"/>
              <w:rPr>
                <w:rFonts w:hint="default" w:ascii="宋体" w:hAnsi="宋体" w:eastAsia="宋体" w:cs="宋体"/>
                <w:b/>
                <w:bCs/>
                <w:color w:val="auto"/>
                <w:kern w:val="0"/>
                <w:sz w:val="24"/>
                <w:lang w:val="en-US" w:eastAsia="zh-CN" w:bidi="ar"/>
              </w:rPr>
            </w:pPr>
            <w:r>
              <w:rPr>
                <w:rFonts w:hint="eastAsia" w:ascii="宋体" w:hAnsi="宋体" w:cs="宋体"/>
                <w:b/>
                <w:bCs/>
                <w:color w:val="auto"/>
                <w:kern w:val="0"/>
                <w:sz w:val="24"/>
                <w:lang w:val="en-US" w:eastAsia="zh-CN" w:bidi="ar"/>
              </w:rPr>
              <w:t>5、地下水环境质量现状</w:t>
            </w:r>
          </w:p>
          <w:p>
            <w:pPr>
              <w:pStyle w:val="15"/>
              <w:bidi w:val="0"/>
              <w:ind w:left="0" w:leftChars="0" w:firstLine="480" w:firstLineChars="200"/>
              <w:rPr>
                <w:rFonts w:hint="eastAsia" w:hAnsi="宋体"/>
                <w:color w:val="auto"/>
                <w:sz w:val="24"/>
                <w:szCs w:val="24"/>
                <w:highlight w:val="none"/>
              </w:rPr>
            </w:pPr>
            <w:r>
              <w:rPr>
                <w:rFonts w:hint="eastAsia" w:ascii="宋体" w:hAnsi="宋体" w:cs="宋体"/>
                <w:color w:val="auto"/>
                <w:kern w:val="0"/>
                <w:sz w:val="24"/>
                <w:lang w:val="en-US" w:eastAsia="zh-CN" w:bidi="ar"/>
              </w:rPr>
              <w:t>本项目为生态修复项目</w:t>
            </w:r>
            <w:r>
              <w:rPr>
                <w:rFonts w:hint="eastAsia" w:ascii="宋体" w:hAnsi="宋体" w:cs="宋体"/>
                <w:color w:val="auto"/>
                <w:kern w:val="0"/>
                <w:sz w:val="24"/>
                <w:lang w:bidi="ar"/>
              </w:rPr>
              <w:t>，项目</w:t>
            </w:r>
            <w:r>
              <w:rPr>
                <w:rFonts w:hint="eastAsia" w:ascii="宋体" w:hAnsi="宋体" w:cs="宋体"/>
                <w:color w:val="auto"/>
                <w:kern w:val="0"/>
                <w:sz w:val="24"/>
                <w:lang w:eastAsia="zh-CN" w:bidi="ar"/>
              </w:rPr>
              <w:t>在施工期和运营期不涉及对</w:t>
            </w:r>
            <w:r>
              <w:rPr>
                <w:rFonts w:hint="eastAsia" w:ascii="宋体" w:hAnsi="宋体" w:cs="宋体"/>
                <w:color w:val="auto"/>
                <w:kern w:val="0"/>
                <w:sz w:val="24"/>
                <w:lang w:bidi="ar"/>
              </w:rPr>
              <w:t>地下水环境</w:t>
            </w:r>
            <w:r>
              <w:rPr>
                <w:rFonts w:hint="eastAsia" w:ascii="宋体" w:hAnsi="宋体" w:cs="宋体"/>
                <w:color w:val="auto"/>
                <w:kern w:val="0"/>
                <w:sz w:val="24"/>
                <w:lang w:eastAsia="zh-CN" w:bidi="ar"/>
              </w:rPr>
              <w:t>的</w:t>
            </w:r>
            <w:r>
              <w:rPr>
                <w:rFonts w:hint="eastAsia" w:ascii="宋体" w:hAnsi="宋体" w:cs="宋体"/>
                <w:color w:val="auto"/>
                <w:kern w:val="0"/>
                <w:sz w:val="24"/>
                <w:lang w:bidi="ar"/>
              </w:rPr>
              <w:t>污染途径，可不进行地下水</w:t>
            </w:r>
            <w:r>
              <w:rPr>
                <w:rFonts w:hint="eastAsia" w:ascii="宋体" w:hAnsi="宋体" w:cs="宋体"/>
                <w:color w:val="auto"/>
                <w:kern w:val="0"/>
                <w:sz w:val="24"/>
                <w:lang w:eastAsia="zh-CN" w:bidi="ar"/>
              </w:rPr>
              <w:t>环境质量</w:t>
            </w:r>
            <w:r>
              <w:rPr>
                <w:rFonts w:hint="eastAsia" w:ascii="宋体" w:hAnsi="宋体" w:cs="宋体"/>
                <w:color w:val="auto"/>
                <w:kern w:val="0"/>
                <w:sz w:val="24"/>
                <w:lang w:bidi="ar"/>
              </w:rPr>
              <w:t>现状调查。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rPr>
                <w:sz w:val="24"/>
                <w:szCs w:val="24"/>
                <w:highlight w:val="yellow"/>
              </w:rPr>
            </w:pPr>
            <w:r>
              <w:rPr>
                <w:rFonts w:hint="eastAsia" w:ascii="宋体" w:hAnsi="宋体"/>
                <w:bCs/>
                <w:color w:val="000000"/>
                <w:sz w:val="24"/>
                <w:szCs w:val="24"/>
                <w:highlight w:val="none"/>
              </w:rPr>
              <w:t>与项目有关的原有环境污染和生态破坏问题</w:t>
            </w:r>
          </w:p>
        </w:tc>
        <w:tc>
          <w:tcPr>
            <w:tcW w:w="7673" w:type="dxa"/>
            <w:tcBorders>
              <w:tl2br w:val="nil"/>
              <w:tr2bl w:val="nil"/>
            </w:tcBorders>
          </w:tcPr>
          <w:p>
            <w:pPr>
              <w:pStyle w:val="5"/>
              <w:outlineLvl w:val="1"/>
              <w:rPr>
                <w:sz w:val="24"/>
                <w:szCs w:val="24"/>
                <w:highlight w:val="none"/>
              </w:rPr>
            </w:pPr>
            <w:r>
              <w:rPr>
                <w:rFonts w:hint="eastAsia"/>
                <w:sz w:val="24"/>
                <w:szCs w:val="24"/>
                <w:highlight w:val="none"/>
              </w:rPr>
              <w:t>1、主要生态问题和原因分析</w:t>
            </w:r>
          </w:p>
          <w:p>
            <w:pPr>
              <w:pStyle w:val="15"/>
              <w:ind w:firstLine="420"/>
              <w:rPr>
                <w:rFonts w:hint="eastAsia" w:eastAsia="宋体"/>
                <w:sz w:val="24"/>
                <w:szCs w:val="24"/>
                <w:highlight w:val="none"/>
                <w:lang w:eastAsia="zh-CN"/>
              </w:rPr>
            </w:pPr>
            <w:r>
              <w:rPr>
                <w:rFonts w:hint="eastAsia"/>
                <w:sz w:val="24"/>
                <w:szCs w:val="24"/>
                <w:highlight w:val="none"/>
                <w:lang w:val="en-US" w:eastAsia="zh-CN"/>
              </w:rPr>
              <w:t>本项目生态环境问题主要为矿山开采活动产生的采坑、破坏地形地貌景观、土地资源、植被资源等，引发崩塌等地质灾害，导致水土流失严重，生态环境脆弱。</w:t>
            </w:r>
            <w:r>
              <w:rPr>
                <w:sz w:val="24"/>
                <w:szCs w:val="24"/>
                <w:highlight w:val="none"/>
              </w:rPr>
              <w:t>依据《矿区生态环境保护与恢复治理方案》</w:t>
            </w:r>
            <w:r>
              <w:rPr>
                <w:rFonts w:hint="eastAsia"/>
                <w:sz w:val="24"/>
                <w:szCs w:val="24"/>
                <w:highlight w:val="none"/>
                <w:lang w:eastAsia="zh-CN"/>
              </w:rPr>
              <w:t>，具体存在的问题如下。</w:t>
            </w:r>
          </w:p>
          <w:p>
            <w:pPr>
              <w:pStyle w:val="7"/>
              <w:spacing w:line="240" w:lineRule="auto"/>
              <w:outlineLvl w:val="6"/>
              <w:rPr>
                <w:sz w:val="24"/>
                <w:szCs w:val="24"/>
                <w:highlight w:val="none"/>
              </w:rPr>
            </w:pPr>
            <w:r>
              <w:rPr>
                <w:sz w:val="24"/>
                <w:szCs w:val="24"/>
                <w:highlight w:val="none"/>
              </w:rPr>
              <w:t>表</w:t>
            </w:r>
            <w:r>
              <w:rPr>
                <w:rFonts w:hint="eastAsia"/>
                <w:sz w:val="24"/>
                <w:szCs w:val="24"/>
                <w:highlight w:val="none"/>
              </w:rPr>
              <w:t>3-</w:t>
            </w:r>
            <w:r>
              <w:rPr>
                <w:rFonts w:hint="eastAsia"/>
                <w:sz w:val="24"/>
                <w:szCs w:val="24"/>
                <w:highlight w:val="none"/>
                <w:lang w:val="en-US" w:eastAsia="zh-CN"/>
              </w:rPr>
              <w:t xml:space="preserve">7 </w:t>
            </w:r>
            <w:r>
              <w:rPr>
                <w:sz w:val="24"/>
                <w:szCs w:val="24"/>
                <w:highlight w:val="none"/>
              </w:rPr>
              <w:t xml:space="preserve"> 各治理点</w:t>
            </w:r>
            <w:r>
              <w:rPr>
                <w:rFonts w:hint="eastAsia"/>
                <w:sz w:val="24"/>
                <w:szCs w:val="24"/>
                <w:highlight w:val="none"/>
                <w:lang w:eastAsia="zh-CN"/>
              </w:rPr>
              <w:t>生态问题</w:t>
            </w:r>
            <w:r>
              <w:rPr>
                <w:sz w:val="24"/>
                <w:szCs w:val="24"/>
                <w:highlight w:val="none"/>
              </w:rPr>
              <w:t>一览表</w:t>
            </w:r>
          </w:p>
          <w:tbl>
            <w:tblPr>
              <w:tblStyle w:val="24"/>
              <w:tblW w:w="7400" w:type="dxa"/>
              <w:tblInd w:w="-11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80"/>
              <w:gridCol w:w="1859"/>
              <w:gridCol w:w="2554"/>
              <w:gridCol w:w="1168"/>
              <w:gridCol w:w="13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6" w:hRule="atLeast"/>
              </w:trPr>
              <w:tc>
                <w:tcPr>
                  <w:tcW w:w="480"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序号</w:t>
                  </w:r>
                </w:p>
              </w:tc>
              <w:tc>
                <w:tcPr>
                  <w:tcW w:w="185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治理区名称</w:t>
                  </w:r>
                </w:p>
              </w:tc>
              <w:tc>
                <w:tcPr>
                  <w:tcW w:w="2554"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土地类型</w:t>
                  </w:r>
                </w:p>
              </w:tc>
              <w:tc>
                <w:tcPr>
                  <w:tcW w:w="1168"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破坏方式</w:t>
                  </w:r>
                </w:p>
              </w:tc>
              <w:tc>
                <w:tcPr>
                  <w:tcW w:w="133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破坏面积(hm²)</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15" w:hRule="atLeast"/>
              </w:trPr>
              <w:tc>
                <w:tcPr>
                  <w:tcW w:w="480"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1</w:t>
                  </w:r>
                </w:p>
              </w:tc>
              <w:tc>
                <w:tcPr>
                  <w:tcW w:w="185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香山梁水园村北生态修复治理区</w:t>
                  </w:r>
                </w:p>
              </w:tc>
              <w:tc>
                <w:tcPr>
                  <w:tcW w:w="2554"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旱地、灌木林地、天然牧草地、其他草地、采矿用地、裸土地</w:t>
                  </w:r>
                </w:p>
              </w:tc>
              <w:tc>
                <w:tcPr>
                  <w:tcW w:w="1168"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挖损、压占</w:t>
                  </w:r>
                </w:p>
              </w:tc>
              <w:tc>
                <w:tcPr>
                  <w:tcW w:w="133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115.00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6" w:hRule="atLeast"/>
              </w:trPr>
              <w:tc>
                <w:tcPr>
                  <w:tcW w:w="480"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2</w:t>
                  </w:r>
                </w:p>
              </w:tc>
              <w:tc>
                <w:tcPr>
                  <w:tcW w:w="185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香山黄泉村一采区生态修复治理区</w:t>
                  </w:r>
                </w:p>
              </w:tc>
              <w:tc>
                <w:tcPr>
                  <w:tcW w:w="2554"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灌木林地、天然牧草地、采矿用地、裸土地</w:t>
                  </w:r>
                </w:p>
              </w:tc>
              <w:tc>
                <w:tcPr>
                  <w:tcW w:w="1168"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挖损、压占</w:t>
                  </w:r>
                </w:p>
              </w:tc>
              <w:tc>
                <w:tcPr>
                  <w:tcW w:w="133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18.30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15" w:hRule="atLeast"/>
              </w:trPr>
              <w:tc>
                <w:tcPr>
                  <w:tcW w:w="480"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3</w:t>
                  </w:r>
                </w:p>
              </w:tc>
              <w:tc>
                <w:tcPr>
                  <w:tcW w:w="185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香山黄泉村二采区生态修复治理区</w:t>
                  </w:r>
                </w:p>
              </w:tc>
              <w:tc>
                <w:tcPr>
                  <w:tcW w:w="2554"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灌木林地、天然牧草地、其他草地、采矿用地、裸土地</w:t>
                  </w:r>
                </w:p>
              </w:tc>
              <w:tc>
                <w:tcPr>
                  <w:tcW w:w="1168"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挖损、压占</w:t>
                  </w:r>
                </w:p>
              </w:tc>
              <w:tc>
                <w:tcPr>
                  <w:tcW w:w="133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7.25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6" w:hRule="atLeast"/>
              </w:trPr>
              <w:tc>
                <w:tcPr>
                  <w:tcW w:w="480"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4</w:t>
                  </w:r>
                </w:p>
              </w:tc>
              <w:tc>
                <w:tcPr>
                  <w:tcW w:w="185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香山黄泉村三采区生态修复治理区</w:t>
                  </w:r>
                </w:p>
              </w:tc>
              <w:tc>
                <w:tcPr>
                  <w:tcW w:w="2554"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灌木林地、天然牧草地</w:t>
                  </w:r>
                </w:p>
              </w:tc>
              <w:tc>
                <w:tcPr>
                  <w:tcW w:w="1168"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挖损、压占</w:t>
                  </w:r>
                </w:p>
              </w:tc>
              <w:tc>
                <w:tcPr>
                  <w:tcW w:w="133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16.13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46" w:hRule="atLeast"/>
              </w:trPr>
              <w:tc>
                <w:tcPr>
                  <w:tcW w:w="480"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5</w:t>
                  </w:r>
                </w:p>
              </w:tc>
              <w:tc>
                <w:tcPr>
                  <w:tcW w:w="185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常乐镇原上游村西生态修复治理区</w:t>
                  </w:r>
                </w:p>
              </w:tc>
              <w:tc>
                <w:tcPr>
                  <w:tcW w:w="2554"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天然牧草地</w:t>
                  </w:r>
                </w:p>
              </w:tc>
              <w:tc>
                <w:tcPr>
                  <w:tcW w:w="1168"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挖损、压占</w:t>
                  </w:r>
                </w:p>
              </w:tc>
              <w:tc>
                <w:tcPr>
                  <w:tcW w:w="133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2.03</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1" w:hRule="atLeast"/>
              </w:trPr>
              <w:tc>
                <w:tcPr>
                  <w:tcW w:w="6061" w:type="dxa"/>
                  <w:gridSpan w:val="4"/>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合计</w:t>
                  </w:r>
                </w:p>
              </w:tc>
              <w:tc>
                <w:tcPr>
                  <w:tcW w:w="1339" w:type="dxa"/>
                  <w:tcBorders>
                    <w:tl2br w:val="nil"/>
                    <w:tr2bl w:val="nil"/>
                  </w:tcBorders>
                  <w:shd w:val="clear" w:color="auto" w:fill="auto"/>
                  <w:vAlign w:val="center"/>
                </w:tcPr>
                <w:p>
                  <w:pPr>
                    <w:bidi w:val="0"/>
                    <w:rPr>
                      <w:rFonts w:hint="default"/>
                      <w:sz w:val="21"/>
                      <w:szCs w:val="21"/>
                    </w:rPr>
                  </w:pPr>
                  <w:r>
                    <w:rPr>
                      <w:rFonts w:hint="default"/>
                      <w:sz w:val="21"/>
                      <w:szCs w:val="21"/>
                      <w:lang w:val="en-US" w:eastAsia="zh-CN"/>
                    </w:rPr>
                    <w:t>158.71</w:t>
                  </w:r>
                </w:p>
              </w:tc>
            </w:tr>
          </w:tbl>
          <w:p>
            <w:pPr>
              <w:pStyle w:val="7"/>
              <w:ind w:firstLine="480" w:firstLineChars="200"/>
              <w:jc w:val="left"/>
              <w:outlineLvl w:val="6"/>
              <w:rPr>
                <w:b w:val="0"/>
                <w:bCs/>
                <w:sz w:val="24"/>
                <w:szCs w:val="24"/>
                <w:highlight w:val="none"/>
              </w:rPr>
            </w:pPr>
            <w:r>
              <w:rPr>
                <w:b w:val="0"/>
                <w:bCs/>
              </w:rPr>
              <w:t>综上所述，</w:t>
            </w:r>
            <w:r>
              <w:rPr>
                <w:rFonts w:hint="eastAsia"/>
                <w:b w:val="0"/>
                <w:bCs/>
                <w:lang w:val="en-US" w:eastAsia="zh-CN"/>
              </w:rPr>
              <w:t>5</w:t>
            </w:r>
            <w:r>
              <w:rPr>
                <w:b w:val="0"/>
                <w:bCs/>
              </w:rPr>
              <w:t>个治理区</w:t>
            </w:r>
            <w:r>
              <w:rPr>
                <w:rFonts w:hint="eastAsia"/>
                <w:b w:val="0"/>
                <w:bCs/>
                <w:lang w:val="en-US" w:eastAsia="zh-CN"/>
              </w:rPr>
              <w:t>23</w:t>
            </w:r>
            <w:r>
              <w:rPr>
                <w:b w:val="0"/>
                <w:bCs/>
              </w:rPr>
              <w:t>处无主矿山破坏土地类型为天然牧草地、裸地、采矿用地等，依据《矿山地质环境保护与恢复治理方案》</w:t>
            </w:r>
            <w:r>
              <w:rPr>
                <w:rFonts w:hint="eastAsia"/>
                <w:b w:val="0"/>
                <w:bCs/>
                <w:lang w:eastAsia="zh-CN"/>
              </w:rPr>
              <w:t>，</w:t>
            </w:r>
            <w:r>
              <w:rPr>
                <w:b w:val="0"/>
                <w:bCs/>
              </w:rPr>
              <w:t>项目区内采矿活动对土地资源的破坏对矿山地质环境的影响程度为</w:t>
            </w:r>
            <w:r>
              <w:rPr>
                <w:rFonts w:hint="eastAsia"/>
                <w:b w:val="0"/>
                <w:bCs/>
                <w:lang w:eastAsia="zh-CN"/>
              </w:rPr>
              <w:t>相对较重</w:t>
            </w:r>
            <w:r>
              <w:rPr>
                <w:b w:val="0"/>
                <w:bCs/>
              </w:rPr>
              <w:t>。</w:t>
            </w:r>
          </w:p>
          <w:p>
            <w:pPr>
              <w:pStyle w:val="15"/>
              <w:numPr>
                <w:ilvl w:val="0"/>
                <w:numId w:val="6"/>
              </w:numPr>
              <w:ind w:firstLine="0" w:firstLineChars="0"/>
              <w:rPr>
                <w:rStyle w:val="39"/>
                <w:color w:val="auto"/>
                <w:sz w:val="24"/>
                <w:szCs w:val="24"/>
                <w:highlight w:val="none"/>
              </w:rPr>
            </w:pPr>
            <w:r>
              <w:rPr>
                <w:rStyle w:val="39"/>
                <w:rFonts w:hint="eastAsia"/>
                <w:color w:val="auto"/>
                <w:sz w:val="24"/>
                <w:szCs w:val="24"/>
                <w:highlight w:val="none"/>
              </w:rPr>
              <w:t>生态修复措施</w:t>
            </w:r>
          </w:p>
          <w:p>
            <w:pPr>
              <w:pStyle w:val="15"/>
              <w:ind w:firstLine="360" w:firstLineChars="150"/>
              <w:rPr>
                <w:rFonts w:hint="eastAsia" w:eastAsia="宋体"/>
                <w:color w:val="auto"/>
                <w:sz w:val="24"/>
                <w:szCs w:val="24"/>
                <w:highlight w:val="none"/>
                <w:lang w:eastAsia="zh-CN"/>
              </w:rPr>
            </w:pPr>
            <w:r>
              <w:rPr>
                <w:rFonts w:hint="eastAsia"/>
                <w:b w:val="0"/>
                <w:bCs/>
                <w:lang w:eastAsia="zh-CN"/>
              </w:rPr>
              <w:t>根据</w:t>
            </w:r>
            <w:r>
              <w:rPr>
                <w:b w:val="0"/>
                <w:bCs/>
              </w:rPr>
              <w:t>矿山地质环境保护与恢复治理方案</w:t>
            </w:r>
            <w:r>
              <w:rPr>
                <w:rFonts w:hint="eastAsia"/>
                <w:b w:val="0"/>
                <w:bCs/>
                <w:lang w:eastAsia="zh-CN"/>
              </w:rPr>
              <w:t>，</w:t>
            </w:r>
            <w:r>
              <w:rPr>
                <w:rFonts w:hint="eastAsia"/>
                <w:color w:val="auto"/>
                <w:sz w:val="24"/>
                <w:szCs w:val="24"/>
                <w:highlight w:val="none"/>
              </w:rPr>
              <w:t>针对</w:t>
            </w:r>
            <w:r>
              <w:rPr>
                <w:color w:val="auto"/>
                <w:sz w:val="24"/>
                <w:szCs w:val="24"/>
                <w:highlight w:val="none"/>
              </w:rPr>
              <w:t>以上存在的问题，</w:t>
            </w:r>
            <w:r>
              <w:rPr>
                <w:rFonts w:hint="eastAsia"/>
                <w:color w:val="auto"/>
                <w:sz w:val="24"/>
                <w:szCs w:val="24"/>
                <w:highlight w:val="none"/>
              </w:rPr>
              <w:t>本</w:t>
            </w:r>
            <w:r>
              <w:rPr>
                <w:rFonts w:hint="eastAsia"/>
                <w:color w:val="auto"/>
                <w:sz w:val="24"/>
                <w:szCs w:val="24"/>
                <w:highlight w:val="none"/>
                <w:lang w:eastAsia="zh-CN"/>
              </w:rPr>
              <w:t>项目</w:t>
            </w:r>
            <w:r>
              <w:rPr>
                <w:rFonts w:hint="default" w:ascii="Times New Roman" w:hAnsi="Times New Roman" w:eastAsia="宋体" w:cs="Times New Roman"/>
                <w:color w:val="auto"/>
                <w:sz w:val="24"/>
                <w:szCs w:val="24"/>
                <w:highlight w:val="none"/>
              </w:rPr>
              <w:t>通过士石方工程消除地质灾害，修复破坏的地形地貌，重建植被，恢复原有的地形地貌及土地资源，可以使遭到破坏的生态环境得到改善和基本恢复</w:t>
            </w:r>
            <w:r>
              <w:rPr>
                <w:rFonts w:hint="eastAsia" w:cs="Times New Roman"/>
                <w:color w:val="auto"/>
                <w:sz w:val="24"/>
                <w:szCs w:val="24"/>
                <w:highlight w:val="none"/>
                <w:lang w:eastAsia="zh-CN"/>
              </w:rPr>
              <w:t>，</w:t>
            </w:r>
            <w:r>
              <w:rPr>
                <w:rFonts w:hint="eastAsia"/>
                <w:color w:val="auto"/>
                <w:sz w:val="24"/>
                <w:szCs w:val="24"/>
                <w:highlight w:val="none"/>
                <w:lang w:eastAsia="zh-CN"/>
              </w:rPr>
              <w:t>控制了水土流失，改善生态环境。</w:t>
            </w:r>
          </w:p>
          <w:p>
            <w:pPr>
              <w:pStyle w:val="15"/>
              <w:ind w:firstLine="360" w:firstLineChars="150"/>
              <w:rPr>
                <w:rFonts w:hint="eastAsia" w:eastAsia="宋体"/>
                <w:color w:val="auto"/>
                <w:sz w:val="24"/>
                <w:szCs w:val="24"/>
                <w:highlight w:val="none"/>
                <w:lang w:val="en-US" w:eastAsia="zh-CN"/>
              </w:rPr>
            </w:pPr>
            <w:r>
              <w:rPr>
                <w:rFonts w:hint="eastAsia"/>
                <w:color w:val="auto"/>
                <w:sz w:val="24"/>
                <w:szCs w:val="24"/>
                <w:highlight w:val="none"/>
                <w:lang w:val="en-US" w:eastAsia="zh-CN"/>
              </w:rPr>
              <w:t>（1）地形地貌整治措施</w:t>
            </w:r>
          </w:p>
          <w:p>
            <w:pPr>
              <w:pStyle w:val="15"/>
              <w:ind w:firstLine="420"/>
              <w:rPr>
                <w:color w:val="auto"/>
                <w:sz w:val="24"/>
                <w:szCs w:val="24"/>
                <w:highlight w:val="none"/>
              </w:rPr>
            </w:pPr>
            <w:r>
              <w:rPr>
                <w:rFonts w:hint="eastAsia"/>
                <w:color w:val="auto"/>
                <w:sz w:val="24"/>
                <w:szCs w:val="24"/>
                <w:highlight w:val="none"/>
              </w:rPr>
              <w:t>本项目遵循工程修复与自然恢复结合的综合治理方式，以破坏前的地貌和周边未破坏的地形地貌作为设计地貌目标模板，考虑降雨、土壤渗透性、坡向、坡度高程点、动物栖息习性等，通过削高填低、采坑回填、边坡坡角培土及凹陷处回填等措施，重塑项目区地形地貌，模拟周边环境，为微生物、动物、植物提供栖息场所，恢复生物廊道，动物多样性，提升区域水土保持能力、生态安全屏障功能。</w:t>
            </w:r>
          </w:p>
          <w:p>
            <w:pPr>
              <w:pStyle w:val="15"/>
              <w:ind w:left="420" w:firstLine="0" w:firstLineChars="0"/>
              <w:rPr>
                <w:color w:val="auto"/>
                <w:sz w:val="24"/>
                <w:szCs w:val="24"/>
                <w:highlight w:val="none"/>
              </w:rPr>
            </w:pPr>
            <w:r>
              <w:rPr>
                <w:rFonts w:hint="eastAsia"/>
                <w:color w:val="auto"/>
                <w:sz w:val="24"/>
                <w:szCs w:val="24"/>
                <w:highlight w:val="none"/>
              </w:rPr>
              <w:t>（2）绿化覆土措施</w:t>
            </w:r>
          </w:p>
          <w:p>
            <w:pPr>
              <w:pStyle w:val="15"/>
              <w:ind w:firstLine="420"/>
              <w:rPr>
                <w:color w:val="auto"/>
                <w:sz w:val="24"/>
                <w:szCs w:val="24"/>
                <w:highlight w:val="none"/>
              </w:rPr>
            </w:pPr>
            <w:r>
              <w:rPr>
                <w:rFonts w:hint="eastAsia"/>
                <w:color w:val="auto"/>
                <w:sz w:val="24"/>
                <w:szCs w:val="24"/>
                <w:highlight w:val="none"/>
              </w:rPr>
              <w:t>因地制宜，就地取材。改变不同土层的粒径级配，调配、覆土等措施构建项目区新土体，恢复土壤微生物、土壤动物、植物生境环境。储存的小粒径级配</w:t>
            </w:r>
            <w:r>
              <w:rPr>
                <w:rFonts w:hint="eastAsia"/>
                <w:color w:val="auto"/>
                <w:sz w:val="24"/>
                <w:szCs w:val="24"/>
                <w:highlight w:val="none"/>
                <w:lang w:eastAsia="zh-CN"/>
              </w:rPr>
              <w:t>土</w:t>
            </w:r>
            <w:r>
              <w:rPr>
                <w:rFonts w:hint="eastAsia"/>
                <w:color w:val="auto"/>
                <w:sz w:val="24"/>
                <w:szCs w:val="24"/>
                <w:highlight w:val="none"/>
              </w:rPr>
              <w:t>覆盖，并从项目区周边拉运表土覆盖，以次达到土体近自然重构。</w:t>
            </w:r>
          </w:p>
          <w:p>
            <w:pPr>
              <w:pStyle w:val="15"/>
              <w:ind w:firstLine="420"/>
              <w:rPr>
                <w:color w:val="auto"/>
                <w:sz w:val="24"/>
                <w:szCs w:val="24"/>
                <w:highlight w:val="none"/>
              </w:rPr>
            </w:pPr>
            <w:r>
              <w:rPr>
                <w:rFonts w:hint="eastAsia"/>
                <w:color w:val="auto"/>
                <w:sz w:val="24"/>
                <w:szCs w:val="24"/>
                <w:highlight w:val="none"/>
              </w:rPr>
              <w:t>（3）植被恢复措施</w:t>
            </w:r>
          </w:p>
          <w:p>
            <w:pPr>
              <w:pStyle w:val="15"/>
              <w:ind w:firstLine="420"/>
              <w:rPr>
                <w:rFonts w:hint="eastAsia"/>
                <w:color w:val="auto"/>
                <w:sz w:val="24"/>
                <w:szCs w:val="24"/>
                <w:highlight w:val="none"/>
              </w:rPr>
            </w:pPr>
            <w:r>
              <w:rPr>
                <w:rFonts w:hint="eastAsia"/>
                <w:color w:val="auto"/>
                <w:sz w:val="24"/>
                <w:szCs w:val="24"/>
                <w:highlight w:val="none"/>
              </w:rPr>
              <w:t>根据植被地带性原理和乡土物种优先的原则，针对阴坡、阳坡、平地等不同生境，选择适应的草本和灌木物种。综合不同生境生态修复的植物选配技术、植被抗旱建植及管理等技术，以乡土物种的促进，人工与天然复合植被结合，促进项目区植被的构建。</w:t>
            </w:r>
          </w:p>
          <w:p>
            <w:pPr>
              <w:pStyle w:val="15"/>
              <w:ind w:firstLine="420"/>
              <w:rPr>
                <w:rFonts w:hint="eastAsia" w:eastAsia="宋体"/>
                <w:sz w:val="24"/>
                <w:szCs w:val="24"/>
                <w:highlight w:val="yellow"/>
                <w:lang w:val="en-US" w:eastAsia="zh-CN"/>
              </w:rPr>
            </w:pPr>
            <w:r>
              <w:rPr>
                <w:rFonts w:hint="eastAsia"/>
                <w:color w:val="auto"/>
                <w:sz w:val="24"/>
                <w:szCs w:val="24"/>
                <w:highlight w:val="none"/>
              </w:rPr>
              <w:t>通过以上措施，可以有效恢复治理区内的地质环境问题，重塑由矿山开采、露天开采引起的原生地形地貌，形成强烈视觉污染，避免一系列矿山地质环境问题发生或加剧已存在问题，预防由露天开采形成的高陡护坡引发的崩塌等地质灾害</w:t>
            </w:r>
            <w:r>
              <w:rPr>
                <w:rFonts w:hint="eastAsia"/>
                <w:color w:val="auto"/>
                <w:sz w:val="24"/>
                <w:szCs w:val="24"/>
                <w:highlight w:val="none"/>
                <w:lang w:eastAsia="zh-CN"/>
              </w:rPr>
              <w:t>，</w:t>
            </w:r>
            <w:r>
              <w:rPr>
                <w:rFonts w:hint="eastAsia"/>
                <w:color w:val="auto"/>
                <w:sz w:val="24"/>
                <w:szCs w:val="24"/>
                <w:highlight w:val="none"/>
                <w:lang w:val="en-US" w:eastAsia="zh-CN"/>
              </w:rPr>
              <w:t>改善了项目区现有生态环境</w:t>
            </w:r>
            <w:r>
              <w:rPr>
                <w:rFonts w:hint="eastAsia"/>
                <w:color w:val="auto"/>
                <w:sz w:val="24"/>
                <w:szCs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20" w:hRule="atLeast"/>
          <w:jc w:val="center"/>
        </w:trPr>
        <w:tc>
          <w:tcPr>
            <w:tcW w:w="849" w:type="dxa"/>
            <w:tcBorders>
              <w:tl2br w:val="nil"/>
              <w:tr2bl w:val="nil"/>
            </w:tcBorders>
            <w:vAlign w:val="center"/>
          </w:tcPr>
          <w:p>
            <w:pPr>
              <w:rPr>
                <w:color w:val="FF0000"/>
                <w:sz w:val="24"/>
                <w:szCs w:val="24"/>
                <w:highlight w:val="yellow"/>
              </w:rPr>
            </w:pPr>
            <w:r>
              <w:rPr>
                <w:rFonts w:hint="eastAsia" w:ascii="宋体" w:hAnsi="宋体" w:cs="宋体"/>
                <w:color w:val="auto"/>
                <w:sz w:val="24"/>
                <w:szCs w:val="24"/>
                <w:highlight w:val="none"/>
              </w:rPr>
              <w:t>生态环境保护目标</w:t>
            </w:r>
          </w:p>
        </w:tc>
        <w:tc>
          <w:tcPr>
            <w:tcW w:w="7673" w:type="dxa"/>
            <w:tcBorders>
              <w:tl2br w:val="nil"/>
              <w:tr2bl w:val="nil"/>
            </w:tcBorders>
          </w:tcPr>
          <w:p>
            <w:pPr>
              <w:spacing w:line="360" w:lineRule="auto"/>
              <w:jc w:val="left"/>
            </w:pPr>
            <w:r>
              <w:rPr>
                <w:rFonts w:hint="eastAsia"/>
              </w:rPr>
              <w:t>1、主要环境保护目标</w:t>
            </w:r>
          </w:p>
          <w:p>
            <w:pPr>
              <w:pStyle w:val="15"/>
              <w:ind w:firstLine="420"/>
              <w:rPr>
                <w:rFonts w:hint="eastAsia"/>
              </w:rPr>
            </w:pPr>
            <w:r>
              <w:rPr>
                <w:rFonts w:hint="eastAsia"/>
              </w:rPr>
              <w:t>（1）大气</w:t>
            </w:r>
            <w:r>
              <w:t>环境</w:t>
            </w:r>
          </w:p>
          <w:p>
            <w:pPr>
              <w:spacing w:line="360" w:lineRule="auto"/>
              <w:ind w:firstLine="480" w:firstLineChars="200"/>
              <w:jc w:val="left"/>
              <w:rPr>
                <w:rFonts w:hint="eastAsia"/>
              </w:rPr>
            </w:pPr>
            <w:r>
              <w:rPr>
                <w:rFonts w:hint="eastAsia"/>
              </w:rPr>
              <w:t>本</w:t>
            </w:r>
            <w:r>
              <w:t>项目</w:t>
            </w:r>
            <w:r>
              <w:rPr>
                <w:rFonts w:hint="eastAsia"/>
              </w:rPr>
              <w:t>位于</w:t>
            </w:r>
            <w:r>
              <w:t>中卫市</w:t>
            </w:r>
            <w:r>
              <w:rPr>
                <w:rFonts w:hint="eastAsia"/>
              </w:rPr>
              <w:t>沙坡头</w:t>
            </w:r>
            <w:r>
              <w:t>区香山</w:t>
            </w:r>
            <w:r>
              <w:rPr>
                <w:rFonts w:hint="eastAsia"/>
              </w:rPr>
              <w:t>乡</w:t>
            </w:r>
            <w:r>
              <w:rPr>
                <w:rFonts w:hint="eastAsia"/>
                <w:lang w:eastAsia="zh-CN"/>
              </w:rPr>
              <w:t>、常乐镇，</w:t>
            </w:r>
            <w:r>
              <w:t>经</w:t>
            </w:r>
            <w:r>
              <w:rPr>
                <w:rFonts w:hint="eastAsia"/>
              </w:rPr>
              <w:t>现场勘查</w:t>
            </w:r>
            <w:r>
              <w:t>，本项目</w:t>
            </w:r>
            <w:r>
              <w:rPr>
                <w:rFonts w:hint="eastAsia"/>
              </w:rPr>
              <w:t>500m范围</w:t>
            </w:r>
            <w:r>
              <w:rPr>
                <w:rFonts w:hint="eastAsia"/>
                <w:lang w:eastAsia="zh-CN"/>
              </w:rPr>
              <w:t>内无</w:t>
            </w:r>
            <w:r>
              <w:t>自然保护区</w:t>
            </w:r>
            <w:r>
              <w:rPr>
                <w:rFonts w:hint="eastAsia"/>
                <w:lang w:eastAsia="zh-CN"/>
              </w:rPr>
              <w:t>、风景名胜区等保护目标</w:t>
            </w:r>
            <w:r>
              <w:t>，其大气环境保护目标见</w:t>
            </w:r>
            <w:r>
              <w:rPr>
                <w:rFonts w:hint="eastAsia"/>
              </w:rPr>
              <w:t>下表</w:t>
            </w:r>
            <w:r>
              <w:t>。</w:t>
            </w:r>
          </w:p>
          <w:p>
            <w:pPr>
              <w:pStyle w:val="7"/>
              <w:outlineLvl w:val="6"/>
              <w:rPr>
                <w:rFonts w:hint="eastAsia"/>
                <w:lang w:eastAsia="zh-CN"/>
              </w:rPr>
            </w:pPr>
            <w:r>
              <w:rPr>
                <w:rFonts w:hint="eastAsia"/>
              </w:rPr>
              <w:t>表3-</w:t>
            </w:r>
            <w:r>
              <w:rPr>
                <w:rFonts w:hint="eastAsia"/>
                <w:lang w:val="en-US" w:eastAsia="zh-CN"/>
              </w:rPr>
              <w:t>14</w:t>
            </w:r>
            <w:r>
              <w:rPr>
                <w:rFonts w:hint="eastAsia"/>
              </w:rPr>
              <w:t xml:space="preserve"> </w:t>
            </w:r>
            <w:r>
              <w:t xml:space="preserve">   </w:t>
            </w:r>
            <w:r>
              <w:rPr>
                <w:rFonts w:hint="eastAsia"/>
              </w:rPr>
              <w:t>大</w:t>
            </w:r>
            <w:r>
              <w:t>气</w:t>
            </w:r>
            <w:r>
              <w:rPr>
                <w:rFonts w:hint="eastAsia"/>
              </w:rPr>
              <w:t>环境保护目标及环境保护要求一览</w:t>
            </w:r>
            <w:r>
              <w:rPr>
                <w:rFonts w:hint="eastAsia"/>
                <w:lang w:eastAsia="zh-CN"/>
              </w:rPr>
              <w:t>表</w:t>
            </w:r>
          </w:p>
          <w:tbl>
            <w:tblPr>
              <w:tblStyle w:val="25"/>
              <w:tblW w:w="7394" w:type="dxa"/>
              <w:tblInd w:w="5"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3"/>
              <w:gridCol w:w="1565"/>
              <w:gridCol w:w="1212"/>
              <w:gridCol w:w="758"/>
              <w:gridCol w:w="690"/>
              <w:gridCol w:w="825"/>
              <w:gridCol w:w="17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3" w:type="dxa"/>
                  <w:tcBorders>
                    <w:tl2br w:val="nil"/>
                    <w:tr2bl w:val="nil"/>
                  </w:tcBorders>
                  <w:vAlign w:val="center"/>
                </w:tcPr>
                <w:p>
                  <w:pPr>
                    <w:rPr>
                      <w:sz w:val="21"/>
                      <w:szCs w:val="21"/>
                    </w:rPr>
                  </w:pPr>
                  <w:r>
                    <w:rPr>
                      <w:sz w:val="21"/>
                      <w:szCs w:val="21"/>
                    </w:rPr>
                    <w:t>环境要素</w:t>
                  </w:r>
                </w:p>
              </w:tc>
              <w:tc>
                <w:tcPr>
                  <w:tcW w:w="1565" w:type="dxa"/>
                  <w:tcBorders>
                    <w:tl2br w:val="nil"/>
                    <w:tr2bl w:val="nil"/>
                  </w:tcBorders>
                  <w:vAlign w:val="center"/>
                </w:tcPr>
                <w:p>
                  <w:pPr>
                    <w:rPr>
                      <w:sz w:val="21"/>
                      <w:szCs w:val="21"/>
                    </w:rPr>
                  </w:pPr>
                  <w:r>
                    <w:rPr>
                      <w:sz w:val="21"/>
                      <w:szCs w:val="21"/>
                    </w:rPr>
                    <w:t>坐标</w:t>
                  </w:r>
                </w:p>
              </w:tc>
              <w:tc>
                <w:tcPr>
                  <w:tcW w:w="1212" w:type="dxa"/>
                  <w:tcBorders>
                    <w:tl2br w:val="nil"/>
                    <w:tr2bl w:val="nil"/>
                  </w:tcBorders>
                  <w:vAlign w:val="center"/>
                </w:tcPr>
                <w:p>
                  <w:pPr>
                    <w:rPr>
                      <w:sz w:val="21"/>
                      <w:szCs w:val="21"/>
                    </w:rPr>
                  </w:pPr>
                  <w:r>
                    <w:rPr>
                      <w:sz w:val="21"/>
                      <w:szCs w:val="21"/>
                    </w:rPr>
                    <w:t>方位</w:t>
                  </w:r>
                </w:p>
              </w:tc>
              <w:tc>
                <w:tcPr>
                  <w:tcW w:w="758" w:type="dxa"/>
                  <w:tcBorders>
                    <w:tl2br w:val="nil"/>
                    <w:tr2bl w:val="nil"/>
                  </w:tcBorders>
                  <w:vAlign w:val="center"/>
                </w:tcPr>
                <w:p>
                  <w:pPr>
                    <w:rPr>
                      <w:sz w:val="21"/>
                      <w:szCs w:val="21"/>
                    </w:rPr>
                  </w:pPr>
                  <w:r>
                    <w:rPr>
                      <w:sz w:val="21"/>
                      <w:szCs w:val="21"/>
                    </w:rPr>
                    <w:t>相对距离(m)</w:t>
                  </w:r>
                </w:p>
              </w:tc>
              <w:tc>
                <w:tcPr>
                  <w:tcW w:w="690" w:type="dxa"/>
                  <w:tcBorders>
                    <w:tl2br w:val="nil"/>
                    <w:tr2bl w:val="nil"/>
                  </w:tcBorders>
                  <w:vAlign w:val="center"/>
                </w:tcPr>
                <w:p>
                  <w:pPr>
                    <w:rPr>
                      <w:sz w:val="21"/>
                      <w:szCs w:val="21"/>
                    </w:rPr>
                  </w:pPr>
                  <w:r>
                    <w:rPr>
                      <w:sz w:val="21"/>
                      <w:szCs w:val="21"/>
                    </w:rPr>
                    <w:t>保护对象</w:t>
                  </w:r>
                </w:p>
              </w:tc>
              <w:tc>
                <w:tcPr>
                  <w:tcW w:w="825" w:type="dxa"/>
                  <w:tcBorders>
                    <w:tl2br w:val="nil"/>
                    <w:tr2bl w:val="nil"/>
                  </w:tcBorders>
                  <w:vAlign w:val="center"/>
                </w:tcPr>
                <w:p>
                  <w:pPr>
                    <w:rPr>
                      <w:sz w:val="21"/>
                      <w:szCs w:val="21"/>
                    </w:rPr>
                  </w:pPr>
                  <w:r>
                    <w:rPr>
                      <w:sz w:val="21"/>
                      <w:szCs w:val="21"/>
                    </w:rPr>
                    <w:t>保护内容</w:t>
                  </w:r>
                </w:p>
              </w:tc>
              <w:tc>
                <w:tcPr>
                  <w:tcW w:w="1701" w:type="dxa"/>
                  <w:tcBorders>
                    <w:tl2br w:val="nil"/>
                    <w:tr2bl w:val="nil"/>
                  </w:tcBorders>
                  <w:vAlign w:val="center"/>
                </w:tcPr>
                <w:p>
                  <w:pPr>
                    <w:rPr>
                      <w:sz w:val="21"/>
                      <w:szCs w:val="21"/>
                    </w:rPr>
                  </w:pPr>
                  <w:r>
                    <w:rPr>
                      <w:sz w:val="21"/>
                      <w:szCs w:val="21"/>
                    </w:rPr>
                    <w:t>环境功能区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643" w:type="dxa"/>
                  <w:tcBorders>
                    <w:tl2br w:val="nil"/>
                    <w:tr2bl w:val="nil"/>
                  </w:tcBorders>
                  <w:vAlign w:val="center"/>
                </w:tcPr>
                <w:p>
                  <w:pPr>
                    <w:rPr>
                      <w:sz w:val="21"/>
                      <w:szCs w:val="21"/>
                    </w:rPr>
                  </w:pPr>
                  <w:r>
                    <w:rPr>
                      <w:sz w:val="21"/>
                      <w:szCs w:val="21"/>
                    </w:rPr>
                    <w:t>环境空气</w:t>
                  </w:r>
                </w:p>
              </w:tc>
              <w:tc>
                <w:tcPr>
                  <w:tcW w:w="1565" w:type="dxa"/>
                  <w:tcBorders>
                    <w:tl2br w:val="nil"/>
                    <w:tr2bl w:val="nil"/>
                  </w:tcBorders>
                  <w:vAlign w:val="center"/>
                </w:tcPr>
                <w:p>
                  <w:pPr>
                    <w:rPr>
                      <w:sz w:val="21"/>
                      <w:szCs w:val="21"/>
                    </w:rPr>
                  </w:pPr>
                  <w:r>
                    <w:rPr>
                      <w:rFonts w:hint="default"/>
                      <w:sz w:val="21"/>
                      <w:szCs w:val="21"/>
                      <w:lang w:val="en-US" w:eastAsia="zh-CN"/>
                    </w:rPr>
                    <w:t>E104°51′52</w:t>
                  </w:r>
                  <w:r>
                    <w:rPr>
                      <w:rFonts w:hint="eastAsia"/>
                      <w:sz w:val="21"/>
                      <w:szCs w:val="21"/>
                      <w:lang w:val="en-US" w:eastAsia="zh-CN"/>
                    </w:rPr>
                    <w:t>1</w:t>
                  </w:r>
                  <w:r>
                    <w:rPr>
                      <w:rFonts w:hint="default"/>
                      <w:sz w:val="21"/>
                      <w:szCs w:val="21"/>
                      <w:lang w:val="en-US" w:eastAsia="zh-CN"/>
                    </w:rPr>
                    <w:t>″,</w:t>
                  </w:r>
                  <w:r>
                    <w:rPr>
                      <w:rFonts w:hint="eastAsia"/>
                      <w:sz w:val="21"/>
                      <w:szCs w:val="21"/>
                      <w:lang w:val="en-US" w:eastAsia="zh-CN"/>
                    </w:rPr>
                    <w:t>N37</w:t>
                  </w:r>
                  <w:r>
                    <w:rPr>
                      <w:rFonts w:hint="default"/>
                      <w:sz w:val="21"/>
                      <w:szCs w:val="21"/>
                      <w:lang w:val="en-US" w:eastAsia="zh-CN"/>
                    </w:rPr>
                    <w:t>°16′</w:t>
                  </w:r>
                  <w:r>
                    <w:rPr>
                      <w:rFonts w:hint="eastAsia"/>
                      <w:sz w:val="21"/>
                      <w:szCs w:val="21"/>
                      <w:lang w:val="en-US" w:eastAsia="zh-CN"/>
                    </w:rPr>
                    <w:t>0</w:t>
                  </w:r>
                  <w:r>
                    <w:rPr>
                      <w:rFonts w:hint="default"/>
                      <w:sz w:val="21"/>
                      <w:szCs w:val="21"/>
                      <w:lang w:val="en-US" w:eastAsia="zh-CN"/>
                    </w:rPr>
                    <w:t>4</w:t>
                  </w:r>
                  <w:r>
                    <w:rPr>
                      <w:rFonts w:hint="eastAsia"/>
                      <w:sz w:val="21"/>
                      <w:szCs w:val="21"/>
                      <w:lang w:val="en-US" w:eastAsia="zh-CN"/>
                    </w:rPr>
                    <w:t>4</w:t>
                  </w:r>
                  <w:r>
                    <w:rPr>
                      <w:rFonts w:hint="default"/>
                      <w:sz w:val="21"/>
                      <w:szCs w:val="21"/>
                      <w:lang w:val="en-US" w:eastAsia="zh-CN"/>
                    </w:rPr>
                    <w:t>″</w:t>
                  </w:r>
                </w:p>
              </w:tc>
              <w:tc>
                <w:tcPr>
                  <w:tcW w:w="1212" w:type="dxa"/>
                  <w:tcBorders>
                    <w:tl2br w:val="nil"/>
                    <w:tr2bl w:val="nil"/>
                  </w:tcBorders>
                  <w:vAlign w:val="center"/>
                </w:tcPr>
                <w:p>
                  <w:pPr>
                    <w:rPr>
                      <w:rFonts w:hint="eastAsia"/>
                      <w:sz w:val="21"/>
                      <w:szCs w:val="21"/>
                      <w:lang w:eastAsia="zh-CN"/>
                    </w:rPr>
                  </w:pPr>
                  <w:r>
                    <w:rPr>
                      <w:sz w:val="21"/>
                      <w:szCs w:val="21"/>
                    </w:rPr>
                    <w:t>香山</w:t>
                  </w:r>
                  <w:r>
                    <w:rPr>
                      <w:rFonts w:hint="eastAsia"/>
                      <w:sz w:val="21"/>
                      <w:szCs w:val="21"/>
                    </w:rPr>
                    <w:t>梁水园村北13号治理点</w:t>
                  </w:r>
                  <w:r>
                    <w:rPr>
                      <w:rFonts w:hint="eastAsia"/>
                      <w:sz w:val="21"/>
                      <w:szCs w:val="21"/>
                      <w:lang w:eastAsia="zh-CN"/>
                    </w:rPr>
                    <w:t>西侧</w:t>
                  </w:r>
                </w:p>
              </w:tc>
              <w:tc>
                <w:tcPr>
                  <w:tcW w:w="758" w:type="dxa"/>
                  <w:tcBorders>
                    <w:tl2br w:val="nil"/>
                    <w:tr2bl w:val="nil"/>
                  </w:tcBorders>
                  <w:vAlign w:val="center"/>
                </w:tcPr>
                <w:p>
                  <w:pPr>
                    <w:rPr>
                      <w:sz w:val="21"/>
                      <w:szCs w:val="21"/>
                    </w:rPr>
                  </w:pPr>
                  <w:r>
                    <w:rPr>
                      <w:sz w:val="21"/>
                      <w:szCs w:val="21"/>
                    </w:rPr>
                    <w:t>26</w:t>
                  </w:r>
                </w:p>
              </w:tc>
              <w:tc>
                <w:tcPr>
                  <w:tcW w:w="690" w:type="dxa"/>
                  <w:tcBorders>
                    <w:tl2br w:val="nil"/>
                    <w:tr2bl w:val="nil"/>
                  </w:tcBorders>
                  <w:vAlign w:val="center"/>
                </w:tcPr>
                <w:p>
                  <w:pPr>
                    <w:rPr>
                      <w:sz w:val="21"/>
                      <w:szCs w:val="21"/>
                    </w:rPr>
                  </w:pPr>
                  <w:r>
                    <w:rPr>
                      <w:rFonts w:hint="eastAsia" w:ascii="宋体" w:hAnsi="宋体" w:eastAsia="宋体" w:cs="宋体"/>
                      <w:sz w:val="21"/>
                      <w:szCs w:val="21"/>
                    </w:rPr>
                    <w:t>梁水园村</w:t>
                  </w:r>
                  <w:r>
                    <w:rPr>
                      <w:sz w:val="21"/>
                      <w:szCs w:val="21"/>
                    </w:rPr>
                    <w:t>居民</w:t>
                  </w:r>
                </w:p>
              </w:tc>
              <w:tc>
                <w:tcPr>
                  <w:tcW w:w="825" w:type="dxa"/>
                  <w:tcBorders>
                    <w:tl2br w:val="nil"/>
                    <w:tr2bl w:val="nil"/>
                  </w:tcBorders>
                  <w:vAlign w:val="center"/>
                </w:tcPr>
                <w:p>
                  <w:pPr>
                    <w:widowControl/>
                    <w:jc w:val="left"/>
                    <w:rPr>
                      <w:rFonts w:hint="default"/>
                      <w:sz w:val="21"/>
                      <w:szCs w:val="21"/>
                      <w:lang w:val="en-US" w:eastAsia="zh-CN"/>
                    </w:rPr>
                  </w:pPr>
                  <w:r>
                    <w:rPr>
                      <w:rFonts w:hint="eastAsia"/>
                      <w:sz w:val="21"/>
                      <w:szCs w:val="21"/>
                      <w:lang w:val="en-US" w:eastAsia="zh-CN"/>
                    </w:rPr>
                    <w:t>5</w:t>
                  </w:r>
                  <w:r>
                    <w:rPr>
                      <w:sz w:val="21"/>
                      <w:szCs w:val="21"/>
                    </w:rPr>
                    <w:t>户</w:t>
                  </w:r>
                  <w:r>
                    <w:rPr>
                      <w:rFonts w:hint="eastAsia"/>
                      <w:sz w:val="21"/>
                      <w:szCs w:val="21"/>
                      <w:lang w:val="en-US" w:eastAsia="zh-CN"/>
                    </w:rPr>
                    <w:t>/12人</w:t>
                  </w:r>
                </w:p>
              </w:tc>
              <w:tc>
                <w:tcPr>
                  <w:tcW w:w="1701" w:type="dxa"/>
                  <w:tcBorders>
                    <w:tl2br w:val="nil"/>
                    <w:tr2bl w:val="nil"/>
                  </w:tcBorders>
                  <w:vAlign w:val="center"/>
                </w:tcPr>
                <w:p>
                  <w:pPr>
                    <w:widowControl/>
                    <w:rPr>
                      <w:sz w:val="21"/>
                      <w:szCs w:val="21"/>
                    </w:rPr>
                  </w:pPr>
                  <w:r>
                    <w:rPr>
                      <w:sz w:val="21"/>
                      <w:szCs w:val="21"/>
                    </w:rPr>
                    <w:t>《环境空气质量标准（GB3095-2012）》及2018年修改单</w:t>
                  </w:r>
                  <w:r>
                    <w:rPr>
                      <w:rFonts w:hint="eastAsia"/>
                      <w:sz w:val="21"/>
                      <w:szCs w:val="21"/>
                      <w:lang w:eastAsia="zh-CN"/>
                    </w:rPr>
                    <w:t>二</w:t>
                  </w:r>
                  <w:r>
                    <w:rPr>
                      <w:sz w:val="21"/>
                      <w:szCs w:val="21"/>
                    </w:rPr>
                    <w:t>级标准</w:t>
                  </w:r>
                </w:p>
              </w:tc>
            </w:tr>
          </w:tbl>
          <w:p>
            <w:pPr>
              <w:bidi w:val="0"/>
              <w:rPr>
                <w:rFonts w:hint="eastAsia"/>
                <w:lang w:eastAsia="zh-CN"/>
              </w:rPr>
            </w:pPr>
          </w:p>
          <w:p>
            <w:pPr>
              <w:spacing w:line="360" w:lineRule="auto"/>
              <w:ind w:firstLine="480" w:firstLineChars="200"/>
              <w:jc w:val="left"/>
            </w:pPr>
            <w:r>
              <w:t>（2）声环境</w:t>
            </w:r>
          </w:p>
          <w:p>
            <w:pPr>
              <w:spacing w:line="360" w:lineRule="auto"/>
              <w:ind w:firstLine="480" w:firstLineChars="200"/>
              <w:jc w:val="left"/>
            </w:pPr>
            <w:r>
              <w:t>本项目50m范围内声环境保护目标具体见下表。</w:t>
            </w:r>
          </w:p>
          <w:p>
            <w:pPr>
              <w:pStyle w:val="7"/>
              <w:spacing w:line="240" w:lineRule="auto"/>
              <w:outlineLvl w:val="6"/>
            </w:pPr>
            <w:r>
              <w:t>表3-1</w:t>
            </w:r>
            <w:r>
              <w:rPr>
                <w:rFonts w:hint="eastAsia"/>
                <w:lang w:val="en-US" w:eastAsia="zh-CN"/>
              </w:rPr>
              <w:t>5</w:t>
            </w:r>
            <w:r>
              <w:t xml:space="preserve">  </w:t>
            </w:r>
            <w:r>
              <w:rPr>
                <w:rFonts w:hint="eastAsia"/>
                <w:lang w:eastAsia="zh-CN"/>
              </w:rPr>
              <w:t>声</w:t>
            </w:r>
            <w:r>
              <w:t>环境保护目标及环境保护要求一览表</w:t>
            </w:r>
          </w:p>
          <w:tbl>
            <w:tblPr>
              <w:tblStyle w:val="25"/>
              <w:tblW w:w="74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0"/>
              <w:gridCol w:w="1455"/>
              <w:gridCol w:w="1495"/>
              <w:gridCol w:w="1113"/>
              <w:gridCol w:w="1121"/>
              <w:gridCol w:w="1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center"/>
                </w:tcPr>
                <w:p>
                  <w:pPr>
                    <w:rPr>
                      <w:b/>
                      <w:bCs/>
                      <w:sz w:val="21"/>
                      <w:szCs w:val="21"/>
                      <w:vertAlign w:val="baseline"/>
                    </w:rPr>
                  </w:pPr>
                  <w:r>
                    <w:rPr>
                      <w:b/>
                      <w:bCs/>
                      <w:sz w:val="21"/>
                      <w:szCs w:val="21"/>
                    </w:rPr>
                    <w:t>环境要素</w:t>
                  </w:r>
                </w:p>
              </w:tc>
              <w:tc>
                <w:tcPr>
                  <w:tcW w:w="1455" w:type="dxa"/>
                  <w:vAlign w:val="center"/>
                </w:tcPr>
                <w:p>
                  <w:pPr>
                    <w:rPr>
                      <w:b/>
                      <w:bCs/>
                      <w:sz w:val="21"/>
                      <w:szCs w:val="21"/>
                      <w:vertAlign w:val="baseline"/>
                    </w:rPr>
                  </w:pPr>
                  <w:r>
                    <w:rPr>
                      <w:b/>
                      <w:bCs/>
                      <w:sz w:val="21"/>
                      <w:szCs w:val="21"/>
                    </w:rPr>
                    <w:t>坐标</w:t>
                  </w:r>
                </w:p>
              </w:tc>
              <w:tc>
                <w:tcPr>
                  <w:tcW w:w="1495" w:type="dxa"/>
                  <w:vAlign w:val="center"/>
                </w:tcPr>
                <w:p>
                  <w:pPr>
                    <w:rPr>
                      <w:b/>
                      <w:bCs/>
                      <w:sz w:val="21"/>
                      <w:szCs w:val="21"/>
                      <w:vertAlign w:val="baseline"/>
                    </w:rPr>
                  </w:pPr>
                  <w:r>
                    <w:rPr>
                      <w:b/>
                      <w:bCs/>
                      <w:sz w:val="21"/>
                      <w:szCs w:val="21"/>
                    </w:rPr>
                    <w:t>方位</w:t>
                  </w:r>
                </w:p>
              </w:tc>
              <w:tc>
                <w:tcPr>
                  <w:tcW w:w="1113" w:type="dxa"/>
                  <w:vAlign w:val="center"/>
                </w:tcPr>
                <w:p>
                  <w:pPr>
                    <w:rPr>
                      <w:b/>
                      <w:bCs/>
                      <w:sz w:val="21"/>
                      <w:szCs w:val="21"/>
                      <w:vertAlign w:val="baseline"/>
                    </w:rPr>
                  </w:pPr>
                  <w:r>
                    <w:rPr>
                      <w:b/>
                      <w:bCs/>
                      <w:sz w:val="21"/>
                      <w:szCs w:val="21"/>
                    </w:rPr>
                    <w:t>相对距离(m)</w:t>
                  </w:r>
                </w:p>
              </w:tc>
              <w:tc>
                <w:tcPr>
                  <w:tcW w:w="1121" w:type="dxa"/>
                  <w:vAlign w:val="center"/>
                </w:tcPr>
                <w:p>
                  <w:pPr>
                    <w:rPr>
                      <w:b/>
                      <w:bCs/>
                      <w:sz w:val="21"/>
                      <w:szCs w:val="21"/>
                      <w:vertAlign w:val="baseline"/>
                    </w:rPr>
                  </w:pPr>
                  <w:r>
                    <w:rPr>
                      <w:b/>
                      <w:bCs/>
                      <w:sz w:val="21"/>
                      <w:szCs w:val="21"/>
                    </w:rPr>
                    <w:t>保护对象</w:t>
                  </w:r>
                </w:p>
              </w:tc>
              <w:tc>
                <w:tcPr>
                  <w:tcW w:w="1243" w:type="dxa"/>
                  <w:vAlign w:val="center"/>
                </w:tcPr>
                <w:p>
                  <w:pPr>
                    <w:rPr>
                      <w:b/>
                      <w:bCs/>
                      <w:sz w:val="21"/>
                      <w:szCs w:val="21"/>
                      <w:vertAlign w:val="baseline"/>
                    </w:rPr>
                  </w:pPr>
                  <w:r>
                    <w:rPr>
                      <w:b/>
                      <w:bCs/>
                      <w:sz w:val="21"/>
                      <w:szCs w:val="21"/>
                    </w:rPr>
                    <w:t>保护内容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dxa"/>
                  <w:vAlign w:val="center"/>
                </w:tcPr>
                <w:p>
                  <w:pPr>
                    <w:rPr>
                      <w:rFonts w:hint="eastAsia" w:ascii="宋体" w:hAnsi="宋体" w:eastAsia="宋体" w:cs="宋体"/>
                      <w:sz w:val="21"/>
                      <w:szCs w:val="21"/>
                      <w:vertAlign w:val="baseline"/>
                    </w:rPr>
                  </w:pPr>
                  <w:r>
                    <w:rPr>
                      <w:rFonts w:hint="eastAsia" w:ascii="宋体" w:hAnsi="宋体" w:eastAsia="宋体" w:cs="宋体"/>
                      <w:sz w:val="21"/>
                      <w:szCs w:val="21"/>
                      <w:lang w:eastAsia="zh-CN"/>
                    </w:rPr>
                    <w:t>声环境</w:t>
                  </w:r>
                </w:p>
              </w:tc>
              <w:tc>
                <w:tcPr>
                  <w:tcW w:w="1455" w:type="dxa"/>
                  <w:vAlign w:val="center"/>
                </w:tcPr>
                <w:p>
                  <w:pPr>
                    <w:rPr>
                      <w:rFonts w:hint="eastAsia" w:ascii="宋体" w:hAnsi="宋体" w:eastAsia="宋体" w:cs="宋体"/>
                      <w:sz w:val="21"/>
                      <w:szCs w:val="21"/>
                      <w:vertAlign w:val="baseline"/>
                    </w:rPr>
                  </w:pPr>
                  <w:r>
                    <w:rPr>
                      <w:rFonts w:hint="eastAsia" w:ascii="宋体" w:hAnsi="宋体" w:eastAsia="宋体" w:cs="宋体"/>
                      <w:sz w:val="21"/>
                      <w:szCs w:val="21"/>
                      <w:lang w:val="en-US" w:eastAsia="zh-CN"/>
                    </w:rPr>
                    <w:t>E104°51′521″,N37°16′044″</w:t>
                  </w:r>
                </w:p>
              </w:tc>
              <w:tc>
                <w:tcPr>
                  <w:tcW w:w="1495" w:type="dxa"/>
                  <w:vAlign w:val="center"/>
                </w:tcPr>
                <w:p>
                  <w:pPr>
                    <w:rPr>
                      <w:rFonts w:hint="eastAsia" w:ascii="宋体" w:hAnsi="宋体" w:eastAsia="宋体" w:cs="宋体"/>
                      <w:sz w:val="21"/>
                      <w:szCs w:val="21"/>
                      <w:vertAlign w:val="baseline"/>
                    </w:rPr>
                  </w:pPr>
                  <w:r>
                    <w:rPr>
                      <w:rFonts w:hint="eastAsia" w:ascii="宋体" w:hAnsi="宋体" w:eastAsia="宋体" w:cs="宋体"/>
                      <w:sz w:val="21"/>
                      <w:szCs w:val="21"/>
                    </w:rPr>
                    <w:t>香山梁水园村北13号治理点</w:t>
                  </w:r>
                  <w:r>
                    <w:rPr>
                      <w:rFonts w:hint="eastAsia" w:ascii="宋体" w:hAnsi="宋体" w:eastAsia="宋体" w:cs="宋体"/>
                      <w:sz w:val="21"/>
                      <w:szCs w:val="21"/>
                      <w:lang w:eastAsia="zh-CN"/>
                    </w:rPr>
                    <w:t>西侧</w:t>
                  </w:r>
                </w:p>
              </w:tc>
              <w:tc>
                <w:tcPr>
                  <w:tcW w:w="1113" w:type="dxa"/>
                  <w:vAlign w:val="center"/>
                </w:tcPr>
                <w:p>
                  <w:pPr>
                    <w:rPr>
                      <w:rFonts w:hint="eastAsia" w:ascii="宋体" w:hAnsi="宋体" w:eastAsia="宋体" w:cs="宋体"/>
                      <w:sz w:val="21"/>
                      <w:szCs w:val="21"/>
                      <w:vertAlign w:val="baseline"/>
                    </w:rPr>
                  </w:pPr>
                  <w:r>
                    <w:rPr>
                      <w:rFonts w:hint="eastAsia" w:ascii="宋体" w:hAnsi="宋体" w:eastAsia="宋体" w:cs="宋体"/>
                      <w:sz w:val="21"/>
                      <w:szCs w:val="21"/>
                    </w:rPr>
                    <w:t>26</w:t>
                  </w:r>
                </w:p>
              </w:tc>
              <w:tc>
                <w:tcPr>
                  <w:tcW w:w="1121" w:type="dxa"/>
                  <w:vAlign w:val="center"/>
                </w:tcPr>
                <w:p>
                  <w:pPr>
                    <w:rPr>
                      <w:rFonts w:hint="eastAsia" w:ascii="宋体" w:hAnsi="宋体" w:eastAsia="宋体" w:cs="宋体"/>
                      <w:sz w:val="21"/>
                      <w:szCs w:val="21"/>
                      <w:vertAlign w:val="baseline"/>
                    </w:rPr>
                  </w:pP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梁水园村居民</w:t>
                  </w:r>
                </w:p>
              </w:tc>
              <w:tc>
                <w:tcPr>
                  <w:tcW w:w="1243" w:type="dxa"/>
                  <w:vAlign w:val="center"/>
                </w:tcPr>
                <w:p>
                  <w:pPr>
                    <w:widowControl/>
                    <w:jc w:val="left"/>
                    <w:rPr>
                      <w:rFonts w:hint="eastAsia" w:ascii="宋体" w:hAnsi="宋体" w:eastAsia="宋体" w:cs="宋体"/>
                      <w:sz w:val="21"/>
                      <w:szCs w:val="21"/>
                      <w:vertAlign w:val="baseline"/>
                    </w:rPr>
                  </w:pPr>
                  <w:r>
                    <w:rPr>
                      <w:rFonts w:hint="eastAsia" w:ascii="宋体" w:hAnsi="宋体" w:eastAsia="宋体" w:cs="宋体"/>
                      <w:sz w:val="21"/>
                      <w:szCs w:val="21"/>
                      <w:lang w:val="en-US" w:eastAsia="zh-CN"/>
                    </w:rPr>
                    <w:t>5</w:t>
                  </w:r>
                  <w:r>
                    <w:rPr>
                      <w:rFonts w:hint="eastAsia" w:ascii="宋体" w:hAnsi="宋体" w:eastAsia="宋体" w:cs="宋体"/>
                      <w:sz w:val="21"/>
                      <w:szCs w:val="21"/>
                    </w:rPr>
                    <w:t>户</w:t>
                  </w:r>
                  <w:r>
                    <w:rPr>
                      <w:rFonts w:hint="eastAsia" w:ascii="宋体" w:hAnsi="宋体" w:eastAsia="宋体" w:cs="宋体"/>
                      <w:sz w:val="21"/>
                      <w:szCs w:val="21"/>
                      <w:lang w:val="en-US" w:eastAsia="zh-CN"/>
                    </w:rPr>
                    <w:t>/12人</w:t>
                  </w:r>
                </w:p>
              </w:tc>
            </w:tr>
          </w:tbl>
          <w:p/>
          <w:p>
            <w:pPr>
              <w:spacing w:line="360" w:lineRule="auto"/>
              <w:jc w:val="left"/>
              <w:rPr>
                <w:rFonts w:hint="default" w:eastAsia="宋体"/>
                <w:lang w:val="en-US" w:eastAsia="zh-CN"/>
              </w:rPr>
            </w:pPr>
            <w:r>
              <w:rPr>
                <w:rFonts w:hint="eastAsia"/>
                <w:lang w:val="en-US" w:eastAsia="zh-CN"/>
              </w:rPr>
              <w:t xml:space="preserve"> </w:t>
            </w:r>
            <w:r>
              <w:drawing>
                <wp:inline distT="0" distB="0" distL="114300" distR="114300">
                  <wp:extent cx="4528820" cy="2760980"/>
                  <wp:effectExtent l="0" t="0" r="5080" b="127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59"/>
                          <a:stretch>
                            <a:fillRect/>
                          </a:stretch>
                        </pic:blipFill>
                        <pic:spPr>
                          <a:xfrm>
                            <a:off x="0" y="0"/>
                            <a:ext cx="4528820" cy="2760980"/>
                          </a:xfrm>
                          <a:prstGeom prst="rect">
                            <a:avLst/>
                          </a:prstGeom>
                          <a:noFill/>
                          <a:ln>
                            <a:noFill/>
                          </a:ln>
                        </pic:spPr>
                      </pic:pic>
                    </a:graphicData>
                  </a:graphic>
                </wp:inline>
              </w:drawing>
            </w:r>
            <w:r>
              <w:rPr>
                <w:rFonts w:hint="eastAsia"/>
                <w:lang w:val="en-US" w:eastAsia="zh-CN"/>
              </w:rPr>
              <w:t xml:space="preserve">             </w:t>
            </w:r>
          </w:p>
          <w:p>
            <w:pPr>
              <w:spacing w:line="360" w:lineRule="auto"/>
              <w:ind w:firstLine="482" w:firstLineChars="200"/>
              <w:jc w:val="left"/>
              <w:rPr>
                <w:rFonts w:hint="eastAsia" w:eastAsia="宋体"/>
                <w:b/>
                <w:bCs/>
                <w:lang w:eastAsia="zh-CN"/>
              </w:rPr>
            </w:pPr>
            <w:r>
              <w:rPr>
                <w:rFonts w:hint="eastAsia"/>
                <w:b/>
                <w:bCs/>
              </w:rPr>
              <w:t>（</w:t>
            </w:r>
            <w:r>
              <w:rPr>
                <w:rFonts w:hint="eastAsia"/>
                <w:b/>
                <w:bCs/>
                <w:lang w:val="en-US" w:eastAsia="zh-CN"/>
              </w:rPr>
              <w:t>3</w:t>
            </w:r>
            <w:r>
              <w:rPr>
                <w:rFonts w:hint="eastAsia"/>
                <w:b/>
                <w:bCs/>
              </w:rPr>
              <w:t>）</w:t>
            </w:r>
            <w:r>
              <w:rPr>
                <w:b/>
                <w:bCs/>
              </w:rPr>
              <w:t>生态环境</w:t>
            </w:r>
            <w:r>
              <w:rPr>
                <w:rFonts w:hint="eastAsia"/>
                <w:b/>
                <w:bCs/>
                <w:lang w:eastAsia="zh-CN"/>
              </w:rPr>
              <w:t>目标</w:t>
            </w:r>
          </w:p>
          <w:p>
            <w:pPr>
              <w:spacing w:line="360" w:lineRule="auto"/>
              <w:ind w:firstLine="480" w:firstLineChars="200"/>
              <w:jc w:val="left"/>
            </w:pPr>
            <w:r>
              <w:rPr>
                <w:rFonts w:hint="eastAsia"/>
              </w:rPr>
              <w:t>根据</w:t>
            </w:r>
            <w:r>
              <w:t>现状调查，</w:t>
            </w:r>
            <w:r>
              <w:rPr>
                <w:rFonts w:hint="eastAsia"/>
              </w:rPr>
              <w:t>本项目</w:t>
            </w:r>
            <w:r>
              <w:rPr>
                <w:rFonts w:hint="eastAsia"/>
                <w:lang w:eastAsia="zh-CN"/>
              </w:rPr>
              <w:t>除</w:t>
            </w:r>
            <w:r>
              <w:rPr>
                <w:rFonts w:hint="eastAsia"/>
              </w:rPr>
              <w:t>香山黄泉村一采区生态修复治理区内的1号至5号治理点</w:t>
            </w:r>
            <w:r>
              <w:rPr>
                <w:rFonts w:hint="eastAsia"/>
                <w:lang w:eastAsia="zh-CN"/>
              </w:rPr>
              <w:t>在</w:t>
            </w:r>
            <w:r>
              <w:rPr>
                <w:rFonts w:hint="eastAsia"/>
              </w:rPr>
              <w:t>中卫市生态保护红线</w:t>
            </w:r>
            <w:r>
              <w:rPr>
                <w:rFonts w:hint="eastAsia"/>
                <w:lang w:eastAsia="zh-CN"/>
              </w:rPr>
              <w:t>内</w:t>
            </w:r>
            <w:r>
              <w:rPr>
                <w:rFonts w:hint="eastAsia"/>
              </w:rPr>
              <w:t>，属于涉及环境敏感区的项目</w:t>
            </w:r>
            <w:r>
              <w:rPr>
                <w:rFonts w:hint="eastAsia"/>
                <w:lang w:eastAsia="zh-CN"/>
              </w:rPr>
              <w:t>，其他治理区不在</w:t>
            </w:r>
            <w:r>
              <w:t>自然保护区、</w:t>
            </w:r>
            <w:r>
              <w:rPr>
                <w:rFonts w:hint="eastAsia"/>
              </w:rPr>
              <w:t>生态保护红线</w:t>
            </w:r>
            <w:r>
              <w:rPr>
                <w:rFonts w:hint="eastAsia"/>
                <w:lang w:eastAsia="zh-CN"/>
              </w:rPr>
              <w:t>、</w:t>
            </w:r>
            <w:r>
              <w:t>风景名胜区、世界文化和自然遗产、饮用水水源保护区</w:t>
            </w:r>
            <w:r>
              <w:rPr>
                <w:rFonts w:hint="eastAsia"/>
                <w:lang w:eastAsia="zh-CN"/>
              </w:rPr>
              <w:t>，</w:t>
            </w:r>
            <w:r>
              <w:rPr>
                <w:rFonts w:hint="eastAsia"/>
              </w:rPr>
              <w:t>无</w:t>
            </w:r>
            <w:r>
              <w:t>具有特殊历史、文化、科学、民族</w:t>
            </w:r>
            <w:r>
              <w:rPr>
                <w:rFonts w:hint="eastAsia"/>
              </w:rPr>
              <w:t>意义</w:t>
            </w:r>
            <w:r>
              <w:t>的保护地等环境敏感区，调查未见珍稀、濒危野生动物和保护物种。</w:t>
            </w:r>
          </w:p>
          <w:p>
            <w:pPr>
              <w:pStyle w:val="19"/>
            </w:pPr>
            <w:r>
              <w:rPr>
                <w:rFonts w:hint="eastAsia"/>
                <w:lang w:val="en-US" w:eastAsia="zh-CN"/>
              </w:rPr>
              <w:t xml:space="preserve">     </w:t>
            </w:r>
            <w:r>
              <w:rPr>
                <w:b/>
                <w:bCs/>
              </w:rPr>
              <w:t>表3-1</w:t>
            </w:r>
            <w:r>
              <w:rPr>
                <w:rFonts w:hint="eastAsia"/>
                <w:b/>
                <w:bCs/>
                <w:lang w:val="en-US" w:eastAsia="zh-CN"/>
              </w:rPr>
              <w:t>6              生态环境保护目标一览表</w:t>
            </w:r>
          </w:p>
          <w:tbl>
            <w:tblPr>
              <w:tblStyle w:val="25"/>
              <w:tblW w:w="733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2"/>
              <w:gridCol w:w="2051"/>
              <w:gridCol w:w="1096"/>
              <w:gridCol w:w="958"/>
              <w:gridCol w:w="660"/>
              <w:gridCol w:w="638"/>
              <w:gridCol w:w="12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712" w:type="dxa"/>
                  <w:tcBorders>
                    <w:tl2br w:val="nil"/>
                    <w:tr2bl w:val="nil"/>
                  </w:tcBorders>
                  <w:vAlign w:val="center"/>
                </w:tcPr>
                <w:p>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环境要素</w:t>
                  </w:r>
                </w:p>
              </w:tc>
              <w:tc>
                <w:tcPr>
                  <w:tcW w:w="2051" w:type="dxa"/>
                  <w:tcBorders>
                    <w:tl2br w:val="nil"/>
                    <w:tr2bl w:val="nil"/>
                  </w:tcBorders>
                  <w:vAlign w:val="center"/>
                </w:tcPr>
                <w:p>
                  <w:pPr>
                    <w:bidi w:val="0"/>
                    <w:spacing w:line="240" w:lineRule="auto"/>
                    <w:jc w:val="center"/>
                    <w:rPr>
                      <w:rFonts w:hint="eastAsia"/>
                      <w:b/>
                      <w:bCs/>
                      <w:sz w:val="21"/>
                      <w:szCs w:val="21"/>
                      <w:lang w:val="en-US" w:eastAsia="zh-CN"/>
                    </w:rPr>
                  </w:pPr>
                  <w:r>
                    <w:rPr>
                      <w:rFonts w:hint="eastAsia"/>
                      <w:b/>
                      <w:bCs/>
                      <w:sz w:val="21"/>
                      <w:szCs w:val="21"/>
                      <w:lang w:val="en-US" w:eastAsia="zh-CN"/>
                    </w:rPr>
                    <w:t>坐标</w:t>
                  </w:r>
                </w:p>
              </w:tc>
              <w:tc>
                <w:tcPr>
                  <w:tcW w:w="1096" w:type="dxa"/>
                  <w:tcBorders>
                    <w:tl2br w:val="nil"/>
                    <w:tr2bl w:val="nil"/>
                  </w:tcBorders>
                  <w:vAlign w:val="center"/>
                </w:tcPr>
                <w:p>
                  <w:pPr>
                    <w:bidi w:val="0"/>
                    <w:spacing w:line="240" w:lineRule="auto"/>
                    <w:jc w:val="both"/>
                    <w:rPr>
                      <w:rFonts w:hint="eastAsia"/>
                      <w:b/>
                      <w:bCs/>
                      <w:sz w:val="21"/>
                      <w:szCs w:val="21"/>
                      <w:lang w:val="en-US" w:eastAsia="zh-CN"/>
                    </w:rPr>
                  </w:pPr>
                  <w:r>
                    <w:rPr>
                      <w:rFonts w:hint="eastAsia"/>
                      <w:b/>
                      <w:bCs/>
                      <w:sz w:val="21"/>
                      <w:szCs w:val="21"/>
                      <w:lang w:eastAsia="zh-CN"/>
                    </w:rPr>
                    <w:t>相对</w:t>
                  </w:r>
                  <w:r>
                    <w:rPr>
                      <w:rFonts w:hint="eastAsia"/>
                      <w:b/>
                      <w:bCs/>
                      <w:sz w:val="21"/>
                      <w:szCs w:val="21"/>
                    </w:rPr>
                    <w:t>方位</w:t>
                  </w:r>
                </w:p>
              </w:tc>
              <w:tc>
                <w:tcPr>
                  <w:tcW w:w="958" w:type="dxa"/>
                  <w:tcBorders>
                    <w:tl2br w:val="nil"/>
                    <w:tr2bl w:val="nil"/>
                  </w:tcBorders>
                  <w:vAlign w:val="center"/>
                </w:tcPr>
                <w:p>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占红线</w:t>
                  </w:r>
                </w:p>
                <w:p>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规模</w:t>
                  </w:r>
                </w:p>
              </w:tc>
              <w:tc>
                <w:tcPr>
                  <w:tcW w:w="660" w:type="dxa"/>
                  <w:tcBorders>
                    <w:tl2br w:val="nil"/>
                    <w:tr2bl w:val="nil"/>
                  </w:tcBorders>
                  <w:vAlign w:val="center"/>
                </w:tcPr>
                <w:p>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保护</w:t>
                  </w:r>
                </w:p>
                <w:p>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功能</w:t>
                  </w:r>
                </w:p>
              </w:tc>
              <w:tc>
                <w:tcPr>
                  <w:tcW w:w="638" w:type="dxa"/>
                  <w:tcBorders>
                    <w:tl2br w:val="nil"/>
                    <w:tr2bl w:val="nil"/>
                  </w:tcBorders>
                  <w:vAlign w:val="center"/>
                </w:tcPr>
                <w:p>
                  <w:pPr>
                    <w:bidi w:val="0"/>
                    <w:spacing w:line="240" w:lineRule="auto"/>
                    <w:ind w:left="0" w:leftChars="0" w:firstLine="0" w:firstLineChars="0"/>
                    <w:jc w:val="center"/>
                    <w:rPr>
                      <w:rFonts w:hint="eastAsia"/>
                      <w:b/>
                      <w:bCs/>
                      <w:sz w:val="21"/>
                      <w:szCs w:val="21"/>
                      <w:lang w:val="en-US" w:eastAsia="zh-CN"/>
                    </w:rPr>
                  </w:pPr>
                  <w:r>
                    <w:rPr>
                      <w:rFonts w:hint="eastAsia"/>
                      <w:b/>
                      <w:bCs/>
                      <w:sz w:val="21"/>
                      <w:szCs w:val="21"/>
                      <w:lang w:val="en-US" w:eastAsia="zh-CN"/>
                    </w:rPr>
                    <w:t>保护内容</w:t>
                  </w:r>
                </w:p>
              </w:tc>
              <w:tc>
                <w:tcPr>
                  <w:tcW w:w="1220" w:type="dxa"/>
                  <w:tcBorders>
                    <w:tl2br w:val="nil"/>
                    <w:tr2bl w:val="nil"/>
                  </w:tcBorders>
                  <w:vAlign w:val="center"/>
                </w:tcPr>
                <w:p>
                  <w:pPr>
                    <w:bidi w:val="0"/>
                    <w:spacing w:line="240" w:lineRule="auto"/>
                    <w:ind w:left="0" w:leftChars="0" w:firstLine="0" w:firstLineChars="0"/>
                    <w:jc w:val="center"/>
                    <w:rPr>
                      <w:rFonts w:hint="eastAsia"/>
                      <w:b/>
                      <w:bCs/>
                      <w:sz w:val="21"/>
                      <w:szCs w:val="21"/>
                    </w:rPr>
                  </w:pPr>
                  <w:r>
                    <w:rPr>
                      <w:rFonts w:hint="eastAsia"/>
                      <w:b/>
                      <w:bCs/>
                      <w:sz w:val="21"/>
                      <w:szCs w:val="21"/>
                    </w:rPr>
                    <w:t>环境</w:t>
                  </w:r>
                </w:p>
                <w:p>
                  <w:pPr>
                    <w:bidi w:val="0"/>
                    <w:spacing w:line="240" w:lineRule="auto"/>
                    <w:ind w:left="0" w:leftChars="0" w:firstLine="0" w:firstLineChars="0"/>
                    <w:jc w:val="center"/>
                    <w:rPr>
                      <w:rFonts w:hint="eastAsia"/>
                      <w:b/>
                      <w:bCs/>
                      <w:sz w:val="21"/>
                      <w:szCs w:val="21"/>
                      <w:lang w:val="en-US" w:eastAsia="zh-CN"/>
                    </w:rPr>
                  </w:pPr>
                  <w:r>
                    <w:rPr>
                      <w:rFonts w:hint="eastAsia"/>
                      <w:b/>
                      <w:bCs/>
                      <w:sz w:val="21"/>
                      <w:szCs w:val="21"/>
                    </w:rPr>
                    <w:t>功能区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712" w:type="dxa"/>
                  <w:vMerge w:val="restart"/>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生态环境</w:t>
                  </w:r>
                </w:p>
              </w:tc>
              <w:tc>
                <w:tcPr>
                  <w:tcW w:w="2051"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1</w:t>
                  </w:r>
                  <w:r>
                    <w:rPr>
                      <w:rFonts w:hint="eastAsia"/>
                      <w:sz w:val="21"/>
                      <w:szCs w:val="21"/>
                    </w:rPr>
                    <w:t>号治理点</w:t>
                  </w:r>
                  <w:r>
                    <w:rPr>
                      <w:rFonts w:hint="eastAsia"/>
                      <w:sz w:val="21"/>
                      <w:szCs w:val="21"/>
                      <w:lang w:eastAsia="zh-CN"/>
                    </w:rPr>
                    <w:t>:E104°48′4</w:t>
                  </w:r>
                  <w:r>
                    <w:rPr>
                      <w:rFonts w:hint="eastAsia"/>
                      <w:sz w:val="21"/>
                      <w:szCs w:val="21"/>
                      <w:lang w:val="en-US" w:eastAsia="zh-CN"/>
                    </w:rPr>
                    <w:t>32</w:t>
                  </w:r>
                  <w:r>
                    <w:rPr>
                      <w:rFonts w:hint="eastAsia"/>
                      <w:sz w:val="21"/>
                      <w:szCs w:val="21"/>
                      <w:lang w:eastAsia="zh-CN"/>
                    </w:rPr>
                    <w:t>″,N37°18′4</w:t>
                  </w:r>
                  <w:r>
                    <w:rPr>
                      <w:rFonts w:hint="eastAsia"/>
                      <w:sz w:val="21"/>
                      <w:szCs w:val="21"/>
                      <w:lang w:val="en-US" w:eastAsia="zh-CN"/>
                    </w:rPr>
                    <w:t>47</w:t>
                  </w:r>
                  <w:r>
                    <w:rPr>
                      <w:rFonts w:hint="eastAsia"/>
                      <w:sz w:val="21"/>
                      <w:szCs w:val="21"/>
                      <w:lang w:eastAsia="zh-CN"/>
                    </w:rPr>
                    <w:t>″</w:t>
                  </w:r>
                </w:p>
              </w:tc>
              <w:tc>
                <w:tcPr>
                  <w:tcW w:w="1096"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eastAsia="zh-CN"/>
                    </w:rPr>
                    <w:t>香山黄泉村一采区西侧</w:t>
                  </w:r>
                </w:p>
              </w:tc>
              <w:tc>
                <w:tcPr>
                  <w:tcW w:w="958"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color w:val="auto"/>
                      <w:sz w:val="21"/>
                      <w:szCs w:val="21"/>
                      <w:highlight w:val="none"/>
                      <w:lang w:val="en-US" w:eastAsia="zh-CN"/>
                    </w:rPr>
                    <w:t>0.93</w:t>
                  </w:r>
                  <w:r>
                    <w:rPr>
                      <w:rFonts w:hint="eastAsia"/>
                      <w:sz w:val="21"/>
                      <w:szCs w:val="21"/>
                      <w:lang w:val="en-US" w:eastAsia="zh-CN"/>
                    </w:rPr>
                    <w:t>hm</w:t>
                  </w:r>
                  <w:r>
                    <w:rPr>
                      <w:rFonts w:hint="eastAsia"/>
                      <w:sz w:val="21"/>
                      <w:szCs w:val="21"/>
                      <w:vertAlign w:val="superscript"/>
                      <w:lang w:val="en-US" w:eastAsia="zh-CN"/>
                    </w:rPr>
                    <w:t>2</w:t>
                  </w:r>
                </w:p>
              </w:tc>
              <w:tc>
                <w:tcPr>
                  <w:tcW w:w="660" w:type="dxa"/>
                  <w:vMerge w:val="restart"/>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生态红线内的生态系统，</w:t>
                  </w:r>
                  <w:r>
                    <w:rPr>
                      <w:rFonts w:hint="default"/>
                      <w:sz w:val="21"/>
                      <w:szCs w:val="21"/>
                      <w:lang w:val="en-US" w:eastAsia="zh-CN"/>
                    </w:rPr>
                    <w:t>防风固沙</w:t>
                  </w:r>
                </w:p>
              </w:tc>
              <w:tc>
                <w:tcPr>
                  <w:tcW w:w="638" w:type="dxa"/>
                  <w:vMerge w:val="restart"/>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植被、动物、水土流失、生态系统</w:t>
                  </w:r>
                </w:p>
              </w:tc>
              <w:tc>
                <w:tcPr>
                  <w:tcW w:w="1220" w:type="dxa"/>
                  <w:vMerge w:val="restart"/>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rPr>
                    <w:t>《环境空气质量标准（GB3095-2012）》及2018年修改单</w:t>
                  </w:r>
                  <w:r>
                    <w:rPr>
                      <w:rFonts w:hint="eastAsia"/>
                      <w:sz w:val="21"/>
                      <w:szCs w:val="21"/>
                      <w:lang w:eastAsia="zh-CN"/>
                    </w:rPr>
                    <w:t>二</w:t>
                  </w:r>
                  <w:r>
                    <w:rPr>
                      <w:rFonts w:hint="eastAsia"/>
                      <w:sz w:val="21"/>
                      <w:szCs w:val="21"/>
                    </w:rPr>
                    <w:t>级标准</w:t>
                  </w:r>
                  <w:r>
                    <w:rPr>
                      <w:rFonts w:hint="eastAsia"/>
                      <w:sz w:val="21"/>
                      <w:szCs w:val="21"/>
                      <w:lang w:eastAsia="zh-CN"/>
                    </w:rPr>
                    <w:t>，</w:t>
                  </w:r>
                  <w:r>
                    <w:rPr>
                      <w:rFonts w:hint="eastAsia"/>
                      <w:sz w:val="21"/>
                      <w:szCs w:val="21"/>
                    </w:rPr>
                    <w:t>满足《声环境质量标准》（GB3096-2008）中的1类标准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712"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2051"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2</w:t>
                  </w:r>
                  <w:r>
                    <w:rPr>
                      <w:rFonts w:hint="eastAsia"/>
                      <w:sz w:val="21"/>
                      <w:szCs w:val="21"/>
                    </w:rPr>
                    <w:t>号治理点</w:t>
                  </w:r>
                  <w:r>
                    <w:rPr>
                      <w:rFonts w:hint="eastAsia"/>
                      <w:sz w:val="21"/>
                      <w:szCs w:val="21"/>
                      <w:lang w:eastAsia="zh-CN"/>
                    </w:rPr>
                    <w:t>：E104°48′5</w:t>
                  </w:r>
                  <w:r>
                    <w:rPr>
                      <w:rFonts w:hint="eastAsia"/>
                      <w:sz w:val="21"/>
                      <w:szCs w:val="21"/>
                      <w:lang w:val="en-US" w:eastAsia="zh-CN"/>
                    </w:rPr>
                    <w:t>43</w:t>
                  </w:r>
                  <w:r>
                    <w:rPr>
                      <w:rFonts w:hint="eastAsia"/>
                      <w:sz w:val="21"/>
                      <w:szCs w:val="21"/>
                      <w:lang w:eastAsia="zh-CN"/>
                    </w:rPr>
                    <w:t>″,N37°18′54</w:t>
                  </w:r>
                  <w:r>
                    <w:rPr>
                      <w:rFonts w:hint="eastAsia"/>
                      <w:sz w:val="21"/>
                      <w:szCs w:val="21"/>
                      <w:lang w:val="en-US" w:eastAsia="zh-CN"/>
                    </w:rPr>
                    <w:t>7</w:t>
                  </w:r>
                  <w:r>
                    <w:rPr>
                      <w:rFonts w:hint="eastAsia"/>
                      <w:sz w:val="21"/>
                      <w:szCs w:val="21"/>
                      <w:lang w:eastAsia="zh-CN"/>
                    </w:rPr>
                    <w:t>″</w:t>
                  </w:r>
                </w:p>
              </w:tc>
              <w:tc>
                <w:tcPr>
                  <w:tcW w:w="1096"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eastAsia="zh-CN"/>
                    </w:rPr>
                    <w:t>香山黄泉村一采区北侧</w:t>
                  </w:r>
                </w:p>
              </w:tc>
              <w:tc>
                <w:tcPr>
                  <w:tcW w:w="958"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color w:val="auto"/>
                      <w:sz w:val="21"/>
                      <w:szCs w:val="21"/>
                      <w:highlight w:val="none"/>
                      <w:lang w:val="en-US" w:eastAsia="zh-CN"/>
                    </w:rPr>
                    <w:t>4.98</w:t>
                  </w:r>
                  <w:r>
                    <w:rPr>
                      <w:rFonts w:hint="eastAsia"/>
                      <w:sz w:val="21"/>
                      <w:szCs w:val="21"/>
                      <w:lang w:val="en-US" w:eastAsia="zh-CN"/>
                    </w:rPr>
                    <w:t>hm</w:t>
                  </w:r>
                  <w:r>
                    <w:rPr>
                      <w:rFonts w:hint="eastAsia"/>
                      <w:sz w:val="21"/>
                      <w:szCs w:val="21"/>
                      <w:vertAlign w:val="superscript"/>
                      <w:lang w:val="en-US" w:eastAsia="zh-CN"/>
                    </w:rPr>
                    <w:t>2</w:t>
                  </w:r>
                </w:p>
              </w:tc>
              <w:tc>
                <w:tcPr>
                  <w:tcW w:w="660"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638"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1220" w:type="dxa"/>
                  <w:vMerge w:val="continue"/>
                  <w:tcBorders>
                    <w:tl2br w:val="nil"/>
                    <w:tr2bl w:val="nil"/>
                  </w:tcBorders>
                  <w:vAlign w:val="center"/>
                </w:tcPr>
                <w:p>
                  <w:pPr>
                    <w:bidi w:val="0"/>
                    <w:spacing w:line="240" w:lineRule="auto"/>
                    <w:jc w:val="center"/>
                    <w:rPr>
                      <w:rFonts w:hint="eastAsia"/>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712"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2051"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3</w:t>
                  </w:r>
                  <w:r>
                    <w:rPr>
                      <w:rFonts w:hint="eastAsia"/>
                      <w:sz w:val="21"/>
                      <w:szCs w:val="21"/>
                    </w:rPr>
                    <w:t>号治理点</w:t>
                  </w:r>
                  <w:r>
                    <w:rPr>
                      <w:rFonts w:hint="eastAsia"/>
                      <w:sz w:val="21"/>
                      <w:szCs w:val="21"/>
                      <w:lang w:eastAsia="zh-CN"/>
                    </w:rPr>
                    <w:t>:E104°49′1</w:t>
                  </w:r>
                  <w:r>
                    <w:rPr>
                      <w:rFonts w:hint="eastAsia"/>
                      <w:sz w:val="21"/>
                      <w:szCs w:val="21"/>
                      <w:lang w:val="en-US" w:eastAsia="zh-CN"/>
                    </w:rPr>
                    <w:t>26</w:t>
                  </w:r>
                  <w:r>
                    <w:rPr>
                      <w:rFonts w:hint="eastAsia"/>
                      <w:sz w:val="21"/>
                      <w:szCs w:val="21"/>
                      <w:lang w:eastAsia="zh-CN"/>
                    </w:rPr>
                    <w:t>″,N37°18′51</w:t>
                  </w:r>
                  <w:r>
                    <w:rPr>
                      <w:rFonts w:hint="eastAsia"/>
                      <w:sz w:val="21"/>
                      <w:szCs w:val="21"/>
                      <w:lang w:val="en-US" w:eastAsia="zh-CN"/>
                    </w:rPr>
                    <w:t>9</w:t>
                  </w:r>
                  <w:r>
                    <w:rPr>
                      <w:rFonts w:hint="eastAsia"/>
                      <w:sz w:val="21"/>
                      <w:szCs w:val="21"/>
                      <w:lang w:eastAsia="zh-CN"/>
                    </w:rPr>
                    <w:t>″</w:t>
                  </w:r>
                </w:p>
              </w:tc>
              <w:tc>
                <w:tcPr>
                  <w:tcW w:w="1096"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eastAsia="zh-CN"/>
                    </w:rPr>
                    <w:t>香山黄泉村一采区南侧</w:t>
                  </w:r>
                </w:p>
              </w:tc>
              <w:tc>
                <w:tcPr>
                  <w:tcW w:w="958"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color w:val="auto"/>
                      <w:sz w:val="21"/>
                      <w:szCs w:val="21"/>
                      <w:highlight w:val="none"/>
                      <w:lang w:val="en-US" w:eastAsia="zh-CN"/>
                    </w:rPr>
                    <w:t>0.56</w:t>
                  </w:r>
                  <w:r>
                    <w:rPr>
                      <w:rFonts w:hint="eastAsia"/>
                      <w:sz w:val="21"/>
                      <w:szCs w:val="21"/>
                      <w:lang w:val="en-US" w:eastAsia="zh-CN"/>
                    </w:rPr>
                    <w:t>hm</w:t>
                  </w:r>
                  <w:r>
                    <w:rPr>
                      <w:rFonts w:hint="eastAsia"/>
                      <w:sz w:val="21"/>
                      <w:szCs w:val="21"/>
                      <w:vertAlign w:val="superscript"/>
                      <w:lang w:val="en-US" w:eastAsia="zh-CN"/>
                    </w:rPr>
                    <w:t>2</w:t>
                  </w:r>
                </w:p>
              </w:tc>
              <w:tc>
                <w:tcPr>
                  <w:tcW w:w="660"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638"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1220" w:type="dxa"/>
                  <w:vMerge w:val="continue"/>
                  <w:tcBorders>
                    <w:tl2br w:val="nil"/>
                    <w:tr2bl w:val="nil"/>
                  </w:tcBorders>
                  <w:vAlign w:val="center"/>
                </w:tcPr>
                <w:p>
                  <w:pPr>
                    <w:bidi w:val="0"/>
                    <w:spacing w:line="240" w:lineRule="auto"/>
                    <w:jc w:val="center"/>
                    <w:rPr>
                      <w:rFonts w:hint="eastAsia"/>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73" w:hRule="atLeast"/>
              </w:trPr>
              <w:tc>
                <w:tcPr>
                  <w:tcW w:w="712" w:type="dxa"/>
                  <w:vMerge w:val="restart"/>
                  <w:tcBorders>
                    <w:tl2br w:val="nil"/>
                    <w:tr2bl w:val="nil"/>
                  </w:tcBorders>
                  <w:vAlign w:val="center"/>
                </w:tcPr>
                <w:p>
                  <w:pPr>
                    <w:bidi w:val="0"/>
                    <w:spacing w:line="240" w:lineRule="auto"/>
                    <w:jc w:val="center"/>
                    <w:rPr>
                      <w:rFonts w:hint="eastAsia"/>
                      <w:sz w:val="21"/>
                      <w:szCs w:val="21"/>
                      <w:lang w:val="en-US" w:eastAsia="zh-CN"/>
                    </w:rPr>
                  </w:pPr>
                </w:p>
              </w:tc>
              <w:tc>
                <w:tcPr>
                  <w:tcW w:w="2051"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4</w:t>
                  </w:r>
                  <w:r>
                    <w:rPr>
                      <w:rFonts w:hint="eastAsia"/>
                      <w:sz w:val="21"/>
                      <w:szCs w:val="21"/>
                    </w:rPr>
                    <w:t>号治理点</w:t>
                  </w:r>
                  <w:r>
                    <w:rPr>
                      <w:rFonts w:hint="eastAsia"/>
                      <w:sz w:val="21"/>
                      <w:szCs w:val="21"/>
                      <w:lang w:eastAsia="zh-CN"/>
                    </w:rPr>
                    <w:t>:E104°49′28</w:t>
                  </w:r>
                  <w:r>
                    <w:rPr>
                      <w:rFonts w:hint="eastAsia"/>
                      <w:sz w:val="21"/>
                      <w:szCs w:val="21"/>
                      <w:lang w:val="en-US" w:eastAsia="zh-CN"/>
                    </w:rPr>
                    <w:t>9</w:t>
                  </w:r>
                  <w:r>
                    <w:rPr>
                      <w:rFonts w:hint="eastAsia"/>
                      <w:sz w:val="21"/>
                      <w:szCs w:val="21"/>
                      <w:lang w:eastAsia="zh-CN"/>
                    </w:rPr>
                    <w:t>″,N37°18′56</w:t>
                  </w:r>
                  <w:r>
                    <w:rPr>
                      <w:rFonts w:hint="eastAsia"/>
                      <w:sz w:val="21"/>
                      <w:szCs w:val="21"/>
                      <w:lang w:val="en-US" w:eastAsia="zh-CN"/>
                    </w:rPr>
                    <w:t>4</w:t>
                  </w:r>
                  <w:r>
                    <w:rPr>
                      <w:rFonts w:hint="eastAsia"/>
                      <w:sz w:val="21"/>
                      <w:szCs w:val="21"/>
                      <w:lang w:eastAsia="zh-CN"/>
                    </w:rPr>
                    <w:t>″</w:t>
                  </w:r>
                </w:p>
              </w:tc>
              <w:tc>
                <w:tcPr>
                  <w:tcW w:w="1096"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eastAsia="zh-CN"/>
                    </w:rPr>
                    <w:t>香山黄泉村一采区东北侧</w:t>
                  </w:r>
                </w:p>
              </w:tc>
              <w:tc>
                <w:tcPr>
                  <w:tcW w:w="958"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1.7hm</w:t>
                  </w:r>
                  <w:r>
                    <w:rPr>
                      <w:rFonts w:hint="eastAsia"/>
                      <w:sz w:val="21"/>
                      <w:szCs w:val="21"/>
                      <w:vertAlign w:val="superscript"/>
                      <w:lang w:val="en-US" w:eastAsia="zh-CN"/>
                    </w:rPr>
                    <w:t>2</w:t>
                  </w:r>
                </w:p>
              </w:tc>
              <w:tc>
                <w:tcPr>
                  <w:tcW w:w="660" w:type="dxa"/>
                  <w:vMerge w:val="restart"/>
                  <w:tcBorders>
                    <w:tl2br w:val="nil"/>
                    <w:tr2bl w:val="nil"/>
                  </w:tcBorders>
                  <w:vAlign w:val="center"/>
                </w:tcPr>
                <w:p>
                  <w:pPr>
                    <w:bidi w:val="0"/>
                    <w:spacing w:line="240" w:lineRule="auto"/>
                    <w:jc w:val="center"/>
                    <w:rPr>
                      <w:rFonts w:hint="eastAsia"/>
                      <w:sz w:val="21"/>
                      <w:szCs w:val="21"/>
                      <w:lang w:val="en-US" w:eastAsia="zh-CN"/>
                    </w:rPr>
                  </w:pPr>
                </w:p>
              </w:tc>
              <w:tc>
                <w:tcPr>
                  <w:tcW w:w="638"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1220" w:type="dxa"/>
                  <w:vMerge w:val="continue"/>
                  <w:tcBorders>
                    <w:tl2br w:val="nil"/>
                    <w:tr2bl w:val="nil"/>
                  </w:tcBorders>
                  <w:vAlign w:val="center"/>
                </w:tcPr>
                <w:p>
                  <w:pPr>
                    <w:bidi w:val="0"/>
                    <w:spacing w:line="240" w:lineRule="auto"/>
                    <w:jc w:val="center"/>
                    <w:rPr>
                      <w:rFonts w:hint="eastAsia"/>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6" w:hRule="atLeast"/>
              </w:trPr>
              <w:tc>
                <w:tcPr>
                  <w:tcW w:w="712"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2051"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5</w:t>
                  </w:r>
                  <w:r>
                    <w:rPr>
                      <w:rFonts w:hint="eastAsia"/>
                      <w:sz w:val="21"/>
                      <w:szCs w:val="21"/>
                    </w:rPr>
                    <w:t>号治理点</w:t>
                  </w:r>
                  <w:r>
                    <w:rPr>
                      <w:rFonts w:hint="eastAsia"/>
                      <w:sz w:val="21"/>
                      <w:szCs w:val="21"/>
                      <w:lang w:eastAsia="zh-CN"/>
                    </w:rPr>
                    <w:t>:E104°49′46</w:t>
                  </w:r>
                  <w:r>
                    <w:rPr>
                      <w:rFonts w:hint="eastAsia"/>
                      <w:sz w:val="21"/>
                      <w:szCs w:val="21"/>
                      <w:lang w:val="en-US" w:eastAsia="zh-CN"/>
                    </w:rPr>
                    <w:t>8</w:t>
                  </w:r>
                  <w:r>
                    <w:rPr>
                      <w:rFonts w:hint="eastAsia"/>
                      <w:sz w:val="21"/>
                      <w:szCs w:val="21"/>
                      <w:lang w:eastAsia="zh-CN"/>
                    </w:rPr>
                    <w:t>″,N37°19′</w:t>
                  </w:r>
                  <w:r>
                    <w:rPr>
                      <w:rFonts w:hint="eastAsia"/>
                      <w:sz w:val="21"/>
                      <w:szCs w:val="21"/>
                      <w:lang w:val="en-US" w:eastAsia="zh-CN"/>
                    </w:rPr>
                    <w:t>0</w:t>
                  </w:r>
                  <w:r>
                    <w:rPr>
                      <w:rFonts w:hint="eastAsia"/>
                      <w:sz w:val="21"/>
                      <w:szCs w:val="21"/>
                      <w:lang w:eastAsia="zh-CN"/>
                    </w:rPr>
                    <w:t>6</w:t>
                  </w:r>
                  <w:r>
                    <w:rPr>
                      <w:rFonts w:hint="eastAsia"/>
                      <w:sz w:val="21"/>
                      <w:szCs w:val="21"/>
                      <w:lang w:val="en-US" w:eastAsia="zh-CN"/>
                    </w:rPr>
                    <w:t>0</w:t>
                  </w:r>
                  <w:r>
                    <w:rPr>
                      <w:rFonts w:hint="eastAsia"/>
                      <w:sz w:val="21"/>
                      <w:szCs w:val="21"/>
                      <w:lang w:eastAsia="zh-CN"/>
                    </w:rPr>
                    <w:t>″</w:t>
                  </w:r>
                </w:p>
              </w:tc>
              <w:tc>
                <w:tcPr>
                  <w:tcW w:w="1096"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eastAsia="zh-CN"/>
                    </w:rPr>
                    <w:t>香山黄泉村一采区东侧</w:t>
                  </w:r>
                </w:p>
              </w:tc>
              <w:tc>
                <w:tcPr>
                  <w:tcW w:w="958" w:type="dxa"/>
                  <w:tcBorders>
                    <w:tl2br w:val="nil"/>
                    <w:tr2bl w:val="nil"/>
                  </w:tcBorders>
                  <w:vAlign w:val="center"/>
                </w:tcPr>
                <w:p>
                  <w:pPr>
                    <w:bidi w:val="0"/>
                    <w:spacing w:line="240" w:lineRule="auto"/>
                    <w:ind w:left="0" w:leftChars="0" w:firstLine="0" w:firstLineChars="0"/>
                    <w:jc w:val="center"/>
                    <w:rPr>
                      <w:rFonts w:hint="eastAsia"/>
                      <w:sz w:val="21"/>
                      <w:szCs w:val="21"/>
                      <w:lang w:val="en-US" w:eastAsia="zh-CN"/>
                    </w:rPr>
                  </w:pPr>
                  <w:r>
                    <w:rPr>
                      <w:rFonts w:hint="eastAsia"/>
                      <w:sz w:val="21"/>
                      <w:szCs w:val="21"/>
                      <w:lang w:val="en-US" w:eastAsia="zh-CN"/>
                    </w:rPr>
                    <w:t>0.26hm</w:t>
                  </w:r>
                  <w:r>
                    <w:rPr>
                      <w:rFonts w:hint="eastAsia"/>
                      <w:sz w:val="21"/>
                      <w:szCs w:val="21"/>
                      <w:vertAlign w:val="superscript"/>
                      <w:lang w:val="en-US" w:eastAsia="zh-CN"/>
                    </w:rPr>
                    <w:t>2</w:t>
                  </w:r>
                </w:p>
              </w:tc>
              <w:tc>
                <w:tcPr>
                  <w:tcW w:w="660"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638" w:type="dxa"/>
                  <w:vMerge w:val="continue"/>
                  <w:tcBorders>
                    <w:tl2br w:val="nil"/>
                    <w:tr2bl w:val="nil"/>
                  </w:tcBorders>
                  <w:vAlign w:val="center"/>
                </w:tcPr>
                <w:p>
                  <w:pPr>
                    <w:bidi w:val="0"/>
                    <w:spacing w:line="240" w:lineRule="auto"/>
                    <w:jc w:val="center"/>
                    <w:rPr>
                      <w:rFonts w:hint="eastAsia"/>
                      <w:sz w:val="21"/>
                      <w:szCs w:val="21"/>
                      <w:lang w:val="en-US" w:eastAsia="zh-CN"/>
                    </w:rPr>
                  </w:pPr>
                </w:p>
              </w:tc>
              <w:tc>
                <w:tcPr>
                  <w:tcW w:w="1220" w:type="dxa"/>
                  <w:vMerge w:val="continue"/>
                  <w:tcBorders>
                    <w:tl2br w:val="nil"/>
                    <w:tr2bl w:val="nil"/>
                  </w:tcBorders>
                  <w:vAlign w:val="center"/>
                </w:tcPr>
                <w:p>
                  <w:pPr>
                    <w:bidi w:val="0"/>
                    <w:spacing w:line="240" w:lineRule="auto"/>
                    <w:jc w:val="center"/>
                    <w:rPr>
                      <w:rFonts w:hint="eastAsia"/>
                      <w:sz w:val="21"/>
                      <w:szCs w:val="21"/>
                      <w:lang w:val="en-US" w:eastAsia="zh-CN"/>
                    </w:rPr>
                  </w:pPr>
                </w:p>
              </w:tc>
            </w:tr>
          </w:tbl>
          <w:p>
            <w:pPr>
              <w:pStyle w:val="19"/>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84" w:hRule="atLeast"/>
          <w:jc w:val="center"/>
        </w:trPr>
        <w:tc>
          <w:tcPr>
            <w:tcW w:w="849" w:type="dxa"/>
            <w:tcBorders>
              <w:tl2br w:val="nil"/>
              <w:tr2bl w:val="nil"/>
            </w:tcBorders>
            <w:vAlign w:val="center"/>
          </w:tcPr>
          <w:p>
            <w:pPr>
              <w:rPr>
                <w:sz w:val="24"/>
                <w:szCs w:val="24"/>
                <w:highlight w:val="yellow"/>
              </w:rPr>
            </w:pPr>
            <w:r>
              <w:rPr>
                <w:rFonts w:hint="eastAsia"/>
                <w:sz w:val="24"/>
                <w:szCs w:val="24"/>
                <w:highlight w:val="none"/>
              </w:rPr>
              <w:t>评价标准</w:t>
            </w:r>
          </w:p>
        </w:tc>
        <w:tc>
          <w:tcPr>
            <w:tcW w:w="7673" w:type="dxa"/>
            <w:tcBorders>
              <w:tl2br w:val="nil"/>
              <w:tr2bl w:val="nil"/>
            </w:tcBorders>
          </w:tcPr>
          <w:p>
            <w:pPr>
              <w:pStyle w:val="15"/>
              <w:ind w:firstLine="0" w:firstLineChars="0"/>
            </w:pPr>
            <w:r>
              <w:rPr>
                <w:rFonts w:hint="eastAsia"/>
              </w:rPr>
              <w:t>1、环境质量标准</w:t>
            </w:r>
          </w:p>
          <w:p>
            <w:pPr>
              <w:pStyle w:val="15"/>
              <w:ind w:firstLine="420"/>
            </w:pPr>
            <w:r>
              <w:rPr>
                <w:rFonts w:hint="eastAsia"/>
              </w:rPr>
              <w:t>（1）环境空气质量标准</w:t>
            </w:r>
          </w:p>
          <w:p>
            <w:pPr>
              <w:pStyle w:val="15"/>
              <w:ind w:left="0" w:leftChars="0" w:firstLine="480" w:firstLineChars="200"/>
            </w:pPr>
            <w:r>
              <w:t>项目区域大气环境功能区划属于二类区，环境空气质量执行《环境空气质量标准》（GB3095-2012）及修改单中二级标准，标准值见</w:t>
            </w:r>
            <w:r>
              <w:rPr>
                <w:rFonts w:hint="eastAsia"/>
              </w:rPr>
              <w:t>下表。</w:t>
            </w:r>
          </w:p>
          <w:p>
            <w:pPr>
              <w:pStyle w:val="7"/>
              <w:spacing w:line="240" w:lineRule="auto"/>
              <w:ind w:firstLine="482" w:firstLineChars="200"/>
              <w:jc w:val="both"/>
              <w:outlineLvl w:val="6"/>
            </w:pPr>
            <w:r>
              <w:t>表</w:t>
            </w:r>
            <w:r>
              <w:rPr>
                <w:rFonts w:hint="eastAsia"/>
              </w:rPr>
              <w:t>3-1</w:t>
            </w:r>
            <w:r>
              <w:rPr>
                <w:rFonts w:hint="eastAsia"/>
                <w:lang w:val="en-US" w:eastAsia="zh-CN"/>
              </w:rPr>
              <w:t xml:space="preserve">6           </w:t>
            </w:r>
            <w:r>
              <w:t>环境空气质量标准</w:t>
            </w:r>
          </w:p>
          <w:tbl>
            <w:tblPr>
              <w:tblStyle w:val="24"/>
              <w:tblW w:w="737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724"/>
              <w:gridCol w:w="1201"/>
              <w:gridCol w:w="843"/>
              <w:gridCol w:w="24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16" w:type="dxa"/>
                  <w:tcBorders>
                    <w:tl2br w:val="nil"/>
                    <w:tr2bl w:val="nil"/>
                  </w:tcBorders>
                  <w:vAlign w:val="center"/>
                </w:tcPr>
                <w:p>
                  <w:pPr>
                    <w:rPr>
                      <w:sz w:val="21"/>
                      <w:szCs w:val="21"/>
                    </w:rPr>
                  </w:pPr>
                  <w:r>
                    <w:rPr>
                      <w:sz w:val="21"/>
                      <w:szCs w:val="21"/>
                    </w:rPr>
                    <w:t>评价因子</w:t>
                  </w:r>
                </w:p>
              </w:tc>
              <w:tc>
                <w:tcPr>
                  <w:tcW w:w="1724" w:type="dxa"/>
                  <w:tcBorders>
                    <w:tl2br w:val="nil"/>
                    <w:tr2bl w:val="nil"/>
                  </w:tcBorders>
                  <w:vAlign w:val="center"/>
                </w:tcPr>
                <w:p>
                  <w:pPr>
                    <w:rPr>
                      <w:sz w:val="21"/>
                      <w:szCs w:val="21"/>
                    </w:rPr>
                  </w:pPr>
                  <w:r>
                    <w:rPr>
                      <w:sz w:val="21"/>
                      <w:szCs w:val="21"/>
                    </w:rPr>
                    <w:t>平均时段</w:t>
                  </w:r>
                </w:p>
              </w:tc>
              <w:tc>
                <w:tcPr>
                  <w:tcW w:w="1201" w:type="dxa"/>
                  <w:tcBorders>
                    <w:tl2br w:val="nil"/>
                    <w:tr2bl w:val="nil"/>
                  </w:tcBorders>
                  <w:vAlign w:val="center"/>
                </w:tcPr>
                <w:p>
                  <w:pPr>
                    <w:rPr>
                      <w:sz w:val="21"/>
                      <w:szCs w:val="21"/>
                    </w:rPr>
                  </w:pPr>
                  <w:r>
                    <w:rPr>
                      <w:sz w:val="21"/>
                      <w:szCs w:val="21"/>
                    </w:rPr>
                    <w:t>标准值</w:t>
                  </w:r>
                </w:p>
              </w:tc>
              <w:tc>
                <w:tcPr>
                  <w:tcW w:w="843" w:type="dxa"/>
                  <w:tcBorders>
                    <w:tl2br w:val="nil"/>
                    <w:tr2bl w:val="nil"/>
                  </w:tcBorders>
                  <w:vAlign w:val="center"/>
                </w:tcPr>
                <w:p>
                  <w:pPr>
                    <w:rPr>
                      <w:sz w:val="21"/>
                      <w:szCs w:val="21"/>
                    </w:rPr>
                  </w:pPr>
                  <w:r>
                    <w:rPr>
                      <w:sz w:val="21"/>
                      <w:szCs w:val="21"/>
                    </w:rPr>
                    <w:t>单位</w:t>
                  </w:r>
                </w:p>
              </w:tc>
              <w:tc>
                <w:tcPr>
                  <w:tcW w:w="2491" w:type="dxa"/>
                  <w:tcBorders>
                    <w:tl2br w:val="nil"/>
                    <w:tr2bl w:val="nil"/>
                  </w:tcBorders>
                  <w:vAlign w:val="center"/>
                </w:tcPr>
                <w:p>
                  <w:pPr>
                    <w:rPr>
                      <w:sz w:val="21"/>
                      <w:szCs w:val="21"/>
                    </w:rPr>
                  </w:pPr>
                  <w:r>
                    <w:rPr>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tcBorders>
                    <w:tl2br w:val="nil"/>
                    <w:tr2bl w:val="nil"/>
                  </w:tcBorders>
                  <w:vAlign w:val="center"/>
                </w:tcPr>
                <w:p>
                  <w:pPr>
                    <w:rPr>
                      <w:sz w:val="21"/>
                      <w:szCs w:val="21"/>
                    </w:rPr>
                  </w:pPr>
                  <w:r>
                    <w:rPr>
                      <w:sz w:val="21"/>
                      <w:szCs w:val="21"/>
                    </w:rPr>
                    <w:t>SO</w:t>
                  </w:r>
                  <w:r>
                    <w:rPr>
                      <w:sz w:val="21"/>
                      <w:szCs w:val="21"/>
                      <w:vertAlign w:val="subscript"/>
                    </w:rPr>
                    <w:t>2</w:t>
                  </w:r>
                </w:p>
              </w:tc>
              <w:tc>
                <w:tcPr>
                  <w:tcW w:w="1724" w:type="dxa"/>
                  <w:tcBorders>
                    <w:tl2br w:val="nil"/>
                    <w:tr2bl w:val="nil"/>
                  </w:tcBorders>
                  <w:vAlign w:val="center"/>
                </w:tcPr>
                <w:p>
                  <w:pPr>
                    <w:rPr>
                      <w:sz w:val="21"/>
                      <w:szCs w:val="21"/>
                    </w:rPr>
                  </w:pPr>
                  <w:r>
                    <w:rPr>
                      <w:sz w:val="21"/>
                      <w:szCs w:val="21"/>
                    </w:rPr>
                    <w:t>年平均</w:t>
                  </w:r>
                </w:p>
              </w:tc>
              <w:tc>
                <w:tcPr>
                  <w:tcW w:w="1201" w:type="dxa"/>
                  <w:tcBorders>
                    <w:tl2br w:val="nil"/>
                    <w:tr2bl w:val="nil"/>
                  </w:tcBorders>
                  <w:vAlign w:val="center"/>
                </w:tcPr>
                <w:p>
                  <w:pPr>
                    <w:rPr>
                      <w:sz w:val="21"/>
                      <w:szCs w:val="21"/>
                    </w:rPr>
                  </w:pPr>
                  <w:r>
                    <w:rPr>
                      <w:sz w:val="21"/>
                      <w:szCs w:val="21"/>
                    </w:rPr>
                    <w:t>60</w:t>
                  </w:r>
                </w:p>
              </w:tc>
              <w:tc>
                <w:tcPr>
                  <w:tcW w:w="843" w:type="dxa"/>
                  <w:vMerge w:val="restart"/>
                  <w:tcBorders>
                    <w:tl2br w:val="nil"/>
                    <w:tr2bl w:val="nil"/>
                  </w:tcBorders>
                  <w:vAlign w:val="center"/>
                </w:tcPr>
                <w:p>
                  <w:pPr>
                    <w:rPr>
                      <w:sz w:val="21"/>
                      <w:szCs w:val="21"/>
                    </w:rPr>
                  </w:pPr>
                  <w:r>
                    <w:rPr>
                      <w:sz w:val="21"/>
                      <w:szCs w:val="21"/>
                    </w:rPr>
                    <w:t>μg/m</w:t>
                  </w:r>
                  <w:r>
                    <w:rPr>
                      <w:sz w:val="21"/>
                      <w:szCs w:val="21"/>
                      <w:vertAlign w:val="superscript"/>
                    </w:rPr>
                    <w:t>3</w:t>
                  </w:r>
                </w:p>
              </w:tc>
              <w:tc>
                <w:tcPr>
                  <w:tcW w:w="2491" w:type="dxa"/>
                  <w:vMerge w:val="restart"/>
                  <w:tcBorders>
                    <w:tl2br w:val="nil"/>
                    <w:tr2bl w:val="nil"/>
                  </w:tcBorders>
                  <w:vAlign w:val="center"/>
                </w:tcPr>
                <w:p>
                  <w:pPr>
                    <w:rPr>
                      <w:sz w:val="21"/>
                      <w:szCs w:val="21"/>
                    </w:rPr>
                  </w:pPr>
                  <w:r>
                    <w:rPr>
                      <w:sz w:val="21"/>
                      <w:szCs w:val="21"/>
                    </w:rPr>
                    <w:t>《环境空气质量标准》</w:t>
                  </w:r>
                </w:p>
                <w:p>
                  <w:pPr>
                    <w:rPr>
                      <w:sz w:val="21"/>
                      <w:szCs w:val="21"/>
                    </w:rPr>
                  </w:pPr>
                  <w:r>
                    <w:rPr>
                      <w:sz w:val="21"/>
                      <w:szCs w:val="21"/>
                    </w:rPr>
                    <w:t>(GB3095-2012)中二级标准</w:t>
                  </w:r>
                  <w:r>
                    <w:rPr>
                      <w:rFonts w:hint="eastAsia"/>
                      <w:sz w:val="21"/>
                      <w:szCs w:val="21"/>
                    </w:rPr>
                    <w:t>及其修改单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sz w:val="21"/>
                      <w:szCs w:val="21"/>
                    </w:rPr>
                    <w:t>24小时平均</w:t>
                  </w:r>
                </w:p>
              </w:tc>
              <w:tc>
                <w:tcPr>
                  <w:tcW w:w="1201" w:type="dxa"/>
                  <w:tcBorders>
                    <w:tl2br w:val="nil"/>
                    <w:tr2bl w:val="nil"/>
                  </w:tcBorders>
                  <w:vAlign w:val="center"/>
                </w:tcPr>
                <w:p>
                  <w:pPr>
                    <w:rPr>
                      <w:sz w:val="21"/>
                      <w:szCs w:val="21"/>
                    </w:rPr>
                  </w:pPr>
                  <w:r>
                    <w:rPr>
                      <w:sz w:val="21"/>
                      <w:szCs w:val="21"/>
                    </w:rPr>
                    <w:t>150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sz w:val="21"/>
                      <w:szCs w:val="21"/>
                    </w:rPr>
                    <w:t>1小时平均</w:t>
                  </w:r>
                </w:p>
              </w:tc>
              <w:tc>
                <w:tcPr>
                  <w:tcW w:w="1201" w:type="dxa"/>
                  <w:tcBorders>
                    <w:tl2br w:val="nil"/>
                    <w:tr2bl w:val="nil"/>
                  </w:tcBorders>
                  <w:vAlign w:val="center"/>
                </w:tcPr>
                <w:p>
                  <w:pPr>
                    <w:rPr>
                      <w:sz w:val="21"/>
                      <w:szCs w:val="21"/>
                    </w:rPr>
                  </w:pPr>
                  <w:r>
                    <w:rPr>
                      <w:sz w:val="21"/>
                      <w:szCs w:val="21"/>
                    </w:rPr>
                    <w:t>500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tcBorders>
                    <w:tl2br w:val="nil"/>
                    <w:tr2bl w:val="nil"/>
                  </w:tcBorders>
                  <w:vAlign w:val="center"/>
                </w:tcPr>
                <w:p>
                  <w:pPr>
                    <w:rPr>
                      <w:sz w:val="21"/>
                      <w:szCs w:val="21"/>
                    </w:rPr>
                  </w:pPr>
                  <w:r>
                    <w:rPr>
                      <w:sz w:val="21"/>
                      <w:szCs w:val="21"/>
                    </w:rPr>
                    <w:t>PM</w:t>
                  </w:r>
                  <w:r>
                    <w:rPr>
                      <w:rFonts w:ascii="Times New Roman" w:hAnsi="Times New Roman" w:eastAsia="宋体" w:cs="Times New Roman"/>
                      <w:sz w:val="21"/>
                      <w:szCs w:val="21"/>
                      <w:vertAlign w:val="subscript"/>
                    </w:rPr>
                    <w:t>10</w:t>
                  </w:r>
                </w:p>
              </w:tc>
              <w:tc>
                <w:tcPr>
                  <w:tcW w:w="1724" w:type="dxa"/>
                  <w:tcBorders>
                    <w:tl2br w:val="nil"/>
                    <w:tr2bl w:val="nil"/>
                  </w:tcBorders>
                  <w:vAlign w:val="center"/>
                </w:tcPr>
                <w:p>
                  <w:pPr>
                    <w:rPr>
                      <w:sz w:val="21"/>
                      <w:szCs w:val="21"/>
                    </w:rPr>
                  </w:pPr>
                  <w:r>
                    <w:rPr>
                      <w:sz w:val="21"/>
                      <w:szCs w:val="21"/>
                    </w:rPr>
                    <w:t>24小时平均</w:t>
                  </w:r>
                </w:p>
              </w:tc>
              <w:tc>
                <w:tcPr>
                  <w:tcW w:w="1201" w:type="dxa"/>
                  <w:tcBorders>
                    <w:tl2br w:val="nil"/>
                    <w:tr2bl w:val="nil"/>
                  </w:tcBorders>
                  <w:vAlign w:val="center"/>
                </w:tcPr>
                <w:p>
                  <w:pPr>
                    <w:rPr>
                      <w:sz w:val="21"/>
                      <w:szCs w:val="21"/>
                    </w:rPr>
                  </w:pPr>
                  <w:r>
                    <w:rPr>
                      <w:sz w:val="21"/>
                      <w:szCs w:val="21"/>
                    </w:rPr>
                    <w:t>150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sz w:val="21"/>
                      <w:szCs w:val="21"/>
                    </w:rPr>
                    <w:t>年平均</w:t>
                  </w:r>
                </w:p>
              </w:tc>
              <w:tc>
                <w:tcPr>
                  <w:tcW w:w="1201" w:type="dxa"/>
                  <w:tcBorders>
                    <w:tl2br w:val="nil"/>
                    <w:tr2bl w:val="nil"/>
                  </w:tcBorders>
                  <w:vAlign w:val="center"/>
                </w:tcPr>
                <w:p>
                  <w:pPr>
                    <w:rPr>
                      <w:sz w:val="21"/>
                      <w:szCs w:val="21"/>
                    </w:rPr>
                  </w:pPr>
                  <w:r>
                    <w:rPr>
                      <w:sz w:val="21"/>
                      <w:szCs w:val="21"/>
                    </w:rPr>
                    <w:t>70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tcBorders>
                    <w:tl2br w:val="nil"/>
                    <w:tr2bl w:val="nil"/>
                  </w:tcBorders>
                  <w:vAlign w:val="center"/>
                </w:tcPr>
                <w:p>
                  <w:pPr>
                    <w:rPr>
                      <w:sz w:val="21"/>
                      <w:szCs w:val="21"/>
                    </w:rPr>
                  </w:pPr>
                  <w:r>
                    <w:rPr>
                      <w:sz w:val="21"/>
                      <w:szCs w:val="21"/>
                    </w:rPr>
                    <w:t>PM</w:t>
                  </w:r>
                  <w:r>
                    <w:rPr>
                      <w:rFonts w:ascii="Times New Roman" w:hAnsi="Times New Roman" w:eastAsia="宋体" w:cs="Times New Roman"/>
                      <w:sz w:val="21"/>
                      <w:szCs w:val="21"/>
                      <w:vertAlign w:val="subscript"/>
                    </w:rPr>
                    <w:t>2.5</w:t>
                  </w:r>
                </w:p>
              </w:tc>
              <w:tc>
                <w:tcPr>
                  <w:tcW w:w="1724" w:type="dxa"/>
                  <w:tcBorders>
                    <w:tl2br w:val="nil"/>
                    <w:tr2bl w:val="nil"/>
                  </w:tcBorders>
                  <w:vAlign w:val="center"/>
                </w:tcPr>
                <w:p>
                  <w:pPr>
                    <w:rPr>
                      <w:sz w:val="21"/>
                      <w:szCs w:val="21"/>
                    </w:rPr>
                  </w:pPr>
                  <w:r>
                    <w:rPr>
                      <w:sz w:val="21"/>
                      <w:szCs w:val="21"/>
                    </w:rPr>
                    <w:t>24小时平均</w:t>
                  </w:r>
                </w:p>
              </w:tc>
              <w:tc>
                <w:tcPr>
                  <w:tcW w:w="1201" w:type="dxa"/>
                  <w:tcBorders>
                    <w:tl2br w:val="nil"/>
                    <w:tr2bl w:val="nil"/>
                  </w:tcBorders>
                  <w:vAlign w:val="center"/>
                </w:tcPr>
                <w:p>
                  <w:pPr>
                    <w:rPr>
                      <w:sz w:val="21"/>
                      <w:szCs w:val="21"/>
                    </w:rPr>
                  </w:pPr>
                  <w:r>
                    <w:rPr>
                      <w:sz w:val="21"/>
                      <w:szCs w:val="21"/>
                    </w:rPr>
                    <w:t>75</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sz w:val="21"/>
                      <w:szCs w:val="21"/>
                    </w:rPr>
                    <w:t>年平均</w:t>
                  </w:r>
                </w:p>
              </w:tc>
              <w:tc>
                <w:tcPr>
                  <w:tcW w:w="1201" w:type="dxa"/>
                  <w:tcBorders>
                    <w:tl2br w:val="nil"/>
                    <w:tr2bl w:val="nil"/>
                  </w:tcBorders>
                  <w:vAlign w:val="center"/>
                </w:tcPr>
                <w:p>
                  <w:pPr>
                    <w:rPr>
                      <w:sz w:val="21"/>
                      <w:szCs w:val="21"/>
                    </w:rPr>
                  </w:pPr>
                  <w:r>
                    <w:rPr>
                      <w:sz w:val="21"/>
                      <w:szCs w:val="21"/>
                    </w:rPr>
                    <w:t>35</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116" w:type="dxa"/>
                  <w:vMerge w:val="restart"/>
                  <w:tcBorders>
                    <w:tl2br w:val="nil"/>
                    <w:tr2bl w:val="nil"/>
                  </w:tcBorders>
                  <w:vAlign w:val="center"/>
                </w:tcPr>
                <w:p>
                  <w:pPr>
                    <w:rPr>
                      <w:sz w:val="21"/>
                      <w:szCs w:val="21"/>
                    </w:rPr>
                  </w:pPr>
                  <w:r>
                    <w:rPr>
                      <w:sz w:val="21"/>
                      <w:szCs w:val="21"/>
                    </w:rPr>
                    <w:t>NO</w:t>
                  </w:r>
                  <w:r>
                    <w:rPr>
                      <w:rFonts w:ascii="Times New Roman" w:hAnsi="Times New Roman" w:eastAsia="宋体" w:cs="Times New Roman"/>
                      <w:sz w:val="21"/>
                      <w:szCs w:val="21"/>
                      <w:vertAlign w:val="subscript"/>
                    </w:rPr>
                    <w:t>2</w:t>
                  </w:r>
                </w:p>
              </w:tc>
              <w:tc>
                <w:tcPr>
                  <w:tcW w:w="1724" w:type="dxa"/>
                  <w:tcBorders>
                    <w:tl2br w:val="nil"/>
                    <w:tr2bl w:val="nil"/>
                  </w:tcBorders>
                  <w:vAlign w:val="center"/>
                </w:tcPr>
                <w:p>
                  <w:pPr>
                    <w:rPr>
                      <w:sz w:val="21"/>
                      <w:szCs w:val="21"/>
                    </w:rPr>
                  </w:pPr>
                  <w:r>
                    <w:rPr>
                      <w:sz w:val="21"/>
                      <w:szCs w:val="21"/>
                    </w:rPr>
                    <w:t>年平均</w:t>
                  </w:r>
                </w:p>
              </w:tc>
              <w:tc>
                <w:tcPr>
                  <w:tcW w:w="1201" w:type="dxa"/>
                  <w:tcBorders>
                    <w:tl2br w:val="nil"/>
                    <w:tr2bl w:val="nil"/>
                  </w:tcBorders>
                  <w:vAlign w:val="center"/>
                </w:tcPr>
                <w:p>
                  <w:pPr>
                    <w:rPr>
                      <w:sz w:val="21"/>
                      <w:szCs w:val="21"/>
                    </w:rPr>
                  </w:pPr>
                  <w:r>
                    <w:rPr>
                      <w:sz w:val="21"/>
                      <w:szCs w:val="21"/>
                    </w:rPr>
                    <w:t>40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sz w:val="21"/>
                      <w:szCs w:val="21"/>
                    </w:rPr>
                    <w:t>24小时平均</w:t>
                  </w:r>
                </w:p>
              </w:tc>
              <w:tc>
                <w:tcPr>
                  <w:tcW w:w="1201" w:type="dxa"/>
                  <w:tcBorders>
                    <w:tl2br w:val="nil"/>
                    <w:tr2bl w:val="nil"/>
                  </w:tcBorders>
                  <w:vAlign w:val="center"/>
                </w:tcPr>
                <w:p>
                  <w:pPr>
                    <w:rPr>
                      <w:sz w:val="21"/>
                      <w:szCs w:val="21"/>
                    </w:rPr>
                  </w:pPr>
                  <w:r>
                    <w:rPr>
                      <w:sz w:val="21"/>
                      <w:szCs w:val="21"/>
                    </w:rPr>
                    <w:t>80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sz w:val="21"/>
                      <w:szCs w:val="21"/>
                    </w:rPr>
                    <w:t>31小时平均</w:t>
                  </w:r>
                </w:p>
              </w:tc>
              <w:tc>
                <w:tcPr>
                  <w:tcW w:w="1201" w:type="dxa"/>
                  <w:tcBorders>
                    <w:tl2br w:val="nil"/>
                    <w:tr2bl w:val="nil"/>
                  </w:tcBorders>
                  <w:vAlign w:val="center"/>
                </w:tcPr>
                <w:p>
                  <w:pPr>
                    <w:rPr>
                      <w:sz w:val="21"/>
                      <w:szCs w:val="21"/>
                    </w:rPr>
                  </w:pPr>
                  <w:r>
                    <w:rPr>
                      <w:sz w:val="21"/>
                      <w:szCs w:val="21"/>
                    </w:rPr>
                    <w:t>200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tcBorders>
                    <w:tl2br w:val="nil"/>
                    <w:tr2bl w:val="nil"/>
                  </w:tcBorders>
                  <w:vAlign w:val="center"/>
                </w:tcPr>
                <w:p>
                  <w:pPr>
                    <w:rPr>
                      <w:sz w:val="21"/>
                      <w:szCs w:val="21"/>
                    </w:rPr>
                  </w:pPr>
                  <w:r>
                    <w:rPr>
                      <w:sz w:val="21"/>
                      <w:szCs w:val="21"/>
                    </w:rPr>
                    <w:t>CO</w:t>
                  </w:r>
                </w:p>
              </w:tc>
              <w:tc>
                <w:tcPr>
                  <w:tcW w:w="1724" w:type="dxa"/>
                  <w:tcBorders>
                    <w:tl2br w:val="nil"/>
                    <w:tr2bl w:val="nil"/>
                  </w:tcBorders>
                  <w:vAlign w:val="center"/>
                </w:tcPr>
                <w:p>
                  <w:pPr>
                    <w:rPr>
                      <w:sz w:val="21"/>
                      <w:szCs w:val="21"/>
                    </w:rPr>
                  </w:pPr>
                  <w:r>
                    <w:rPr>
                      <w:sz w:val="21"/>
                      <w:szCs w:val="21"/>
                    </w:rPr>
                    <w:t>24小时平均</w:t>
                  </w:r>
                </w:p>
              </w:tc>
              <w:tc>
                <w:tcPr>
                  <w:tcW w:w="1201" w:type="dxa"/>
                  <w:tcBorders>
                    <w:tl2br w:val="nil"/>
                    <w:tr2bl w:val="nil"/>
                  </w:tcBorders>
                  <w:vAlign w:val="center"/>
                </w:tcPr>
                <w:p>
                  <w:pPr>
                    <w:rPr>
                      <w:sz w:val="21"/>
                      <w:szCs w:val="21"/>
                    </w:rPr>
                  </w:pPr>
                  <w:r>
                    <w:rPr>
                      <w:sz w:val="21"/>
                      <w:szCs w:val="21"/>
                    </w:rPr>
                    <w:t>4</w:t>
                  </w:r>
                </w:p>
              </w:tc>
              <w:tc>
                <w:tcPr>
                  <w:tcW w:w="843" w:type="dxa"/>
                  <w:vMerge w:val="restart"/>
                  <w:tcBorders>
                    <w:tl2br w:val="nil"/>
                    <w:tr2bl w:val="nil"/>
                  </w:tcBorders>
                  <w:vAlign w:val="center"/>
                </w:tcPr>
                <w:p>
                  <w:pPr>
                    <w:rPr>
                      <w:sz w:val="21"/>
                      <w:szCs w:val="21"/>
                    </w:rPr>
                  </w:pPr>
                  <w:r>
                    <w:rPr>
                      <w:sz w:val="21"/>
                      <w:szCs w:val="21"/>
                    </w:rPr>
                    <w:t>mg/m</w:t>
                  </w:r>
                  <w:r>
                    <w:rPr>
                      <w:sz w:val="21"/>
                      <w:szCs w:val="21"/>
                      <w:vertAlign w:val="superscript"/>
                    </w:rPr>
                    <w:t>3</w:t>
                  </w: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sz w:val="21"/>
                      <w:szCs w:val="21"/>
                    </w:rPr>
                    <w:t>1小时平均</w:t>
                  </w:r>
                </w:p>
              </w:tc>
              <w:tc>
                <w:tcPr>
                  <w:tcW w:w="1201" w:type="dxa"/>
                  <w:tcBorders>
                    <w:tl2br w:val="nil"/>
                    <w:tr2bl w:val="nil"/>
                  </w:tcBorders>
                  <w:vAlign w:val="center"/>
                </w:tcPr>
                <w:p>
                  <w:pPr>
                    <w:rPr>
                      <w:sz w:val="21"/>
                      <w:szCs w:val="21"/>
                    </w:rPr>
                  </w:pPr>
                  <w:r>
                    <w:rPr>
                      <w:sz w:val="21"/>
                      <w:szCs w:val="21"/>
                    </w:rPr>
                    <w:t>10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116" w:type="dxa"/>
                  <w:vMerge w:val="restart"/>
                  <w:tcBorders>
                    <w:tl2br w:val="nil"/>
                    <w:tr2bl w:val="nil"/>
                  </w:tcBorders>
                  <w:vAlign w:val="center"/>
                </w:tcPr>
                <w:p>
                  <w:pPr>
                    <w:rPr>
                      <w:sz w:val="21"/>
                      <w:szCs w:val="21"/>
                    </w:rPr>
                  </w:pPr>
                  <w:r>
                    <w:rPr>
                      <w:sz w:val="21"/>
                      <w:szCs w:val="21"/>
                    </w:rPr>
                    <w:t>O</w:t>
                  </w:r>
                  <w:r>
                    <w:rPr>
                      <w:rFonts w:ascii="Times New Roman" w:hAnsi="Times New Roman" w:eastAsia="宋体" w:cs="Times New Roman"/>
                      <w:sz w:val="21"/>
                      <w:szCs w:val="21"/>
                      <w:vertAlign w:val="subscript"/>
                    </w:rPr>
                    <w:t>3</w:t>
                  </w:r>
                </w:p>
              </w:tc>
              <w:tc>
                <w:tcPr>
                  <w:tcW w:w="1724" w:type="dxa"/>
                  <w:tcBorders>
                    <w:tl2br w:val="nil"/>
                    <w:tr2bl w:val="nil"/>
                  </w:tcBorders>
                  <w:vAlign w:val="center"/>
                </w:tcPr>
                <w:p>
                  <w:pPr>
                    <w:rPr>
                      <w:sz w:val="21"/>
                      <w:szCs w:val="21"/>
                    </w:rPr>
                  </w:pPr>
                  <w:r>
                    <w:rPr>
                      <w:sz w:val="21"/>
                      <w:szCs w:val="21"/>
                    </w:rPr>
                    <w:t>日最大8小时平均</w:t>
                  </w:r>
                </w:p>
              </w:tc>
              <w:tc>
                <w:tcPr>
                  <w:tcW w:w="1201" w:type="dxa"/>
                  <w:tcBorders>
                    <w:tl2br w:val="nil"/>
                    <w:tr2bl w:val="nil"/>
                  </w:tcBorders>
                  <w:vAlign w:val="center"/>
                </w:tcPr>
                <w:p>
                  <w:pPr>
                    <w:rPr>
                      <w:sz w:val="21"/>
                      <w:szCs w:val="21"/>
                    </w:rPr>
                  </w:pPr>
                  <w:r>
                    <w:rPr>
                      <w:sz w:val="21"/>
                      <w:szCs w:val="21"/>
                    </w:rPr>
                    <w:t>160</w:t>
                  </w:r>
                </w:p>
              </w:tc>
              <w:tc>
                <w:tcPr>
                  <w:tcW w:w="843" w:type="dxa"/>
                  <w:vMerge w:val="restart"/>
                  <w:tcBorders>
                    <w:tl2br w:val="nil"/>
                    <w:tr2bl w:val="nil"/>
                  </w:tcBorders>
                  <w:vAlign w:val="center"/>
                </w:tcPr>
                <w:p>
                  <w:pPr>
                    <w:rPr>
                      <w:sz w:val="21"/>
                      <w:szCs w:val="21"/>
                    </w:rPr>
                  </w:pPr>
                  <w:r>
                    <w:rPr>
                      <w:sz w:val="21"/>
                      <w:szCs w:val="21"/>
                    </w:rPr>
                    <w:t>μg/m</w:t>
                  </w:r>
                  <w:r>
                    <w:rPr>
                      <w:sz w:val="21"/>
                      <w:szCs w:val="21"/>
                      <w:vertAlign w:val="superscript"/>
                    </w:rPr>
                    <w:t>3</w:t>
                  </w: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sz w:val="21"/>
                      <w:szCs w:val="21"/>
                    </w:rPr>
                    <w:t>1小时平均</w:t>
                  </w:r>
                </w:p>
              </w:tc>
              <w:tc>
                <w:tcPr>
                  <w:tcW w:w="1201" w:type="dxa"/>
                  <w:tcBorders>
                    <w:tl2br w:val="nil"/>
                    <w:tr2bl w:val="nil"/>
                  </w:tcBorders>
                  <w:vAlign w:val="center"/>
                </w:tcPr>
                <w:p>
                  <w:pPr>
                    <w:rPr>
                      <w:sz w:val="21"/>
                      <w:szCs w:val="21"/>
                    </w:rPr>
                  </w:pPr>
                  <w:r>
                    <w:rPr>
                      <w:sz w:val="21"/>
                      <w:szCs w:val="21"/>
                    </w:rPr>
                    <w:t>200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tcBorders>
                    <w:tl2br w:val="nil"/>
                    <w:tr2bl w:val="nil"/>
                  </w:tcBorders>
                  <w:vAlign w:val="center"/>
                </w:tcPr>
                <w:p>
                  <w:pPr>
                    <w:rPr>
                      <w:sz w:val="21"/>
                      <w:szCs w:val="21"/>
                    </w:rPr>
                  </w:pPr>
                  <w:r>
                    <w:rPr>
                      <w:rFonts w:hint="eastAsia"/>
                      <w:sz w:val="21"/>
                      <w:szCs w:val="21"/>
                    </w:rPr>
                    <w:t>T</w:t>
                  </w:r>
                  <w:r>
                    <w:rPr>
                      <w:sz w:val="21"/>
                      <w:szCs w:val="21"/>
                    </w:rPr>
                    <w:t>SP</w:t>
                  </w:r>
                </w:p>
              </w:tc>
              <w:tc>
                <w:tcPr>
                  <w:tcW w:w="1724" w:type="dxa"/>
                  <w:tcBorders>
                    <w:tl2br w:val="nil"/>
                    <w:tr2bl w:val="nil"/>
                  </w:tcBorders>
                  <w:vAlign w:val="center"/>
                </w:tcPr>
                <w:p>
                  <w:pPr>
                    <w:rPr>
                      <w:sz w:val="21"/>
                      <w:szCs w:val="21"/>
                    </w:rPr>
                  </w:pPr>
                  <w:r>
                    <w:rPr>
                      <w:rFonts w:hint="eastAsia"/>
                      <w:sz w:val="21"/>
                      <w:szCs w:val="21"/>
                    </w:rPr>
                    <w:t>年平均</w:t>
                  </w:r>
                </w:p>
              </w:tc>
              <w:tc>
                <w:tcPr>
                  <w:tcW w:w="1201" w:type="dxa"/>
                  <w:tcBorders>
                    <w:tl2br w:val="nil"/>
                    <w:tr2bl w:val="nil"/>
                  </w:tcBorders>
                  <w:vAlign w:val="center"/>
                </w:tcPr>
                <w:p>
                  <w:pPr>
                    <w:rPr>
                      <w:sz w:val="21"/>
                      <w:szCs w:val="21"/>
                    </w:rPr>
                  </w:pPr>
                  <w:r>
                    <w:rPr>
                      <w:rFonts w:hint="eastAsia"/>
                      <w:sz w:val="21"/>
                      <w:szCs w:val="21"/>
                    </w:rPr>
                    <w:t>2</w:t>
                  </w:r>
                  <w:r>
                    <w:rPr>
                      <w:sz w:val="21"/>
                      <w:szCs w:val="21"/>
                    </w:rPr>
                    <w:t>00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l2br w:val="nil"/>
                    <w:tr2bl w:val="nil"/>
                  </w:tcBorders>
                  <w:vAlign w:val="center"/>
                </w:tcPr>
                <w:p>
                  <w:pPr>
                    <w:rPr>
                      <w:sz w:val="21"/>
                      <w:szCs w:val="21"/>
                    </w:rPr>
                  </w:pPr>
                </w:p>
              </w:tc>
              <w:tc>
                <w:tcPr>
                  <w:tcW w:w="1724" w:type="dxa"/>
                  <w:tcBorders>
                    <w:tl2br w:val="nil"/>
                    <w:tr2bl w:val="nil"/>
                  </w:tcBorders>
                  <w:vAlign w:val="center"/>
                </w:tcPr>
                <w:p>
                  <w:pPr>
                    <w:rPr>
                      <w:sz w:val="21"/>
                      <w:szCs w:val="21"/>
                    </w:rPr>
                  </w:pPr>
                  <w:r>
                    <w:rPr>
                      <w:rFonts w:hint="eastAsia"/>
                      <w:sz w:val="21"/>
                      <w:szCs w:val="21"/>
                    </w:rPr>
                    <w:t>2</w:t>
                  </w:r>
                  <w:r>
                    <w:rPr>
                      <w:sz w:val="21"/>
                      <w:szCs w:val="21"/>
                    </w:rPr>
                    <w:t>4</w:t>
                  </w:r>
                  <w:r>
                    <w:rPr>
                      <w:rFonts w:hint="eastAsia"/>
                      <w:sz w:val="21"/>
                      <w:szCs w:val="21"/>
                    </w:rPr>
                    <w:t>小时平均</w:t>
                  </w:r>
                </w:p>
              </w:tc>
              <w:tc>
                <w:tcPr>
                  <w:tcW w:w="1201" w:type="dxa"/>
                  <w:tcBorders>
                    <w:tl2br w:val="nil"/>
                    <w:tr2bl w:val="nil"/>
                  </w:tcBorders>
                  <w:vAlign w:val="center"/>
                </w:tcPr>
                <w:p>
                  <w:pPr>
                    <w:rPr>
                      <w:sz w:val="21"/>
                      <w:szCs w:val="21"/>
                    </w:rPr>
                  </w:pPr>
                  <w:r>
                    <w:rPr>
                      <w:rFonts w:hint="eastAsia"/>
                      <w:sz w:val="21"/>
                      <w:szCs w:val="21"/>
                    </w:rPr>
                    <w:t>3</w:t>
                  </w:r>
                  <w:r>
                    <w:rPr>
                      <w:sz w:val="21"/>
                      <w:szCs w:val="21"/>
                    </w:rPr>
                    <w:t>00</w:t>
                  </w:r>
                </w:p>
              </w:tc>
              <w:tc>
                <w:tcPr>
                  <w:tcW w:w="843" w:type="dxa"/>
                  <w:vMerge w:val="continue"/>
                  <w:tcBorders>
                    <w:tl2br w:val="nil"/>
                    <w:tr2bl w:val="nil"/>
                  </w:tcBorders>
                  <w:vAlign w:val="center"/>
                </w:tcPr>
                <w:p>
                  <w:pPr>
                    <w:rPr>
                      <w:sz w:val="21"/>
                      <w:szCs w:val="21"/>
                    </w:rPr>
                  </w:pPr>
                </w:p>
              </w:tc>
              <w:tc>
                <w:tcPr>
                  <w:tcW w:w="2491" w:type="dxa"/>
                  <w:vMerge w:val="continue"/>
                  <w:tcBorders>
                    <w:tl2br w:val="nil"/>
                    <w:tr2bl w:val="nil"/>
                  </w:tcBorders>
                  <w:vAlign w:val="center"/>
                </w:tcPr>
                <w:p>
                  <w:pPr>
                    <w:rPr>
                      <w:sz w:val="21"/>
                      <w:szCs w:val="21"/>
                    </w:rPr>
                  </w:pPr>
                </w:p>
              </w:tc>
            </w:tr>
          </w:tbl>
          <w:p>
            <w:pPr>
              <w:pStyle w:val="15"/>
              <w:ind w:firstLine="420"/>
            </w:pPr>
            <w:r>
              <w:rPr>
                <w:rFonts w:hint="eastAsia"/>
              </w:rPr>
              <w:t>（2）</w:t>
            </w:r>
            <w:r>
              <w:t>地表水环境质量标准</w:t>
            </w:r>
          </w:p>
          <w:p>
            <w:pPr>
              <w:pStyle w:val="15"/>
              <w:ind w:firstLine="420"/>
            </w:pPr>
            <w:r>
              <w:rPr>
                <w:rFonts w:hint="eastAsia"/>
              </w:rPr>
              <w:t>项目区黄河</w:t>
            </w:r>
            <w:r>
              <w:t>执行《地表水环境质量标准》(GB3838-2002)中的Ⅱ类标准，</w:t>
            </w:r>
            <w:r>
              <w:rPr>
                <w:rFonts w:hint="eastAsia"/>
              </w:rPr>
              <w:t>具体见下表。</w:t>
            </w:r>
          </w:p>
          <w:p>
            <w:pPr>
              <w:pStyle w:val="7"/>
              <w:spacing w:line="240" w:lineRule="auto"/>
              <w:outlineLvl w:val="6"/>
              <w:rPr>
                <w:rFonts w:hint="eastAsia"/>
              </w:rPr>
            </w:pPr>
            <w:r>
              <w:rPr>
                <w:sz w:val="21"/>
                <w:szCs w:val="21"/>
              </w:rPr>
              <w:t>表</w:t>
            </w:r>
            <w:r>
              <w:rPr>
                <w:rFonts w:hint="eastAsia"/>
                <w:sz w:val="21"/>
                <w:szCs w:val="21"/>
              </w:rPr>
              <w:t>3-1</w:t>
            </w:r>
            <w:r>
              <w:rPr>
                <w:rFonts w:hint="eastAsia"/>
                <w:sz w:val="21"/>
                <w:szCs w:val="21"/>
                <w:lang w:val="en-US" w:eastAsia="zh-CN"/>
              </w:rPr>
              <w:t xml:space="preserve">7      </w:t>
            </w:r>
            <w:r>
              <w:rPr>
                <w:rFonts w:hint="eastAsia"/>
                <w:sz w:val="21"/>
                <w:szCs w:val="21"/>
              </w:rPr>
              <w:t>地表水环境质量标准限值（单位：mg/L，pH无量纲）</w:t>
            </w:r>
          </w:p>
          <w:tbl>
            <w:tblPr>
              <w:tblStyle w:val="24"/>
              <w:tblW w:w="7271"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49"/>
              <w:gridCol w:w="1136"/>
              <w:gridCol w:w="1618"/>
              <w:gridCol w:w="814"/>
              <w:gridCol w:w="1093"/>
              <w:gridCol w:w="196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序号</w:t>
                  </w:r>
                </w:p>
              </w:tc>
              <w:tc>
                <w:tcPr>
                  <w:tcW w:w="1136" w:type="dxa"/>
                  <w:tcBorders>
                    <w:tl2br w:val="nil"/>
                    <w:tr2bl w:val="nil"/>
                  </w:tcBorders>
                  <w:shd w:val="clear" w:color="auto" w:fill="auto"/>
                  <w:vAlign w:val="center"/>
                </w:tcPr>
                <w:p>
                  <w:pPr>
                    <w:rPr>
                      <w:sz w:val="21"/>
                      <w:szCs w:val="21"/>
                    </w:rPr>
                  </w:pPr>
                  <w:r>
                    <w:rPr>
                      <w:sz w:val="21"/>
                      <w:szCs w:val="21"/>
                    </w:rPr>
                    <w:t>项目</w:t>
                  </w:r>
                </w:p>
              </w:tc>
              <w:tc>
                <w:tcPr>
                  <w:tcW w:w="1618" w:type="dxa"/>
                  <w:tcBorders>
                    <w:tl2br w:val="nil"/>
                    <w:tr2bl w:val="nil"/>
                  </w:tcBorders>
                  <w:shd w:val="clear" w:color="auto" w:fill="auto"/>
                  <w:vAlign w:val="bottom"/>
                </w:tcPr>
                <w:p>
                  <w:pPr>
                    <w:rPr>
                      <w:sz w:val="21"/>
                      <w:szCs w:val="21"/>
                    </w:rPr>
                  </w:pPr>
                  <w:r>
                    <w:rPr>
                      <w:sz w:val="21"/>
                      <w:szCs w:val="21"/>
                    </w:rPr>
                    <w:t>《地表水环境质量标准》(GB3838-2002)Ⅱ类标准</w:t>
                  </w:r>
                </w:p>
              </w:tc>
              <w:tc>
                <w:tcPr>
                  <w:tcW w:w="814" w:type="dxa"/>
                  <w:tcBorders>
                    <w:tl2br w:val="nil"/>
                    <w:tr2bl w:val="nil"/>
                  </w:tcBorders>
                  <w:shd w:val="clear" w:color="auto" w:fill="auto"/>
                  <w:vAlign w:val="center"/>
                </w:tcPr>
                <w:p>
                  <w:pPr>
                    <w:rPr>
                      <w:sz w:val="21"/>
                      <w:szCs w:val="21"/>
                    </w:rPr>
                  </w:pPr>
                  <w:r>
                    <w:rPr>
                      <w:sz w:val="21"/>
                      <w:szCs w:val="21"/>
                    </w:rPr>
                    <w:t>序号</w:t>
                  </w:r>
                </w:p>
              </w:tc>
              <w:tc>
                <w:tcPr>
                  <w:tcW w:w="1093" w:type="dxa"/>
                  <w:tcBorders>
                    <w:tl2br w:val="nil"/>
                    <w:tr2bl w:val="nil"/>
                  </w:tcBorders>
                  <w:shd w:val="clear" w:color="auto" w:fill="auto"/>
                  <w:vAlign w:val="center"/>
                </w:tcPr>
                <w:p>
                  <w:pPr>
                    <w:rPr>
                      <w:sz w:val="21"/>
                      <w:szCs w:val="21"/>
                    </w:rPr>
                  </w:pPr>
                  <w:r>
                    <w:rPr>
                      <w:sz w:val="21"/>
                      <w:szCs w:val="21"/>
                    </w:rPr>
                    <w:t>项目</w:t>
                  </w:r>
                </w:p>
              </w:tc>
              <w:tc>
                <w:tcPr>
                  <w:tcW w:w="1961" w:type="dxa"/>
                  <w:tcBorders>
                    <w:tl2br w:val="nil"/>
                    <w:tr2bl w:val="nil"/>
                  </w:tcBorders>
                  <w:shd w:val="clear" w:color="auto" w:fill="auto"/>
                  <w:vAlign w:val="bottom"/>
                </w:tcPr>
                <w:p>
                  <w:pPr>
                    <w:rPr>
                      <w:sz w:val="21"/>
                      <w:szCs w:val="21"/>
                    </w:rPr>
                  </w:pPr>
                  <w:r>
                    <w:rPr>
                      <w:sz w:val="21"/>
                      <w:szCs w:val="21"/>
                    </w:rPr>
                    <w:t>《地表水环境质量标准》(GB3838-2002)Ⅱ类标准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1</w:t>
                  </w:r>
                </w:p>
              </w:tc>
              <w:tc>
                <w:tcPr>
                  <w:tcW w:w="1136" w:type="dxa"/>
                  <w:tcBorders>
                    <w:tl2br w:val="nil"/>
                    <w:tr2bl w:val="nil"/>
                  </w:tcBorders>
                  <w:shd w:val="clear" w:color="auto" w:fill="auto"/>
                  <w:vAlign w:val="center"/>
                </w:tcPr>
                <w:p>
                  <w:pPr>
                    <w:rPr>
                      <w:sz w:val="21"/>
                      <w:szCs w:val="21"/>
                    </w:rPr>
                  </w:pPr>
                  <w:r>
                    <w:rPr>
                      <w:sz w:val="21"/>
                      <w:szCs w:val="21"/>
                    </w:rPr>
                    <w:t>pH</w:t>
                  </w:r>
                </w:p>
              </w:tc>
              <w:tc>
                <w:tcPr>
                  <w:tcW w:w="1618" w:type="dxa"/>
                  <w:tcBorders>
                    <w:tl2br w:val="nil"/>
                    <w:tr2bl w:val="nil"/>
                  </w:tcBorders>
                  <w:shd w:val="clear" w:color="auto" w:fill="auto"/>
                  <w:vAlign w:val="center"/>
                </w:tcPr>
                <w:p>
                  <w:pPr>
                    <w:rPr>
                      <w:sz w:val="21"/>
                      <w:szCs w:val="21"/>
                    </w:rPr>
                  </w:pPr>
                  <w:r>
                    <w:rPr>
                      <w:sz w:val="21"/>
                      <w:szCs w:val="21"/>
                    </w:rPr>
                    <w:t>6-9</w:t>
                  </w:r>
                </w:p>
              </w:tc>
              <w:tc>
                <w:tcPr>
                  <w:tcW w:w="814" w:type="dxa"/>
                  <w:tcBorders>
                    <w:tl2br w:val="nil"/>
                    <w:tr2bl w:val="nil"/>
                  </w:tcBorders>
                  <w:shd w:val="clear" w:color="auto" w:fill="auto"/>
                  <w:vAlign w:val="center"/>
                </w:tcPr>
                <w:p>
                  <w:pPr>
                    <w:rPr>
                      <w:sz w:val="21"/>
                      <w:szCs w:val="21"/>
                    </w:rPr>
                  </w:pPr>
                  <w:r>
                    <w:rPr>
                      <w:sz w:val="21"/>
                      <w:szCs w:val="21"/>
                    </w:rPr>
                    <w:t>12</w:t>
                  </w:r>
                </w:p>
              </w:tc>
              <w:tc>
                <w:tcPr>
                  <w:tcW w:w="1093" w:type="dxa"/>
                  <w:tcBorders>
                    <w:tl2br w:val="nil"/>
                    <w:tr2bl w:val="nil"/>
                  </w:tcBorders>
                  <w:shd w:val="clear" w:color="auto" w:fill="auto"/>
                  <w:vAlign w:val="center"/>
                </w:tcPr>
                <w:p>
                  <w:pPr>
                    <w:rPr>
                      <w:sz w:val="21"/>
                      <w:szCs w:val="21"/>
                    </w:rPr>
                  </w:pPr>
                  <w:r>
                    <w:rPr>
                      <w:sz w:val="21"/>
                      <w:szCs w:val="21"/>
                    </w:rPr>
                    <w:t>铜</w:t>
                  </w:r>
                </w:p>
              </w:tc>
              <w:tc>
                <w:tcPr>
                  <w:tcW w:w="1961" w:type="dxa"/>
                  <w:tcBorders>
                    <w:tl2br w:val="nil"/>
                    <w:tr2bl w:val="nil"/>
                  </w:tcBorders>
                  <w:shd w:val="clear" w:color="auto" w:fill="auto"/>
                  <w:vAlign w:val="center"/>
                </w:tcPr>
                <w:p>
                  <w:pP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2</w:t>
                  </w:r>
                </w:p>
              </w:tc>
              <w:tc>
                <w:tcPr>
                  <w:tcW w:w="1136" w:type="dxa"/>
                  <w:tcBorders>
                    <w:tl2br w:val="nil"/>
                    <w:tr2bl w:val="nil"/>
                  </w:tcBorders>
                  <w:shd w:val="clear" w:color="auto" w:fill="auto"/>
                  <w:vAlign w:val="center"/>
                </w:tcPr>
                <w:p>
                  <w:pPr>
                    <w:rPr>
                      <w:sz w:val="21"/>
                      <w:szCs w:val="21"/>
                    </w:rPr>
                  </w:pPr>
                  <w:r>
                    <w:rPr>
                      <w:sz w:val="21"/>
                      <w:szCs w:val="21"/>
                    </w:rPr>
                    <w:t>溶解氧</w:t>
                  </w:r>
                </w:p>
              </w:tc>
              <w:tc>
                <w:tcPr>
                  <w:tcW w:w="1618" w:type="dxa"/>
                  <w:tcBorders>
                    <w:tl2br w:val="nil"/>
                    <w:tr2bl w:val="nil"/>
                  </w:tcBorders>
                  <w:shd w:val="clear" w:color="auto" w:fill="auto"/>
                  <w:vAlign w:val="center"/>
                </w:tcPr>
                <w:p>
                  <w:pPr>
                    <w:rPr>
                      <w:sz w:val="21"/>
                      <w:szCs w:val="21"/>
                    </w:rPr>
                  </w:pPr>
                  <w:r>
                    <w:rPr>
                      <w:sz w:val="21"/>
                      <w:szCs w:val="21"/>
                    </w:rPr>
                    <w:t>6</w:t>
                  </w:r>
                </w:p>
              </w:tc>
              <w:tc>
                <w:tcPr>
                  <w:tcW w:w="814" w:type="dxa"/>
                  <w:tcBorders>
                    <w:tl2br w:val="nil"/>
                    <w:tr2bl w:val="nil"/>
                  </w:tcBorders>
                  <w:shd w:val="clear" w:color="auto" w:fill="auto"/>
                  <w:vAlign w:val="bottom"/>
                </w:tcPr>
                <w:p>
                  <w:pPr>
                    <w:rPr>
                      <w:sz w:val="21"/>
                      <w:szCs w:val="21"/>
                    </w:rPr>
                  </w:pPr>
                  <w:r>
                    <w:rPr>
                      <w:sz w:val="21"/>
                      <w:szCs w:val="21"/>
                    </w:rPr>
                    <w:t>13</w:t>
                  </w:r>
                </w:p>
              </w:tc>
              <w:tc>
                <w:tcPr>
                  <w:tcW w:w="1093" w:type="dxa"/>
                  <w:tcBorders>
                    <w:tl2br w:val="nil"/>
                    <w:tr2bl w:val="nil"/>
                  </w:tcBorders>
                  <w:shd w:val="clear" w:color="auto" w:fill="auto"/>
                  <w:vAlign w:val="center"/>
                </w:tcPr>
                <w:p>
                  <w:pPr>
                    <w:rPr>
                      <w:sz w:val="21"/>
                      <w:szCs w:val="21"/>
                    </w:rPr>
                  </w:pPr>
                  <w:r>
                    <w:rPr>
                      <w:sz w:val="21"/>
                      <w:szCs w:val="21"/>
                    </w:rPr>
                    <w:t>锌</w:t>
                  </w:r>
                </w:p>
              </w:tc>
              <w:tc>
                <w:tcPr>
                  <w:tcW w:w="1961" w:type="dxa"/>
                  <w:tcBorders>
                    <w:tl2br w:val="nil"/>
                    <w:tr2bl w:val="nil"/>
                  </w:tcBorders>
                  <w:shd w:val="clear" w:color="auto" w:fill="auto"/>
                  <w:vAlign w:val="bottom"/>
                </w:tcPr>
                <w:p>
                  <w:pP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3</w:t>
                  </w:r>
                </w:p>
              </w:tc>
              <w:tc>
                <w:tcPr>
                  <w:tcW w:w="1136" w:type="dxa"/>
                  <w:tcBorders>
                    <w:tl2br w:val="nil"/>
                    <w:tr2bl w:val="nil"/>
                  </w:tcBorders>
                  <w:shd w:val="clear" w:color="auto" w:fill="auto"/>
                  <w:vAlign w:val="center"/>
                </w:tcPr>
                <w:p>
                  <w:pPr>
                    <w:rPr>
                      <w:sz w:val="21"/>
                      <w:szCs w:val="21"/>
                    </w:rPr>
                  </w:pPr>
                  <w:r>
                    <w:rPr>
                      <w:sz w:val="21"/>
                      <w:szCs w:val="21"/>
                    </w:rPr>
                    <w:t>高锰酸盐指数</w:t>
                  </w:r>
                </w:p>
              </w:tc>
              <w:tc>
                <w:tcPr>
                  <w:tcW w:w="1618" w:type="dxa"/>
                  <w:tcBorders>
                    <w:tl2br w:val="nil"/>
                    <w:tr2bl w:val="nil"/>
                  </w:tcBorders>
                  <w:shd w:val="clear" w:color="auto" w:fill="auto"/>
                  <w:vAlign w:val="center"/>
                </w:tcPr>
                <w:p>
                  <w:pPr>
                    <w:rPr>
                      <w:sz w:val="21"/>
                      <w:szCs w:val="21"/>
                    </w:rPr>
                  </w:pPr>
                  <w:r>
                    <w:rPr>
                      <w:sz w:val="21"/>
                      <w:szCs w:val="21"/>
                    </w:rPr>
                    <w:t>4</w:t>
                  </w:r>
                </w:p>
              </w:tc>
              <w:tc>
                <w:tcPr>
                  <w:tcW w:w="814" w:type="dxa"/>
                  <w:tcBorders>
                    <w:tl2br w:val="nil"/>
                    <w:tr2bl w:val="nil"/>
                  </w:tcBorders>
                  <w:shd w:val="clear" w:color="auto" w:fill="auto"/>
                  <w:vAlign w:val="center"/>
                </w:tcPr>
                <w:p>
                  <w:pPr>
                    <w:rPr>
                      <w:sz w:val="21"/>
                      <w:szCs w:val="21"/>
                    </w:rPr>
                  </w:pPr>
                  <w:r>
                    <w:rPr>
                      <w:sz w:val="21"/>
                      <w:szCs w:val="21"/>
                    </w:rPr>
                    <w:t>14</w:t>
                  </w:r>
                </w:p>
              </w:tc>
              <w:tc>
                <w:tcPr>
                  <w:tcW w:w="1093" w:type="dxa"/>
                  <w:tcBorders>
                    <w:tl2br w:val="nil"/>
                    <w:tr2bl w:val="nil"/>
                  </w:tcBorders>
                  <w:shd w:val="clear" w:color="auto" w:fill="auto"/>
                  <w:vAlign w:val="center"/>
                </w:tcPr>
                <w:p>
                  <w:pPr>
                    <w:rPr>
                      <w:sz w:val="21"/>
                      <w:szCs w:val="21"/>
                    </w:rPr>
                  </w:pPr>
                  <w:r>
                    <w:rPr>
                      <w:sz w:val="21"/>
                      <w:szCs w:val="21"/>
                    </w:rPr>
                    <w:t>氟化物</w:t>
                  </w:r>
                </w:p>
              </w:tc>
              <w:tc>
                <w:tcPr>
                  <w:tcW w:w="1961" w:type="dxa"/>
                  <w:tcBorders>
                    <w:tl2br w:val="nil"/>
                    <w:tr2bl w:val="nil"/>
                  </w:tcBorders>
                  <w:shd w:val="clear" w:color="auto" w:fill="auto"/>
                  <w:vAlign w:val="center"/>
                </w:tcPr>
                <w:p>
                  <w:pPr>
                    <w:rPr>
                      <w:sz w:val="21"/>
                      <w:szCs w:val="21"/>
                    </w:rPr>
                  </w:pPr>
                  <w:r>
                    <w:rPr>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4</w:t>
                  </w:r>
                </w:p>
              </w:tc>
              <w:tc>
                <w:tcPr>
                  <w:tcW w:w="1136" w:type="dxa"/>
                  <w:tcBorders>
                    <w:tl2br w:val="nil"/>
                    <w:tr2bl w:val="nil"/>
                  </w:tcBorders>
                  <w:shd w:val="clear" w:color="auto" w:fill="auto"/>
                  <w:vAlign w:val="center"/>
                </w:tcPr>
                <w:p>
                  <w:pPr>
                    <w:rPr>
                      <w:sz w:val="21"/>
                      <w:szCs w:val="21"/>
                    </w:rPr>
                  </w:pPr>
                  <w:r>
                    <w:rPr>
                      <w:sz w:val="21"/>
                      <w:szCs w:val="21"/>
                    </w:rPr>
                    <w:t>生化需氧量</w:t>
                  </w:r>
                </w:p>
              </w:tc>
              <w:tc>
                <w:tcPr>
                  <w:tcW w:w="1618" w:type="dxa"/>
                  <w:tcBorders>
                    <w:tl2br w:val="nil"/>
                    <w:tr2bl w:val="nil"/>
                  </w:tcBorders>
                  <w:shd w:val="clear" w:color="auto" w:fill="auto"/>
                  <w:vAlign w:val="center"/>
                </w:tcPr>
                <w:p>
                  <w:pPr>
                    <w:rPr>
                      <w:sz w:val="21"/>
                      <w:szCs w:val="21"/>
                    </w:rPr>
                  </w:pPr>
                  <w:r>
                    <w:rPr>
                      <w:sz w:val="21"/>
                      <w:szCs w:val="21"/>
                    </w:rPr>
                    <w:t>3</w:t>
                  </w:r>
                </w:p>
              </w:tc>
              <w:tc>
                <w:tcPr>
                  <w:tcW w:w="814" w:type="dxa"/>
                  <w:tcBorders>
                    <w:tl2br w:val="nil"/>
                    <w:tr2bl w:val="nil"/>
                  </w:tcBorders>
                  <w:shd w:val="clear" w:color="auto" w:fill="auto"/>
                  <w:vAlign w:val="center"/>
                </w:tcPr>
                <w:p>
                  <w:pPr>
                    <w:rPr>
                      <w:sz w:val="21"/>
                      <w:szCs w:val="21"/>
                    </w:rPr>
                  </w:pPr>
                  <w:r>
                    <w:rPr>
                      <w:sz w:val="21"/>
                      <w:szCs w:val="21"/>
                    </w:rPr>
                    <w:t>15</w:t>
                  </w:r>
                </w:p>
              </w:tc>
              <w:tc>
                <w:tcPr>
                  <w:tcW w:w="1093" w:type="dxa"/>
                  <w:tcBorders>
                    <w:tl2br w:val="nil"/>
                    <w:tr2bl w:val="nil"/>
                  </w:tcBorders>
                  <w:shd w:val="clear" w:color="auto" w:fill="auto"/>
                  <w:vAlign w:val="bottom"/>
                </w:tcPr>
                <w:p>
                  <w:pPr>
                    <w:rPr>
                      <w:sz w:val="21"/>
                      <w:szCs w:val="21"/>
                    </w:rPr>
                  </w:pPr>
                  <w:r>
                    <w:rPr>
                      <w:sz w:val="21"/>
                      <w:szCs w:val="21"/>
                    </w:rPr>
                    <w:t>硒</w:t>
                  </w:r>
                </w:p>
              </w:tc>
              <w:tc>
                <w:tcPr>
                  <w:tcW w:w="1961" w:type="dxa"/>
                  <w:tcBorders>
                    <w:tl2br w:val="nil"/>
                    <w:tr2bl w:val="nil"/>
                  </w:tcBorders>
                  <w:shd w:val="clear" w:color="auto" w:fill="auto"/>
                  <w:vAlign w:val="center"/>
                </w:tcPr>
                <w:p>
                  <w:pPr>
                    <w:rPr>
                      <w:sz w:val="21"/>
                      <w:szCs w:val="21"/>
                    </w:rPr>
                  </w:pPr>
                  <w:r>
                    <w:rPr>
                      <w:sz w:val="21"/>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5</w:t>
                  </w:r>
                </w:p>
              </w:tc>
              <w:tc>
                <w:tcPr>
                  <w:tcW w:w="1136" w:type="dxa"/>
                  <w:tcBorders>
                    <w:tl2br w:val="nil"/>
                    <w:tr2bl w:val="nil"/>
                  </w:tcBorders>
                  <w:shd w:val="clear" w:color="auto" w:fill="auto"/>
                  <w:vAlign w:val="center"/>
                </w:tcPr>
                <w:p>
                  <w:pPr>
                    <w:rPr>
                      <w:sz w:val="21"/>
                      <w:szCs w:val="21"/>
                    </w:rPr>
                  </w:pPr>
                  <w:r>
                    <w:rPr>
                      <w:sz w:val="21"/>
                      <w:szCs w:val="21"/>
                    </w:rPr>
                    <w:t>氨氮</w:t>
                  </w:r>
                </w:p>
              </w:tc>
              <w:tc>
                <w:tcPr>
                  <w:tcW w:w="1618" w:type="dxa"/>
                  <w:tcBorders>
                    <w:tl2br w:val="nil"/>
                    <w:tr2bl w:val="nil"/>
                  </w:tcBorders>
                  <w:shd w:val="clear" w:color="auto" w:fill="auto"/>
                  <w:vAlign w:val="center"/>
                </w:tcPr>
                <w:p>
                  <w:pPr>
                    <w:rPr>
                      <w:sz w:val="21"/>
                      <w:szCs w:val="21"/>
                    </w:rPr>
                  </w:pPr>
                  <w:r>
                    <w:rPr>
                      <w:sz w:val="21"/>
                      <w:szCs w:val="21"/>
                    </w:rPr>
                    <w:t>0.5</w:t>
                  </w:r>
                </w:p>
              </w:tc>
              <w:tc>
                <w:tcPr>
                  <w:tcW w:w="814" w:type="dxa"/>
                  <w:tcBorders>
                    <w:tl2br w:val="nil"/>
                    <w:tr2bl w:val="nil"/>
                  </w:tcBorders>
                  <w:shd w:val="clear" w:color="auto" w:fill="auto"/>
                  <w:vAlign w:val="center"/>
                </w:tcPr>
                <w:p>
                  <w:pPr>
                    <w:rPr>
                      <w:sz w:val="21"/>
                      <w:szCs w:val="21"/>
                    </w:rPr>
                  </w:pPr>
                  <w:r>
                    <w:rPr>
                      <w:sz w:val="21"/>
                      <w:szCs w:val="21"/>
                    </w:rPr>
                    <w:t>16</w:t>
                  </w:r>
                </w:p>
              </w:tc>
              <w:tc>
                <w:tcPr>
                  <w:tcW w:w="1093" w:type="dxa"/>
                  <w:tcBorders>
                    <w:tl2br w:val="nil"/>
                    <w:tr2bl w:val="nil"/>
                  </w:tcBorders>
                  <w:shd w:val="clear" w:color="auto" w:fill="auto"/>
                  <w:vAlign w:val="center"/>
                </w:tcPr>
                <w:p>
                  <w:pPr>
                    <w:rPr>
                      <w:sz w:val="21"/>
                      <w:szCs w:val="21"/>
                    </w:rPr>
                  </w:pPr>
                  <w:r>
                    <w:rPr>
                      <w:sz w:val="21"/>
                      <w:szCs w:val="21"/>
                    </w:rPr>
                    <w:t>砷</w:t>
                  </w:r>
                </w:p>
              </w:tc>
              <w:tc>
                <w:tcPr>
                  <w:tcW w:w="1961" w:type="dxa"/>
                  <w:tcBorders>
                    <w:tl2br w:val="nil"/>
                    <w:tr2bl w:val="nil"/>
                  </w:tcBorders>
                  <w:shd w:val="clear" w:color="auto" w:fill="auto"/>
                  <w:vAlign w:val="center"/>
                </w:tcPr>
                <w:p>
                  <w:pPr>
                    <w:rPr>
                      <w:sz w:val="21"/>
                      <w:szCs w:val="21"/>
                    </w:rPr>
                  </w:pPr>
                  <w:r>
                    <w:rPr>
                      <w:sz w:val="21"/>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bottom"/>
                </w:tcPr>
                <w:p>
                  <w:pPr>
                    <w:rPr>
                      <w:sz w:val="21"/>
                      <w:szCs w:val="21"/>
                    </w:rPr>
                  </w:pPr>
                  <w:r>
                    <w:rPr>
                      <w:sz w:val="21"/>
                      <w:szCs w:val="21"/>
                    </w:rPr>
                    <w:t>6</w:t>
                  </w:r>
                </w:p>
              </w:tc>
              <w:tc>
                <w:tcPr>
                  <w:tcW w:w="1136" w:type="dxa"/>
                  <w:tcBorders>
                    <w:tl2br w:val="nil"/>
                    <w:tr2bl w:val="nil"/>
                  </w:tcBorders>
                  <w:shd w:val="clear" w:color="auto" w:fill="auto"/>
                  <w:vAlign w:val="bottom"/>
                </w:tcPr>
                <w:p>
                  <w:pPr>
                    <w:rPr>
                      <w:sz w:val="21"/>
                      <w:szCs w:val="21"/>
                    </w:rPr>
                  </w:pPr>
                  <w:r>
                    <w:rPr>
                      <w:sz w:val="21"/>
                      <w:szCs w:val="21"/>
                    </w:rPr>
                    <w:t>汞</w:t>
                  </w:r>
                </w:p>
              </w:tc>
              <w:tc>
                <w:tcPr>
                  <w:tcW w:w="1618" w:type="dxa"/>
                  <w:tcBorders>
                    <w:tl2br w:val="nil"/>
                    <w:tr2bl w:val="nil"/>
                  </w:tcBorders>
                  <w:shd w:val="clear" w:color="auto" w:fill="auto"/>
                  <w:vAlign w:val="center"/>
                </w:tcPr>
                <w:p>
                  <w:pPr>
                    <w:rPr>
                      <w:sz w:val="21"/>
                      <w:szCs w:val="21"/>
                    </w:rPr>
                  </w:pPr>
                  <w:r>
                    <w:rPr>
                      <w:sz w:val="21"/>
                      <w:szCs w:val="21"/>
                    </w:rPr>
                    <w:t>0.00005</w:t>
                  </w:r>
                </w:p>
              </w:tc>
              <w:tc>
                <w:tcPr>
                  <w:tcW w:w="814" w:type="dxa"/>
                  <w:tcBorders>
                    <w:tl2br w:val="nil"/>
                    <w:tr2bl w:val="nil"/>
                  </w:tcBorders>
                  <w:shd w:val="clear" w:color="auto" w:fill="auto"/>
                  <w:vAlign w:val="center"/>
                </w:tcPr>
                <w:p>
                  <w:pPr>
                    <w:rPr>
                      <w:sz w:val="21"/>
                      <w:szCs w:val="21"/>
                    </w:rPr>
                  </w:pPr>
                  <w:r>
                    <w:rPr>
                      <w:sz w:val="21"/>
                      <w:szCs w:val="21"/>
                    </w:rPr>
                    <w:t>17</w:t>
                  </w:r>
                </w:p>
              </w:tc>
              <w:tc>
                <w:tcPr>
                  <w:tcW w:w="1093" w:type="dxa"/>
                  <w:tcBorders>
                    <w:tl2br w:val="nil"/>
                    <w:tr2bl w:val="nil"/>
                  </w:tcBorders>
                  <w:shd w:val="clear" w:color="auto" w:fill="auto"/>
                  <w:vAlign w:val="center"/>
                </w:tcPr>
                <w:p>
                  <w:pPr>
                    <w:rPr>
                      <w:sz w:val="21"/>
                      <w:szCs w:val="21"/>
                    </w:rPr>
                  </w:pPr>
                  <w:r>
                    <w:rPr>
                      <w:sz w:val="21"/>
                      <w:szCs w:val="21"/>
                    </w:rPr>
                    <w:t>镉</w:t>
                  </w:r>
                </w:p>
              </w:tc>
              <w:tc>
                <w:tcPr>
                  <w:tcW w:w="1961" w:type="dxa"/>
                  <w:tcBorders>
                    <w:tl2br w:val="nil"/>
                    <w:tr2bl w:val="nil"/>
                  </w:tcBorders>
                  <w:shd w:val="clear" w:color="auto" w:fill="auto"/>
                  <w:vAlign w:val="center"/>
                </w:tcPr>
                <w:p>
                  <w:pPr>
                    <w:rPr>
                      <w:sz w:val="21"/>
                      <w:szCs w:val="21"/>
                    </w:rPr>
                  </w:pPr>
                  <w:r>
                    <w:rPr>
                      <w:sz w:val="21"/>
                      <w:szCs w:val="21"/>
                    </w:rPr>
                    <w:t>0.005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7</w:t>
                  </w:r>
                </w:p>
              </w:tc>
              <w:tc>
                <w:tcPr>
                  <w:tcW w:w="1136" w:type="dxa"/>
                  <w:tcBorders>
                    <w:tl2br w:val="nil"/>
                    <w:tr2bl w:val="nil"/>
                  </w:tcBorders>
                  <w:shd w:val="clear" w:color="auto" w:fill="auto"/>
                  <w:vAlign w:val="center"/>
                </w:tcPr>
                <w:p>
                  <w:pPr>
                    <w:rPr>
                      <w:sz w:val="21"/>
                      <w:szCs w:val="21"/>
                    </w:rPr>
                  </w:pPr>
                  <w:r>
                    <w:rPr>
                      <w:sz w:val="21"/>
                      <w:szCs w:val="21"/>
                    </w:rPr>
                    <w:t>铅</w:t>
                  </w:r>
                </w:p>
              </w:tc>
              <w:tc>
                <w:tcPr>
                  <w:tcW w:w="1618" w:type="dxa"/>
                  <w:tcBorders>
                    <w:tl2br w:val="nil"/>
                    <w:tr2bl w:val="nil"/>
                  </w:tcBorders>
                  <w:shd w:val="clear" w:color="auto" w:fill="auto"/>
                  <w:vAlign w:val="center"/>
                </w:tcPr>
                <w:p>
                  <w:pPr>
                    <w:rPr>
                      <w:sz w:val="21"/>
                      <w:szCs w:val="21"/>
                    </w:rPr>
                  </w:pPr>
                  <w:r>
                    <w:rPr>
                      <w:sz w:val="21"/>
                      <w:szCs w:val="21"/>
                    </w:rPr>
                    <w:t>0.01</w:t>
                  </w:r>
                </w:p>
              </w:tc>
              <w:tc>
                <w:tcPr>
                  <w:tcW w:w="814" w:type="dxa"/>
                  <w:tcBorders>
                    <w:tl2br w:val="nil"/>
                    <w:tr2bl w:val="nil"/>
                  </w:tcBorders>
                  <w:shd w:val="clear" w:color="auto" w:fill="auto"/>
                  <w:vAlign w:val="center"/>
                </w:tcPr>
                <w:p>
                  <w:pPr>
                    <w:rPr>
                      <w:sz w:val="21"/>
                      <w:szCs w:val="21"/>
                    </w:rPr>
                  </w:pPr>
                  <w:r>
                    <w:rPr>
                      <w:sz w:val="21"/>
                      <w:szCs w:val="21"/>
                    </w:rPr>
                    <w:t>18</w:t>
                  </w:r>
                </w:p>
              </w:tc>
              <w:tc>
                <w:tcPr>
                  <w:tcW w:w="1093" w:type="dxa"/>
                  <w:tcBorders>
                    <w:tl2br w:val="nil"/>
                    <w:tr2bl w:val="nil"/>
                  </w:tcBorders>
                  <w:shd w:val="clear" w:color="auto" w:fill="auto"/>
                  <w:vAlign w:val="center"/>
                </w:tcPr>
                <w:p>
                  <w:pPr>
                    <w:rPr>
                      <w:sz w:val="21"/>
                      <w:szCs w:val="21"/>
                    </w:rPr>
                  </w:pPr>
                  <w:r>
                    <w:rPr>
                      <w:sz w:val="21"/>
                      <w:szCs w:val="21"/>
                    </w:rPr>
                    <w:t>六价铬</w:t>
                  </w:r>
                </w:p>
              </w:tc>
              <w:tc>
                <w:tcPr>
                  <w:tcW w:w="1961" w:type="dxa"/>
                  <w:tcBorders>
                    <w:tl2br w:val="nil"/>
                    <w:tr2bl w:val="nil"/>
                  </w:tcBorders>
                  <w:shd w:val="clear" w:color="auto" w:fill="auto"/>
                  <w:vAlign w:val="center"/>
                </w:tcPr>
                <w:p>
                  <w:pPr>
                    <w:rPr>
                      <w:sz w:val="21"/>
                      <w:szCs w:val="21"/>
                    </w:rPr>
                  </w:pPr>
                  <w:r>
                    <w:rPr>
                      <w:sz w:val="21"/>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8</w:t>
                  </w:r>
                </w:p>
              </w:tc>
              <w:tc>
                <w:tcPr>
                  <w:tcW w:w="1136" w:type="dxa"/>
                  <w:tcBorders>
                    <w:tl2br w:val="nil"/>
                    <w:tr2bl w:val="nil"/>
                  </w:tcBorders>
                  <w:shd w:val="clear" w:color="auto" w:fill="auto"/>
                  <w:vAlign w:val="center"/>
                </w:tcPr>
                <w:p>
                  <w:pPr>
                    <w:rPr>
                      <w:sz w:val="21"/>
                      <w:szCs w:val="21"/>
                    </w:rPr>
                  </w:pPr>
                  <w:r>
                    <w:rPr>
                      <w:sz w:val="21"/>
                      <w:szCs w:val="21"/>
                    </w:rPr>
                    <w:t>挥发酚</w:t>
                  </w:r>
                </w:p>
              </w:tc>
              <w:tc>
                <w:tcPr>
                  <w:tcW w:w="1618" w:type="dxa"/>
                  <w:tcBorders>
                    <w:tl2br w:val="nil"/>
                    <w:tr2bl w:val="nil"/>
                  </w:tcBorders>
                  <w:shd w:val="clear" w:color="auto" w:fill="auto"/>
                  <w:vAlign w:val="center"/>
                </w:tcPr>
                <w:p>
                  <w:pPr>
                    <w:rPr>
                      <w:sz w:val="21"/>
                      <w:szCs w:val="21"/>
                    </w:rPr>
                  </w:pPr>
                  <w:r>
                    <w:rPr>
                      <w:sz w:val="21"/>
                      <w:szCs w:val="21"/>
                    </w:rPr>
                    <w:t>0.002</w:t>
                  </w:r>
                </w:p>
              </w:tc>
              <w:tc>
                <w:tcPr>
                  <w:tcW w:w="814" w:type="dxa"/>
                  <w:tcBorders>
                    <w:tl2br w:val="nil"/>
                    <w:tr2bl w:val="nil"/>
                  </w:tcBorders>
                  <w:shd w:val="clear" w:color="auto" w:fill="auto"/>
                  <w:vAlign w:val="center"/>
                </w:tcPr>
                <w:p>
                  <w:pPr>
                    <w:rPr>
                      <w:sz w:val="21"/>
                      <w:szCs w:val="21"/>
                    </w:rPr>
                  </w:pPr>
                  <w:r>
                    <w:rPr>
                      <w:sz w:val="21"/>
                      <w:szCs w:val="21"/>
                    </w:rPr>
                    <w:t>19</w:t>
                  </w:r>
                </w:p>
              </w:tc>
              <w:tc>
                <w:tcPr>
                  <w:tcW w:w="1093" w:type="dxa"/>
                  <w:tcBorders>
                    <w:tl2br w:val="nil"/>
                    <w:tr2bl w:val="nil"/>
                  </w:tcBorders>
                  <w:shd w:val="clear" w:color="auto" w:fill="auto"/>
                  <w:vAlign w:val="center"/>
                </w:tcPr>
                <w:p>
                  <w:pPr>
                    <w:rPr>
                      <w:sz w:val="21"/>
                      <w:szCs w:val="21"/>
                    </w:rPr>
                  </w:pPr>
                  <w:r>
                    <w:rPr>
                      <w:sz w:val="21"/>
                      <w:szCs w:val="21"/>
                    </w:rPr>
                    <w:t>氰化物</w:t>
                  </w:r>
                </w:p>
              </w:tc>
              <w:tc>
                <w:tcPr>
                  <w:tcW w:w="1961" w:type="dxa"/>
                  <w:tcBorders>
                    <w:tl2br w:val="nil"/>
                    <w:tr2bl w:val="nil"/>
                  </w:tcBorders>
                  <w:shd w:val="clear" w:color="auto" w:fill="auto"/>
                  <w:vAlign w:val="center"/>
                </w:tcPr>
                <w:p>
                  <w:pPr>
                    <w:rPr>
                      <w:sz w:val="21"/>
                      <w:szCs w:val="21"/>
                    </w:rPr>
                  </w:pPr>
                  <w:r>
                    <w:rPr>
                      <w:sz w:val="21"/>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9</w:t>
                  </w:r>
                </w:p>
              </w:tc>
              <w:tc>
                <w:tcPr>
                  <w:tcW w:w="1136" w:type="dxa"/>
                  <w:tcBorders>
                    <w:tl2br w:val="nil"/>
                    <w:tr2bl w:val="nil"/>
                  </w:tcBorders>
                  <w:shd w:val="clear" w:color="auto" w:fill="auto"/>
                  <w:vAlign w:val="center"/>
                </w:tcPr>
                <w:p>
                  <w:pPr>
                    <w:rPr>
                      <w:sz w:val="21"/>
                      <w:szCs w:val="21"/>
                    </w:rPr>
                  </w:pPr>
                  <w:r>
                    <w:rPr>
                      <w:sz w:val="21"/>
                      <w:szCs w:val="21"/>
                    </w:rPr>
                    <w:t>石油类</w:t>
                  </w:r>
                </w:p>
              </w:tc>
              <w:tc>
                <w:tcPr>
                  <w:tcW w:w="1618" w:type="dxa"/>
                  <w:tcBorders>
                    <w:tl2br w:val="nil"/>
                    <w:tr2bl w:val="nil"/>
                  </w:tcBorders>
                  <w:shd w:val="clear" w:color="auto" w:fill="auto"/>
                  <w:vAlign w:val="center"/>
                </w:tcPr>
                <w:p>
                  <w:pPr>
                    <w:rPr>
                      <w:sz w:val="21"/>
                      <w:szCs w:val="21"/>
                    </w:rPr>
                  </w:pPr>
                  <w:r>
                    <w:rPr>
                      <w:sz w:val="21"/>
                      <w:szCs w:val="21"/>
                    </w:rPr>
                    <w:t>0.05</w:t>
                  </w:r>
                </w:p>
              </w:tc>
              <w:tc>
                <w:tcPr>
                  <w:tcW w:w="814" w:type="dxa"/>
                  <w:tcBorders>
                    <w:tl2br w:val="nil"/>
                    <w:tr2bl w:val="nil"/>
                  </w:tcBorders>
                  <w:shd w:val="clear" w:color="auto" w:fill="auto"/>
                  <w:vAlign w:val="bottom"/>
                </w:tcPr>
                <w:p>
                  <w:pPr>
                    <w:rPr>
                      <w:sz w:val="21"/>
                      <w:szCs w:val="21"/>
                    </w:rPr>
                  </w:pPr>
                  <w:r>
                    <w:rPr>
                      <w:sz w:val="21"/>
                      <w:szCs w:val="21"/>
                    </w:rPr>
                    <w:t>20</w:t>
                  </w:r>
                </w:p>
              </w:tc>
              <w:tc>
                <w:tcPr>
                  <w:tcW w:w="1093" w:type="dxa"/>
                  <w:tcBorders>
                    <w:tl2br w:val="nil"/>
                    <w:tr2bl w:val="nil"/>
                  </w:tcBorders>
                  <w:shd w:val="clear" w:color="auto" w:fill="auto"/>
                  <w:vAlign w:val="center"/>
                </w:tcPr>
                <w:p>
                  <w:pPr>
                    <w:rPr>
                      <w:sz w:val="21"/>
                      <w:szCs w:val="21"/>
                    </w:rPr>
                  </w:pPr>
                  <w:r>
                    <w:rPr>
                      <w:sz w:val="21"/>
                      <w:szCs w:val="21"/>
                    </w:rPr>
                    <w:t>阴离子表面活性剂</w:t>
                  </w:r>
                </w:p>
              </w:tc>
              <w:tc>
                <w:tcPr>
                  <w:tcW w:w="1961" w:type="dxa"/>
                  <w:tcBorders>
                    <w:tl2br w:val="nil"/>
                    <w:tr2bl w:val="nil"/>
                  </w:tcBorders>
                  <w:shd w:val="clear" w:color="auto" w:fill="auto"/>
                  <w:vAlign w:val="center"/>
                </w:tcPr>
                <w:p>
                  <w:pPr>
                    <w:rPr>
                      <w:sz w:val="21"/>
                      <w:szCs w:val="21"/>
                    </w:rPr>
                  </w:pPr>
                  <w:r>
                    <w:rPr>
                      <w:sz w:val="21"/>
                      <w:szCs w:val="21"/>
                    </w:rPr>
                    <w:t>0.2</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10</w:t>
                  </w:r>
                </w:p>
              </w:tc>
              <w:tc>
                <w:tcPr>
                  <w:tcW w:w="1136" w:type="dxa"/>
                  <w:tcBorders>
                    <w:tl2br w:val="nil"/>
                    <w:tr2bl w:val="nil"/>
                  </w:tcBorders>
                  <w:shd w:val="clear" w:color="auto" w:fill="auto"/>
                  <w:vAlign w:val="center"/>
                </w:tcPr>
                <w:p>
                  <w:pPr>
                    <w:rPr>
                      <w:sz w:val="21"/>
                      <w:szCs w:val="21"/>
                    </w:rPr>
                  </w:pPr>
                  <w:r>
                    <w:rPr>
                      <w:sz w:val="21"/>
                      <w:szCs w:val="21"/>
                    </w:rPr>
                    <w:t>总磷</w:t>
                  </w:r>
                </w:p>
              </w:tc>
              <w:tc>
                <w:tcPr>
                  <w:tcW w:w="1618" w:type="dxa"/>
                  <w:tcBorders>
                    <w:tl2br w:val="nil"/>
                    <w:tr2bl w:val="nil"/>
                  </w:tcBorders>
                  <w:shd w:val="clear" w:color="auto" w:fill="auto"/>
                  <w:vAlign w:val="center"/>
                </w:tcPr>
                <w:p>
                  <w:pPr>
                    <w:rPr>
                      <w:sz w:val="21"/>
                      <w:szCs w:val="21"/>
                    </w:rPr>
                  </w:pPr>
                  <w:r>
                    <w:rPr>
                      <w:sz w:val="21"/>
                      <w:szCs w:val="21"/>
                    </w:rPr>
                    <w:t>0.1</w:t>
                  </w:r>
                </w:p>
              </w:tc>
              <w:tc>
                <w:tcPr>
                  <w:tcW w:w="814" w:type="dxa"/>
                  <w:tcBorders>
                    <w:tl2br w:val="nil"/>
                    <w:tr2bl w:val="nil"/>
                  </w:tcBorders>
                  <w:shd w:val="clear" w:color="auto" w:fill="auto"/>
                  <w:vAlign w:val="bottom"/>
                </w:tcPr>
                <w:p>
                  <w:pPr>
                    <w:rPr>
                      <w:sz w:val="21"/>
                      <w:szCs w:val="21"/>
                    </w:rPr>
                  </w:pPr>
                  <w:r>
                    <w:rPr>
                      <w:sz w:val="21"/>
                      <w:szCs w:val="21"/>
                    </w:rPr>
                    <w:t>21</w:t>
                  </w:r>
                </w:p>
              </w:tc>
              <w:tc>
                <w:tcPr>
                  <w:tcW w:w="1093" w:type="dxa"/>
                  <w:tcBorders>
                    <w:tl2br w:val="nil"/>
                    <w:tr2bl w:val="nil"/>
                  </w:tcBorders>
                  <w:shd w:val="clear" w:color="auto" w:fill="auto"/>
                  <w:vAlign w:val="bottom"/>
                </w:tcPr>
                <w:p>
                  <w:pPr>
                    <w:rPr>
                      <w:sz w:val="21"/>
                      <w:szCs w:val="21"/>
                    </w:rPr>
                  </w:pPr>
                  <w:r>
                    <w:rPr>
                      <w:sz w:val="21"/>
                      <w:szCs w:val="21"/>
                    </w:rPr>
                    <w:t>硫化物</w:t>
                  </w:r>
                </w:p>
              </w:tc>
              <w:tc>
                <w:tcPr>
                  <w:tcW w:w="1961" w:type="dxa"/>
                  <w:tcBorders>
                    <w:tl2br w:val="nil"/>
                    <w:tr2bl w:val="nil"/>
                  </w:tcBorders>
                  <w:shd w:val="clear" w:color="auto" w:fill="auto"/>
                  <w:vAlign w:val="bottom"/>
                </w:tcPr>
                <w:p>
                  <w:pPr>
                    <w:rPr>
                      <w:sz w:val="21"/>
                      <w:szCs w:val="21"/>
                    </w:rPr>
                  </w:pPr>
                  <w:r>
                    <w:rPr>
                      <w:sz w:val="21"/>
                      <w:szCs w:val="21"/>
                    </w:rPr>
                    <w:t>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49" w:type="dxa"/>
                  <w:tcBorders>
                    <w:tl2br w:val="nil"/>
                    <w:tr2bl w:val="nil"/>
                  </w:tcBorders>
                  <w:shd w:val="clear" w:color="auto" w:fill="auto"/>
                  <w:vAlign w:val="center"/>
                </w:tcPr>
                <w:p>
                  <w:pPr>
                    <w:rPr>
                      <w:sz w:val="21"/>
                      <w:szCs w:val="21"/>
                    </w:rPr>
                  </w:pPr>
                  <w:r>
                    <w:rPr>
                      <w:sz w:val="21"/>
                      <w:szCs w:val="21"/>
                    </w:rPr>
                    <w:t>11</w:t>
                  </w:r>
                </w:p>
              </w:tc>
              <w:tc>
                <w:tcPr>
                  <w:tcW w:w="1136" w:type="dxa"/>
                  <w:tcBorders>
                    <w:tl2br w:val="nil"/>
                    <w:tr2bl w:val="nil"/>
                  </w:tcBorders>
                  <w:shd w:val="clear" w:color="auto" w:fill="auto"/>
                  <w:vAlign w:val="center"/>
                </w:tcPr>
                <w:p>
                  <w:pPr>
                    <w:rPr>
                      <w:sz w:val="21"/>
                      <w:szCs w:val="21"/>
                    </w:rPr>
                  </w:pPr>
                  <w:r>
                    <w:rPr>
                      <w:sz w:val="21"/>
                      <w:szCs w:val="21"/>
                    </w:rPr>
                    <w:t>化学需氧量</w:t>
                  </w:r>
                </w:p>
              </w:tc>
              <w:tc>
                <w:tcPr>
                  <w:tcW w:w="1618" w:type="dxa"/>
                  <w:tcBorders>
                    <w:tl2br w:val="nil"/>
                    <w:tr2bl w:val="nil"/>
                  </w:tcBorders>
                  <w:shd w:val="clear" w:color="auto" w:fill="auto"/>
                  <w:vAlign w:val="center"/>
                </w:tcPr>
                <w:p>
                  <w:pPr>
                    <w:rPr>
                      <w:sz w:val="21"/>
                      <w:szCs w:val="21"/>
                    </w:rPr>
                  </w:pPr>
                  <w:r>
                    <w:rPr>
                      <w:sz w:val="21"/>
                      <w:szCs w:val="21"/>
                    </w:rPr>
                    <w:t>15</w:t>
                  </w:r>
                </w:p>
              </w:tc>
              <w:tc>
                <w:tcPr>
                  <w:tcW w:w="814" w:type="dxa"/>
                  <w:tcBorders>
                    <w:tl2br w:val="nil"/>
                    <w:tr2bl w:val="nil"/>
                  </w:tcBorders>
                  <w:shd w:val="clear" w:color="auto" w:fill="auto"/>
                  <w:vAlign w:val="center"/>
                </w:tcPr>
                <w:p>
                  <w:pPr>
                    <w:rPr>
                      <w:rFonts w:hint="eastAsia"/>
                      <w:sz w:val="21"/>
                      <w:szCs w:val="21"/>
                      <w:lang w:val="en-US" w:eastAsia="zh-CN"/>
                    </w:rPr>
                  </w:pPr>
                  <w:r>
                    <w:rPr>
                      <w:rFonts w:hint="eastAsia"/>
                      <w:sz w:val="21"/>
                      <w:szCs w:val="21"/>
                      <w:lang w:val="en-US" w:eastAsia="zh-CN"/>
                    </w:rPr>
                    <w:t>/</w:t>
                  </w:r>
                </w:p>
              </w:tc>
              <w:tc>
                <w:tcPr>
                  <w:tcW w:w="1093" w:type="dxa"/>
                  <w:tcBorders>
                    <w:tl2br w:val="nil"/>
                    <w:tr2bl w:val="nil"/>
                  </w:tcBorders>
                  <w:shd w:val="clear" w:color="auto" w:fill="auto"/>
                  <w:vAlign w:val="center"/>
                </w:tcPr>
                <w:p>
                  <w:pPr>
                    <w:rPr>
                      <w:rFonts w:hint="eastAsia"/>
                      <w:sz w:val="21"/>
                      <w:szCs w:val="21"/>
                      <w:lang w:val="en-US" w:eastAsia="zh-CN"/>
                    </w:rPr>
                  </w:pPr>
                  <w:r>
                    <w:rPr>
                      <w:rFonts w:hint="eastAsia"/>
                      <w:sz w:val="21"/>
                      <w:szCs w:val="21"/>
                      <w:lang w:val="en-US" w:eastAsia="zh-CN"/>
                    </w:rPr>
                    <w:t>/</w:t>
                  </w:r>
                </w:p>
              </w:tc>
              <w:tc>
                <w:tcPr>
                  <w:tcW w:w="1961" w:type="dxa"/>
                  <w:tcBorders>
                    <w:tl2br w:val="nil"/>
                    <w:tr2bl w:val="nil"/>
                  </w:tcBorders>
                  <w:shd w:val="clear" w:color="auto" w:fill="auto"/>
                  <w:vAlign w:val="center"/>
                </w:tcPr>
                <w:p>
                  <w:pPr>
                    <w:rPr>
                      <w:rFonts w:hint="eastAsia"/>
                      <w:sz w:val="21"/>
                      <w:szCs w:val="21"/>
                      <w:lang w:val="en-US" w:eastAsia="zh-CN"/>
                    </w:rPr>
                  </w:pPr>
                  <w:r>
                    <w:rPr>
                      <w:rFonts w:hint="eastAsia"/>
                      <w:sz w:val="21"/>
                      <w:szCs w:val="21"/>
                      <w:lang w:val="en-US" w:eastAsia="zh-CN"/>
                    </w:rPr>
                    <w:t>/</w:t>
                  </w:r>
                </w:p>
              </w:tc>
            </w:tr>
          </w:tbl>
          <w:p>
            <w:pPr>
              <w:pStyle w:val="15"/>
              <w:bidi w:val="0"/>
            </w:pPr>
            <w:r>
              <w:rPr>
                <w:rFonts w:hint="eastAsia"/>
              </w:rPr>
              <w:t>（3）声</w:t>
            </w:r>
            <w:r>
              <w:t>环境质量标准</w:t>
            </w:r>
          </w:p>
          <w:p>
            <w:pPr>
              <w:pStyle w:val="15"/>
              <w:ind w:firstLine="420"/>
            </w:pPr>
            <w:r>
              <w:t>项目区声环境执行《声环境质量标准》（GB3096-2008）中1类声环境功能区标准，具体见下表。</w:t>
            </w:r>
          </w:p>
          <w:p>
            <w:pPr>
              <w:ind w:firstLine="964" w:firstLineChars="400"/>
              <w:jc w:val="both"/>
              <w:rPr>
                <w:b/>
                <w:bCs/>
              </w:rPr>
            </w:pPr>
            <w:r>
              <w:rPr>
                <w:b/>
                <w:bCs/>
              </w:rPr>
              <w:t>表3</w:t>
            </w:r>
            <w:r>
              <w:rPr>
                <w:rFonts w:hint="eastAsia"/>
                <w:b/>
                <w:bCs/>
              </w:rPr>
              <w:t>-1</w:t>
            </w:r>
            <w:r>
              <w:rPr>
                <w:rFonts w:hint="eastAsia"/>
                <w:b/>
                <w:bCs/>
                <w:lang w:val="en-US" w:eastAsia="zh-CN"/>
              </w:rPr>
              <w:t xml:space="preserve">8           </w:t>
            </w:r>
            <w:r>
              <w:rPr>
                <w:b/>
                <w:bCs/>
              </w:rPr>
              <w:t>声环境评价执行标准</w:t>
            </w:r>
          </w:p>
          <w:tbl>
            <w:tblPr>
              <w:tblStyle w:val="24"/>
              <w:tblW w:w="730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570"/>
              <w:gridCol w:w="1747"/>
              <w:gridCol w:w="19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0" w:type="dxa"/>
                  <w:vMerge w:val="restart"/>
                  <w:tcBorders>
                    <w:tl2br w:val="nil"/>
                    <w:tr2bl w:val="nil"/>
                  </w:tcBorders>
                  <w:vAlign w:val="center"/>
                </w:tcPr>
                <w:p>
                  <w:pPr>
                    <w:rPr>
                      <w:sz w:val="21"/>
                      <w:szCs w:val="21"/>
                    </w:rPr>
                  </w:pPr>
                  <w:r>
                    <w:rPr>
                      <w:sz w:val="21"/>
                      <w:szCs w:val="21"/>
                    </w:rPr>
                    <w:t>执行标准类别</w:t>
                  </w:r>
                </w:p>
              </w:tc>
              <w:tc>
                <w:tcPr>
                  <w:tcW w:w="3733" w:type="dxa"/>
                  <w:gridSpan w:val="2"/>
                  <w:tcBorders>
                    <w:tl2br w:val="nil"/>
                    <w:tr2bl w:val="nil"/>
                  </w:tcBorders>
                  <w:vAlign w:val="center"/>
                </w:tcPr>
                <w:p>
                  <w:pPr>
                    <w:rPr>
                      <w:sz w:val="21"/>
                      <w:szCs w:val="21"/>
                    </w:rPr>
                  </w:pPr>
                  <w:r>
                    <w:rPr>
                      <w:sz w:val="21"/>
                      <w:szCs w:val="21"/>
                    </w:rPr>
                    <w:t>标准值（dB（A））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0" w:type="dxa"/>
                  <w:vMerge w:val="continue"/>
                  <w:tcBorders>
                    <w:tl2br w:val="nil"/>
                    <w:tr2bl w:val="nil"/>
                  </w:tcBorders>
                  <w:vAlign w:val="center"/>
                </w:tcPr>
                <w:p>
                  <w:pPr>
                    <w:rPr>
                      <w:sz w:val="21"/>
                      <w:szCs w:val="21"/>
                    </w:rPr>
                  </w:pPr>
                </w:p>
              </w:tc>
              <w:tc>
                <w:tcPr>
                  <w:tcW w:w="1747" w:type="dxa"/>
                  <w:tcBorders>
                    <w:tl2br w:val="nil"/>
                    <w:tr2bl w:val="nil"/>
                  </w:tcBorders>
                  <w:vAlign w:val="center"/>
                </w:tcPr>
                <w:p>
                  <w:pPr>
                    <w:rPr>
                      <w:sz w:val="21"/>
                      <w:szCs w:val="21"/>
                    </w:rPr>
                  </w:pPr>
                  <w:r>
                    <w:rPr>
                      <w:sz w:val="21"/>
                      <w:szCs w:val="21"/>
                    </w:rPr>
                    <w:t>昼间</w:t>
                  </w:r>
                </w:p>
              </w:tc>
              <w:tc>
                <w:tcPr>
                  <w:tcW w:w="1986" w:type="dxa"/>
                  <w:tcBorders>
                    <w:tl2br w:val="nil"/>
                    <w:tr2bl w:val="nil"/>
                  </w:tcBorders>
                  <w:vAlign w:val="center"/>
                </w:tcPr>
                <w:p>
                  <w:pPr>
                    <w:rPr>
                      <w:sz w:val="21"/>
                      <w:szCs w:val="21"/>
                    </w:rPr>
                  </w:pPr>
                  <w:r>
                    <w:rPr>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0" w:type="dxa"/>
                  <w:tcBorders>
                    <w:tl2br w:val="nil"/>
                    <w:tr2bl w:val="nil"/>
                  </w:tcBorders>
                  <w:vAlign w:val="center"/>
                </w:tcPr>
                <w:p>
                  <w:pPr>
                    <w:rPr>
                      <w:sz w:val="21"/>
                      <w:szCs w:val="21"/>
                    </w:rPr>
                  </w:pPr>
                  <w:r>
                    <w:rPr>
                      <w:sz w:val="21"/>
                      <w:szCs w:val="21"/>
                    </w:rPr>
                    <w:t>《声环境质量标准》（GB3096-2008）中1类标准</w:t>
                  </w:r>
                </w:p>
              </w:tc>
              <w:tc>
                <w:tcPr>
                  <w:tcW w:w="1747" w:type="dxa"/>
                  <w:tcBorders>
                    <w:tl2br w:val="nil"/>
                    <w:tr2bl w:val="nil"/>
                  </w:tcBorders>
                  <w:vAlign w:val="center"/>
                </w:tcPr>
                <w:p>
                  <w:pPr>
                    <w:rPr>
                      <w:sz w:val="21"/>
                      <w:szCs w:val="21"/>
                    </w:rPr>
                  </w:pPr>
                  <w:r>
                    <w:rPr>
                      <w:sz w:val="21"/>
                      <w:szCs w:val="21"/>
                    </w:rPr>
                    <w:t>55</w:t>
                  </w:r>
                </w:p>
              </w:tc>
              <w:tc>
                <w:tcPr>
                  <w:tcW w:w="1986" w:type="dxa"/>
                  <w:tcBorders>
                    <w:tl2br w:val="nil"/>
                    <w:tr2bl w:val="nil"/>
                  </w:tcBorders>
                  <w:vAlign w:val="center"/>
                </w:tcPr>
                <w:p>
                  <w:pPr>
                    <w:rPr>
                      <w:sz w:val="21"/>
                      <w:szCs w:val="21"/>
                    </w:rPr>
                  </w:pPr>
                  <w:r>
                    <w:rPr>
                      <w:sz w:val="21"/>
                      <w:szCs w:val="21"/>
                    </w:rPr>
                    <w:t>45</w:t>
                  </w:r>
                </w:p>
              </w:tc>
            </w:tr>
          </w:tbl>
          <w:p>
            <w:pPr>
              <w:spacing w:line="360" w:lineRule="auto"/>
              <w:jc w:val="left"/>
            </w:pPr>
            <w:r>
              <w:rPr>
                <w:rFonts w:hint="eastAsia"/>
              </w:rPr>
              <w:t>2、污染物排放标准</w:t>
            </w:r>
          </w:p>
          <w:p>
            <w:pPr>
              <w:pStyle w:val="15"/>
              <w:ind w:firstLine="420"/>
            </w:pPr>
            <w:r>
              <w:rPr>
                <w:rFonts w:hint="eastAsia"/>
              </w:rPr>
              <w:t>（1）大气污染物排放标准</w:t>
            </w:r>
          </w:p>
          <w:p>
            <w:pPr>
              <w:pStyle w:val="15"/>
              <w:ind w:firstLine="420"/>
            </w:pPr>
            <w:r>
              <w:t>施工期废气排放执行《大气污染物综合排放标准》（GB16297-1996</w:t>
            </w:r>
            <w:r>
              <w:rPr>
                <w:rFonts w:hint="eastAsia"/>
              </w:rPr>
              <w:t>）表</w:t>
            </w:r>
            <w:r>
              <w:t>2</w:t>
            </w:r>
            <w:r>
              <w:rPr>
                <w:rFonts w:hint="eastAsia"/>
              </w:rPr>
              <w:t>中无组织排放限值。</w:t>
            </w:r>
          </w:p>
          <w:p>
            <w:pPr>
              <w:pStyle w:val="7"/>
              <w:spacing w:line="240" w:lineRule="auto"/>
              <w:ind w:firstLine="723" w:firstLineChars="300"/>
              <w:jc w:val="both"/>
              <w:outlineLvl w:val="6"/>
            </w:pPr>
            <w:r>
              <w:rPr>
                <w:rFonts w:hint="eastAsia"/>
              </w:rPr>
              <w:t>表3-1</w:t>
            </w:r>
            <w:r>
              <w:rPr>
                <w:rFonts w:hint="eastAsia"/>
                <w:lang w:val="en-US" w:eastAsia="zh-CN"/>
              </w:rPr>
              <w:t>9</w:t>
            </w:r>
            <w:r>
              <w:t xml:space="preserve"> </w:t>
            </w:r>
            <w:r>
              <w:rPr>
                <w:rFonts w:hint="eastAsia"/>
                <w:lang w:val="en-US" w:eastAsia="zh-CN"/>
              </w:rPr>
              <w:t xml:space="preserve">       </w:t>
            </w:r>
            <w:r>
              <w:t>大气污染物综合排放标准</w:t>
            </w:r>
          </w:p>
          <w:tbl>
            <w:tblPr>
              <w:tblStyle w:val="25"/>
              <w:tblW w:w="7457"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85"/>
              <w:gridCol w:w="2486"/>
              <w:gridCol w:w="24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5" w:type="dxa"/>
                  <w:vMerge w:val="restart"/>
                  <w:tcBorders>
                    <w:tl2br w:val="nil"/>
                    <w:tr2bl w:val="nil"/>
                  </w:tcBorders>
                  <w:vAlign w:val="center"/>
                </w:tcPr>
                <w:p>
                  <w:pPr>
                    <w:jc w:val="center"/>
                    <w:rPr>
                      <w:rFonts w:hint="eastAsia"/>
                      <w:sz w:val="21"/>
                      <w:szCs w:val="21"/>
                      <w:lang w:eastAsia="zh-CN"/>
                    </w:rPr>
                  </w:pPr>
                  <w:r>
                    <w:rPr>
                      <w:rFonts w:hint="eastAsia"/>
                      <w:sz w:val="21"/>
                      <w:szCs w:val="21"/>
                      <w:lang w:eastAsia="zh-CN"/>
                    </w:rPr>
                    <w:t>污染物</w:t>
                  </w:r>
                </w:p>
              </w:tc>
              <w:tc>
                <w:tcPr>
                  <w:tcW w:w="4972" w:type="dxa"/>
                  <w:gridSpan w:val="2"/>
                  <w:tcBorders>
                    <w:tl2br w:val="nil"/>
                    <w:tr2bl w:val="nil"/>
                  </w:tcBorders>
                  <w:vAlign w:val="center"/>
                </w:tcPr>
                <w:p>
                  <w:pPr>
                    <w:jc w:val="center"/>
                    <w:rPr>
                      <w:sz w:val="21"/>
                      <w:szCs w:val="21"/>
                      <w:lang w:val="en-US" w:eastAsia="zh-CN"/>
                    </w:rPr>
                  </w:pPr>
                  <w:r>
                    <w:rPr>
                      <w:rFonts w:hint="eastAsia"/>
                      <w:sz w:val="21"/>
                      <w:szCs w:val="21"/>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5" w:type="dxa"/>
                  <w:vMerge w:val="continue"/>
                  <w:tcBorders>
                    <w:tl2br w:val="nil"/>
                    <w:tr2bl w:val="nil"/>
                  </w:tcBorders>
                  <w:vAlign w:val="center"/>
                </w:tcPr>
                <w:p>
                  <w:pPr>
                    <w:jc w:val="center"/>
                    <w:rPr>
                      <w:sz w:val="21"/>
                      <w:szCs w:val="21"/>
                    </w:rPr>
                  </w:pPr>
                </w:p>
              </w:tc>
              <w:tc>
                <w:tcPr>
                  <w:tcW w:w="2486" w:type="dxa"/>
                  <w:tcBorders>
                    <w:tl2br w:val="nil"/>
                    <w:tr2bl w:val="nil"/>
                  </w:tcBorders>
                  <w:vAlign w:val="center"/>
                </w:tcPr>
                <w:p>
                  <w:pPr>
                    <w:jc w:val="center"/>
                    <w:rPr>
                      <w:sz w:val="21"/>
                      <w:szCs w:val="21"/>
                      <w:lang w:val="en-US" w:eastAsia="zh-CN"/>
                    </w:rPr>
                  </w:pPr>
                  <w:r>
                    <w:rPr>
                      <w:rFonts w:hint="eastAsia"/>
                      <w:sz w:val="21"/>
                      <w:szCs w:val="21"/>
                    </w:rPr>
                    <w:t>监控点</w:t>
                  </w:r>
                </w:p>
              </w:tc>
              <w:tc>
                <w:tcPr>
                  <w:tcW w:w="2486" w:type="dxa"/>
                  <w:tcBorders>
                    <w:tl2br w:val="nil"/>
                    <w:tr2bl w:val="nil"/>
                  </w:tcBorders>
                  <w:vAlign w:val="center"/>
                </w:tcPr>
                <w:p>
                  <w:pPr>
                    <w:jc w:val="center"/>
                    <w:rPr>
                      <w:sz w:val="21"/>
                      <w:szCs w:val="21"/>
                      <w:lang w:val="en-US" w:eastAsia="zh-CN"/>
                    </w:rPr>
                  </w:pPr>
                  <w:r>
                    <w:rPr>
                      <w:rFonts w:hint="eastAsia"/>
                      <w:sz w:val="21"/>
                      <w:szCs w:val="21"/>
                    </w:rPr>
                    <w:t>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85" w:type="dxa"/>
                  <w:tcBorders>
                    <w:tl2br w:val="nil"/>
                    <w:tr2bl w:val="nil"/>
                  </w:tcBorders>
                  <w:vAlign w:val="center"/>
                </w:tcPr>
                <w:p>
                  <w:pPr>
                    <w:jc w:val="center"/>
                    <w:rPr>
                      <w:rFonts w:hint="eastAsia"/>
                      <w:sz w:val="21"/>
                      <w:szCs w:val="21"/>
                      <w:lang w:eastAsia="zh-CN"/>
                    </w:rPr>
                  </w:pPr>
                  <w:r>
                    <w:rPr>
                      <w:rFonts w:hint="eastAsia"/>
                      <w:sz w:val="21"/>
                      <w:szCs w:val="21"/>
                      <w:lang w:eastAsia="zh-CN"/>
                    </w:rPr>
                    <w:t>颗粒物</w:t>
                  </w:r>
                </w:p>
              </w:tc>
              <w:tc>
                <w:tcPr>
                  <w:tcW w:w="2486" w:type="dxa"/>
                  <w:tcBorders>
                    <w:tl2br w:val="nil"/>
                    <w:tr2bl w:val="nil"/>
                  </w:tcBorders>
                  <w:vAlign w:val="center"/>
                </w:tcPr>
                <w:p>
                  <w:pPr>
                    <w:jc w:val="center"/>
                    <w:rPr>
                      <w:sz w:val="21"/>
                      <w:szCs w:val="21"/>
                      <w:lang w:val="en-US" w:eastAsia="zh-CN"/>
                    </w:rPr>
                  </w:pPr>
                  <w:r>
                    <w:rPr>
                      <w:rFonts w:hint="eastAsia"/>
                      <w:sz w:val="21"/>
                      <w:szCs w:val="21"/>
                    </w:rPr>
                    <w:t>周界外浓度最高点</w:t>
                  </w:r>
                </w:p>
              </w:tc>
              <w:tc>
                <w:tcPr>
                  <w:tcW w:w="2486" w:type="dxa"/>
                  <w:tcBorders>
                    <w:tl2br w:val="nil"/>
                    <w:tr2bl w:val="nil"/>
                  </w:tcBorders>
                  <w:vAlign w:val="center"/>
                </w:tcPr>
                <w:p>
                  <w:pPr>
                    <w:jc w:val="center"/>
                    <w:rPr>
                      <w:sz w:val="21"/>
                      <w:szCs w:val="21"/>
                      <w:lang w:val="en-US" w:eastAsia="zh-CN"/>
                    </w:rPr>
                  </w:pPr>
                  <w:r>
                    <w:rPr>
                      <w:sz w:val="21"/>
                      <w:szCs w:val="21"/>
                    </w:rPr>
                    <w:t>1.0mg/m</w:t>
                  </w:r>
                  <w:r>
                    <w:rPr>
                      <w:rFonts w:hint="eastAsia"/>
                      <w:sz w:val="21"/>
                      <w:szCs w:val="21"/>
                      <w:vertAlign w:val="superscript"/>
                    </w:rPr>
                    <w:t>3</w:t>
                  </w:r>
                </w:p>
              </w:tc>
            </w:tr>
          </w:tbl>
          <w:p>
            <w:pPr>
              <w:pStyle w:val="15"/>
              <w:bidi w:val="0"/>
            </w:pPr>
            <w:r>
              <w:rPr>
                <w:rFonts w:hint="eastAsia"/>
              </w:rPr>
              <w:t>（</w:t>
            </w:r>
            <w:r>
              <w:t>2</w:t>
            </w:r>
            <w:r>
              <w:rPr>
                <w:rFonts w:hint="eastAsia"/>
              </w:rPr>
              <w:t>）水</w:t>
            </w:r>
            <w:r>
              <w:t>污染物</w:t>
            </w:r>
            <w:r>
              <w:rPr>
                <w:rFonts w:hint="eastAsia"/>
              </w:rPr>
              <w:t>排放标准</w:t>
            </w:r>
          </w:p>
          <w:p>
            <w:pPr>
              <w:pStyle w:val="15"/>
              <w:ind w:firstLine="420"/>
              <w:rPr>
                <w:rFonts w:hint="eastAsia"/>
              </w:rPr>
            </w:pPr>
            <w:r>
              <w:rPr>
                <w:rFonts w:hint="eastAsia"/>
              </w:rPr>
              <w:t>项目施工期施工废水、车辆清洗废水经隔油沉淀池处理后，用于施工场地洒水降尘等，废水不外排；施工人员生活污水依托周边民居既有旱厕，本项目无生活废水</w:t>
            </w:r>
            <w:r>
              <w:rPr>
                <w:rFonts w:hint="eastAsia"/>
                <w:lang w:eastAsia="zh-CN"/>
              </w:rPr>
              <w:t>外排</w:t>
            </w:r>
            <w:r>
              <w:rPr>
                <w:rFonts w:hint="eastAsia"/>
              </w:rPr>
              <w:t>。</w:t>
            </w:r>
          </w:p>
          <w:p>
            <w:pPr>
              <w:pStyle w:val="15"/>
              <w:ind w:left="480" w:leftChars="200" w:firstLine="0" w:firstLineChars="0"/>
            </w:pPr>
            <w:r>
              <w:rPr>
                <w:rFonts w:hint="eastAsia"/>
              </w:rPr>
              <w:t>（</w:t>
            </w:r>
            <w:r>
              <w:t>3</w:t>
            </w:r>
            <w:r>
              <w:rPr>
                <w:rFonts w:hint="eastAsia"/>
              </w:rPr>
              <w:t>）噪声排放标准</w:t>
            </w:r>
          </w:p>
          <w:p>
            <w:pPr>
              <w:pStyle w:val="15"/>
              <w:ind w:firstLine="420"/>
              <w:rPr>
                <w:rFonts w:hint="eastAsia"/>
              </w:rPr>
            </w:pPr>
            <w:r>
              <w:t>施工期噪声排放执行《建筑施工场界环境噪声排放标准》（GB12523-2011</w:t>
            </w:r>
            <w:r>
              <w:rPr>
                <w:rFonts w:hint="eastAsia"/>
              </w:rPr>
              <w:t>）排放限值。</w:t>
            </w:r>
          </w:p>
          <w:p>
            <w:pPr>
              <w:pStyle w:val="7"/>
              <w:spacing w:line="240" w:lineRule="auto"/>
              <w:ind w:firstLine="964" w:firstLineChars="400"/>
              <w:jc w:val="both"/>
              <w:outlineLvl w:val="6"/>
            </w:pPr>
            <w:r>
              <w:rPr>
                <w:rFonts w:hint="eastAsia"/>
              </w:rPr>
              <w:t>表3-</w:t>
            </w:r>
            <w:r>
              <w:rPr>
                <w:rFonts w:hint="eastAsia"/>
                <w:lang w:val="en-US" w:eastAsia="zh-CN"/>
              </w:rPr>
              <w:t xml:space="preserve">20    </w:t>
            </w:r>
            <w:r>
              <w:rPr>
                <w:rFonts w:hint="eastAsia"/>
              </w:rPr>
              <w:t>建筑施工场界环境噪声排放标准</w:t>
            </w:r>
          </w:p>
          <w:tbl>
            <w:tblPr>
              <w:tblStyle w:val="25"/>
              <w:tblW w:w="739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723"/>
              <w:gridCol w:w="36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trPr>
              <w:tc>
                <w:tcPr>
                  <w:tcW w:w="3723" w:type="dxa"/>
                  <w:tcBorders>
                    <w:tl2br w:val="nil"/>
                    <w:tr2bl w:val="nil"/>
                  </w:tcBorders>
                  <w:vAlign w:val="center"/>
                </w:tcPr>
                <w:p>
                  <w:pPr>
                    <w:pStyle w:val="15"/>
                    <w:ind w:firstLine="0" w:firstLineChars="0"/>
                    <w:jc w:val="center"/>
                    <w:rPr>
                      <w:sz w:val="21"/>
                      <w:szCs w:val="21"/>
                    </w:rPr>
                  </w:pPr>
                  <w:r>
                    <w:rPr>
                      <w:sz w:val="21"/>
                      <w:szCs w:val="21"/>
                    </w:rPr>
                    <w:t>昼间</w:t>
                  </w:r>
                </w:p>
              </w:tc>
              <w:tc>
                <w:tcPr>
                  <w:tcW w:w="3675" w:type="dxa"/>
                  <w:tcBorders>
                    <w:tl2br w:val="nil"/>
                    <w:tr2bl w:val="nil"/>
                  </w:tcBorders>
                  <w:vAlign w:val="center"/>
                </w:tcPr>
                <w:p>
                  <w:pPr>
                    <w:pStyle w:val="15"/>
                    <w:ind w:firstLine="0" w:firstLineChars="0"/>
                    <w:jc w:val="center"/>
                    <w:rPr>
                      <w:sz w:val="21"/>
                      <w:szCs w:val="21"/>
                    </w:rPr>
                  </w:pPr>
                  <w:r>
                    <w:rPr>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23" w:type="dxa"/>
                  <w:tcBorders>
                    <w:tl2br w:val="nil"/>
                    <w:tr2bl w:val="nil"/>
                  </w:tcBorders>
                  <w:vAlign w:val="center"/>
                </w:tcPr>
                <w:p>
                  <w:pPr>
                    <w:pStyle w:val="15"/>
                    <w:ind w:firstLine="0" w:firstLineChars="0"/>
                    <w:jc w:val="center"/>
                    <w:rPr>
                      <w:sz w:val="21"/>
                      <w:szCs w:val="21"/>
                    </w:rPr>
                  </w:pPr>
                  <w:r>
                    <w:rPr>
                      <w:sz w:val="21"/>
                      <w:szCs w:val="21"/>
                    </w:rPr>
                    <w:t>70dB</w:t>
                  </w:r>
                </w:p>
              </w:tc>
              <w:tc>
                <w:tcPr>
                  <w:tcW w:w="3675" w:type="dxa"/>
                  <w:tcBorders>
                    <w:tl2br w:val="nil"/>
                    <w:tr2bl w:val="nil"/>
                  </w:tcBorders>
                  <w:vAlign w:val="center"/>
                </w:tcPr>
                <w:p>
                  <w:pPr>
                    <w:pStyle w:val="15"/>
                    <w:ind w:firstLine="0" w:firstLineChars="0"/>
                    <w:jc w:val="center"/>
                    <w:rPr>
                      <w:sz w:val="21"/>
                      <w:szCs w:val="21"/>
                    </w:rPr>
                  </w:pPr>
                  <w:r>
                    <w:rPr>
                      <w:sz w:val="21"/>
                      <w:szCs w:val="21"/>
                    </w:rPr>
                    <w:t>55dB</w:t>
                  </w:r>
                </w:p>
              </w:tc>
            </w:tr>
          </w:tbl>
          <w:p>
            <w:pPr>
              <w:pStyle w:val="15"/>
              <w:ind w:firstLine="420"/>
            </w:pPr>
            <w:r>
              <w:rPr>
                <w:rFonts w:hint="eastAsia"/>
              </w:rPr>
              <w:t>（3）固体废物</w:t>
            </w:r>
          </w:p>
          <w:p>
            <w:pPr>
              <w:spacing w:line="360" w:lineRule="auto"/>
              <w:ind w:firstLine="480" w:firstLineChars="200"/>
              <w:jc w:val="left"/>
              <w:rPr>
                <w:rFonts w:hint="eastAsia"/>
                <w:lang w:eastAsia="zh-CN"/>
              </w:rPr>
            </w:pPr>
            <w:r>
              <w:rPr>
                <w:rFonts w:hint="eastAsia"/>
              </w:rPr>
              <w:t>《一般工业固体废物贮存和填埋污染控制标准》（GB18599-2020）</w:t>
            </w:r>
            <w:r>
              <w:rPr>
                <w:rFonts w:hint="eastAsia"/>
                <w:lang w:eastAsia="zh-CN"/>
              </w:rPr>
              <w:t>。</w:t>
            </w:r>
          </w:p>
          <w:p>
            <w:pPr>
              <w:pStyle w:val="30"/>
              <w:rPr>
                <w:rFonts w:hint="eastAsia"/>
                <w:lang w:eastAsia="zh-CN"/>
              </w:rPr>
            </w:pPr>
          </w:p>
          <w:p>
            <w:pPr>
              <w:pStyle w:val="19"/>
              <w:rPr>
                <w:rFonts w:hint="eastAsia"/>
                <w:lang w:eastAsia="zh-CN"/>
              </w:rPr>
            </w:pPr>
          </w:p>
          <w:p>
            <w:pPr>
              <w:pStyle w:val="20"/>
              <w:rPr>
                <w:rFonts w:hint="eastAsia"/>
                <w:lang w:eastAsia="zh-CN"/>
              </w:rPr>
            </w:pPr>
          </w:p>
          <w:p>
            <w:pPr>
              <w:rPr>
                <w:rFonts w:hint="eastAsia"/>
                <w:lang w:eastAsia="zh-CN"/>
              </w:rPr>
            </w:pPr>
          </w:p>
          <w:p>
            <w:pPr>
              <w:pStyle w:val="30"/>
              <w:rPr>
                <w:rFonts w:hint="eastAsia"/>
                <w:lang w:eastAsia="zh-CN"/>
              </w:rPr>
            </w:pPr>
          </w:p>
          <w:p>
            <w:pPr>
              <w:pStyle w:val="19"/>
              <w:rPr>
                <w:rFonts w:hint="eastAsia"/>
                <w:lang w:eastAsia="zh-CN"/>
              </w:rPr>
            </w:pPr>
          </w:p>
          <w:p>
            <w:pPr>
              <w:pStyle w:val="20"/>
              <w:rPr>
                <w:rFonts w:hint="eastAsia"/>
                <w:lang w:eastAsia="zh-CN"/>
              </w:rPr>
            </w:pPr>
          </w:p>
          <w:p>
            <w:pPr>
              <w:rPr>
                <w:rFonts w:hint="eastAsia"/>
                <w:lang w:eastAsia="zh-CN"/>
              </w:rPr>
            </w:pPr>
          </w:p>
          <w:p>
            <w:pPr>
              <w:pStyle w:val="30"/>
              <w:rPr>
                <w:rFonts w:hint="eastAsia"/>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49" w:type="dxa"/>
            <w:tcBorders>
              <w:tl2br w:val="nil"/>
              <w:tr2bl w:val="nil"/>
            </w:tcBorders>
            <w:vAlign w:val="center"/>
          </w:tcPr>
          <w:p>
            <w:pPr>
              <w:jc w:val="both"/>
              <w:rPr>
                <w:highlight w:val="none"/>
              </w:rPr>
            </w:pPr>
            <w:r>
              <w:rPr>
                <w:rFonts w:hint="eastAsia"/>
                <w:highlight w:val="none"/>
              </w:rPr>
              <w:t>其他</w:t>
            </w:r>
          </w:p>
        </w:tc>
        <w:tc>
          <w:tcPr>
            <w:tcW w:w="7673" w:type="dxa"/>
            <w:tcBorders>
              <w:tl2br w:val="nil"/>
              <w:tr2bl w:val="nil"/>
            </w:tcBorders>
            <w:vAlign w:val="center"/>
          </w:tcPr>
          <w:p>
            <w:pPr>
              <w:pStyle w:val="15"/>
              <w:ind w:firstLine="0" w:firstLineChars="0"/>
              <w:jc w:val="center"/>
              <w:rPr>
                <w:rFonts w:hint="eastAsia"/>
                <w:highlight w:val="none"/>
                <w:lang w:eastAsia="zh-CN"/>
              </w:rPr>
            </w:pPr>
            <w:r>
              <w:rPr>
                <w:rFonts w:hint="eastAsia"/>
                <w:highlight w:val="none"/>
                <w:lang w:eastAsia="zh-CN"/>
              </w:rPr>
              <w:t>无</w:t>
            </w:r>
          </w:p>
          <w:p>
            <w:pPr>
              <w:pStyle w:val="15"/>
              <w:ind w:firstLine="0" w:firstLineChars="0"/>
              <w:jc w:val="center"/>
              <w:rPr>
                <w:rFonts w:hint="eastAsia"/>
                <w:highlight w:val="none"/>
                <w:lang w:eastAsia="zh-CN"/>
              </w:rPr>
            </w:pPr>
          </w:p>
          <w:p>
            <w:pPr>
              <w:pStyle w:val="15"/>
              <w:ind w:firstLine="0" w:firstLineChars="0"/>
              <w:jc w:val="center"/>
              <w:rPr>
                <w:rFonts w:hint="eastAsia"/>
                <w:highlight w:val="none"/>
                <w:lang w:eastAsia="zh-CN"/>
              </w:rPr>
            </w:pPr>
          </w:p>
          <w:p>
            <w:pPr>
              <w:pStyle w:val="15"/>
              <w:ind w:firstLine="0" w:firstLineChars="0"/>
              <w:jc w:val="center"/>
              <w:rPr>
                <w:rFonts w:hint="eastAsia"/>
                <w:highlight w:val="none"/>
                <w:lang w:eastAsia="zh-CN"/>
              </w:rPr>
            </w:pPr>
          </w:p>
          <w:p>
            <w:pPr>
              <w:pStyle w:val="15"/>
              <w:ind w:firstLine="0" w:firstLineChars="0"/>
              <w:jc w:val="center"/>
              <w:rPr>
                <w:rFonts w:hint="eastAsia"/>
                <w:highlight w:val="none"/>
                <w:lang w:eastAsia="zh-CN"/>
              </w:rPr>
            </w:pPr>
          </w:p>
          <w:p>
            <w:pPr>
              <w:pStyle w:val="15"/>
              <w:ind w:firstLine="0" w:firstLineChars="0"/>
              <w:jc w:val="center"/>
              <w:rPr>
                <w:rFonts w:hint="eastAsia"/>
                <w:highlight w:val="none"/>
                <w:lang w:eastAsia="zh-CN"/>
              </w:rPr>
            </w:pPr>
          </w:p>
          <w:p>
            <w:pPr>
              <w:pStyle w:val="15"/>
              <w:ind w:firstLine="0" w:firstLineChars="0"/>
              <w:jc w:val="center"/>
              <w:rPr>
                <w:rFonts w:hint="eastAsia"/>
                <w:highlight w:val="none"/>
                <w:lang w:eastAsia="zh-CN"/>
              </w:rPr>
            </w:pPr>
          </w:p>
          <w:p>
            <w:pPr>
              <w:pStyle w:val="15"/>
              <w:ind w:firstLine="0" w:firstLineChars="0"/>
              <w:jc w:val="both"/>
              <w:rPr>
                <w:rFonts w:hint="eastAsia"/>
                <w:highlight w:val="none"/>
                <w:lang w:eastAsia="zh-CN"/>
              </w:rPr>
            </w:pPr>
          </w:p>
          <w:p>
            <w:pPr>
              <w:pStyle w:val="15"/>
              <w:ind w:firstLine="0" w:firstLineChars="0"/>
              <w:jc w:val="both"/>
              <w:rPr>
                <w:rFonts w:hint="eastAsia"/>
                <w:highlight w:val="none"/>
                <w:lang w:eastAsia="zh-CN"/>
              </w:rPr>
            </w:pPr>
          </w:p>
          <w:p>
            <w:pPr>
              <w:pStyle w:val="15"/>
              <w:ind w:firstLine="0" w:firstLineChars="0"/>
              <w:jc w:val="both"/>
              <w:rPr>
                <w:rFonts w:hint="eastAsia"/>
                <w:highlight w:val="none"/>
                <w:lang w:eastAsia="zh-CN"/>
              </w:rPr>
            </w:pPr>
          </w:p>
          <w:p>
            <w:pPr>
              <w:pStyle w:val="15"/>
              <w:ind w:firstLine="0" w:firstLineChars="0"/>
              <w:jc w:val="both"/>
              <w:rPr>
                <w:rFonts w:hint="eastAsia"/>
                <w:highlight w:val="none"/>
                <w:lang w:eastAsia="zh-CN"/>
              </w:rPr>
            </w:pPr>
          </w:p>
          <w:p>
            <w:pPr>
              <w:pStyle w:val="15"/>
              <w:ind w:firstLine="0" w:firstLineChars="0"/>
              <w:jc w:val="both"/>
              <w:rPr>
                <w:rFonts w:hint="eastAsia"/>
                <w:highlight w:val="none"/>
                <w:lang w:eastAsia="zh-CN"/>
              </w:rPr>
            </w:pPr>
          </w:p>
          <w:p>
            <w:pPr>
              <w:pStyle w:val="15"/>
              <w:ind w:firstLine="0" w:firstLineChars="0"/>
              <w:jc w:val="both"/>
              <w:rPr>
                <w:rFonts w:hint="eastAsia"/>
                <w:highlight w:val="none"/>
                <w:lang w:eastAsia="zh-CN"/>
              </w:rPr>
            </w:pPr>
          </w:p>
          <w:p>
            <w:pPr>
              <w:pStyle w:val="15"/>
              <w:ind w:firstLine="0" w:firstLineChars="0"/>
              <w:jc w:val="both"/>
              <w:rPr>
                <w:rFonts w:hint="eastAsia"/>
                <w:highlight w:val="none"/>
                <w:lang w:eastAsia="zh-CN"/>
              </w:rPr>
            </w:pPr>
          </w:p>
          <w:p>
            <w:pPr>
              <w:pStyle w:val="15"/>
              <w:ind w:firstLine="0" w:firstLineChars="0"/>
              <w:jc w:val="both"/>
              <w:rPr>
                <w:rFonts w:hint="eastAsia"/>
                <w:highlight w:val="none"/>
                <w:lang w:eastAsia="zh-CN"/>
              </w:rPr>
            </w:pPr>
          </w:p>
        </w:tc>
      </w:tr>
    </w:tbl>
    <w:p>
      <w:pPr>
        <w:jc w:val="both"/>
        <w:rPr>
          <w:highlight w:val="yellow"/>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numPr>
          <w:ilvl w:val="0"/>
          <w:numId w:val="2"/>
        </w:numPr>
        <w:rPr>
          <w:highlight w:val="none"/>
        </w:rPr>
      </w:pPr>
      <w:r>
        <w:rPr>
          <w:rFonts w:hint="eastAsia"/>
          <w:highlight w:val="none"/>
        </w:rPr>
        <w:t>生态环境影响分析</w:t>
      </w:r>
    </w:p>
    <w:tbl>
      <w:tblPr>
        <w:tblStyle w:val="25"/>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0"/>
        <w:gridCol w:w="78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690" w:type="dxa"/>
            <w:tcBorders>
              <w:tl2br w:val="nil"/>
              <w:tr2bl w:val="nil"/>
            </w:tcBorders>
            <w:vAlign w:val="center"/>
          </w:tcPr>
          <w:p>
            <w:pPr>
              <w:rPr>
                <w:color w:val="auto"/>
                <w:sz w:val="24"/>
                <w:szCs w:val="24"/>
                <w:highlight w:val="none"/>
              </w:rPr>
            </w:pPr>
            <w:r>
              <w:rPr>
                <w:rFonts w:hint="eastAsia"/>
                <w:color w:val="auto"/>
                <w:sz w:val="24"/>
                <w:szCs w:val="24"/>
                <w:highlight w:val="none"/>
              </w:rPr>
              <w:t>施工期生态环境影响分析</w:t>
            </w:r>
          </w:p>
        </w:tc>
        <w:tc>
          <w:tcPr>
            <w:tcW w:w="7832" w:type="dxa"/>
            <w:tcBorders>
              <w:tl2br w:val="nil"/>
              <w:tr2bl w:val="nil"/>
            </w:tcBorders>
          </w:tcPr>
          <w:p>
            <w:pPr>
              <w:pStyle w:val="5"/>
              <w:numPr>
                <w:ilvl w:val="0"/>
                <w:numId w:val="7"/>
              </w:numPr>
              <w:outlineLvl w:val="1"/>
              <w:rPr>
                <w:color w:val="auto"/>
                <w:sz w:val="24"/>
                <w:szCs w:val="24"/>
                <w:highlight w:val="none"/>
              </w:rPr>
            </w:pPr>
            <w:r>
              <w:rPr>
                <w:rFonts w:hint="eastAsia"/>
                <w:color w:val="auto"/>
                <w:sz w:val="24"/>
                <w:szCs w:val="24"/>
                <w:highlight w:val="none"/>
              </w:rPr>
              <w:t>生态环境影响分析</w:t>
            </w:r>
          </w:p>
          <w:p>
            <w:pPr>
              <w:pStyle w:val="15"/>
              <w:ind w:firstLine="420"/>
              <w:rPr>
                <w:color w:val="auto"/>
                <w:sz w:val="24"/>
                <w:szCs w:val="24"/>
                <w:highlight w:val="none"/>
              </w:rPr>
            </w:pPr>
            <w:r>
              <w:rPr>
                <w:rFonts w:hint="eastAsia"/>
                <w:color w:val="auto"/>
                <w:sz w:val="24"/>
                <w:szCs w:val="24"/>
                <w:highlight w:val="none"/>
              </w:rPr>
              <w:t>（1）对植物影响分析</w:t>
            </w:r>
          </w:p>
          <w:p>
            <w:pPr>
              <w:pStyle w:val="15"/>
              <w:ind w:firstLine="420"/>
              <w:rPr>
                <w:color w:val="auto"/>
                <w:sz w:val="24"/>
                <w:szCs w:val="24"/>
                <w:highlight w:val="none"/>
              </w:rPr>
            </w:pPr>
            <w:r>
              <w:rPr>
                <w:rFonts w:hint="eastAsia"/>
                <w:color w:val="auto"/>
                <w:sz w:val="24"/>
                <w:szCs w:val="24"/>
                <w:highlight w:val="none"/>
              </w:rPr>
              <w:t>项目所在区域属中温带荒漠草原区，以多年生草本、灌木、半灌木为主，种群少结构简单，森林资源缺乏。本项目主要植物是柠条、沙柳、油蒿、短花针茅、荒漠锦鸡儿等。本项目中的地形地貌整治工程要进行开挖地表，将对植被造成较成影响。随着施工的进行，施工运输、施工机械、人员践踏、破坏了工程区域原有地貌和植被，造成一定植被的损失。但本项目为生态修复项目，通过重建植被，恢复原有的地形地貌及土地资源，可以使遭到破坏的生态环境得到改善和基本恢复。因此对植物影响较小</w:t>
            </w:r>
            <w:r>
              <w:rPr>
                <w:rFonts w:hint="eastAsia"/>
                <w:color w:val="auto"/>
                <w:sz w:val="24"/>
                <w:szCs w:val="24"/>
                <w:highlight w:val="none"/>
                <w:lang w:eastAsia="zh-CN"/>
              </w:rPr>
              <w:t>（具体详见生态专章）</w:t>
            </w:r>
            <w:r>
              <w:rPr>
                <w:rFonts w:hint="eastAsia"/>
                <w:color w:val="auto"/>
                <w:sz w:val="24"/>
                <w:szCs w:val="24"/>
                <w:highlight w:val="none"/>
              </w:rPr>
              <w:t>。</w:t>
            </w:r>
          </w:p>
          <w:p>
            <w:pPr>
              <w:pStyle w:val="15"/>
              <w:ind w:firstLine="420"/>
              <w:rPr>
                <w:color w:val="auto"/>
                <w:sz w:val="24"/>
                <w:szCs w:val="24"/>
                <w:highlight w:val="none"/>
              </w:rPr>
            </w:pPr>
            <w:r>
              <w:rPr>
                <w:rFonts w:hint="eastAsia"/>
                <w:color w:val="auto"/>
                <w:sz w:val="24"/>
                <w:szCs w:val="24"/>
                <w:highlight w:val="none"/>
              </w:rPr>
              <w:t>（2）对动物影响分析</w:t>
            </w:r>
          </w:p>
          <w:p>
            <w:pPr>
              <w:pStyle w:val="15"/>
              <w:ind w:left="0" w:leftChars="0" w:firstLine="480" w:firstLineChars="200"/>
              <w:rPr>
                <w:rFonts w:hint="eastAsia" w:ascii="宋体" w:hAnsi="宋体" w:cs="宋体"/>
                <w:color w:val="auto"/>
                <w:highlight w:val="none"/>
              </w:rPr>
            </w:pPr>
            <w:r>
              <w:rPr>
                <w:rFonts w:hint="eastAsia"/>
                <w:color w:val="auto"/>
                <w:sz w:val="24"/>
                <w:szCs w:val="24"/>
              </w:rPr>
              <w:t>施工期对动物的影响主要体现在对动物栖息觅食地所在生态环境的破坏，包括对施工区土地平整，原有植被清除，施工所产生的噪声，各种施工人员以及施工机械的干扰等，使评价区及其周边环境发生改变</w:t>
            </w:r>
            <w:r>
              <w:rPr>
                <w:rFonts w:hint="eastAsia"/>
                <w:color w:val="auto"/>
                <w:sz w:val="24"/>
                <w:szCs w:val="24"/>
                <w:lang w:eastAsia="zh-CN"/>
              </w:rPr>
              <w:t>。</w:t>
            </w:r>
            <w:r>
              <w:rPr>
                <w:rFonts w:ascii="宋体" w:hAnsi="宋体"/>
                <w:color w:val="auto"/>
                <w:highlight w:val="none"/>
                <w:lang w:bidi="zh-CN"/>
              </w:rPr>
              <w:t>治理区</w:t>
            </w:r>
            <w:r>
              <w:rPr>
                <w:rFonts w:hint="eastAsia" w:ascii="宋体" w:hAnsi="宋体"/>
                <w:color w:val="auto"/>
                <w:highlight w:val="none"/>
                <w:lang w:bidi="zh-CN"/>
              </w:rPr>
              <w:t>施工</w:t>
            </w:r>
            <w:r>
              <w:rPr>
                <w:rFonts w:ascii="宋体" w:hAnsi="宋体"/>
                <w:color w:val="auto"/>
                <w:highlight w:val="none"/>
                <w:lang w:bidi="zh-CN"/>
              </w:rPr>
              <w:t>过程中占用和破坏大面积荒地，破坏其周围区域野生动物部分觅食地、栖息场所和活动区域。本项目的作业和机械噪声和人员活动等，将惊吓和驱赶施工区及周围一定范围内的野生动物，影响野生动物的活动和栖息。由于项目区</w:t>
            </w:r>
            <w:r>
              <w:rPr>
                <w:rFonts w:hint="eastAsia" w:ascii="宋体" w:hAnsi="宋体" w:cs="宋体"/>
                <w:color w:val="auto"/>
                <w:highlight w:val="none"/>
              </w:rPr>
              <w:t>常见的野生动物中，哺乳动物主要有田鼠、短耳仓鼠、褐家鼠、黑线仓鼠、小家鼠、三趾跳鼠、五趾跳鼠等；鸟类有燕子、喜鹊、乌鸦、鸽子、麻雀等。经调查，项目区未发现国家重点保护野生动物物种。施工期影响只是引起野生动物暂时的、局部的迁移，待施工结束后这种影响亦将消失，不会改变动物生境，对动物不会产生显著影响。</w:t>
            </w:r>
          </w:p>
          <w:p>
            <w:pPr>
              <w:pStyle w:val="15"/>
              <w:ind w:firstLine="420"/>
              <w:rPr>
                <w:color w:val="auto"/>
                <w:sz w:val="24"/>
                <w:szCs w:val="24"/>
                <w:highlight w:val="none"/>
              </w:rPr>
            </w:pPr>
            <w:r>
              <w:rPr>
                <w:rFonts w:hint="eastAsia"/>
                <w:color w:val="auto"/>
                <w:sz w:val="24"/>
                <w:szCs w:val="24"/>
                <w:highlight w:val="none"/>
              </w:rPr>
              <w:t>（3）对水土流失影响分析</w:t>
            </w:r>
          </w:p>
          <w:p>
            <w:pPr>
              <w:pStyle w:val="30"/>
              <w:spacing w:line="360" w:lineRule="auto"/>
              <w:ind w:firstLine="480" w:firstLineChars="200"/>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snapToGrid w:val="0"/>
                <w:color w:val="auto"/>
                <w:kern w:val="0"/>
                <w:sz w:val="24"/>
                <w:szCs w:val="24"/>
                <w:highlight w:val="none"/>
                <w:lang w:val="en-US" w:eastAsia="zh-CN" w:bidi="ar-SA"/>
              </w:rPr>
              <w:t>项目在土方开挖、回填、覆土等施工中地表植被遭到破坏，原有表土与植被之间的平衡关系失调，表土层结构松散，抗蚀能力减弱，在雨滴打击、水流冲刷、重力作用及大风扬尘的作用下产生水土流失。施工车辆碾压地表，裸露带产生土壤风蚀、植物生存条件丧生，使地表的植被生物量损失，但施工影响具有暂时性，随着施工的结束而消失。</w:t>
            </w:r>
          </w:p>
          <w:p>
            <w:pPr>
              <w:pStyle w:val="45"/>
              <w:spacing w:before="0" w:line="360" w:lineRule="auto"/>
              <w:ind w:firstLine="480" w:firstLineChars="200"/>
              <w:jc w:val="both"/>
              <w:rPr>
                <w:rFonts w:hint="eastAsia" w:ascii="宋体" w:hAnsi="宋体"/>
                <w:color w:val="auto"/>
                <w:highlight w:val="none"/>
              </w:rPr>
            </w:pPr>
            <w:r>
              <w:rPr>
                <w:rFonts w:hint="eastAsia"/>
                <w:color w:val="auto"/>
                <w:sz w:val="24"/>
                <w:szCs w:val="24"/>
              </w:rPr>
              <w:t>（</w:t>
            </w:r>
            <w:r>
              <w:rPr>
                <w:rFonts w:hint="eastAsia"/>
                <w:color w:val="auto"/>
                <w:sz w:val="24"/>
                <w:szCs w:val="24"/>
                <w:lang w:val="en-US" w:eastAsia="zh-CN"/>
              </w:rPr>
              <w:t>4</w:t>
            </w:r>
            <w:r>
              <w:rPr>
                <w:rFonts w:hint="eastAsia"/>
                <w:color w:val="auto"/>
                <w:sz w:val="24"/>
                <w:szCs w:val="24"/>
              </w:rPr>
              <w:t>）</w:t>
            </w:r>
            <w:r>
              <w:rPr>
                <w:color w:val="auto"/>
                <w:highlight w:val="none"/>
              </w:rPr>
              <w:t>土壤侵蚀影响分析</w:t>
            </w:r>
          </w:p>
          <w:p>
            <w:pPr>
              <w:spacing w:line="360" w:lineRule="auto"/>
              <w:ind w:firstLine="240" w:firstLineChars="100"/>
              <w:jc w:val="left"/>
              <w:rPr>
                <w:rFonts w:hint="default"/>
                <w:lang w:val="en-US" w:eastAsia="zh-CN"/>
              </w:rPr>
            </w:pPr>
            <w:r>
              <w:rPr>
                <w:rFonts w:hint="eastAsia"/>
                <w:lang w:val="en-US" w:eastAsia="zh-CN"/>
              </w:rPr>
              <w:t>（1）</w:t>
            </w:r>
            <w:r>
              <w:rPr>
                <w:rFonts w:hint="default"/>
                <w:lang w:val="en-US" w:eastAsia="zh-CN"/>
              </w:rPr>
              <w:t>土壤侵蚀因素分析</w:t>
            </w:r>
          </w:p>
          <w:p>
            <w:pPr>
              <w:spacing w:line="360" w:lineRule="auto"/>
              <w:ind w:firstLine="480" w:firstLineChars="200"/>
              <w:jc w:val="left"/>
              <w:rPr>
                <w:rFonts w:hint="default"/>
                <w:lang w:val="en-US" w:eastAsia="zh-CN"/>
              </w:rPr>
            </w:pPr>
            <w:r>
              <w:rPr>
                <w:rFonts w:hint="default"/>
                <w:lang w:val="en-US" w:eastAsia="zh-CN"/>
              </w:rPr>
              <w:t>根据治理项目的建设特点，土壤侵蚀因素主要包括以下几点：</w:t>
            </w:r>
          </w:p>
          <w:p>
            <w:pPr>
              <w:spacing w:line="360" w:lineRule="auto"/>
              <w:ind w:firstLine="480" w:firstLineChars="200"/>
              <w:jc w:val="left"/>
              <w:rPr>
                <w:rFonts w:hint="default"/>
                <w:lang w:val="en-US" w:eastAsia="zh-CN"/>
              </w:rPr>
            </w:pPr>
            <w:r>
              <w:rPr>
                <w:rFonts w:hint="eastAsia"/>
                <w:lang w:val="en-US" w:eastAsia="zh-CN"/>
              </w:rPr>
              <w:t>①</w:t>
            </w:r>
            <w:r>
              <w:rPr>
                <w:rFonts w:hint="default"/>
                <w:lang w:val="en-US" w:eastAsia="zh-CN"/>
              </w:rPr>
              <w:t>草地植被受到扰动和破坏</w:t>
            </w:r>
          </w:p>
          <w:p>
            <w:pPr>
              <w:spacing w:line="360" w:lineRule="auto"/>
              <w:ind w:left="0" w:leftChars="0" w:firstLine="480" w:firstLineChars="200"/>
              <w:jc w:val="left"/>
              <w:rPr>
                <w:rFonts w:hint="default"/>
                <w:lang w:val="en-US" w:eastAsia="zh-CN"/>
              </w:rPr>
            </w:pPr>
            <w:r>
              <w:rPr>
                <w:rFonts w:hint="default"/>
                <w:lang w:val="en-US" w:eastAsia="zh-CN"/>
              </w:rPr>
              <w:t>在表土开挖、场地平整、场外道路等过程中，破坏了地表原有的草地植被，形成了片状、条带状的裸露面，植被对土壤的覆盖保护作用和根系固土作用丧失殆尽。</w:t>
            </w:r>
          </w:p>
          <w:p>
            <w:pPr>
              <w:spacing w:line="360" w:lineRule="auto"/>
              <w:ind w:firstLine="480" w:firstLineChars="200"/>
              <w:jc w:val="left"/>
              <w:rPr>
                <w:rFonts w:hint="default"/>
                <w:lang w:val="en-US" w:eastAsia="zh-CN"/>
              </w:rPr>
            </w:pPr>
            <w:r>
              <w:rPr>
                <w:rFonts w:hint="eastAsia"/>
                <w:lang w:val="en-US" w:eastAsia="zh-CN"/>
              </w:rPr>
              <w:t>②</w:t>
            </w:r>
            <w:r>
              <w:rPr>
                <w:rFonts w:hint="default"/>
                <w:lang w:val="en-US" w:eastAsia="zh-CN"/>
              </w:rPr>
              <w:t>土体表层松散性加大</w:t>
            </w:r>
          </w:p>
          <w:p>
            <w:pPr>
              <w:spacing w:line="360" w:lineRule="auto"/>
              <w:ind w:firstLine="480" w:firstLineChars="200"/>
              <w:jc w:val="left"/>
              <w:rPr>
                <w:rFonts w:hint="default"/>
                <w:lang w:val="en-US" w:eastAsia="zh-CN"/>
              </w:rPr>
            </w:pPr>
            <w:r>
              <w:rPr>
                <w:rFonts w:hint="default"/>
                <w:lang w:val="en-US" w:eastAsia="zh-CN"/>
              </w:rPr>
              <w:t>治理过程</w:t>
            </w:r>
            <w:r>
              <w:rPr>
                <w:rFonts w:hint="eastAsia"/>
                <w:lang w:val="en-US" w:eastAsia="zh-CN"/>
              </w:rPr>
              <w:t>中将</w:t>
            </w:r>
            <w:r>
              <w:rPr>
                <w:rFonts w:hint="default"/>
                <w:lang w:val="en-US" w:eastAsia="zh-CN"/>
              </w:rPr>
              <w:t>破坏大面积的地表土壤，大量的松散表土发生运移和重新堆积，植被被损坏，使得地表土壤结构变化，上下土层混合，土壤水分大量散失，土体的机械组成混杂不一，丧失了原地表土壤的抗蚀力。形成新的矿山土壤类型，地表无植被覆盖，土壤肥力降低，极易发生土壤侵蚀。</w:t>
            </w:r>
          </w:p>
          <w:p>
            <w:pPr>
              <w:spacing w:line="360" w:lineRule="auto"/>
              <w:ind w:firstLine="480" w:firstLineChars="200"/>
              <w:jc w:val="left"/>
              <w:rPr>
                <w:rFonts w:hint="default"/>
                <w:lang w:val="en-US" w:eastAsia="zh-CN"/>
              </w:rPr>
            </w:pPr>
            <w:r>
              <w:rPr>
                <w:rFonts w:hint="eastAsia"/>
                <w:lang w:val="en-US" w:eastAsia="zh-CN"/>
              </w:rPr>
              <w:t>③</w:t>
            </w:r>
            <w:r>
              <w:rPr>
                <w:rFonts w:hint="default"/>
                <w:lang w:val="en-US" w:eastAsia="zh-CN"/>
              </w:rPr>
              <w:t>地形、地貌的变化</w:t>
            </w:r>
          </w:p>
          <w:p>
            <w:pPr>
              <w:spacing w:line="360" w:lineRule="auto"/>
              <w:ind w:firstLine="480" w:firstLineChars="200"/>
              <w:jc w:val="left"/>
              <w:rPr>
                <w:rFonts w:hint="default"/>
                <w:lang w:val="en-US" w:eastAsia="zh-CN"/>
              </w:rPr>
            </w:pPr>
            <w:r>
              <w:rPr>
                <w:rFonts w:hint="eastAsia"/>
                <w:color w:val="auto"/>
                <w:sz w:val="24"/>
                <w:szCs w:val="24"/>
              </w:rPr>
              <w:t>项目</w:t>
            </w:r>
            <w:r>
              <w:rPr>
                <w:rFonts w:hint="eastAsia"/>
                <w:color w:val="auto"/>
                <w:sz w:val="24"/>
                <w:szCs w:val="24"/>
                <w:lang w:eastAsia="zh-CN"/>
              </w:rPr>
              <w:t>在</w:t>
            </w:r>
            <w:r>
              <w:rPr>
                <w:rFonts w:hint="eastAsia"/>
                <w:color w:val="auto"/>
                <w:sz w:val="24"/>
                <w:szCs w:val="24"/>
              </w:rPr>
              <w:t>地形地貌整治及土石方的开挖与回填</w:t>
            </w:r>
            <w:r>
              <w:rPr>
                <w:rFonts w:hint="eastAsia"/>
                <w:color w:val="auto"/>
                <w:sz w:val="24"/>
                <w:szCs w:val="24"/>
                <w:lang w:eastAsia="zh-CN"/>
              </w:rPr>
              <w:t>，</w:t>
            </w:r>
            <w:r>
              <w:rPr>
                <w:rFonts w:hint="default"/>
                <w:lang w:val="en-US" w:eastAsia="zh-CN"/>
              </w:rPr>
              <w:t>形成了占地面积较大和高度较高的人工堆垫地貌，雨季改变了水流的流向，增加了发生水蚀侵蚀的可能。</w:t>
            </w:r>
          </w:p>
          <w:p>
            <w:pPr>
              <w:spacing w:line="360" w:lineRule="auto"/>
              <w:jc w:val="left"/>
              <w:rPr>
                <w:rFonts w:hint="default"/>
                <w:lang w:val="en-US" w:eastAsia="zh-CN"/>
              </w:rPr>
            </w:pPr>
            <w:r>
              <w:rPr>
                <w:rFonts w:hint="eastAsia"/>
                <w:lang w:val="en-US" w:eastAsia="zh-CN"/>
              </w:rPr>
              <w:t>（2）</w:t>
            </w:r>
            <w:r>
              <w:rPr>
                <w:rFonts w:hint="default"/>
                <w:lang w:val="en-US" w:eastAsia="zh-CN"/>
              </w:rPr>
              <w:t>土壤侵蚀影响评价</w:t>
            </w:r>
          </w:p>
          <w:p>
            <w:pPr>
              <w:spacing w:line="360" w:lineRule="auto"/>
              <w:ind w:firstLine="480" w:firstLineChars="200"/>
              <w:jc w:val="left"/>
              <w:rPr>
                <w:rFonts w:hint="default"/>
                <w:lang w:val="en-US" w:eastAsia="zh-CN"/>
              </w:rPr>
            </w:pPr>
            <w:r>
              <w:rPr>
                <w:rFonts w:hint="default"/>
                <w:lang w:val="en-US" w:eastAsia="zh-CN"/>
              </w:rPr>
              <w:t>根据评价区气候特征、地形条件以及工程的建设特点，治理项目新增土壤侵蚀特征主要表现为：</w:t>
            </w:r>
            <w:r>
              <w:rPr>
                <w:rFonts w:hint="eastAsia"/>
                <w:lang w:val="en-US" w:eastAsia="zh-CN"/>
              </w:rPr>
              <w:t>①</w:t>
            </w:r>
            <w:r>
              <w:rPr>
                <w:rFonts w:hint="default"/>
                <w:lang w:val="en-US" w:eastAsia="zh-CN"/>
              </w:rPr>
              <w:t>以风力侵蚀为主；</w:t>
            </w:r>
            <w:r>
              <w:rPr>
                <w:rFonts w:hint="eastAsia"/>
                <w:lang w:val="en-US" w:eastAsia="zh-CN"/>
              </w:rPr>
              <w:t>②</w:t>
            </w:r>
            <w:r>
              <w:rPr>
                <w:rFonts w:hint="default"/>
                <w:lang w:val="en-US" w:eastAsia="zh-CN"/>
              </w:rPr>
              <w:t>不同功能区土壤侵蚀强度存在着显著的差异；</w:t>
            </w:r>
            <w:r>
              <w:rPr>
                <w:rFonts w:hint="eastAsia"/>
                <w:lang w:val="en-US" w:eastAsia="zh-CN"/>
              </w:rPr>
              <w:t>③</w:t>
            </w:r>
            <w:r>
              <w:rPr>
                <w:rFonts w:hint="default"/>
                <w:lang w:val="en-US" w:eastAsia="zh-CN"/>
              </w:rPr>
              <w:t>呈片状集中分布或线型带状分布；</w:t>
            </w:r>
            <w:r>
              <w:rPr>
                <w:rFonts w:hint="eastAsia"/>
                <w:lang w:val="en-US" w:eastAsia="zh-CN"/>
              </w:rPr>
              <w:t>④</w:t>
            </w:r>
            <w:r>
              <w:rPr>
                <w:rFonts w:hint="default"/>
                <w:lang w:val="en-US" w:eastAsia="zh-CN"/>
              </w:rPr>
              <w:t>水土流失强度高，但时间短，范围小，易人为控制；项目</w:t>
            </w:r>
            <w:r>
              <w:rPr>
                <w:rFonts w:hint="eastAsia"/>
                <w:lang w:val="en-US" w:eastAsia="zh-CN"/>
              </w:rPr>
              <w:t>实施</w:t>
            </w:r>
            <w:r>
              <w:rPr>
                <w:rFonts w:hint="default"/>
                <w:lang w:val="en-US" w:eastAsia="zh-CN"/>
              </w:rPr>
              <w:t>过程中随着土地复垦、生态恢复工程的实施，土壤侵蚀过程将得到有效控制，随着生态环境的改善，最终会使原来的土壤侵蚀得到根本遏制。</w:t>
            </w:r>
          </w:p>
          <w:p>
            <w:pPr>
              <w:spacing w:line="360" w:lineRule="auto"/>
              <w:ind w:firstLine="480" w:firstLineChars="200"/>
              <w:jc w:val="left"/>
              <w:rPr>
                <w:rFonts w:hint="default"/>
                <w:lang w:val="en-US" w:eastAsia="zh-CN"/>
              </w:rPr>
            </w:pPr>
            <w:r>
              <w:rPr>
                <w:rFonts w:hint="default"/>
                <w:lang w:val="en-US" w:eastAsia="zh-CN"/>
              </w:rPr>
              <w:t>总之，治理活动不可避免地将破坏原有自然植被和土地资源，</w:t>
            </w:r>
            <w:r>
              <w:rPr>
                <w:rFonts w:hint="eastAsia"/>
                <w:lang w:val="en-US" w:eastAsia="zh-CN"/>
              </w:rPr>
              <w:t>会</w:t>
            </w:r>
            <w:r>
              <w:rPr>
                <w:rFonts w:hint="default"/>
                <w:lang w:val="en-US" w:eastAsia="zh-CN"/>
              </w:rPr>
              <w:t>导致水土流失危害程度显著增强，经过不断的生态建设、水土保持和土地复垦生态建设工作后，土壤侵蚀将会大为减少，水土流失得到控制。</w:t>
            </w:r>
          </w:p>
          <w:p>
            <w:pPr>
              <w:pStyle w:val="15"/>
              <w:ind w:firstLine="420"/>
              <w:rPr>
                <w:rFonts w:hint="eastAsia" w:eastAsia="宋体"/>
                <w:color w:val="auto"/>
                <w:sz w:val="24"/>
                <w:szCs w:val="24"/>
                <w:lang w:eastAsia="zh-CN"/>
              </w:rPr>
            </w:pPr>
            <w:r>
              <w:rPr>
                <w:rFonts w:hint="eastAsia"/>
                <w:color w:val="auto"/>
                <w:sz w:val="24"/>
                <w:szCs w:val="24"/>
                <w:lang w:eastAsia="zh-CN"/>
              </w:rPr>
              <w:t>（</w:t>
            </w:r>
            <w:r>
              <w:rPr>
                <w:rFonts w:hint="eastAsia"/>
                <w:color w:val="auto"/>
                <w:sz w:val="24"/>
                <w:szCs w:val="24"/>
                <w:lang w:val="en-US" w:eastAsia="zh-CN"/>
              </w:rPr>
              <w:t>5</w:t>
            </w:r>
            <w:r>
              <w:rPr>
                <w:rFonts w:hint="eastAsia"/>
                <w:color w:val="auto"/>
                <w:sz w:val="24"/>
                <w:szCs w:val="24"/>
                <w:lang w:eastAsia="zh-CN"/>
              </w:rPr>
              <w:t>）</w:t>
            </w:r>
            <w:r>
              <w:rPr>
                <w:rFonts w:hint="eastAsia"/>
                <w:color w:val="auto"/>
                <w:sz w:val="24"/>
                <w:szCs w:val="24"/>
              </w:rPr>
              <w:t>取土场生态环境影响</w:t>
            </w:r>
            <w:r>
              <w:rPr>
                <w:rFonts w:hint="eastAsia"/>
                <w:color w:val="auto"/>
                <w:sz w:val="24"/>
                <w:szCs w:val="24"/>
                <w:lang w:eastAsia="zh-CN"/>
              </w:rPr>
              <w:t>分析</w:t>
            </w:r>
          </w:p>
          <w:p>
            <w:pPr>
              <w:pStyle w:val="15"/>
              <w:ind w:firstLine="420"/>
              <w:rPr>
                <w:color w:val="auto"/>
                <w:sz w:val="24"/>
                <w:szCs w:val="24"/>
              </w:rPr>
            </w:pPr>
            <w:r>
              <w:rPr>
                <w:rFonts w:hint="eastAsia"/>
                <w:color w:val="auto"/>
                <w:sz w:val="24"/>
                <w:szCs w:val="24"/>
              </w:rPr>
              <w:t>本项目设置取土场</w:t>
            </w:r>
            <w:r>
              <w:rPr>
                <w:rFonts w:hint="eastAsia"/>
                <w:color w:val="auto"/>
                <w:sz w:val="24"/>
                <w:szCs w:val="24"/>
                <w:lang w:eastAsia="zh-CN"/>
              </w:rPr>
              <w:t>主要</w:t>
            </w:r>
            <w:r>
              <w:rPr>
                <w:rFonts w:hint="eastAsia"/>
                <w:color w:val="auto"/>
                <w:sz w:val="24"/>
                <w:szCs w:val="24"/>
              </w:rPr>
              <w:t>用于绿化覆土工程，取土场在一定程度上加剧水土流失</w:t>
            </w:r>
            <w:r>
              <w:rPr>
                <w:rFonts w:hint="eastAsia"/>
                <w:color w:val="auto"/>
                <w:sz w:val="24"/>
                <w:szCs w:val="24"/>
                <w:lang w:eastAsia="zh-CN"/>
              </w:rPr>
              <w:t>，</w:t>
            </w:r>
            <w:r>
              <w:rPr>
                <w:rFonts w:hint="eastAsia"/>
                <w:color w:val="auto"/>
                <w:sz w:val="24"/>
                <w:szCs w:val="24"/>
              </w:rPr>
              <w:t>通过地表取土，破坏地表植被和土壤结构，改变地形地貌以及自然景观，使部分地段植被覆盖和植物物种多样性下降，自然景观破碎化，影响生态系统的结构和功能，影响对象主要是地表植被、土壤结构及自然景观。但本项目在取土场使用完毕后，将进行植被恢复工程，提升原有的土地质量，恢复地表植被、优化土壤结构及景观，改善水土流失，因此本项目设置的取土场对生态环境影响较小。</w:t>
            </w:r>
          </w:p>
          <w:p>
            <w:pPr>
              <w:pStyle w:val="15"/>
              <w:ind w:firstLine="361" w:firstLineChars="150"/>
              <w:rPr>
                <w:b/>
                <w:color w:val="auto"/>
                <w:sz w:val="24"/>
                <w:szCs w:val="24"/>
                <w:highlight w:val="none"/>
              </w:rPr>
            </w:pPr>
            <w:r>
              <w:rPr>
                <w:b/>
                <w:color w:val="auto"/>
                <w:sz w:val="24"/>
                <w:szCs w:val="24"/>
                <w:highlight w:val="none"/>
              </w:rPr>
              <w:t>2</w:t>
            </w:r>
            <w:r>
              <w:rPr>
                <w:rFonts w:hint="eastAsia"/>
                <w:b/>
                <w:color w:val="auto"/>
                <w:sz w:val="24"/>
                <w:szCs w:val="24"/>
                <w:highlight w:val="none"/>
              </w:rPr>
              <w:t>、</w:t>
            </w:r>
            <w:r>
              <w:rPr>
                <w:rFonts w:hint="eastAsia"/>
                <w:b/>
                <w:bCs/>
                <w:color w:val="auto"/>
                <w:sz w:val="24"/>
                <w:szCs w:val="24"/>
                <w:highlight w:val="none"/>
              </w:rPr>
              <w:t>环境空气影响分析</w:t>
            </w:r>
          </w:p>
          <w:p>
            <w:pPr>
              <w:spacing w:line="360" w:lineRule="auto"/>
              <w:ind w:firstLine="482" w:firstLineChars="200"/>
              <w:jc w:val="left"/>
              <w:rPr>
                <w:b/>
                <w:snapToGrid/>
                <w:color w:val="auto"/>
                <w:kern w:val="2"/>
                <w:sz w:val="24"/>
                <w:szCs w:val="24"/>
                <w:highlight w:val="none"/>
              </w:rPr>
            </w:pPr>
            <w:r>
              <w:rPr>
                <w:rFonts w:ascii="宋体" w:hAnsi="宋体"/>
                <w:b/>
                <w:snapToGrid/>
                <w:color w:val="auto"/>
                <w:kern w:val="2"/>
                <w:sz w:val="24"/>
                <w:szCs w:val="24"/>
                <w:highlight w:val="none"/>
              </w:rPr>
              <w:t>（</w:t>
            </w:r>
            <w:r>
              <w:rPr>
                <w:b/>
                <w:snapToGrid/>
                <w:color w:val="auto"/>
                <w:kern w:val="2"/>
                <w:sz w:val="24"/>
                <w:szCs w:val="24"/>
                <w:highlight w:val="none"/>
              </w:rPr>
              <w:t>1</w:t>
            </w:r>
            <w:r>
              <w:rPr>
                <w:rFonts w:ascii="宋体" w:hAnsi="宋体"/>
                <w:b/>
                <w:snapToGrid/>
                <w:color w:val="auto"/>
                <w:kern w:val="2"/>
                <w:sz w:val="24"/>
                <w:szCs w:val="24"/>
                <w:highlight w:val="none"/>
              </w:rPr>
              <w:t>）施工期扬尘</w:t>
            </w:r>
          </w:p>
          <w:p>
            <w:pPr>
              <w:adjustRightInd/>
              <w:snapToGrid/>
              <w:spacing w:line="360" w:lineRule="auto"/>
              <w:ind w:firstLine="480" w:firstLineChars="200"/>
              <w:jc w:val="both"/>
              <w:rPr>
                <w:snapToGrid/>
                <w:color w:val="auto"/>
                <w:kern w:val="2"/>
                <w:sz w:val="24"/>
                <w:szCs w:val="24"/>
                <w:highlight w:val="none"/>
              </w:rPr>
            </w:pPr>
            <w:r>
              <w:rPr>
                <w:snapToGrid/>
                <w:color w:val="auto"/>
                <w:kern w:val="2"/>
                <w:sz w:val="24"/>
                <w:szCs w:val="24"/>
                <w:highlight w:val="none"/>
              </w:rPr>
              <w:t>施工扬尘主要来源于运输以及</w:t>
            </w:r>
            <w:r>
              <w:rPr>
                <w:rFonts w:hint="eastAsia"/>
                <w:snapToGrid/>
                <w:color w:val="auto"/>
                <w:kern w:val="2"/>
                <w:sz w:val="24"/>
                <w:szCs w:val="24"/>
                <w:highlight w:val="none"/>
              </w:rPr>
              <w:t>开挖</w:t>
            </w:r>
            <w:r>
              <w:rPr>
                <w:snapToGrid/>
                <w:color w:val="auto"/>
                <w:kern w:val="2"/>
                <w:sz w:val="24"/>
                <w:szCs w:val="24"/>
                <w:highlight w:val="none"/>
              </w:rPr>
              <w:t>、回填等环境，根据有关资料介绍，能产生扬尘的颗粒粒径分布为：＜5μm的占8%，5~20μm的占24%，＞20μm的占68%。施工区域及施工便道有大量的颗粒物粒径在可产生扬尘的粒径范围内，极易造成扬尘污染，如遇干旱无雨的季节，在大风时，施工扬尘更易发生。类比同类施工现场的污染情况，扬尘点下风向TSP的浓度随距离的变化情况见表4-1。</w:t>
            </w:r>
          </w:p>
          <w:p>
            <w:pPr>
              <w:adjustRightInd/>
              <w:snapToGrid/>
              <w:spacing w:line="360" w:lineRule="auto"/>
              <w:rPr>
                <w:b/>
                <w:snapToGrid/>
                <w:color w:val="auto"/>
                <w:kern w:val="2"/>
                <w:sz w:val="24"/>
                <w:szCs w:val="24"/>
                <w:highlight w:val="none"/>
              </w:rPr>
            </w:pPr>
            <w:r>
              <w:rPr>
                <w:rFonts w:ascii="宋体" w:hAnsi="宋体"/>
                <w:b/>
                <w:snapToGrid/>
                <w:color w:val="auto"/>
                <w:kern w:val="2"/>
                <w:sz w:val="24"/>
                <w:szCs w:val="24"/>
                <w:highlight w:val="none"/>
              </w:rPr>
              <w:t>表</w:t>
            </w:r>
            <w:r>
              <w:rPr>
                <w:b/>
                <w:snapToGrid/>
                <w:color w:val="auto"/>
                <w:kern w:val="2"/>
                <w:sz w:val="24"/>
                <w:szCs w:val="24"/>
                <w:highlight w:val="none"/>
              </w:rPr>
              <w:t xml:space="preserve">4-1  </w:t>
            </w:r>
            <w:r>
              <w:rPr>
                <w:rFonts w:ascii="宋体" w:hAnsi="宋体"/>
                <w:b/>
                <w:snapToGrid/>
                <w:color w:val="auto"/>
                <w:kern w:val="2"/>
                <w:sz w:val="24"/>
                <w:szCs w:val="24"/>
                <w:highlight w:val="none"/>
              </w:rPr>
              <w:t>扬尘浓度随距离变化情况一览表  单位：</w:t>
            </w:r>
            <w:r>
              <w:rPr>
                <w:b/>
                <w:snapToGrid/>
                <w:color w:val="auto"/>
                <w:kern w:val="2"/>
                <w:sz w:val="24"/>
                <w:szCs w:val="24"/>
                <w:highlight w:val="none"/>
              </w:rPr>
              <w:t>mg/m</w:t>
            </w:r>
            <w:r>
              <w:rPr>
                <w:b/>
                <w:snapToGrid/>
                <w:color w:val="auto"/>
                <w:kern w:val="2"/>
                <w:sz w:val="24"/>
                <w:szCs w:val="24"/>
                <w:highlight w:val="none"/>
                <w:vertAlign w:val="superscript"/>
              </w:rPr>
              <w:t>3</w:t>
            </w:r>
          </w:p>
          <w:tbl>
            <w:tblPr>
              <w:tblStyle w:val="24"/>
              <w:tblW w:w="758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70"/>
              <w:gridCol w:w="963"/>
              <w:gridCol w:w="963"/>
              <w:gridCol w:w="973"/>
              <w:gridCol w:w="973"/>
              <w:gridCol w:w="973"/>
              <w:gridCol w:w="9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70" w:type="dxa"/>
                  <w:vMerge w:val="restart"/>
                  <w:vAlign w:val="center"/>
                </w:tcPr>
                <w:p>
                  <w:pPr>
                    <w:adjustRightInd/>
                    <w:spacing w:line="360" w:lineRule="auto"/>
                    <w:rPr>
                      <w:snapToGrid/>
                      <w:color w:val="auto"/>
                      <w:kern w:val="2"/>
                      <w:sz w:val="21"/>
                      <w:szCs w:val="21"/>
                      <w:highlight w:val="none"/>
                    </w:rPr>
                  </w:pPr>
                  <w:r>
                    <w:rPr>
                      <w:rFonts w:ascii="宋体" w:hAnsi="宋体"/>
                      <w:snapToGrid/>
                      <w:color w:val="auto"/>
                      <w:kern w:val="2"/>
                      <w:sz w:val="21"/>
                      <w:szCs w:val="21"/>
                      <w:highlight w:val="none"/>
                    </w:rPr>
                    <w:t>降尘措施</w:t>
                  </w:r>
                </w:p>
              </w:tc>
              <w:tc>
                <w:tcPr>
                  <w:tcW w:w="5816" w:type="dxa"/>
                  <w:gridSpan w:val="6"/>
                  <w:vAlign w:val="center"/>
                </w:tcPr>
                <w:p>
                  <w:pPr>
                    <w:adjustRightInd/>
                    <w:spacing w:line="360" w:lineRule="auto"/>
                    <w:rPr>
                      <w:snapToGrid/>
                      <w:color w:val="auto"/>
                      <w:kern w:val="2"/>
                      <w:sz w:val="21"/>
                      <w:szCs w:val="21"/>
                      <w:highlight w:val="none"/>
                    </w:rPr>
                  </w:pPr>
                  <w:r>
                    <w:rPr>
                      <w:rFonts w:ascii="宋体" w:hAnsi="宋体"/>
                      <w:snapToGrid/>
                      <w:color w:val="auto"/>
                      <w:kern w:val="2"/>
                      <w:sz w:val="21"/>
                      <w:szCs w:val="21"/>
                      <w:highlight w:val="none"/>
                    </w:rPr>
                    <w:t>工地下风向距离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70" w:type="dxa"/>
                  <w:vMerge w:val="continue"/>
                  <w:vAlign w:val="center"/>
                </w:tcPr>
                <w:p>
                  <w:pPr>
                    <w:widowControl/>
                    <w:adjustRightInd/>
                    <w:snapToGrid/>
                    <w:jc w:val="left"/>
                    <w:rPr>
                      <w:snapToGrid/>
                      <w:color w:val="auto"/>
                      <w:kern w:val="2"/>
                      <w:sz w:val="21"/>
                      <w:szCs w:val="21"/>
                      <w:highlight w:val="none"/>
                    </w:rPr>
                  </w:pPr>
                </w:p>
              </w:tc>
              <w:tc>
                <w:tcPr>
                  <w:tcW w:w="96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20m</w:t>
                  </w:r>
                </w:p>
              </w:tc>
              <w:tc>
                <w:tcPr>
                  <w:tcW w:w="96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50m</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100m</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150m</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200m</w:t>
                  </w:r>
                </w:p>
              </w:tc>
              <w:tc>
                <w:tcPr>
                  <w:tcW w:w="971"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250m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70" w:type="dxa"/>
                  <w:vAlign w:val="center"/>
                </w:tcPr>
                <w:p>
                  <w:pPr>
                    <w:adjustRightInd/>
                    <w:spacing w:line="360" w:lineRule="auto"/>
                    <w:rPr>
                      <w:snapToGrid/>
                      <w:color w:val="auto"/>
                      <w:kern w:val="2"/>
                      <w:sz w:val="21"/>
                      <w:szCs w:val="21"/>
                      <w:highlight w:val="none"/>
                    </w:rPr>
                  </w:pPr>
                  <w:r>
                    <w:rPr>
                      <w:rFonts w:ascii="宋体" w:hAnsi="宋体"/>
                      <w:snapToGrid/>
                      <w:color w:val="auto"/>
                      <w:kern w:val="2"/>
                      <w:sz w:val="21"/>
                      <w:szCs w:val="21"/>
                      <w:highlight w:val="none"/>
                    </w:rPr>
                    <w:t>不采取措施</w:t>
                  </w:r>
                </w:p>
              </w:tc>
              <w:tc>
                <w:tcPr>
                  <w:tcW w:w="96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1.303</w:t>
                  </w:r>
                </w:p>
              </w:tc>
              <w:tc>
                <w:tcPr>
                  <w:tcW w:w="96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0.722</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0.402</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0.311</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0.270</w:t>
                  </w:r>
                </w:p>
              </w:tc>
              <w:tc>
                <w:tcPr>
                  <w:tcW w:w="971"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0.210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770" w:type="dxa"/>
                  <w:vAlign w:val="center"/>
                </w:tcPr>
                <w:p>
                  <w:pPr>
                    <w:adjustRightInd/>
                    <w:spacing w:line="360" w:lineRule="auto"/>
                    <w:rPr>
                      <w:snapToGrid/>
                      <w:color w:val="auto"/>
                      <w:kern w:val="2"/>
                      <w:sz w:val="21"/>
                      <w:szCs w:val="21"/>
                      <w:highlight w:val="none"/>
                    </w:rPr>
                  </w:pPr>
                  <w:r>
                    <w:rPr>
                      <w:rFonts w:ascii="宋体" w:hAnsi="宋体"/>
                      <w:snapToGrid/>
                      <w:color w:val="auto"/>
                      <w:kern w:val="2"/>
                      <w:sz w:val="21"/>
                      <w:szCs w:val="21"/>
                      <w:highlight w:val="none"/>
                    </w:rPr>
                    <w:t>有围挡</w:t>
                  </w:r>
                </w:p>
              </w:tc>
              <w:tc>
                <w:tcPr>
                  <w:tcW w:w="96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0.824</w:t>
                  </w:r>
                </w:p>
              </w:tc>
              <w:tc>
                <w:tcPr>
                  <w:tcW w:w="96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0.426</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0.235</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0.221</w:t>
                  </w:r>
                </w:p>
              </w:tc>
              <w:tc>
                <w:tcPr>
                  <w:tcW w:w="973"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0.215</w:t>
                  </w:r>
                </w:p>
              </w:tc>
              <w:tc>
                <w:tcPr>
                  <w:tcW w:w="971"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0.206</w:t>
                  </w:r>
                </w:p>
              </w:tc>
            </w:tr>
          </w:tbl>
          <w:p>
            <w:pPr>
              <w:adjustRightInd/>
              <w:snapToGri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由表</w:t>
            </w:r>
            <w:r>
              <w:rPr>
                <w:snapToGrid/>
                <w:color w:val="auto"/>
                <w:kern w:val="2"/>
                <w:sz w:val="24"/>
                <w:szCs w:val="24"/>
                <w:highlight w:val="none"/>
              </w:rPr>
              <w:t>4-1</w:t>
            </w:r>
            <w:r>
              <w:rPr>
                <w:rFonts w:ascii="宋体" w:hAnsi="宋体"/>
                <w:snapToGrid/>
                <w:color w:val="auto"/>
                <w:kern w:val="2"/>
                <w:sz w:val="24"/>
                <w:szCs w:val="24"/>
                <w:highlight w:val="none"/>
              </w:rPr>
              <w:t>可见，在无任何防尘措施的情况下，施工现在对周围环境的影响较严重，污染范围在</w:t>
            </w:r>
            <w:r>
              <w:rPr>
                <w:snapToGrid/>
                <w:color w:val="auto"/>
                <w:kern w:val="2"/>
                <w:sz w:val="24"/>
                <w:szCs w:val="24"/>
                <w:highlight w:val="none"/>
              </w:rPr>
              <w:t>150m</w:t>
            </w:r>
            <w:r>
              <w:rPr>
                <w:rFonts w:ascii="宋体" w:hAnsi="宋体"/>
                <w:snapToGrid/>
                <w:color w:val="auto"/>
                <w:kern w:val="2"/>
                <w:sz w:val="24"/>
                <w:szCs w:val="24"/>
                <w:highlight w:val="none"/>
              </w:rPr>
              <w:t>范围内，而在有防尘措施的情况下，污染范围将至</w:t>
            </w:r>
            <w:r>
              <w:rPr>
                <w:snapToGrid/>
                <w:color w:val="auto"/>
                <w:kern w:val="2"/>
                <w:sz w:val="24"/>
                <w:szCs w:val="24"/>
                <w:highlight w:val="none"/>
              </w:rPr>
              <w:t>50m</w:t>
            </w:r>
            <w:r>
              <w:rPr>
                <w:rFonts w:ascii="宋体" w:hAnsi="宋体"/>
                <w:snapToGrid/>
                <w:color w:val="auto"/>
                <w:kern w:val="2"/>
                <w:sz w:val="24"/>
                <w:szCs w:val="24"/>
                <w:highlight w:val="none"/>
              </w:rPr>
              <w:t>范围内。</w:t>
            </w:r>
          </w:p>
          <w:p>
            <w:pPr>
              <w:adjustRightInd/>
              <w:snapToGrid/>
              <w:spacing w:line="360" w:lineRule="auto"/>
              <w:ind w:firstLine="480" w:firstLineChars="200"/>
              <w:jc w:val="both"/>
              <w:rPr>
                <w:snapToGrid/>
                <w:color w:val="auto"/>
                <w:kern w:val="2"/>
                <w:sz w:val="24"/>
                <w:szCs w:val="24"/>
                <w:highlight w:val="none"/>
              </w:rPr>
            </w:pPr>
            <w:r>
              <w:rPr>
                <w:rFonts w:hint="eastAsia" w:ascii="宋体" w:hAnsi="宋体"/>
                <w:snapToGrid/>
                <w:color w:val="auto"/>
                <w:kern w:val="2"/>
                <w:sz w:val="24"/>
                <w:szCs w:val="24"/>
                <w:highlight w:val="none"/>
              </w:rPr>
              <w:t>①</w:t>
            </w:r>
            <w:r>
              <w:rPr>
                <w:rFonts w:ascii="宋体" w:hAnsi="宋体"/>
                <w:snapToGrid/>
                <w:color w:val="auto"/>
                <w:kern w:val="2"/>
                <w:sz w:val="24"/>
                <w:szCs w:val="24"/>
                <w:highlight w:val="none"/>
              </w:rPr>
              <w:t>运输过程中的扬尘</w:t>
            </w:r>
          </w:p>
          <w:p>
            <w:pPr>
              <w:adjustRightInd/>
              <w:snapToGri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根据有关调查，施工工地的扬尘主要是由运输车辆行驶产生，与道路路面情况及车辆行驶速度有关，约占总扬尘量的</w:t>
            </w:r>
            <w:r>
              <w:rPr>
                <w:snapToGrid/>
                <w:color w:val="auto"/>
                <w:kern w:val="2"/>
                <w:sz w:val="24"/>
                <w:szCs w:val="24"/>
                <w:highlight w:val="none"/>
              </w:rPr>
              <w:t>60%</w:t>
            </w:r>
            <w:r>
              <w:rPr>
                <w:rFonts w:ascii="宋体" w:hAnsi="宋体"/>
                <w:snapToGrid/>
                <w:color w:val="auto"/>
                <w:kern w:val="2"/>
                <w:sz w:val="24"/>
                <w:szCs w:val="24"/>
                <w:highlight w:val="none"/>
              </w:rPr>
              <w:t>。在完全干旱情况下，可以按公式计算：</w:t>
            </w:r>
          </w:p>
          <w:p>
            <w:pPr>
              <w:adjustRightInd/>
              <w:snapToGrid/>
              <w:spacing w:line="360" w:lineRule="auto"/>
              <w:rPr>
                <w:snapToGrid/>
                <w:color w:val="auto"/>
                <w:kern w:val="2"/>
                <w:sz w:val="24"/>
                <w:szCs w:val="24"/>
                <w:highlight w:val="none"/>
              </w:rPr>
            </w:pPr>
            <w:r>
              <w:rPr>
                <w:rFonts w:ascii="宋体" w:hAnsi="宋体" w:cs="宋体"/>
                <w:snapToGrid/>
                <w:color w:val="auto"/>
                <w:kern w:val="2"/>
                <w:sz w:val="24"/>
                <w:szCs w:val="24"/>
                <w:highlight w:val="none"/>
              </w:rPr>
              <w:drawing>
                <wp:inline distT="0" distB="0" distL="0" distR="0">
                  <wp:extent cx="3268345" cy="423545"/>
                  <wp:effectExtent l="0" t="0" r="0" b="0"/>
                  <wp:docPr id="53" name="图片 53" descr="C:\Users\ADMINI~1\AppData\Local\Temp\ksohtml5936\wp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1\AppData\Local\Temp\ksohtml5936\wps1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3282854" cy="425600"/>
                          </a:xfrm>
                          <a:prstGeom prst="rect">
                            <a:avLst/>
                          </a:prstGeom>
                          <a:noFill/>
                          <a:ln>
                            <a:noFill/>
                          </a:ln>
                        </pic:spPr>
                      </pic:pic>
                    </a:graphicData>
                  </a:graphic>
                </wp:inline>
              </w:drawing>
            </w:r>
            <w:r>
              <w:rPr>
                <w:snapToGrid/>
                <w:color w:val="auto"/>
                <w:kern w:val="2"/>
                <w:sz w:val="24"/>
                <w:szCs w:val="24"/>
                <w:highlight w:val="none"/>
              </w:rPr>
              <w:t xml:space="preserve"> </w:t>
            </w:r>
          </w:p>
          <w:p>
            <w:pPr>
              <w:adjustRightInd/>
              <w:snapToGrid/>
              <w:spacing w:line="360" w:lineRule="auto"/>
              <w:jc w:val="both"/>
              <w:rPr>
                <w:snapToGrid/>
                <w:color w:val="auto"/>
                <w:kern w:val="2"/>
                <w:sz w:val="24"/>
                <w:szCs w:val="24"/>
                <w:highlight w:val="none"/>
              </w:rPr>
            </w:pPr>
            <w:r>
              <w:rPr>
                <w:rFonts w:ascii="宋体" w:hAnsi="宋体"/>
                <w:snapToGrid/>
                <w:color w:val="auto"/>
                <w:kern w:val="2"/>
                <w:sz w:val="24"/>
                <w:szCs w:val="24"/>
                <w:highlight w:val="none"/>
              </w:rPr>
              <w:t>式中：</w:t>
            </w:r>
            <w:r>
              <w:rPr>
                <w:snapToGrid/>
                <w:color w:val="auto"/>
                <w:kern w:val="2"/>
                <w:sz w:val="24"/>
                <w:szCs w:val="24"/>
                <w:highlight w:val="none"/>
              </w:rPr>
              <w:t>Q</w:t>
            </w:r>
            <w:r>
              <w:rPr>
                <w:rFonts w:ascii="宋体" w:hAnsi="宋体"/>
                <w:snapToGrid/>
                <w:color w:val="auto"/>
                <w:kern w:val="2"/>
                <w:sz w:val="24"/>
                <w:szCs w:val="24"/>
                <w:highlight w:val="none"/>
              </w:rPr>
              <w:t>：汽车行驶的扬尘，</w:t>
            </w:r>
            <w:r>
              <w:rPr>
                <w:snapToGrid/>
                <w:color w:val="auto"/>
                <w:kern w:val="2"/>
                <w:sz w:val="24"/>
                <w:szCs w:val="24"/>
                <w:highlight w:val="none"/>
              </w:rPr>
              <w:t>kg/km·</w:t>
            </w:r>
            <w:r>
              <w:rPr>
                <w:rFonts w:ascii="宋体" w:hAnsi="宋体"/>
                <w:snapToGrid/>
                <w:color w:val="auto"/>
                <w:kern w:val="2"/>
                <w:sz w:val="24"/>
                <w:szCs w:val="24"/>
                <w:highlight w:val="none"/>
              </w:rPr>
              <w:t>辆；</w:t>
            </w:r>
          </w:p>
          <w:p>
            <w:pPr>
              <w:adjustRightInd/>
              <w:snapToGri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V</w:t>
            </w:r>
            <w:r>
              <w:rPr>
                <w:rFonts w:ascii="宋体" w:hAnsi="宋体"/>
                <w:snapToGrid/>
                <w:color w:val="auto"/>
                <w:kern w:val="2"/>
                <w:sz w:val="24"/>
                <w:szCs w:val="24"/>
                <w:highlight w:val="none"/>
              </w:rPr>
              <w:t>：汽车行驶速度，</w:t>
            </w:r>
            <w:r>
              <w:rPr>
                <w:snapToGrid/>
                <w:color w:val="auto"/>
                <w:kern w:val="2"/>
                <w:sz w:val="24"/>
                <w:szCs w:val="24"/>
                <w:highlight w:val="none"/>
              </w:rPr>
              <w:t>km/h</w:t>
            </w:r>
            <w:r>
              <w:rPr>
                <w:rFonts w:ascii="宋体" w:hAnsi="宋体"/>
                <w:snapToGrid/>
                <w:color w:val="auto"/>
                <w:kern w:val="2"/>
                <w:sz w:val="24"/>
                <w:szCs w:val="24"/>
                <w:highlight w:val="none"/>
              </w:rPr>
              <w:t>；</w:t>
            </w:r>
          </w:p>
          <w:p>
            <w:pPr>
              <w:adjustRightInd/>
              <w:snapToGri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W</w:t>
            </w:r>
            <w:r>
              <w:rPr>
                <w:rFonts w:ascii="宋体" w:hAnsi="宋体"/>
                <w:snapToGrid/>
                <w:color w:val="auto"/>
                <w:kern w:val="2"/>
                <w:sz w:val="24"/>
                <w:szCs w:val="24"/>
                <w:highlight w:val="none"/>
              </w:rPr>
              <w:t>：汽车载重量，吨；</w:t>
            </w:r>
          </w:p>
          <w:p>
            <w:pPr>
              <w:adjustRightInd/>
              <w:snapToGri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P</w:t>
            </w:r>
            <w:r>
              <w:rPr>
                <w:rFonts w:ascii="宋体" w:hAnsi="宋体"/>
                <w:snapToGrid/>
                <w:color w:val="auto"/>
                <w:kern w:val="2"/>
                <w:sz w:val="24"/>
                <w:szCs w:val="24"/>
                <w:highlight w:val="none"/>
              </w:rPr>
              <w:t>：道路表面粉尘量，</w:t>
            </w:r>
            <w:r>
              <w:rPr>
                <w:snapToGrid/>
                <w:color w:val="auto"/>
                <w:kern w:val="2"/>
                <w:sz w:val="24"/>
                <w:szCs w:val="24"/>
                <w:highlight w:val="none"/>
              </w:rPr>
              <w:t>kg/m</w:t>
            </w:r>
            <w:r>
              <w:rPr>
                <w:snapToGrid/>
                <w:color w:val="auto"/>
                <w:kern w:val="2"/>
                <w:sz w:val="24"/>
                <w:szCs w:val="24"/>
                <w:highlight w:val="none"/>
                <w:vertAlign w:val="superscript"/>
              </w:rPr>
              <w:t>2</w:t>
            </w:r>
            <w:r>
              <w:rPr>
                <w:rFonts w:ascii="宋体" w:hAnsi="宋体"/>
                <w:snapToGrid/>
                <w:color w:val="auto"/>
                <w:kern w:val="2"/>
                <w:sz w:val="24"/>
                <w:szCs w:val="24"/>
                <w:highlight w:val="none"/>
              </w:rPr>
              <w:t>。</w:t>
            </w:r>
          </w:p>
          <w:p>
            <w:pPr>
              <w:adjustRightInd/>
              <w:snapToGri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表</w:t>
            </w:r>
            <w:r>
              <w:rPr>
                <w:snapToGrid/>
                <w:color w:val="auto"/>
                <w:kern w:val="2"/>
                <w:sz w:val="24"/>
                <w:szCs w:val="24"/>
                <w:highlight w:val="none"/>
              </w:rPr>
              <w:t>4-</w:t>
            </w:r>
            <w:r>
              <w:rPr>
                <w:rFonts w:hint="eastAsia"/>
                <w:snapToGrid/>
                <w:color w:val="auto"/>
                <w:kern w:val="2"/>
                <w:sz w:val="24"/>
                <w:szCs w:val="24"/>
                <w:highlight w:val="none"/>
                <w:lang w:val="en-US" w:eastAsia="zh-CN"/>
              </w:rPr>
              <w:t>1</w:t>
            </w:r>
            <w:r>
              <w:rPr>
                <w:rFonts w:ascii="宋体" w:hAnsi="宋体"/>
                <w:snapToGrid/>
                <w:color w:val="auto"/>
                <w:kern w:val="2"/>
                <w:sz w:val="24"/>
                <w:szCs w:val="24"/>
                <w:highlight w:val="none"/>
              </w:rPr>
              <w:t>为一辆</w:t>
            </w:r>
            <w:r>
              <w:rPr>
                <w:snapToGrid/>
                <w:color w:val="auto"/>
                <w:kern w:val="2"/>
                <w:sz w:val="24"/>
                <w:szCs w:val="24"/>
                <w:highlight w:val="none"/>
              </w:rPr>
              <w:t>10</w:t>
            </w:r>
            <w:r>
              <w:rPr>
                <w:rFonts w:ascii="宋体" w:hAnsi="宋体"/>
                <w:snapToGrid/>
                <w:color w:val="auto"/>
                <w:kern w:val="2"/>
                <w:sz w:val="24"/>
                <w:szCs w:val="24"/>
                <w:highlight w:val="none"/>
              </w:rPr>
              <w:t>吨的卡车，通过一段长度</w:t>
            </w:r>
            <w:r>
              <w:rPr>
                <w:snapToGrid/>
                <w:color w:val="auto"/>
                <w:kern w:val="2"/>
                <w:sz w:val="24"/>
                <w:szCs w:val="24"/>
                <w:highlight w:val="none"/>
              </w:rPr>
              <w:t>1km</w:t>
            </w:r>
            <w:r>
              <w:rPr>
                <w:rFonts w:ascii="宋体" w:hAnsi="宋体"/>
                <w:snapToGrid/>
                <w:color w:val="auto"/>
                <w:kern w:val="2"/>
                <w:sz w:val="24"/>
                <w:szCs w:val="24"/>
                <w:highlight w:val="none"/>
              </w:rPr>
              <w:t>的路面时，不同路面清洁程度，不同行驶速度情况下的扬尘量。由此可见，在同样路面清洁程度下，车速越快，扬尘量越大；而在同样车速情况下，路面越脏，则扬尘量越大。因此，限制车辆行驶速度、保持路面清洁，是减少汽车扬尘的有效手段。</w:t>
            </w:r>
          </w:p>
          <w:p>
            <w:pPr>
              <w:adjustRightInd/>
              <w:snapToGrid/>
              <w:spacing w:line="360" w:lineRule="auto"/>
              <w:rPr>
                <w:b/>
                <w:snapToGrid/>
                <w:color w:val="auto"/>
                <w:kern w:val="2"/>
                <w:sz w:val="24"/>
                <w:szCs w:val="24"/>
                <w:highlight w:val="none"/>
              </w:rPr>
            </w:pPr>
            <w:r>
              <w:rPr>
                <w:rFonts w:ascii="宋体" w:hAnsi="宋体"/>
                <w:b/>
                <w:snapToGrid/>
                <w:color w:val="auto"/>
                <w:kern w:val="2"/>
                <w:sz w:val="24"/>
                <w:szCs w:val="24"/>
                <w:highlight w:val="none"/>
              </w:rPr>
              <mc:AlternateContent>
                <mc:Choice Requires="wps">
                  <w:drawing>
                    <wp:anchor distT="0" distB="0" distL="114300" distR="114300" simplePos="0" relativeHeight="251661312" behindDoc="0" locked="0" layoutInCell="1" allowOverlap="1">
                      <wp:simplePos x="0" y="0"/>
                      <wp:positionH relativeFrom="column">
                        <wp:posOffset>9525</wp:posOffset>
                      </wp:positionH>
                      <wp:positionV relativeFrom="paragraph">
                        <wp:posOffset>320675</wp:posOffset>
                      </wp:positionV>
                      <wp:extent cx="960120" cy="349250"/>
                      <wp:effectExtent l="1905" t="4445" r="9525" b="8255"/>
                      <wp:wrapNone/>
                      <wp:docPr id="56" name="直接连接符 56"/>
                      <wp:cNvGraphicFramePr/>
                      <a:graphic xmlns:a="http://schemas.openxmlformats.org/drawingml/2006/main">
                        <a:graphicData uri="http://schemas.microsoft.com/office/word/2010/wordprocessingShape">
                          <wps:wsp>
                            <wps:cNvCnPr/>
                            <wps:spPr>
                              <a:xfrm>
                                <a:off x="0" y="0"/>
                                <a:ext cx="960120" cy="349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75pt;margin-top:25.25pt;height:27.5pt;width:75.6pt;z-index:251661312;mso-width-relative:page;mso-height-relative:page;" filled="f" stroked="t" coordsize="21600,21600" o:gfxdata="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3I69X1QAA&#10;AAgBAAAPAAAAAAAAAAEAIAAAACIAAABkcnMvZG93bnJldi54bWxQSwECFAAUAAAACACHTuJA9cMs&#10;cegBAAC3AwAADgAAAAAAAAABACAAAAAkAQAAZHJzL2Uyb0RvYy54bWxQSwUGAAAAAAYABgBZAQAA&#10;fgUAAAAA&#10;">
                      <v:fill on="f" focussize="0,0"/>
                      <v:stroke weight="0.5pt" color="#000000 [3213]" miterlimit="8" joinstyle="miter"/>
                      <v:imagedata o:title=""/>
                      <o:lock v:ext="edit" aspectratio="f"/>
                    </v:line>
                  </w:pict>
                </mc:Fallback>
              </mc:AlternateContent>
            </w:r>
            <w:r>
              <w:rPr>
                <w:rFonts w:ascii="宋体" w:hAnsi="宋体"/>
                <w:b/>
                <w:snapToGrid/>
                <w:color w:val="auto"/>
                <w:kern w:val="2"/>
                <w:sz w:val="24"/>
                <w:szCs w:val="24"/>
                <w:highlight w:val="none"/>
              </w:rPr>
              <w:t>表</w:t>
            </w:r>
            <w:r>
              <w:rPr>
                <w:b/>
                <w:snapToGrid/>
                <w:color w:val="auto"/>
                <w:kern w:val="2"/>
                <w:sz w:val="24"/>
                <w:szCs w:val="24"/>
                <w:highlight w:val="none"/>
              </w:rPr>
              <w:t xml:space="preserve">4-2  </w:t>
            </w:r>
            <w:r>
              <w:rPr>
                <w:rFonts w:ascii="宋体" w:hAnsi="宋体"/>
                <w:b/>
                <w:snapToGrid/>
                <w:color w:val="auto"/>
                <w:kern w:val="2"/>
                <w:sz w:val="24"/>
                <w:szCs w:val="24"/>
                <w:highlight w:val="none"/>
              </w:rPr>
              <w:t>不同路面清洁程度、不同行驶速度的汽车扬尘（</w:t>
            </w:r>
            <w:r>
              <w:rPr>
                <w:b/>
                <w:snapToGrid/>
                <w:color w:val="auto"/>
                <w:kern w:val="2"/>
                <w:sz w:val="24"/>
                <w:szCs w:val="24"/>
                <w:highlight w:val="none"/>
              </w:rPr>
              <w:t>kg/</w:t>
            </w:r>
            <w:r>
              <w:rPr>
                <w:rFonts w:ascii="宋体" w:hAnsi="宋体"/>
                <w:b/>
                <w:snapToGrid/>
                <w:color w:val="auto"/>
                <w:kern w:val="2"/>
                <w:sz w:val="24"/>
                <w:szCs w:val="24"/>
                <w:highlight w:val="none"/>
              </w:rPr>
              <w:t>辆</w:t>
            </w:r>
            <w:r>
              <w:rPr>
                <w:b/>
                <w:snapToGrid/>
                <w:color w:val="auto"/>
                <w:kern w:val="2"/>
                <w:sz w:val="24"/>
                <w:szCs w:val="24"/>
                <w:highlight w:val="none"/>
              </w:rPr>
              <w:t>·km</w:t>
            </w:r>
            <w:r>
              <w:rPr>
                <w:rFonts w:ascii="宋体" w:hAnsi="宋体"/>
                <w:b/>
                <w:snapToGrid/>
                <w:color w:val="auto"/>
                <w:kern w:val="2"/>
                <w:sz w:val="24"/>
                <w:szCs w:val="24"/>
                <w:highlight w:val="none"/>
              </w:rPr>
              <w:t>）</w:t>
            </w:r>
          </w:p>
          <w:tbl>
            <w:tblPr>
              <w:tblStyle w:val="24"/>
              <w:tblW w:w="758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33"/>
              <w:gridCol w:w="1025"/>
              <w:gridCol w:w="1026"/>
              <w:gridCol w:w="1026"/>
              <w:gridCol w:w="1026"/>
              <w:gridCol w:w="1027"/>
              <w:gridCol w:w="10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pPr>
                    <w:adjustRightInd/>
                    <w:jc w:val="right"/>
                    <w:rPr>
                      <w:rFonts w:hint="eastAsia"/>
                      <w:snapToGrid/>
                      <w:color w:val="auto"/>
                      <w:kern w:val="2"/>
                      <w:sz w:val="21"/>
                      <w:szCs w:val="21"/>
                      <w:highlight w:val="none"/>
                    </w:rPr>
                  </w:pPr>
                  <w:r>
                    <w:rPr>
                      <w:rFonts w:ascii="宋体" w:hAnsi="宋体"/>
                      <w:snapToGrid/>
                      <w:color w:val="auto"/>
                      <w:kern w:val="2"/>
                      <w:sz w:val="21"/>
                      <w:szCs w:val="21"/>
                      <w:highlight w:val="none"/>
                    </w:rPr>
                    <w:t>清洁度</w:t>
                  </w:r>
                </w:p>
                <w:p>
                  <w:pPr>
                    <w:adjustRightInd/>
                    <w:jc w:val="left"/>
                    <w:rPr>
                      <w:snapToGrid/>
                      <w:color w:val="auto"/>
                      <w:kern w:val="2"/>
                      <w:sz w:val="21"/>
                      <w:szCs w:val="21"/>
                      <w:highlight w:val="none"/>
                    </w:rPr>
                  </w:pPr>
                  <w:r>
                    <w:rPr>
                      <w:rFonts w:ascii="宋体" w:hAnsi="宋体"/>
                      <w:snapToGrid/>
                      <w:color w:val="auto"/>
                      <w:kern w:val="2"/>
                      <w:sz w:val="21"/>
                      <w:szCs w:val="21"/>
                      <w:highlight w:val="none"/>
                    </w:rPr>
                    <w:t>车速</w:t>
                  </w:r>
                </w:p>
              </w:tc>
              <w:tc>
                <w:tcPr>
                  <w:tcW w:w="1025" w:type="dxa"/>
                  <w:vAlign w:val="center"/>
                </w:tcPr>
                <w:p>
                  <w:pPr>
                    <w:adjustRightInd/>
                    <w:rPr>
                      <w:snapToGrid/>
                      <w:color w:val="auto"/>
                      <w:kern w:val="2"/>
                      <w:sz w:val="21"/>
                      <w:szCs w:val="21"/>
                      <w:highlight w:val="none"/>
                    </w:rPr>
                  </w:pPr>
                  <w:r>
                    <w:rPr>
                      <w:snapToGrid/>
                      <w:color w:val="auto"/>
                      <w:kern w:val="2"/>
                      <w:sz w:val="21"/>
                      <w:szCs w:val="21"/>
                      <w:highlight w:val="none"/>
                    </w:rPr>
                    <w:t>0.1kg/m</w:t>
                  </w:r>
                  <w:r>
                    <w:rPr>
                      <w:snapToGrid/>
                      <w:color w:val="auto"/>
                      <w:kern w:val="2"/>
                      <w:sz w:val="21"/>
                      <w:szCs w:val="21"/>
                      <w:highlight w:val="none"/>
                      <w:vertAlign w:val="superscript"/>
                    </w:rPr>
                    <w:t>2</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0.2kg/m</w:t>
                  </w:r>
                  <w:r>
                    <w:rPr>
                      <w:snapToGrid/>
                      <w:color w:val="auto"/>
                      <w:kern w:val="2"/>
                      <w:sz w:val="21"/>
                      <w:szCs w:val="21"/>
                      <w:highlight w:val="none"/>
                      <w:vertAlign w:val="superscript"/>
                    </w:rPr>
                    <w:t>2</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0.3kg/m</w:t>
                  </w:r>
                  <w:r>
                    <w:rPr>
                      <w:snapToGrid/>
                      <w:color w:val="auto"/>
                      <w:kern w:val="2"/>
                      <w:sz w:val="21"/>
                      <w:szCs w:val="21"/>
                      <w:highlight w:val="none"/>
                      <w:vertAlign w:val="superscript"/>
                    </w:rPr>
                    <w:t>2</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0.4kg/m</w:t>
                  </w:r>
                  <w:r>
                    <w:rPr>
                      <w:snapToGrid/>
                      <w:color w:val="auto"/>
                      <w:kern w:val="2"/>
                      <w:sz w:val="21"/>
                      <w:szCs w:val="21"/>
                      <w:highlight w:val="none"/>
                      <w:vertAlign w:val="superscript"/>
                    </w:rPr>
                    <w:t>2</w:t>
                  </w:r>
                </w:p>
              </w:tc>
              <w:tc>
                <w:tcPr>
                  <w:tcW w:w="1027" w:type="dxa"/>
                  <w:vAlign w:val="center"/>
                </w:tcPr>
                <w:p>
                  <w:pPr>
                    <w:adjustRightInd/>
                    <w:rPr>
                      <w:snapToGrid/>
                      <w:color w:val="auto"/>
                      <w:kern w:val="2"/>
                      <w:sz w:val="21"/>
                      <w:szCs w:val="21"/>
                      <w:highlight w:val="none"/>
                    </w:rPr>
                  </w:pPr>
                  <w:r>
                    <w:rPr>
                      <w:snapToGrid/>
                      <w:color w:val="auto"/>
                      <w:kern w:val="2"/>
                      <w:sz w:val="21"/>
                      <w:szCs w:val="21"/>
                      <w:highlight w:val="none"/>
                    </w:rPr>
                    <w:t>0.5kg/m</w:t>
                  </w:r>
                  <w:r>
                    <w:rPr>
                      <w:snapToGrid/>
                      <w:color w:val="auto"/>
                      <w:kern w:val="2"/>
                      <w:sz w:val="21"/>
                      <w:szCs w:val="21"/>
                      <w:highlight w:val="none"/>
                      <w:vertAlign w:val="superscript"/>
                    </w:rPr>
                    <w:t>2</w:t>
                  </w:r>
                </w:p>
              </w:tc>
              <w:tc>
                <w:tcPr>
                  <w:tcW w:w="1023" w:type="dxa"/>
                  <w:vAlign w:val="center"/>
                </w:tcPr>
                <w:p>
                  <w:pPr>
                    <w:adjustRightInd/>
                    <w:rPr>
                      <w:snapToGrid/>
                      <w:color w:val="auto"/>
                      <w:kern w:val="2"/>
                      <w:sz w:val="21"/>
                      <w:szCs w:val="21"/>
                      <w:highlight w:val="none"/>
                    </w:rPr>
                  </w:pPr>
                  <w:r>
                    <w:rPr>
                      <w:snapToGrid/>
                      <w:color w:val="auto"/>
                      <w:kern w:val="2"/>
                      <w:sz w:val="21"/>
                      <w:szCs w:val="21"/>
                      <w:highlight w:val="none"/>
                    </w:rPr>
                    <w:t>1.0kg/m</w:t>
                  </w:r>
                  <w:r>
                    <w:rPr>
                      <w:snapToGrid/>
                      <w:color w:val="auto"/>
                      <w:kern w:val="2"/>
                      <w:sz w:val="21"/>
                      <w:szCs w:val="21"/>
                      <w:highlight w:val="non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pPr>
                    <w:adjustRightInd/>
                    <w:rPr>
                      <w:snapToGrid/>
                      <w:color w:val="auto"/>
                      <w:kern w:val="2"/>
                      <w:sz w:val="21"/>
                      <w:szCs w:val="21"/>
                      <w:highlight w:val="none"/>
                    </w:rPr>
                  </w:pPr>
                  <w:r>
                    <w:rPr>
                      <w:snapToGrid/>
                      <w:color w:val="auto"/>
                      <w:kern w:val="2"/>
                      <w:sz w:val="21"/>
                      <w:szCs w:val="21"/>
                      <w:highlight w:val="none"/>
                    </w:rPr>
                    <w:t>5</w:t>
                  </w:r>
                  <w:r>
                    <w:rPr>
                      <w:rFonts w:ascii="宋体" w:hAnsi="宋体"/>
                      <w:snapToGrid/>
                      <w:color w:val="auto"/>
                      <w:kern w:val="2"/>
                      <w:sz w:val="21"/>
                      <w:szCs w:val="21"/>
                      <w:highlight w:val="none"/>
                    </w:rPr>
                    <w:t>（</w:t>
                  </w:r>
                  <w:r>
                    <w:rPr>
                      <w:snapToGrid/>
                      <w:color w:val="auto"/>
                      <w:kern w:val="2"/>
                      <w:sz w:val="21"/>
                      <w:szCs w:val="21"/>
                      <w:highlight w:val="none"/>
                    </w:rPr>
                    <w:t>km/h</w:t>
                  </w:r>
                  <w:r>
                    <w:rPr>
                      <w:rFonts w:ascii="宋体" w:hAnsi="宋体"/>
                      <w:snapToGrid/>
                      <w:color w:val="auto"/>
                      <w:kern w:val="2"/>
                      <w:sz w:val="21"/>
                      <w:szCs w:val="21"/>
                      <w:highlight w:val="none"/>
                    </w:rPr>
                    <w:t>）</w:t>
                  </w:r>
                </w:p>
              </w:tc>
              <w:tc>
                <w:tcPr>
                  <w:tcW w:w="1025" w:type="dxa"/>
                  <w:vAlign w:val="center"/>
                </w:tcPr>
                <w:p>
                  <w:pPr>
                    <w:adjustRightInd/>
                    <w:rPr>
                      <w:snapToGrid/>
                      <w:color w:val="auto"/>
                      <w:kern w:val="2"/>
                      <w:sz w:val="21"/>
                      <w:szCs w:val="21"/>
                      <w:highlight w:val="none"/>
                    </w:rPr>
                  </w:pPr>
                  <w:r>
                    <w:rPr>
                      <w:snapToGrid/>
                      <w:color w:val="auto"/>
                      <w:kern w:val="2"/>
                      <w:sz w:val="21"/>
                      <w:szCs w:val="21"/>
                      <w:highlight w:val="none"/>
                    </w:rPr>
                    <w:t>0.0511</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0.0856</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0.1164</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0.1444</w:t>
                  </w:r>
                </w:p>
              </w:tc>
              <w:tc>
                <w:tcPr>
                  <w:tcW w:w="1027" w:type="dxa"/>
                  <w:vAlign w:val="center"/>
                </w:tcPr>
                <w:p>
                  <w:pPr>
                    <w:adjustRightInd/>
                    <w:rPr>
                      <w:snapToGrid/>
                      <w:color w:val="auto"/>
                      <w:kern w:val="2"/>
                      <w:sz w:val="21"/>
                      <w:szCs w:val="21"/>
                      <w:highlight w:val="none"/>
                    </w:rPr>
                  </w:pPr>
                  <w:r>
                    <w:rPr>
                      <w:snapToGrid/>
                      <w:color w:val="auto"/>
                      <w:kern w:val="2"/>
                      <w:sz w:val="21"/>
                      <w:szCs w:val="21"/>
                      <w:highlight w:val="none"/>
                    </w:rPr>
                    <w:t>0.1707</w:t>
                  </w:r>
                </w:p>
              </w:tc>
              <w:tc>
                <w:tcPr>
                  <w:tcW w:w="1023" w:type="dxa"/>
                  <w:vAlign w:val="center"/>
                </w:tcPr>
                <w:p>
                  <w:pPr>
                    <w:adjustRightInd/>
                    <w:rPr>
                      <w:snapToGrid/>
                      <w:color w:val="auto"/>
                      <w:kern w:val="2"/>
                      <w:sz w:val="21"/>
                      <w:szCs w:val="21"/>
                      <w:highlight w:val="none"/>
                    </w:rPr>
                  </w:pPr>
                  <w:r>
                    <w:rPr>
                      <w:snapToGrid/>
                      <w:color w:val="auto"/>
                      <w:kern w:val="2"/>
                      <w:sz w:val="21"/>
                      <w:szCs w:val="21"/>
                      <w:highlight w:val="none"/>
                    </w:rPr>
                    <w:t>0.2871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pPr>
                    <w:adjustRightInd/>
                    <w:rPr>
                      <w:snapToGrid/>
                      <w:color w:val="auto"/>
                      <w:kern w:val="2"/>
                      <w:sz w:val="21"/>
                      <w:szCs w:val="21"/>
                      <w:highlight w:val="none"/>
                    </w:rPr>
                  </w:pPr>
                  <w:r>
                    <w:rPr>
                      <w:snapToGrid/>
                      <w:color w:val="auto"/>
                      <w:kern w:val="2"/>
                      <w:sz w:val="21"/>
                      <w:szCs w:val="21"/>
                      <w:highlight w:val="none"/>
                    </w:rPr>
                    <w:t>10</w:t>
                  </w:r>
                  <w:r>
                    <w:rPr>
                      <w:rFonts w:ascii="宋体" w:hAnsi="宋体"/>
                      <w:snapToGrid/>
                      <w:color w:val="auto"/>
                      <w:kern w:val="2"/>
                      <w:sz w:val="21"/>
                      <w:szCs w:val="21"/>
                      <w:highlight w:val="none"/>
                    </w:rPr>
                    <w:t>（</w:t>
                  </w:r>
                  <w:r>
                    <w:rPr>
                      <w:snapToGrid/>
                      <w:color w:val="auto"/>
                      <w:kern w:val="2"/>
                      <w:sz w:val="21"/>
                      <w:szCs w:val="21"/>
                      <w:highlight w:val="none"/>
                    </w:rPr>
                    <w:t>km/h</w:t>
                  </w:r>
                  <w:r>
                    <w:rPr>
                      <w:rFonts w:ascii="宋体" w:hAnsi="宋体"/>
                      <w:snapToGrid/>
                      <w:color w:val="auto"/>
                      <w:kern w:val="2"/>
                      <w:sz w:val="21"/>
                      <w:szCs w:val="21"/>
                      <w:highlight w:val="none"/>
                    </w:rPr>
                    <w:t>）</w:t>
                  </w:r>
                </w:p>
              </w:tc>
              <w:tc>
                <w:tcPr>
                  <w:tcW w:w="1025" w:type="dxa"/>
                  <w:vAlign w:val="center"/>
                </w:tcPr>
                <w:p>
                  <w:pPr>
                    <w:adjustRightInd/>
                    <w:rPr>
                      <w:snapToGrid/>
                      <w:color w:val="auto"/>
                      <w:kern w:val="2"/>
                      <w:sz w:val="21"/>
                      <w:szCs w:val="21"/>
                      <w:highlight w:val="none"/>
                    </w:rPr>
                  </w:pPr>
                  <w:r>
                    <w:rPr>
                      <w:snapToGrid/>
                      <w:color w:val="auto"/>
                      <w:kern w:val="2"/>
                      <w:sz w:val="21"/>
                      <w:szCs w:val="21"/>
                      <w:highlight w:val="none"/>
                    </w:rPr>
                    <w:t>0.1021</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0.1717</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0.2328</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0.2888</w:t>
                  </w:r>
                </w:p>
              </w:tc>
              <w:tc>
                <w:tcPr>
                  <w:tcW w:w="1027" w:type="dxa"/>
                  <w:vAlign w:val="center"/>
                </w:tcPr>
                <w:p>
                  <w:pPr>
                    <w:adjustRightInd/>
                    <w:rPr>
                      <w:snapToGrid/>
                      <w:color w:val="auto"/>
                      <w:kern w:val="2"/>
                      <w:sz w:val="21"/>
                      <w:szCs w:val="21"/>
                      <w:highlight w:val="none"/>
                    </w:rPr>
                  </w:pPr>
                  <w:r>
                    <w:rPr>
                      <w:snapToGrid/>
                      <w:color w:val="auto"/>
                      <w:kern w:val="2"/>
                      <w:sz w:val="21"/>
                      <w:szCs w:val="21"/>
                      <w:highlight w:val="none"/>
                    </w:rPr>
                    <w:t>0.3414</w:t>
                  </w:r>
                </w:p>
              </w:tc>
              <w:tc>
                <w:tcPr>
                  <w:tcW w:w="1023" w:type="dxa"/>
                  <w:vAlign w:val="center"/>
                </w:tcPr>
                <w:p>
                  <w:pPr>
                    <w:adjustRightInd/>
                    <w:rPr>
                      <w:snapToGrid/>
                      <w:color w:val="auto"/>
                      <w:kern w:val="2"/>
                      <w:sz w:val="21"/>
                      <w:szCs w:val="21"/>
                      <w:highlight w:val="none"/>
                    </w:rPr>
                  </w:pPr>
                  <w:r>
                    <w:rPr>
                      <w:snapToGrid/>
                      <w:color w:val="auto"/>
                      <w:kern w:val="2"/>
                      <w:sz w:val="21"/>
                      <w:szCs w:val="21"/>
                      <w:highlight w:val="none"/>
                    </w:rPr>
                    <w:t>0.5742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pPr>
                    <w:adjustRightInd/>
                    <w:rPr>
                      <w:snapToGrid/>
                      <w:color w:val="auto"/>
                      <w:kern w:val="2"/>
                      <w:sz w:val="21"/>
                      <w:szCs w:val="21"/>
                      <w:highlight w:val="none"/>
                    </w:rPr>
                  </w:pPr>
                  <w:r>
                    <w:rPr>
                      <w:snapToGrid/>
                      <w:color w:val="auto"/>
                      <w:kern w:val="2"/>
                      <w:sz w:val="21"/>
                      <w:szCs w:val="21"/>
                      <w:highlight w:val="none"/>
                    </w:rPr>
                    <w:t>15</w:t>
                  </w:r>
                  <w:r>
                    <w:rPr>
                      <w:rFonts w:ascii="宋体" w:hAnsi="宋体"/>
                      <w:snapToGrid/>
                      <w:color w:val="auto"/>
                      <w:kern w:val="2"/>
                      <w:sz w:val="21"/>
                      <w:szCs w:val="21"/>
                      <w:highlight w:val="none"/>
                    </w:rPr>
                    <w:t>（</w:t>
                  </w:r>
                  <w:r>
                    <w:rPr>
                      <w:snapToGrid/>
                      <w:color w:val="auto"/>
                      <w:kern w:val="2"/>
                      <w:sz w:val="21"/>
                      <w:szCs w:val="21"/>
                      <w:highlight w:val="none"/>
                    </w:rPr>
                    <w:t>km/h</w:t>
                  </w:r>
                  <w:r>
                    <w:rPr>
                      <w:rFonts w:ascii="宋体" w:hAnsi="宋体"/>
                      <w:snapToGrid/>
                      <w:color w:val="auto"/>
                      <w:kern w:val="2"/>
                      <w:sz w:val="21"/>
                      <w:szCs w:val="21"/>
                      <w:highlight w:val="none"/>
                    </w:rPr>
                    <w:t>）</w:t>
                  </w:r>
                </w:p>
              </w:tc>
              <w:tc>
                <w:tcPr>
                  <w:tcW w:w="1025" w:type="dxa"/>
                  <w:vAlign w:val="center"/>
                </w:tcPr>
                <w:p>
                  <w:pPr>
                    <w:adjustRightInd/>
                    <w:rPr>
                      <w:snapToGrid/>
                      <w:color w:val="auto"/>
                      <w:kern w:val="2"/>
                      <w:sz w:val="21"/>
                      <w:szCs w:val="21"/>
                      <w:highlight w:val="none"/>
                    </w:rPr>
                  </w:pPr>
                  <w:r>
                    <w:rPr>
                      <w:snapToGrid/>
                      <w:color w:val="auto"/>
                      <w:kern w:val="2"/>
                      <w:sz w:val="21"/>
                      <w:szCs w:val="21"/>
                      <w:highlight w:val="none"/>
                    </w:rPr>
                    <w:t>0.1532</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0.2576</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0.3491</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0.4332</w:t>
                  </w:r>
                </w:p>
              </w:tc>
              <w:tc>
                <w:tcPr>
                  <w:tcW w:w="1027" w:type="dxa"/>
                  <w:vAlign w:val="center"/>
                </w:tcPr>
                <w:p>
                  <w:pPr>
                    <w:adjustRightInd/>
                    <w:rPr>
                      <w:snapToGrid/>
                      <w:color w:val="auto"/>
                      <w:kern w:val="2"/>
                      <w:sz w:val="21"/>
                      <w:szCs w:val="21"/>
                      <w:highlight w:val="none"/>
                    </w:rPr>
                  </w:pPr>
                  <w:r>
                    <w:rPr>
                      <w:snapToGrid/>
                      <w:color w:val="auto"/>
                      <w:kern w:val="2"/>
                      <w:sz w:val="21"/>
                      <w:szCs w:val="21"/>
                      <w:highlight w:val="none"/>
                    </w:rPr>
                    <w:t>0.5121</w:t>
                  </w:r>
                </w:p>
              </w:tc>
              <w:tc>
                <w:tcPr>
                  <w:tcW w:w="1023" w:type="dxa"/>
                  <w:vAlign w:val="center"/>
                </w:tcPr>
                <w:p>
                  <w:pPr>
                    <w:adjustRightInd/>
                    <w:rPr>
                      <w:snapToGrid/>
                      <w:color w:val="auto"/>
                      <w:kern w:val="2"/>
                      <w:sz w:val="21"/>
                      <w:szCs w:val="21"/>
                      <w:highlight w:val="none"/>
                    </w:rPr>
                  </w:pPr>
                  <w:r>
                    <w:rPr>
                      <w:snapToGrid/>
                      <w:color w:val="auto"/>
                      <w:kern w:val="2"/>
                      <w:sz w:val="21"/>
                      <w:szCs w:val="21"/>
                      <w:highlight w:val="none"/>
                    </w:rPr>
                    <w:t>0.8613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pPr>
                    <w:adjustRightInd/>
                    <w:rPr>
                      <w:snapToGrid/>
                      <w:color w:val="auto"/>
                      <w:kern w:val="2"/>
                      <w:sz w:val="21"/>
                      <w:szCs w:val="21"/>
                      <w:highlight w:val="none"/>
                    </w:rPr>
                  </w:pPr>
                  <w:r>
                    <w:rPr>
                      <w:snapToGrid/>
                      <w:color w:val="auto"/>
                      <w:kern w:val="2"/>
                      <w:sz w:val="21"/>
                      <w:szCs w:val="21"/>
                      <w:highlight w:val="none"/>
                    </w:rPr>
                    <w:t>25</w:t>
                  </w:r>
                  <w:r>
                    <w:rPr>
                      <w:rFonts w:ascii="宋体" w:hAnsi="宋体"/>
                      <w:snapToGrid/>
                      <w:color w:val="auto"/>
                      <w:kern w:val="2"/>
                      <w:sz w:val="21"/>
                      <w:szCs w:val="21"/>
                      <w:highlight w:val="none"/>
                    </w:rPr>
                    <w:t>（</w:t>
                  </w:r>
                  <w:r>
                    <w:rPr>
                      <w:snapToGrid/>
                      <w:color w:val="auto"/>
                      <w:kern w:val="2"/>
                      <w:sz w:val="21"/>
                      <w:szCs w:val="21"/>
                      <w:highlight w:val="none"/>
                    </w:rPr>
                    <w:t>km/h</w:t>
                  </w:r>
                  <w:r>
                    <w:rPr>
                      <w:rFonts w:ascii="宋体" w:hAnsi="宋体"/>
                      <w:snapToGrid/>
                      <w:color w:val="auto"/>
                      <w:kern w:val="2"/>
                      <w:sz w:val="21"/>
                      <w:szCs w:val="21"/>
                      <w:highlight w:val="none"/>
                    </w:rPr>
                    <w:t>）</w:t>
                  </w:r>
                </w:p>
              </w:tc>
              <w:tc>
                <w:tcPr>
                  <w:tcW w:w="1025" w:type="dxa"/>
                  <w:vAlign w:val="center"/>
                </w:tcPr>
                <w:p>
                  <w:pPr>
                    <w:adjustRightInd/>
                    <w:rPr>
                      <w:snapToGrid/>
                      <w:color w:val="auto"/>
                      <w:kern w:val="2"/>
                      <w:sz w:val="21"/>
                      <w:szCs w:val="21"/>
                      <w:highlight w:val="none"/>
                    </w:rPr>
                  </w:pPr>
                  <w:r>
                    <w:rPr>
                      <w:snapToGrid/>
                      <w:color w:val="auto"/>
                      <w:kern w:val="2"/>
                      <w:sz w:val="21"/>
                      <w:szCs w:val="21"/>
                      <w:highlight w:val="none"/>
                    </w:rPr>
                    <w:t>0.2553</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0.4293</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0.5819</w:t>
                  </w:r>
                </w:p>
              </w:tc>
              <w:tc>
                <w:tcPr>
                  <w:tcW w:w="1026" w:type="dxa"/>
                  <w:vAlign w:val="center"/>
                </w:tcPr>
                <w:p>
                  <w:pPr>
                    <w:adjustRightInd/>
                    <w:rPr>
                      <w:snapToGrid/>
                      <w:color w:val="auto"/>
                      <w:kern w:val="2"/>
                      <w:sz w:val="21"/>
                      <w:szCs w:val="21"/>
                      <w:highlight w:val="none"/>
                    </w:rPr>
                  </w:pPr>
                  <w:r>
                    <w:rPr>
                      <w:snapToGrid/>
                      <w:color w:val="auto"/>
                      <w:kern w:val="2"/>
                      <w:sz w:val="21"/>
                      <w:szCs w:val="21"/>
                      <w:highlight w:val="none"/>
                    </w:rPr>
                    <w:t>0.7220</w:t>
                  </w:r>
                </w:p>
              </w:tc>
              <w:tc>
                <w:tcPr>
                  <w:tcW w:w="1027" w:type="dxa"/>
                  <w:vAlign w:val="center"/>
                </w:tcPr>
                <w:p>
                  <w:pPr>
                    <w:adjustRightInd/>
                    <w:rPr>
                      <w:snapToGrid/>
                      <w:color w:val="auto"/>
                      <w:kern w:val="2"/>
                      <w:sz w:val="21"/>
                      <w:szCs w:val="21"/>
                      <w:highlight w:val="none"/>
                    </w:rPr>
                  </w:pPr>
                  <w:r>
                    <w:rPr>
                      <w:snapToGrid/>
                      <w:color w:val="auto"/>
                      <w:kern w:val="2"/>
                      <w:sz w:val="21"/>
                      <w:szCs w:val="21"/>
                      <w:highlight w:val="none"/>
                    </w:rPr>
                    <w:t>0.8536</w:t>
                  </w:r>
                </w:p>
              </w:tc>
              <w:tc>
                <w:tcPr>
                  <w:tcW w:w="1023" w:type="dxa"/>
                  <w:vAlign w:val="center"/>
                </w:tcPr>
                <w:p>
                  <w:pPr>
                    <w:adjustRightInd/>
                    <w:rPr>
                      <w:snapToGrid/>
                      <w:color w:val="auto"/>
                      <w:kern w:val="2"/>
                      <w:sz w:val="21"/>
                      <w:szCs w:val="21"/>
                      <w:highlight w:val="none"/>
                    </w:rPr>
                  </w:pPr>
                  <w:r>
                    <w:rPr>
                      <w:snapToGrid/>
                      <w:color w:val="auto"/>
                      <w:kern w:val="2"/>
                      <w:sz w:val="21"/>
                      <w:szCs w:val="21"/>
                      <w:highlight w:val="none"/>
                    </w:rPr>
                    <w:t>1.4255</w:t>
                  </w:r>
                </w:p>
              </w:tc>
            </w:tr>
          </w:tbl>
          <w:p>
            <w:pPr>
              <w:adjustRightInd/>
              <w:snapToGri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由表</w:t>
            </w:r>
            <w:r>
              <w:rPr>
                <w:snapToGrid/>
                <w:color w:val="auto"/>
                <w:kern w:val="2"/>
                <w:sz w:val="24"/>
                <w:szCs w:val="24"/>
                <w:highlight w:val="none"/>
              </w:rPr>
              <w:t>4-2</w:t>
            </w:r>
            <w:r>
              <w:rPr>
                <w:rFonts w:ascii="宋体" w:hAnsi="宋体"/>
                <w:snapToGrid/>
                <w:color w:val="auto"/>
                <w:kern w:val="2"/>
                <w:sz w:val="24"/>
                <w:szCs w:val="24"/>
                <w:highlight w:val="none"/>
              </w:rPr>
              <w:t>可见，在同样路面清洁程度下，车速越快，扬尘量越大；而在同样车速情况下，路面越脏，则扬尘量越大。因此，限制车辆行驶速度、保持路面清洁，是减少汽车扬尘的有效手段。根据类比调查，施工场地、施工道路在自然风作用下产生的扬尘所影响的范围在</w:t>
            </w:r>
            <w:r>
              <w:rPr>
                <w:snapToGrid/>
                <w:color w:val="auto"/>
                <w:kern w:val="2"/>
                <w:sz w:val="24"/>
                <w:szCs w:val="24"/>
                <w:highlight w:val="none"/>
              </w:rPr>
              <w:t>100m</w:t>
            </w:r>
            <w:r>
              <w:rPr>
                <w:rFonts w:ascii="宋体" w:hAnsi="宋体"/>
                <w:snapToGrid/>
                <w:color w:val="auto"/>
                <w:kern w:val="2"/>
                <w:sz w:val="24"/>
                <w:szCs w:val="24"/>
                <w:highlight w:val="none"/>
              </w:rPr>
              <w:t>以内。</w:t>
            </w:r>
          </w:p>
          <w:p>
            <w:pPr>
              <w:adjustRightInd/>
              <w:snapToGri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抑制扬尘的一个简洁有效的措施是洒水。如果施工阶段对汽车行驶路面勤洒水（每天</w:t>
            </w:r>
            <w:r>
              <w:rPr>
                <w:snapToGrid/>
                <w:color w:val="auto"/>
                <w:kern w:val="2"/>
                <w:sz w:val="24"/>
                <w:szCs w:val="24"/>
                <w:highlight w:val="none"/>
              </w:rPr>
              <w:t>4~5</w:t>
            </w:r>
            <w:r>
              <w:rPr>
                <w:rFonts w:ascii="宋体" w:hAnsi="宋体"/>
                <w:snapToGrid/>
                <w:color w:val="auto"/>
                <w:kern w:val="2"/>
                <w:sz w:val="24"/>
                <w:szCs w:val="24"/>
                <w:highlight w:val="none"/>
              </w:rPr>
              <w:t>次），可以使空气中的粉尘量减少</w:t>
            </w:r>
            <w:r>
              <w:rPr>
                <w:snapToGrid/>
                <w:color w:val="auto"/>
                <w:kern w:val="2"/>
                <w:sz w:val="24"/>
                <w:szCs w:val="24"/>
                <w:highlight w:val="none"/>
              </w:rPr>
              <w:t>70%</w:t>
            </w:r>
            <w:r>
              <w:rPr>
                <w:rFonts w:ascii="宋体" w:hAnsi="宋体"/>
                <w:snapToGrid/>
                <w:color w:val="auto"/>
                <w:kern w:val="2"/>
                <w:sz w:val="24"/>
                <w:szCs w:val="24"/>
                <w:highlight w:val="none"/>
              </w:rPr>
              <w:t>左右，可以收到很好的降尘效果。洒水的试验资料如表</w:t>
            </w:r>
            <w:r>
              <w:rPr>
                <w:snapToGrid/>
                <w:color w:val="auto"/>
                <w:kern w:val="2"/>
                <w:sz w:val="24"/>
                <w:szCs w:val="24"/>
                <w:highlight w:val="none"/>
              </w:rPr>
              <w:t>19</w:t>
            </w:r>
            <w:r>
              <w:rPr>
                <w:rFonts w:ascii="宋体" w:hAnsi="宋体"/>
                <w:snapToGrid/>
                <w:color w:val="auto"/>
                <w:kern w:val="2"/>
                <w:sz w:val="24"/>
                <w:szCs w:val="24"/>
                <w:highlight w:val="none"/>
              </w:rPr>
              <w:t>。当施工场地洒水频率为每天</w:t>
            </w:r>
            <w:r>
              <w:rPr>
                <w:snapToGrid/>
                <w:color w:val="auto"/>
                <w:kern w:val="2"/>
                <w:sz w:val="24"/>
                <w:szCs w:val="24"/>
                <w:highlight w:val="none"/>
              </w:rPr>
              <w:t>4~5</w:t>
            </w:r>
            <w:r>
              <w:rPr>
                <w:rFonts w:ascii="宋体" w:hAnsi="宋体"/>
                <w:snapToGrid/>
                <w:color w:val="auto"/>
                <w:kern w:val="2"/>
                <w:sz w:val="24"/>
                <w:szCs w:val="24"/>
                <w:highlight w:val="none"/>
              </w:rPr>
              <w:t>次时，扬尘污染距离可缩小到</w:t>
            </w:r>
            <w:r>
              <w:rPr>
                <w:snapToGrid/>
                <w:color w:val="auto"/>
                <w:kern w:val="2"/>
                <w:sz w:val="24"/>
                <w:szCs w:val="24"/>
                <w:highlight w:val="none"/>
              </w:rPr>
              <w:t>20~50m</w:t>
            </w:r>
            <w:r>
              <w:rPr>
                <w:rFonts w:ascii="宋体" w:hAnsi="宋体"/>
                <w:snapToGrid/>
                <w:color w:val="auto"/>
                <w:kern w:val="2"/>
                <w:sz w:val="24"/>
                <w:szCs w:val="24"/>
                <w:highlight w:val="none"/>
              </w:rPr>
              <w:t>范围内，对运输线路两侧的敏感点环境影响较小。</w:t>
            </w:r>
          </w:p>
          <w:p>
            <w:pPr>
              <w:adjustRightInd/>
              <w:snapToGrid/>
              <w:spacing w:line="360" w:lineRule="auto"/>
              <w:ind w:firstLine="723" w:firstLineChars="300"/>
              <w:jc w:val="both"/>
              <w:rPr>
                <w:b/>
                <w:snapToGrid/>
                <w:color w:val="auto"/>
                <w:kern w:val="2"/>
                <w:sz w:val="24"/>
                <w:szCs w:val="24"/>
                <w:highlight w:val="none"/>
              </w:rPr>
            </w:pPr>
            <w:r>
              <w:rPr>
                <w:rFonts w:ascii="宋体" w:hAnsi="宋体"/>
                <w:b/>
                <w:snapToGrid/>
                <w:color w:val="auto"/>
                <w:kern w:val="2"/>
                <w:sz w:val="24"/>
                <w:szCs w:val="24"/>
                <w:highlight w:val="none"/>
              </w:rPr>
              <w:t>表</w:t>
            </w:r>
            <w:r>
              <w:rPr>
                <w:b/>
                <w:snapToGrid/>
                <w:color w:val="auto"/>
                <w:kern w:val="2"/>
                <w:sz w:val="24"/>
                <w:szCs w:val="24"/>
                <w:highlight w:val="none"/>
              </w:rPr>
              <w:t xml:space="preserve">4-3 </w:t>
            </w:r>
            <w:r>
              <w:rPr>
                <w:rFonts w:hint="eastAsia"/>
                <w:b/>
                <w:snapToGrid/>
                <w:color w:val="auto"/>
                <w:kern w:val="2"/>
                <w:sz w:val="24"/>
                <w:szCs w:val="24"/>
                <w:highlight w:val="none"/>
                <w:lang w:val="en-US" w:eastAsia="zh-CN"/>
              </w:rPr>
              <w:t xml:space="preserve">    </w:t>
            </w:r>
            <w:r>
              <w:rPr>
                <w:b/>
                <w:snapToGrid/>
                <w:color w:val="auto"/>
                <w:kern w:val="2"/>
                <w:sz w:val="24"/>
                <w:szCs w:val="24"/>
                <w:highlight w:val="none"/>
              </w:rPr>
              <w:t xml:space="preserve"> </w:t>
            </w:r>
            <w:r>
              <w:rPr>
                <w:rFonts w:ascii="宋体" w:hAnsi="宋体"/>
                <w:b/>
                <w:snapToGrid/>
                <w:color w:val="auto"/>
                <w:kern w:val="2"/>
                <w:sz w:val="24"/>
                <w:szCs w:val="24"/>
                <w:highlight w:val="none"/>
              </w:rPr>
              <w:t>施工阶段使用洒水降尘的试验结果</w:t>
            </w:r>
          </w:p>
          <w:tbl>
            <w:tblPr>
              <w:tblStyle w:val="24"/>
              <w:tblW w:w="7560" w:type="dxa"/>
              <w:tblInd w:w="27"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86"/>
              <w:gridCol w:w="1309"/>
              <w:gridCol w:w="1230"/>
              <w:gridCol w:w="1080"/>
              <w:gridCol w:w="915"/>
              <w:gridCol w:w="8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95" w:type="dxa"/>
                  <w:gridSpan w:val="2"/>
                  <w:vAlign w:val="center"/>
                </w:tcPr>
                <w:p>
                  <w:pPr>
                    <w:adjustRightInd/>
                    <w:spacing w:line="360" w:lineRule="auto"/>
                    <w:rPr>
                      <w:snapToGrid/>
                      <w:color w:val="auto"/>
                      <w:kern w:val="2"/>
                      <w:sz w:val="21"/>
                      <w:szCs w:val="21"/>
                      <w:highlight w:val="none"/>
                    </w:rPr>
                  </w:pPr>
                  <w:r>
                    <w:rPr>
                      <w:rFonts w:ascii="宋体" w:hAnsi="宋体"/>
                      <w:snapToGrid/>
                      <w:color w:val="auto"/>
                      <w:kern w:val="2"/>
                      <w:sz w:val="21"/>
                      <w:szCs w:val="21"/>
                      <w:highlight w:val="none"/>
                    </w:rPr>
                    <w:t>距路边距离（</w:t>
                  </w:r>
                  <w:r>
                    <w:rPr>
                      <w:snapToGrid/>
                      <w:color w:val="auto"/>
                      <w:kern w:val="2"/>
                      <w:sz w:val="21"/>
                      <w:szCs w:val="21"/>
                      <w:highlight w:val="none"/>
                    </w:rPr>
                    <w:t>m</w:t>
                  </w:r>
                  <w:r>
                    <w:rPr>
                      <w:rFonts w:ascii="宋体" w:hAnsi="宋体"/>
                      <w:snapToGrid/>
                      <w:color w:val="auto"/>
                      <w:kern w:val="2"/>
                      <w:sz w:val="21"/>
                      <w:szCs w:val="21"/>
                      <w:highlight w:val="none"/>
                    </w:rPr>
                    <w:t>）</w:t>
                  </w:r>
                </w:p>
              </w:tc>
              <w:tc>
                <w:tcPr>
                  <w:tcW w:w="123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5</w:t>
                  </w:r>
                </w:p>
              </w:tc>
              <w:tc>
                <w:tcPr>
                  <w:tcW w:w="108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20</w:t>
                  </w:r>
                </w:p>
              </w:tc>
              <w:tc>
                <w:tcPr>
                  <w:tcW w:w="915"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50</w:t>
                  </w:r>
                </w:p>
              </w:tc>
              <w:tc>
                <w:tcPr>
                  <w:tcW w:w="84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6" w:type="dxa"/>
                  <w:vMerge w:val="restart"/>
                  <w:vAlign w:val="center"/>
                </w:tcPr>
                <w:p>
                  <w:pPr>
                    <w:autoSpaceDE w:val="0"/>
                    <w:autoSpaceDN w:val="0"/>
                    <w:ind w:left="240" w:leftChars="100"/>
                    <w:rPr>
                      <w:snapToGrid/>
                      <w:color w:val="auto"/>
                      <w:kern w:val="2"/>
                      <w:sz w:val="21"/>
                      <w:szCs w:val="21"/>
                      <w:highlight w:val="none"/>
                    </w:rPr>
                  </w:pPr>
                  <w:r>
                    <w:rPr>
                      <w:snapToGrid/>
                      <w:color w:val="auto"/>
                      <w:kern w:val="2"/>
                      <w:sz w:val="21"/>
                      <w:szCs w:val="21"/>
                      <w:highlight w:val="none"/>
                    </w:rPr>
                    <w:t>TSP</w:t>
                  </w:r>
                  <w:r>
                    <w:rPr>
                      <w:rFonts w:ascii="宋体" w:hAnsi="宋体"/>
                      <w:snapToGrid/>
                      <w:color w:val="auto"/>
                      <w:kern w:val="2"/>
                      <w:sz w:val="21"/>
                      <w:szCs w:val="21"/>
                      <w:highlight w:val="none"/>
                    </w:rPr>
                    <w:t>浓度（</w:t>
                  </w:r>
                  <w:r>
                    <w:rPr>
                      <w:snapToGrid/>
                      <w:color w:val="auto"/>
                      <w:kern w:val="2"/>
                      <w:sz w:val="21"/>
                      <w:szCs w:val="21"/>
                      <w:highlight w:val="none"/>
                    </w:rPr>
                    <w:t>mg/m</w:t>
                  </w:r>
                  <w:r>
                    <w:rPr>
                      <w:snapToGrid/>
                      <w:color w:val="auto"/>
                      <w:kern w:val="2"/>
                      <w:sz w:val="21"/>
                      <w:szCs w:val="21"/>
                      <w:highlight w:val="none"/>
                      <w:vertAlign w:val="superscript"/>
                    </w:rPr>
                    <w:t>3</w:t>
                  </w:r>
                  <w:r>
                    <w:rPr>
                      <w:rFonts w:ascii="宋体" w:hAnsi="宋体"/>
                      <w:snapToGrid/>
                      <w:color w:val="auto"/>
                      <w:kern w:val="2"/>
                      <w:sz w:val="21"/>
                      <w:szCs w:val="21"/>
                      <w:highlight w:val="none"/>
                    </w:rPr>
                    <w:t>）</w:t>
                  </w:r>
                </w:p>
              </w:tc>
              <w:tc>
                <w:tcPr>
                  <w:tcW w:w="1309" w:type="dxa"/>
                  <w:vAlign w:val="center"/>
                </w:tcPr>
                <w:p>
                  <w:pPr>
                    <w:adjustRightInd/>
                    <w:spacing w:line="360" w:lineRule="auto"/>
                    <w:rPr>
                      <w:snapToGrid/>
                      <w:color w:val="auto"/>
                      <w:kern w:val="2"/>
                      <w:sz w:val="21"/>
                      <w:szCs w:val="21"/>
                      <w:highlight w:val="none"/>
                    </w:rPr>
                  </w:pPr>
                  <w:r>
                    <w:rPr>
                      <w:rFonts w:ascii="宋体" w:hAnsi="宋体"/>
                      <w:snapToGrid/>
                      <w:color w:val="auto"/>
                      <w:kern w:val="2"/>
                      <w:sz w:val="21"/>
                      <w:szCs w:val="21"/>
                      <w:highlight w:val="none"/>
                    </w:rPr>
                    <w:t>不洒水</w:t>
                  </w:r>
                </w:p>
              </w:tc>
              <w:tc>
                <w:tcPr>
                  <w:tcW w:w="123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10.14</w:t>
                  </w:r>
                </w:p>
              </w:tc>
              <w:tc>
                <w:tcPr>
                  <w:tcW w:w="108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2.81</w:t>
                  </w:r>
                </w:p>
              </w:tc>
              <w:tc>
                <w:tcPr>
                  <w:tcW w:w="915"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1.15</w:t>
                  </w:r>
                </w:p>
              </w:tc>
              <w:tc>
                <w:tcPr>
                  <w:tcW w:w="84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86" w:type="dxa"/>
                  <w:vMerge w:val="continue"/>
                  <w:vAlign w:val="center"/>
                </w:tcPr>
                <w:p>
                  <w:pPr>
                    <w:widowControl/>
                    <w:adjustRightInd/>
                    <w:snapToGrid/>
                    <w:jc w:val="left"/>
                    <w:rPr>
                      <w:snapToGrid/>
                      <w:color w:val="auto"/>
                      <w:kern w:val="2"/>
                      <w:sz w:val="21"/>
                      <w:szCs w:val="21"/>
                      <w:highlight w:val="none"/>
                    </w:rPr>
                  </w:pPr>
                </w:p>
              </w:tc>
              <w:tc>
                <w:tcPr>
                  <w:tcW w:w="1309" w:type="dxa"/>
                  <w:vAlign w:val="center"/>
                </w:tcPr>
                <w:p>
                  <w:pPr>
                    <w:adjustRightInd/>
                    <w:spacing w:line="360" w:lineRule="auto"/>
                    <w:rPr>
                      <w:snapToGrid/>
                      <w:color w:val="auto"/>
                      <w:kern w:val="2"/>
                      <w:sz w:val="21"/>
                      <w:szCs w:val="21"/>
                      <w:highlight w:val="none"/>
                    </w:rPr>
                  </w:pPr>
                  <w:r>
                    <w:rPr>
                      <w:rFonts w:ascii="宋体" w:hAnsi="宋体"/>
                      <w:snapToGrid/>
                      <w:color w:val="auto"/>
                      <w:kern w:val="2"/>
                      <w:sz w:val="21"/>
                      <w:szCs w:val="21"/>
                      <w:highlight w:val="none"/>
                    </w:rPr>
                    <w:t>洒水</w:t>
                  </w:r>
                </w:p>
              </w:tc>
              <w:tc>
                <w:tcPr>
                  <w:tcW w:w="123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2.01</w:t>
                  </w:r>
                </w:p>
              </w:tc>
              <w:tc>
                <w:tcPr>
                  <w:tcW w:w="108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1.40</w:t>
                  </w:r>
                </w:p>
              </w:tc>
              <w:tc>
                <w:tcPr>
                  <w:tcW w:w="915"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0.68</w:t>
                  </w:r>
                </w:p>
              </w:tc>
              <w:tc>
                <w:tcPr>
                  <w:tcW w:w="840" w:type="dxa"/>
                  <w:vAlign w:val="center"/>
                </w:tcPr>
                <w:p>
                  <w:pPr>
                    <w:adjustRightInd/>
                    <w:spacing w:line="360" w:lineRule="auto"/>
                    <w:rPr>
                      <w:snapToGrid/>
                      <w:color w:val="auto"/>
                      <w:kern w:val="2"/>
                      <w:sz w:val="21"/>
                      <w:szCs w:val="21"/>
                      <w:highlight w:val="none"/>
                    </w:rPr>
                  </w:pPr>
                  <w:r>
                    <w:rPr>
                      <w:snapToGrid/>
                      <w:color w:val="auto"/>
                      <w:kern w:val="2"/>
                      <w:sz w:val="21"/>
                      <w:szCs w:val="21"/>
                      <w:highlight w:val="none"/>
                    </w:rPr>
                    <w:t>0.60</w:t>
                  </w:r>
                </w:p>
              </w:tc>
            </w:tr>
          </w:tbl>
          <w:p>
            <w:pPr>
              <w:adjustRightInd/>
              <w:snapToGri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各类施工场地的出入口处必须硬化，设置冲洗设施设备，并配备专业人员对场地出入口、运输车辆进行清洗降尘，确保净车出场，不得带泥上路，不得超载、撒漏土。项目在场地的出入口均设置了洗车场地，出厂前需对车辆底盘、车轮进行清洗。</w:t>
            </w:r>
          </w:p>
          <w:p>
            <w:pPr>
              <w:adjustRightInd/>
              <w:snapToGrid/>
              <w:spacing w:line="360" w:lineRule="auto"/>
              <w:ind w:firstLine="480" w:firstLineChars="200"/>
              <w:jc w:val="both"/>
              <w:rPr>
                <w:snapToGrid/>
                <w:color w:val="auto"/>
                <w:kern w:val="2"/>
                <w:sz w:val="24"/>
                <w:szCs w:val="24"/>
                <w:highlight w:val="none"/>
              </w:rPr>
            </w:pPr>
            <w:r>
              <w:rPr>
                <w:rFonts w:hint="eastAsia" w:ascii="宋体" w:hAnsi="宋体"/>
                <w:snapToGrid/>
                <w:color w:val="auto"/>
                <w:kern w:val="2"/>
                <w:sz w:val="24"/>
                <w:szCs w:val="24"/>
                <w:highlight w:val="none"/>
              </w:rPr>
              <w:t>②</w:t>
            </w:r>
            <w:r>
              <w:rPr>
                <w:rFonts w:hint="eastAsia" w:ascii="宋体" w:hAnsi="宋体"/>
                <w:snapToGrid/>
                <w:color w:val="auto"/>
                <w:kern w:val="2"/>
                <w:sz w:val="24"/>
                <w:szCs w:val="24"/>
                <w:highlight w:val="none"/>
                <w:lang w:eastAsia="zh-CN"/>
              </w:rPr>
              <w:t>施工</w:t>
            </w:r>
            <w:r>
              <w:rPr>
                <w:rFonts w:ascii="宋体" w:hAnsi="宋体"/>
                <w:snapToGrid/>
                <w:color w:val="auto"/>
                <w:kern w:val="2"/>
                <w:sz w:val="24"/>
                <w:szCs w:val="24"/>
                <w:highlight w:val="none"/>
              </w:rPr>
              <w:t>裸露场地的风力扬尘</w:t>
            </w:r>
          </w:p>
          <w:p>
            <w:pPr>
              <w:adjustRightInd/>
              <w:snapToGri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道路施工阶段扬尘的另一个主要来源就是露天堆场和裸露场地的风力扬尘。由于施工需要，一些建筑材料需要露天堆放，一些施工作业点表层土壤需要人工开挖且临时堆放，在气候干燥又有风的情况下，会产生扬尘，其扬尘的产生量可按照堆场起尘的经验公式计算：</w:t>
            </w:r>
          </w:p>
          <w:p>
            <w:pPr>
              <w:adjustRightInd/>
              <w:snapToGrid/>
              <w:spacing w:line="360" w:lineRule="auto"/>
              <w:rPr>
                <w:snapToGrid/>
                <w:color w:val="auto"/>
                <w:kern w:val="2"/>
                <w:sz w:val="24"/>
                <w:szCs w:val="24"/>
                <w:highlight w:val="none"/>
              </w:rPr>
            </w:pPr>
            <w:r>
              <w:rPr>
                <w:rFonts w:ascii="宋体" w:hAnsi="宋体" w:cs="宋体"/>
                <w:snapToGrid/>
                <w:color w:val="auto"/>
                <w:kern w:val="2"/>
                <w:sz w:val="24"/>
                <w:szCs w:val="24"/>
                <w:highlight w:val="none"/>
              </w:rPr>
              <w:drawing>
                <wp:inline distT="0" distB="0" distL="0" distR="0">
                  <wp:extent cx="2364105" cy="369570"/>
                  <wp:effectExtent l="0" t="0" r="0" b="0"/>
                  <wp:docPr id="55" name="图片 55" descr="C:\Users\ADMINI~1\AppData\Local\Temp\ksohtml5936\wp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1\AppData\Local\Temp\ksohtml5936\wps1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364105" cy="369570"/>
                          </a:xfrm>
                          <a:prstGeom prst="rect">
                            <a:avLst/>
                          </a:prstGeom>
                          <a:noFill/>
                          <a:ln>
                            <a:noFill/>
                          </a:ln>
                        </pic:spPr>
                      </pic:pic>
                    </a:graphicData>
                  </a:graphic>
                </wp:inline>
              </w:drawing>
            </w:r>
            <w:r>
              <w:rPr>
                <w:snapToGrid/>
                <w:color w:val="auto"/>
                <w:kern w:val="2"/>
                <w:sz w:val="24"/>
                <w:szCs w:val="24"/>
                <w:highlight w:val="none"/>
              </w:rPr>
              <w:t xml:space="preserve"> </w:t>
            </w:r>
          </w:p>
          <w:p>
            <w:pPr>
              <w:adjustRightInd/>
              <w:snapToGrid/>
              <w:spacing w:line="360" w:lineRule="auto"/>
              <w:jc w:val="both"/>
              <w:rPr>
                <w:snapToGrid/>
                <w:color w:val="auto"/>
                <w:kern w:val="2"/>
                <w:sz w:val="24"/>
                <w:szCs w:val="24"/>
                <w:highlight w:val="none"/>
              </w:rPr>
            </w:pPr>
            <w:r>
              <w:rPr>
                <w:rFonts w:ascii="宋体" w:hAnsi="宋体"/>
                <w:snapToGrid/>
                <w:color w:val="auto"/>
                <w:kern w:val="2"/>
                <w:sz w:val="24"/>
                <w:szCs w:val="24"/>
                <w:highlight w:val="none"/>
              </w:rPr>
              <w:t>式中：</w:t>
            </w:r>
            <w:r>
              <w:rPr>
                <w:snapToGrid/>
                <w:color w:val="auto"/>
                <w:kern w:val="2"/>
                <w:sz w:val="24"/>
                <w:szCs w:val="24"/>
                <w:highlight w:val="none"/>
              </w:rPr>
              <w:t>Q</w:t>
            </w:r>
            <w:r>
              <w:rPr>
                <w:rFonts w:ascii="宋体" w:hAnsi="宋体"/>
                <w:snapToGrid/>
                <w:color w:val="auto"/>
                <w:kern w:val="2"/>
                <w:sz w:val="24"/>
                <w:szCs w:val="24"/>
                <w:highlight w:val="none"/>
              </w:rPr>
              <w:t>：起尘量，</w:t>
            </w:r>
            <w:r>
              <w:rPr>
                <w:snapToGrid/>
                <w:color w:val="auto"/>
                <w:kern w:val="2"/>
                <w:sz w:val="24"/>
                <w:szCs w:val="24"/>
                <w:highlight w:val="none"/>
              </w:rPr>
              <w:t>kg/</w:t>
            </w:r>
            <w:r>
              <w:rPr>
                <w:rFonts w:ascii="宋体" w:hAnsi="宋体"/>
                <w:snapToGrid/>
                <w:color w:val="auto"/>
                <w:kern w:val="2"/>
                <w:sz w:val="24"/>
                <w:szCs w:val="24"/>
                <w:highlight w:val="none"/>
              </w:rPr>
              <w:t>吨</w:t>
            </w:r>
            <w:r>
              <w:rPr>
                <w:snapToGrid/>
                <w:color w:val="auto"/>
                <w:kern w:val="2"/>
                <w:sz w:val="24"/>
                <w:szCs w:val="24"/>
                <w:highlight w:val="none"/>
              </w:rPr>
              <w:t>·</w:t>
            </w:r>
            <w:r>
              <w:rPr>
                <w:rFonts w:ascii="宋体" w:hAnsi="宋体"/>
                <w:snapToGrid/>
                <w:color w:val="auto"/>
                <w:kern w:val="2"/>
                <w:sz w:val="24"/>
                <w:szCs w:val="24"/>
                <w:highlight w:val="none"/>
              </w:rPr>
              <w:t>年；</w:t>
            </w:r>
          </w:p>
          <w:p>
            <w:pPr>
              <w:adjustRightInd/>
              <w:snapToGri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V50</w:t>
            </w:r>
            <w:r>
              <w:rPr>
                <w:rFonts w:ascii="宋体" w:hAnsi="宋体"/>
                <w:snapToGrid/>
                <w:color w:val="auto"/>
                <w:kern w:val="2"/>
                <w:sz w:val="24"/>
                <w:szCs w:val="24"/>
                <w:highlight w:val="none"/>
              </w:rPr>
              <w:t>：距离地面</w:t>
            </w:r>
            <w:r>
              <w:rPr>
                <w:snapToGrid/>
                <w:color w:val="auto"/>
                <w:kern w:val="2"/>
                <w:sz w:val="24"/>
                <w:szCs w:val="24"/>
                <w:highlight w:val="none"/>
              </w:rPr>
              <w:t>50m</w:t>
            </w:r>
            <w:r>
              <w:rPr>
                <w:rFonts w:ascii="宋体" w:hAnsi="宋体"/>
                <w:snapToGrid/>
                <w:color w:val="auto"/>
                <w:kern w:val="2"/>
                <w:sz w:val="24"/>
                <w:szCs w:val="24"/>
                <w:highlight w:val="none"/>
              </w:rPr>
              <w:t>处风速，</w:t>
            </w:r>
            <w:r>
              <w:rPr>
                <w:snapToGrid/>
                <w:color w:val="auto"/>
                <w:kern w:val="2"/>
                <w:sz w:val="24"/>
                <w:szCs w:val="24"/>
                <w:highlight w:val="none"/>
              </w:rPr>
              <w:t>m/s</w:t>
            </w:r>
            <w:r>
              <w:rPr>
                <w:rFonts w:ascii="宋体" w:hAnsi="宋体"/>
                <w:snapToGrid/>
                <w:color w:val="auto"/>
                <w:kern w:val="2"/>
                <w:sz w:val="24"/>
                <w:szCs w:val="24"/>
                <w:highlight w:val="none"/>
              </w:rPr>
              <w:t>；</w:t>
            </w:r>
          </w:p>
          <w:p>
            <w:pPr>
              <w:adjustRightInd/>
              <w:snapToGri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V0</w:t>
            </w:r>
            <w:r>
              <w:rPr>
                <w:rFonts w:ascii="宋体" w:hAnsi="宋体"/>
                <w:snapToGrid/>
                <w:color w:val="auto"/>
                <w:kern w:val="2"/>
                <w:sz w:val="24"/>
                <w:szCs w:val="24"/>
                <w:highlight w:val="none"/>
              </w:rPr>
              <w:t>：起尘风速</w:t>
            </w:r>
            <w:r>
              <w:rPr>
                <w:snapToGrid/>
                <w:color w:val="auto"/>
                <w:kern w:val="2"/>
                <w:sz w:val="24"/>
                <w:szCs w:val="24"/>
                <w:highlight w:val="none"/>
              </w:rPr>
              <w:t>m/s</w:t>
            </w:r>
            <w:r>
              <w:rPr>
                <w:rFonts w:ascii="宋体" w:hAnsi="宋体"/>
                <w:snapToGrid/>
                <w:color w:val="auto"/>
                <w:kern w:val="2"/>
                <w:sz w:val="24"/>
                <w:szCs w:val="24"/>
                <w:highlight w:val="none"/>
              </w:rPr>
              <w:t>；</w:t>
            </w:r>
          </w:p>
          <w:p>
            <w:pPr>
              <w:adjustRightInd/>
              <w:snapToGri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W</w:t>
            </w:r>
            <w:r>
              <w:rPr>
                <w:rFonts w:ascii="宋体" w:hAnsi="宋体"/>
                <w:snapToGrid/>
                <w:color w:val="auto"/>
                <w:kern w:val="2"/>
                <w:sz w:val="24"/>
                <w:szCs w:val="24"/>
                <w:highlight w:val="none"/>
              </w:rPr>
              <w:t>：尘粒的含水率，</w:t>
            </w:r>
            <w:r>
              <w:rPr>
                <w:snapToGrid/>
                <w:color w:val="auto"/>
                <w:kern w:val="2"/>
                <w:sz w:val="24"/>
                <w:szCs w:val="24"/>
                <w:highlight w:val="none"/>
              </w:rPr>
              <w:t>%</w:t>
            </w:r>
            <w:r>
              <w:rPr>
                <w:rFonts w:ascii="宋体" w:hAnsi="宋体"/>
                <w:snapToGrid/>
                <w:color w:val="auto"/>
                <w:kern w:val="2"/>
                <w:sz w:val="24"/>
                <w:szCs w:val="24"/>
                <w:highlight w:val="none"/>
              </w:rPr>
              <w:t>。</w:t>
            </w:r>
          </w:p>
          <w:p>
            <w:pPr>
              <w:adjustRightInd/>
              <w:snapToGri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起尘风速与粒径、含水率有关，因此，减少露天堆放和保证一定的含水率，以及减少裸露地面是减少风力起尘的有效手段。粉尘在空气中的扩散稀释与风速等气象条件有关，也与粉尘的沉降速度有关。不同粉尘的沉降速度见表</w:t>
            </w:r>
            <w:r>
              <w:rPr>
                <w:snapToGrid/>
                <w:color w:val="auto"/>
                <w:kern w:val="2"/>
                <w:sz w:val="24"/>
                <w:szCs w:val="24"/>
                <w:highlight w:val="none"/>
              </w:rPr>
              <w:t>4-4</w:t>
            </w:r>
            <w:r>
              <w:rPr>
                <w:rFonts w:ascii="宋体" w:hAnsi="宋体"/>
                <w:snapToGrid/>
                <w:color w:val="auto"/>
                <w:kern w:val="2"/>
                <w:sz w:val="24"/>
                <w:szCs w:val="24"/>
                <w:highlight w:val="none"/>
              </w:rPr>
              <w:t>。</w:t>
            </w:r>
          </w:p>
          <w:p>
            <w:pPr>
              <w:adjustRightInd/>
              <w:snapToGrid/>
              <w:spacing w:line="360" w:lineRule="auto"/>
              <w:ind w:firstLine="723" w:firstLineChars="300"/>
              <w:jc w:val="both"/>
              <w:rPr>
                <w:b/>
                <w:snapToGrid/>
                <w:color w:val="auto"/>
                <w:kern w:val="2"/>
                <w:sz w:val="24"/>
                <w:szCs w:val="24"/>
                <w:highlight w:val="none"/>
              </w:rPr>
            </w:pPr>
            <w:r>
              <w:rPr>
                <w:rFonts w:ascii="宋体" w:hAnsi="宋体"/>
                <w:b/>
                <w:snapToGrid/>
                <w:color w:val="auto"/>
                <w:kern w:val="2"/>
                <w:sz w:val="24"/>
                <w:szCs w:val="24"/>
                <w:highlight w:val="none"/>
              </w:rPr>
              <w:t>表</w:t>
            </w:r>
            <w:r>
              <w:rPr>
                <w:b/>
                <w:snapToGrid/>
                <w:color w:val="auto"/>
                <w:kern w:val="2"/>
                <w:sz w:val="24"/>
                <w:szCs w:val="24"/>
                <w:highlight w:val="none"/>
              </w:rPr>
              <w:t xml:space="preserve">4-4  </w:t>
            </w:r>
            <w:r>
              <w:rPr>
                <w:rFonts w:hint="eastAsia"/>
                <w:b/>
                <w:snapToGrid/>
                <w:color w:val="auto"/>
                <w:kern w:val="2"/>
                <w:sz w:val="24"/>
                <w:szCs w:val="24"/>
                <w:highlight w:val="none"/>
                <w:lang w:val="en-US" w:eastAsia="zh-CN"/>
              </w:rPr>
              <w:t xml:space="preserve">         </w:t>
            </w:r>
            <w:r>
              <w:rPr>
                <w:rFonts w:ascii="宋体" w:hAnsi="宋体"/>
                <w:b/>
                <w:snapToGrid/>
                <w:color w:val="auto"/>
                <w:kern w:val="2"/>
                <w:sz w:val="24"/>
                <w:szCs w:val="24"/>
                <w:highlight w:val="none"/>
              </w:rPr>
              <w:t>不同粉尘的沉降速度</w:t>
            </w:r>
          </w:p>
          <w:tbl>
            <w:tblPr>
              <w:tblStyle w:val="24"/>
              <w:tblW w:w="758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03"/>
              <w:gridCol w:w="693"/>
              <w:gridCol w:w="948"/>
              <w:gridCol w:w="948"/>
              <w:gridCol w:w="948"/>
              <w:gridCol w:w="948"/>
              <w:gridCol w:w="949"/>
              <w:gridCol w:w="9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Align w:val="center"/>
                </w:tcPr>
                <w:p>
                  <w:pPr>
                    <w:adjustRightInd/>
                    <w:rPr>
                      <w:snapToGrid/>
                      <w:color w:val="auto"/>
                      <w:kern w:val="2"/>
                      <w:sz w:val="21"/>
                      <w:szCs w:val="21"/>
                      <w:highlight w:val="none"/>
                    </w:rPr>
                  </w:pPr>
                  <w:r>
                    <w:rPr>
                      <w:rFonts w:ascii="宋体" w:hAnsi="宋体"/>
                      <w:snapToGrid/>
                      <w:color w:val="auto"/>
                      <w:kern w:val="2"/>
                      <w:sz w:val="21"/>
                      <w:szCs w:val="21"/>
                      <w:highlight w:val="none"/>
                    </w:rPr>
                    <w:t>粉尘粒径（</w:t>
                  </w:r>
                  <w:r>
                    <w:rPr>
                      <w:snapToGrid/>
                      <w:color w:val="auto"/>
                      <w:kern w:val="2"/>
                      <w:sz w:val="21"/>
                      <w:szCs w:val="21"/>
                      <w:highlight w:val="none"/>
                    </w:rPr>
                    <w:t>μm</w:t>
                  </w:r>
                  <w:r>
                    <w:rPr>
                      <w:rFonts w:ascii="宋体" w:hAnsi="宋体"/>
                      <w:snapToGrid/>
                      <w:color w:val="auto"/>
                      <w:kern w:val="2"/>
                      <w:sz w:val="21"/>
                      <w:szCs w:val="21"/>
                      <w:highlight w:val="none"/>
                    </w:rPr>
                    <w:t>）</w:t>
                  </w:r>
                </w:p>
              </w:tc>
              <w:tc>
                <w:tcPr>
                  <w:tcW w:w="693" w:type="dxa"/>
                  <w:vAlign w:val="center"/>
                </w:tcPr>
                <w:p>
                  <w:pPr>
                    <w:adjustRightInd/>
                    <w:rPr>
                      <w:snapToGrid/>
                      <w:color w:val="auto"/>
                      <w:kern w:val="2"/>
                      <w:sz w:val="21"/>
                      <w:szCs w:val="21"/>
                      <w:highlight w:val="none"/>
                    </w:rPr>
                  </w:pPr>
                  <w:r>
                    <w:rPr>
                      <w:snapToGrid/>
                      <w:color w:val="auto"/>
                      <w:kern w:val="2"/>
                      <w:sz w:val="21"/>
                      <w:szCs w:val="21"/>
                      <w:highlight w:val="none"/>
                    </w:rPr>
                    <w:t>10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20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30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40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50</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60</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Align w:val="center"/>
                </w:tcPr>
                <w:p>
                  <w:pPr>
                    <w:adjustRightInd/>
                    <w:rPr>
                      <w:snapToGrid/>
                      <w:color w:val="auto"/>
                      <w:kern w:val="2"/>
                      <w:sz w:val="21"/>
                      <w:szCs w:val="21"/>
                      <w:highlight w:val="none"/>
                    </w:rPr>
                  </w:pPr>
                  <w:r>
                    <w:rPr>
                      <w:rFonts w:ascii="宋体" w:hAnsi="宋体"/>
                      <w:snapToGrid/>
                      <w:color w:val="auto"/>
                      <w:kern w:val="2"/>
                      <w:sz w:val="21"/>
                      <w:szCs w:val="21"/>
                      <w:highlight w:val="none"/>
                    </w:rPr>
                    <w:t>沉降速度</w:t>
                  </w:r>
                </w:p>
              </w:tc>
              <w:tc>
                <w:tcPr>
                  <w:tcW w:w="693" w:type="dxa"/>
                  <w:vAlign w:val="center"/>
                </w:tcPr>
                <w:p>
                  <w:pPr>
                    <w:adjustRightInd/>
                    <w:rPr>
                      <w:snapToGrid/>
                      <w:color w:val="auto"/>
                      <w:kern w:val="2"/>
                      <w:sz w:val="21"/>
                      <w:szCs w:val="21"/>
                      <w:highlight w:val="none"/>
                    </w:rPr>
                  </w:pPr>
                  <w:r>
                    <w:rPr>
                      <w:snapToGrid/>
                      <w:color w:val="auto"/>
                      <w:kern w:val="2"/>
                      <w:sz w:val="21"/>
                      <w:szCs w:val="21"/>
                      <w:highlight w:val="none"/>
                    </w:rPr>
                    <w:t>0.003</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0.012</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0.027</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0.048</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0.075</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0.108</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0.147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Align w:val="center"/>
                </w:tcPr>
                <w:p>
                  <w:pPr>
                    <w:adjustRightInd/>
                    <w:rPr>
                      <w:snapToGrid/>
                      <w:color w:val="auto"/>
                      <w:kern w:val="2"/>
                      <w:sz w:val="21"/>
                      <w:szCs w:val="21"/>
                      <w:highlight w:val="none"/>
                    </w:rPr>
                  </w:pPr>
                  <w:r>
                    <w:rPr>
                      <w:rFonts w:ascii="宋体" w:hAnsi="宋体"/>
                      <w:snapToGrid/>
                      <w:color w:val="auto"/>
                      <w:kern w:val="2"/>
                      <w:sz w:val="21"/>
                      <w:szCs w:val="21"/>
                      <w:highlight w:val="none"/>
                    </w:rPr>
                    <w:t>粉尘粒径</w:t>
                  </w:r>
                </w:p>
              </w:tc>
              <w:tc>
                <w:tcPr>
                  <w:tcW w:w="693" w:type="dxa"/>
                  <w:vAlign w:val="center"/>
                </w:tcPr>
                <w:p>
                  <w:pPr>
                    <w:adjustRightInd/>
                    <w:rPr>
                      <w:snapToGrid/>
                      <w:color w:val="auto"/>
                      <w:kern w:val="2"/>
                      <w:sz w:val="21"/>
                      <w:szCs w:val="21"/>
                      <w:highlight w:val="none"/>
                    </w:rPr>
                  </w:pPr>
                  <w:r>
                    <w:rPr>
                      <w:snapToGrid/>
                      <w:color w:val="auto"/>
                      <w:kern w:val="2"/>
                      <w:sz w:val="21"/>
                      <w:szCs w:val="21"/>
                      <w:highlight w:val="none"/>
                    </w:rPr>
                    <w:t>80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90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100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150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200</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250</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Align w:val="center"/>
                </w:tcPr>
                <w:p>
                  <w:pPr>
                    <w:adjustRightInd/>
                    <w:rPr>
                      <w:snapToGrid/>
                      <w:color w:val="auto"/>
                      <w:kern w:val="2"/>
                      <w:sz w:val="21"/>
                      <w:szCs w:val="21"/>
                      <w:highlight w:val="none"/>
                    </w:rPr>
                  </w:pPr>
                  <w:r>
                    <w:rPr>
                      <w:rFonts w:ascii="宋体" w:hAnsi="宋体"/>
                      <w:snapToGrid/>
                      <w:color w:val="auto"/>
                      <w:kern w:val="2"/>
                      <w:sz w:val="21"/>
                      <w:szCs w:val="21"/>
                      <w:highlight w:val="none"/>
                    </w:rPr>
                    <w:t>沉降速度</w:t>
                  </w:r>
                </w:p>
              </w:tc>
              <w:tc>
                <w:tcPr>
                  <w:tcW w:w="693" w:type="dxa"/>
                  <w:vAlign w:val="center"/>
                </w:tcPr>
                <w:p>
                  <w:pPr>
                    <w:adjustRightInd/>
                    <w:rPr>
                      <w:snapToGrid/>
                      <w:color w:val="auto"/>
                      <w:kern w:val="2"/>
                      <w:sz w:val="21"/>
                      <w:szCs w:val="21"/>
                      <w:highlight w:val="none"/>
                    </w:rPr>
                  </w:pPr>
                  <w:r>
                    <w:rPr>
                      <w:snapToGrid/>
                      <w:color w:val="auto"/>
                      <w:kern w:val="2"/>
                      <w:sz w:val="21"/>
                      <w:szCs w:val="21"/>
                      <w:highlight w:val="none"/>
                    </w:rPr>
                    <w:t>0.158</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0.170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0.182</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0.239</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0.804</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1.005</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1.829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Align w:val="center"/>
                </w:tcPr>
                <w:p>
                  <w:pPr>
                    <w:adjustRightInd/>
                    <w:rPr>
                      <w:snapToGrid/>
                      <w:color w:val="auto"/>
                      <w:kern w:val="2"/>
                      <w:sz w:val="21"/>
                      <w:szCs w:val="21"/>
                      <w:highlight w:val="none"/>
                    </w:rPr>
                  </w:pPr>
                  <w:r>
                    <w:rPr>
                      <w:rFonts w:ascii="宋体" w:hAnsi="宋体"/>
                      <w:snapToGrid/>
                      <w:color w:val="auto"/>
                      <w:kern w:val="2"/>
                      <w:sz w:val="21"/>
                      <w:szCs w:val="21"/>
                      <w:highlight w:val="none"/>
                    </w:rPr>
                    <w:t>粉尘粒径</w:t>
                  </w:r>
                </w:p>
              </w:tc>
              <w:tc>
                <w:tcPr>
                  <w:tcW w:w="693" w:type="dxa"/>
                  <w:vAlign w:val="center"/>
                </w:tcPr>
                <w:p>
                  <w:pPr>
                    <w:adjustRightInd/>
                    <w:rPr>
                      <w:snapToGrid/>
                      <w:color w:val="auto"/>
                      <w:kern w:val="2"/>
                      <w:sz w:val="21"/>
                      <w:szCs w:val="21"/>
                      <w:highlight w:val="none"/>
                    </w:rPr>
                  </w:pPr>
                  <w:r>
                    <w:rPr>
                      <w:snapToGrid/>
                      <w:color w:val="auto"/>
                      <w:kern w:val="2"/>
                      <w:sz w:val="21"/>
                      <w:szCs w:val="21"/>
                      <w:highlight w:val="none"/>
                    </w:rPr>
                    <w:t>450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550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650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750</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850</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950</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1050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Align w:val="center"/>
                </w:tcPr>
                <w:p>
                  <w:pPr>
                    <w:adjustRightInd/>
                    <w:rPr>
                      <w:snapToGrid/>
                      <w:color w:val="auto"/>
                      <w:kern w:val="2"/>
                      <w:sz w:val="21"/>
                      <w:szCs w:val="21"/>
                      <w:highlight w:val="none"/>
                    </w:rPr>
                  </w:pPr>
                  <w:r>
                    <w:rPr>
                      <w:rFonts w:ascii="宋体" w:hAnsi="宋体"/>
                      <w:snapToGrid/>
                      <w:color w:val="auto"/>
                      <w:kern w:val="2"/>
                      <w:sz w:val="21"/>
                      <w:szCs w:val="21"/>
                      <w:highlight w:val="none"/>
                    </w:rPr>
                    <w:t>沉降速度</w:t>
                  </w:r>
                </w:p>
              </w:tc>
              <w:tc>
                <w:tcPr>
                  <w:tcW w:w="693" w:type="dxa"/>
                  <w:vAlign w:val="center"/>
                </w:tcPr>
                <w:p>
                  <w:pPr>
                    <w:adjustRightInd/>
                    <w:rPr>
                      <w:snapToGrid/>
                      <w:color w:val="auto"/>
                      <w:kern w:val="2"/>
                      <w:sz w:val="21"/>
                      <w:szCs w:val="21"/>
                      <w:highlight w:val="none"/>
                    </w:rPr>
                  </w:pPr>
                  <w:r>
                    <w:rPr>
                      <w:snapToGrid/>
                      <w:color w:val="auto"/>
                      <w:kern w:val="2"/>
                      <w:sz w:val="21"/>
                      <w:szCs w:val="21"/>
                      <w:highlight w:val="none"/>
                    </w:rPr>
                    <w:t>2.211</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2.614</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3.016</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3.418</w:t>
                  </w:r>
                </w:p>
              </w:tc>
              <w:tc>
                <w:tcPr>
                  <w:tcW w:w="948" w:type="dxa"/>
                  <w:vAlign w:val="center"/>
                </w:tcPr>
                <w:p>
                  <w:pPr>
                    <w:adjustRightInd/>
                    <w:rPr>
                      <w:snapToGrid/>
                      <w:color w:val="auto"/>
                      <w:kern w:val="2"/>
                      <w:sz w:val="21"/>
                      <w:szCs w:val="21"/>
                      <w:highlight w:val="none"/>
                    </w:rPr>
                  </w:pPr>
                  <w:r>
                    <w:rPr>
                      <w:snapToGrid/>
                      <w:color w:val="auto"/>
                      <w:kern w:val="2"/>
                      <w:sz w:val="21"/>
                      <w:szCs w:val="21"/>
                      <w:highlight w:val="none"/>
                    </w:rPr>
                    <w:t>3.820</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4.222</w:t>
                  </w:r>
                </w:p>
              </w:tc>
              <w:tc>
                <w:tcPr>
                  <w:tcW w:w="949" w:type="dxa"/>
                  <w:vAlign w:val="center"/>
                </w:tcPr>
                <w:p>
                  <w:pPr>
                    <w:adjustRightInd/>
                    <w:rPr>
                      <w:snapToGrid/>
                      <w:color w:val="auto"/>
                      <w:kern w:val="2"/>
                      <w:sz w:val="21"/>
                      <w:szCs w:val="21"/>
                      <w:highlight w:val="none"/>
                    </w:rPr>
                  </w:pPr>
                  <w:r>
                    <w:rPr>
                      <w:snapToGrid/>
                      <w:color w:val="auto"/>
                      <w:kern w:val="2"/>
                      <w:sz w:val="21"/>
                      <w:szCs w:val="21"/>
                      <w:highlight w:val="none"/>
                    </w:rPr>
                    <w:t>4.624</w:t>
                  </w:r>
                </w:p>
              </w:tc>
            </w:tr>
          </w:tbl>
          <w:p>
            <w:pPr>
              <w:adjustRightInd/>
              <w:snapToGrid/>
              <w:spacing w:line="360" w:lineRule="auto"/>
              <w:ind w:firstLine="480" w:firstLineChars="200"/>
              <w:jc w:val="both"/>
              <w:rPr>
                <w:rFonts w:ascii="宋体" w:hAnsi="宋体"/>
                <w:snapToGrid/>
                <w:color w:val="auto"/>
                <w:kern w:val="2"/>
                <w:sz w:val="24"/>
                <w:szCs w:val="24"/>
                <w:highlight w:val="none"/>
              </w:rPr>
            </w:pPr>
            <w:r>
              <w:rPr>
                <w:rFonts w:ascii="宋体" w:hAnsi="宋体"/>
                <w:snapToGrid/>
                <w:color w:val="auto"/>
                <w:kern w:val="2"/>
                <w:sz w:val="24"/>
                <w:szCs w:val="24"/>
                <w:highlight w:val="none"/>
              </w:rPr>
              <w:t>由上表可知，粉尘沉降速度随着粒径的增大而迅速增大。当粒径为</w:t>
            </w:r>
            <w:r>
              <w:rPr>
                <w:snapToGrid/>
                <w:color w:val="auto"/>
                <w:kern w:val="2"/>
                <w:sz w:val="24"/>
                <w:szCs w:val="24"/>
                <w:highlight w:val="none"/>
              </w:rPr>
              <w:t>250μm</w:t>
            </w:r>
            <w:r>
              <w:rPr>
                <w:rFonts w:ascii="宋体" w:hAnsi="宋体"/>
                <w:snapToGrid/>
                <w:color w:val="auto"/>
                <w:kern w:val="2"/>
                <w:sz w:val="24"/>
                <w:szCs w:val="24"/>
                <w:highlight w:val="none"/>
              </w:rPr>
              <w:t>时沉降速度为</w:t>
            </w:r>
            <w:r>
              <w:rPr>
                <w:snapToGrid/>
                <w:color w:val="auto"/>
                <w:kern w:val="2"/>
                <w:sz w:val="24"/>
                <w:szCs w:val="24"/>
                <w:highlight w:val="none"/>
              </w:rPr>
              <w:t>1.005m/s</w:t>
            </w:r>
            <w:r>
              <w:rPr>
                <w:rFonts w:ascii="宋体" w:hAnsi="宋体"/>
                <w:snapToGrid/>
                <w:color w:val="auto"/>
                <w:kern w:val="2"/>
                <w:sz w:val="24"/>
                <w:szCs w:val="24"/>
                <w:highlight w:val="none"/>
              </w:rPr>
              <w:t>，因此，可以认为当尘粒大于</w:t>
            </w:r>
            <w:r>
              <w:rPr>
                <w:snapToGrid/>
                <w:color w:val="auto"/>
                <w:kern w:val="2"/>
                <w:sz w:val="24"/>
                <w:szCs w:val="24"/>
                <w:highlight w:val="none"/>
              </w:rPr>
              <w:t>250μm</w:t>
            </w:r>
            <w:r>
              <w:rPr>
                <w:rFonts w:ascii="宋体" w:hAnsi="宋体"/>
                <w:snapToGrid/>
                <w:color w:val="auto"/>
                <w:kern w:val="2"/>
                <w:sz w:val="24"/>
                <w:szCs w:val="24"/>
                <w:highlight w:val="none"/>
              </w:rPr>
              <w:t>时，主要影响范围在扬尘点下风向近距离范围内，而真正对外环境产生影响的是一些微小粒径的颗粒。</w:t>
            </w:r>
          </w:p>
          <w:p>
            <w:pPr>
              <w:adjustRightInd/>
              <w:snapToGrid/>
              <w:spacing w:line="360" w:lineRule="auto"/>
              <w:ind w:left="480"/>
              <w:jc w:val="both"/>
              <w:rPr>
                <w:snapToGrid/>
                <w:color w:val="auto"/>
                <w:kern w:val="2"/>
                <w:sz w:val="24"/>
                <w:szCs w:val="24"/>
                <w:highlight w:val="none"/>
              </w:rPr>
            </w:pPr>
            <w:r>
              <w:rPr>
                <w:rFonts w:hint="eastAsia" w:ascii="宋体" w:hAnsi="宋体"/>
                <w:snapToGrid/>
                <w:color w:val="auto"/>
                <w:kern w:val="2"/>
                <w:sz w:val="24"/>
                <w:szCs w:val="24"/>
                <w:highlight w:val="none"/>
              </w:rPr>
              <w:t>③取土场扬尘</w:t>
            </w:r>
          </w:p>
          <w:p>
            <w:pPr>
              <w:spacing w:line="360" w:lineRule="auto"/>
              <w:ind w:firstLine="480" w:firstLineChars="200"/>
              <w:jc w:val="both"/>
              <w:rPr>
                <w:rFonts w:hint="eastAsia"/>
                <w:snapToGrid/>
                <w:color w:val="auto"/>
                <w:kern w:val="2"/>
                <w:sz w:val="24"/>
                <w:szCs w:val="24"/>
                <w:highlight w:val="none"/>
              </w:rPr>
            </w:pPr>
            <w:r>
              <w:rPr>
                <w:rFonts w:ascii="宋体" w:hAnsi="宋体"/>
                <w:snapToGrid/>
                <w:color w:val="auto"/>
                <w:kern w:val="2"/>
                <w:sz w:val="24"/>
                <w:szCs w:val="24"/>
                <w:highlight w:val="none"/>
              </w:rPr>
              <w:t>本项目生态恢复过程中涉及工程取土，</w:t>
            </w:r>
            <w:r>
              <w:rPr>
                <w:rFonts w:hint="eastAsia" w:ascii="宋体" w:hAnsi="宋体"/>
                <w:snapToGrid/>
                <w:color w:val="auto"/>
                <w:kern w:val="2"/>
                <w:sz w:val="24"/>
                <w:szCs w:val="24"/>
                <w:highlight w:val="none"/>
              </w:rPr>
              <w:t>取土过程中机械开挖会造成地表扰动，造成土方松散，施工范围内容易形成扬尘，如遇大风天气扬尘更叫严重。因工程取土区域均位于生态治理范围附近，与工程治理区距离较近且附近无村庄等环境敏感点，在取土过程中应合理分配取土位置，避免大面积开挖取土，取土过程中进行洒水抑尘，取土结束后及时对取土场进行生态恢复。在采取上述措施后，工程取土对环境空气的影响较小。</w:t>
            </w:r>
          </w:p>
          <w:p>
            <w:pPr>
              <w:pStyle w:val="15"/>
              <w:ind w:firstLine="480"/>
              <w:rPr>
                <w:color w:val="auto"/>
                <w:sz w:val="24"/>
                <w:szCs w:val="24"/>
                <w:highlight w:val="none"/>
              </w:rPr>
            </w:pPr>
            <w:r>
              <w:rPr>
                <w:rFonts w:hint="eastAsia"/>
                <w:color w:val="auto"/>
                <w:sz w:val="24"/>
                <w:szCs w:val="24"/>
                <w:highlight w:val="none"/>
              </w:rPr>
              <w:t>（3）施工机械废气</w:t>
            </w:r>
          </w:p>
          <w:p>
            <w:pPr>
              <w:pStyle w:val="15"/>
              <w:ind w:firstLine="480"/>
              <w:rPr>
                <w:color w:val="auto"/>
                <w:sz w:val="24"/>
                <w:szCs w:val="24"/>
                <w:highlight w:val="none"/>
              </w:rPr>
            </w:pPr>
            <w:r>
              <w:rPr>
                <w:rFonts w:hint="eastAsia"/>
                <w:color w:val="auto"/>
                <w:sz w:val="24"/>
                <w:szCs w:val="24"/>
                <w:highlight w:val="none"/>
              </w:rPr>
              <w:t>本项目施工期施工机械主要有推土机、挖掘机、装载机、运输汽车等燃油机械，燃油所产生的废气中的主要污染物有CO、NOx、HC。</w:t>
            </w:r>
          </w:p>
          <w:p>
            <w:pPr>
              <w:pStyle w:val="15"/>
              <w:ind w:firstLine="480"/>
              <w:rPr>
                <w:color w:val="auto"/>
                <w:sz w:val="24"/>
                <w:szCs w:val="24"/>
                <w:highlight w:val="none"/>
              </w:rPr>
            </w:pPr>
            <w:r>
              <w:rPr>
                <w:rFonts w:hint="eastAsia"/>
                <w:color w:val="auto"/>
                <w:sz w:val="24"/>
                <w:szCs w:val="24"/>
                <w:highlight w:val="none"/>
              </w:rPr>
              <w:t>由于施工机械多数为大型机械，施工作业具有不连续性、施工点分散，每个作业点施工时间相对较短，燃油动力机械为间断作业，且数量不多，因此，其排放的污染物对外环境影响较小。</w:t>
            </w:r>
          </w:p>
          <w:p>
            <w:pPr>
              <w:pStyle w:val="15"/>
              <w:ind w:firstLine="0" w:firstLineChars="0"/>
              <w:rPr>
                <w:color w:val="auto"/>
                <w:sz w:val="24"/>
                <w:szCs w:val="24"/>
                <w:highlight w:val="none"/>
              </w:rPr>
            </w:pPr>
            <w:r>
              <w:rPr>
                <w:rFonts w:hint="eastAsia"/>
                <w:b/>
                <w:bCs/>
                <w:color w:val="auto"/>
                <w:sz w:val="24"/>
                <w:szCs w:val="24"/>
                <w:highlight w:val="none"/>
              </w:rPr>
              <w:t>3、水环境影响分析</w:t>
            </w:r>
          </w:p>
          <w:p>
            <w:pPr>
              <w:pStyle w:val="15"/>
              <w:ind w:firstLine="480"/>
              <w:rPr>
                <w:color w:val="auto"/>
                <w:sz w:val="24"/>
                <w:szCs w:val="24"/>
                <w:highlight w:val="none"/>
              </w:rPr>
            </w:pPr>
            <w:r>
              <w:rPr>
                <w:rFonts w:hint="eastAsia"/>
                <w:color w:val="auto"/>
                <w:sz w:val="24"/>
                <w:szCs w:val="24"/>
                <w:highlight w:val="none"/>
              </w:rPr>
              <w:t>项目施工期废水主要为施工废水以及施工人员生活污水。</w:t>
            </w:r>
          </w:p>
          <w:p>
            <w:pPr>
              <w:pStyle w:val="15"/>
              <w:ind w:firstLine="480"/>
              <w:rPr>
                <w:color w:val="auto"/>
                <w:sz w:val="24"/>
                <w:szCs w:val="24"/>
                <w:highlight w:val="none"/>
              </w:rPr>
            </w:pPr>
            <w:r>
              <w:rPr>
                <w:rFonts w:hint="eastAsia"/>
                <w:color w:val="auto"/>
                <w:sz w:val="24"/>
                <w:szCs w:val="24"/>
                <w:highlight w:val="none"/>
              </w:rPr>
              <w:t>（1）施工废水</w:t>
            </w:r>
          </w:p>
          <w:p>
            <w:pPr>
              <w:adjustRightInd/>
              <w:spacing w:line="360" w:lineRule="auto"/>
              <w:ind w:firstLine="480" w:firstLineChars="200"/>
              <w:jc w:val="both"/>
              <w:rPr>
                <w:color w:val="auto"/>
                <w:sz w:val="24"/>
                <w:szCs w:val="24"/>
                <w:highlight w:val="none"/>
              </w:rPr>
            </w:pPr>
            <w:r>
              <w:rPr>
                <w:rFonts w:ascii="宋体" w:hAnsi="宋体"/>
                <w:snapToGrid/>
                <w:color w:val="auto"/>
                <w:sz w:val="24"/>
                <w:szCs w:val="24"/>
                <w:highlight w:val="none"/>
              </w:rPr>
              <w:t>施工废水主要来自</w:t>
            </w:r>
            <w:r>
              <w:rPr>
                <w:rFonts w:hint="eastAsia" w:ascii="宋体" w:hAnsi="宋体"/>
                <w:snapToGrid/>
                <w:color w:val="auto"/>
                <w:sz w:val="24"/>
                <w:szCs w:val="24"/>
                <w:highlight w:val="none"/>
              </w:rPr>
              <w:t>施工</w:t>
            </w:r>
            <w:r>
              <w:rPr>
                <w:rFonts w:ascii="宋体" w:hAnsi="宋体"/>
                <w:snapToGrid/>
                <w:color w:val="auto"/>
                <w:sz w:val="24"/>
                <w:szCs w:val="24"/>
                <w:highlight w:val="none"/>
              </w:rPr>
              <w:t>机械、车辆冲洗水，</w:t>
            </w:r>
            <w:r>
              <w:rPr>
                <w:rFonts w:hint="eastAsia"/>
                <w:color w:val="auto"/>
                <w:sz w:val="24"/>
                <w:szCs w:val="24"/>
                <w:highlight w:val="none"/>
              </w:rPr>
              <w:t>主要污染因子为SS及石油类。项目施工现场出入口拟设置临时隔油沉淀池</w:t>
            </w:r>
            <w:r>
              <w:rPr>
                <w:rFonts w:hint="eastAsia" w:ascii="宋体" w:hAnsi="宋体"/>
                <w:snapToGrid/>
                <w:color w:val="auto"/>
                <w:sz w:val="24"/>
                <w:szCs w:val="24"/>
                <w:highlight w:val="none"/>
              </w:rPr>
              <w:t>，</w:t>
            </w:r>
            <w:r>
              <w:rPr>
                <w:rFonts w:hint="eastAsia"/>
                <w:color w:val="auto"/>
                <w:sz w:val="24"/>
                <w:szCs w:val="24"/>
                <w:highlight w:val="none"/>
              </w:rPr>
              <w:t>经隔油沉淀池处理后，用于施工场地洒水降尘等，废水不外排，对区域地表水体影响较小。</w:t>
            </w:r>
          </w:p>
          <w:p>
            <w:pPr>
              <w:pStyle w:val="15"/>
              <w:ind w:firstLine="480"/>
              <w:rPr>
                <w:color w:val="auto"/>
                <w:sz w:val="24"/>
                <w:szCs w:val="24"/>
                <w:highlight w:val="none"/>
              </w:rPr>
            </w:pPr>
            <w:r>
              <w:rPr>
                <w:rFonts w:hint="eastAsia"/>
                <w:color w:val="auto"/>
                <w:sz w:val="24"/>
                <w:szCs w:val="24"/>
                <w:highlight w:val="none"/>
              </w:rPr>
              <w:t>（2）生活污水</w:t>
            </w:r>
          </w:p>
          <w:p>
            <w:pPr>
              <w:pStyle w:val="15"/>
              <w:ind w:firstLine="480"/>
              <w:rPr>
                <w:color w:val="auto"/>
                <w:sz w:val="24"/>
                <w:szCs w:val="24"/>
                <w:highlight w:val="none"/>
              </w:rPr>
            </w:pPr>
            <w:r>
              <w:rPr>
                <w:rFonts w:hint="eastAsia"/>
                <w:color w:val="auto"/>
                <w:sz w:val="24"/>
                <w:szCs w:val="24"/>
                <w:highlight w:val="none"/>
              </w:rPr>
              <w:t>本项目在周边村庄单独租借民房作为施工营地及食堂，施工人员均不在生态修复场地内进行食宿，施工人员生活污水依托租赁民房</w:t>
            </w:r>
            <w:r>
              <w:rPr>
                <w:color w:val="auto"/>
                <w:sz w:val="24"/>
                <w:szCs w:val="24"/>
                <w:highlight w:val="none"/>
              </w:rPr>
              <w:t>旱厕处理</w:t>
            </w:r>
            <w:r>
              <w:rPr>
                <w:rFonts w:hint="eastAsia"/>
                <w:color w:val="auto"/>
                <w:sz w:val="24"/>
                <w:szCs w:val="24"/>
                <w:highlight w:val="none"/>
              </w:rPr>
              <w:t>。</w:t>
            </w:r>
            <w:r>
              <w:rPr>
                <w:color w:val="auto"/>
                <w:sz w:val="24"/>
                <w:szCs w:val="24"/>
                <w:highlight w:val="none"/>
              </w:rPr>
              <w:t>本项目无生活污水</w:t>
            </w:r>
            <w:r>
              <w:rPr>
                <w:rFonts w:hint="eastAsia"/>
                <w:color w:val="auto"/>
                <w:sz w:val="24"/>
                <w:szCs w:val="24"/>
                <w:highlight w:val="none"/>
                <w:lang w:eastAsia="zh-CN"/>
              </w:rPr>
              <w:t>排放</w:t>
            </w:r>
            <w:r>
              <w:rPr>
                <w:rFonts w:hint="eastAsia"/>
                <w:color w:val="auto"/>
                <w:sz w:val="24"/>
                <w:szCs w:val="24"/>
                <w:highlight w:val="none"/>
              </w:rPr>
              <w:t>。</w:t>
            </w:r>
          </w:p>
          <w:p>
            <w:pPr>
              <w:pStyle w:val="15"/>
              <w:ind w:firstLine="562"/>
              <w:rPr>
                <w:b/>
                <w:bCs/>
                <w:color w:val="auto"/>
                <w:sz w:val="24"/>
                <w:szCs w:val="24"/>
                <w:highlight w:val="none"/>
              </w:rPr>
            </w:pPr>
            <w:r>
              <w:rPr>
                <w:rFonts w:hint="eastAsia"/>
                <w:b/>
                <w:bCs/>
                <w:color w:val="auto"/>
                <w:sz w:val="24"/>
                <w:szCs w:val="24"/>
                <w:highlight w:val="none"/>
              </w:rPr>
              <w:t>4、声环境影响分析</w:t>
            </w:r>
          </w:p>
          <w:p>
            <w:pPr>
              <w:adjustRightIn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施工噪声源可近似作为点声源处理，根据点声源噪声衰减模式，可估算其施工期间离噪声源不同距离处的噪声值，预测模式如下：</w:t>
            </w:r>
          </w:p>
          <w:p>
            <w:pPr>
              <w:adjustRightInd/>
              <w:spacing w:line="360" w:lineRule="auto"/>
              <w:rPr>
                <w:snapToGrid/>
                <w:color w:val="auto"/>
                <w:kern w:val="2"/>
                <w:sz w:val="24"/>
                <w:szCs w:val="24"/>
                <w:highlight w:val="none"/>
              </w:rPr>
            </w:pPr>
            <w:r>
              <w:rPr>
                <w:rFonts w:ascii="宋体" w:cs="宋体"/>
                <w:snapToGrid/>
                <w:color w:val="auto"/>
                <w:kern w:val="2"/>
                <w:sz w:val="24"/>
                <w:szCs w:val="24"/>
                <w:highlight w:val="none"/>
              </w:rPr>
              <w:drawing>
                <wp:inline distT="0" distB="0" distL="0" distR="0">
                  <wp:extent cx="2120265" cy="368300"/>
                  <wp:effectExtent l="0" t="0" r="0" b="0"/>
                  <wp:docPr id="57" name="图片 57" descr="C:\Users\ADMINI~1\AppData\Local\Temp\ksohtml5936\wp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ADMINI~1\AppData\Local\Temp\ksohtml5936\wps1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140829" cy="371906"/>
                          </a:xfrm>
                          <a:prstGeom prst="rect">
                            <a:avLst/>
                          </a:prstGeom>
                          <a:noFill/>
                          <a:ln>
                            <a:noFill/>
                          </a:ln>
                        </pic:spPr>
                      </pic:pic>
                    </a:graphicData>
                  </a:graphic>
                </wp:inline>
              </w:drawing>
            </w:r>
            <w:r>
              <w:rPr>
                <w:snapToGrid/>
                <w:color w:val="auto"/>
                <w:kern w:val="2"/>
                <w:sz w:val="24"/>
                <w:szCs w:val="24"/>
                <w:highlight w:val="none"/>
              </w:rPr>
              <w:t xml:space="preserve"> </w:t>
            </w:r>
          </w:p>
          <w:p>
            <w:pPr>
              <w:adjustRightInd/>
              <w:spacing w:line="360" w:lineRule="auto"/>
              <w:jc w:val="both"/>
              <w:rPr>
                <w:snapToGrid/>
                <w:color w:val="auto"/>
                <w:kern w:val="2"/>
                <w:sz w:val="24"/>
                <w:szCs w:val="24"/>
                <w:highlight w:val="none"/>
              </w:rPr>
            </w:pPr>
            <w:r>
              <w:rPr>
                <w:rFonts w:ascii="宋体" w:hAnsi="宋体"/>
                <w:snapToGrid/>
                <w:color w:val="auto"/>
                <w:kern w:val="2"/>
                <w:sz w:val="24"/>
                <w:szCs w:val="24"/>
                <w:highlight w:val="none"/>
              </w:rPr>
              <w:t>式中：</w:t>
            </w:r>
            <w:r>
              <w:rPr>
                <w:snapToGrid/>
                <w:color w:val="auto"/>
                <w:kern w:val="2"/>
                <w:sz w:val="24"/>
                <w:szCs w:val="24"/>
                <w:highlight w:val="none"/>
              </w:rPr>
              <w:t>L2—</w:t>
            </w:r>
            <w:r>
              <w:rPr>
                <w:rFonts w:ascii="宋体" w:hAnsi="宋体"/>
                <w:snapToGrid/>
                <w:color w:val="auto"/>
                <w:kern w:val="2"/>
                <w:sz w:val="24"/>
                <w:szCs w:val="24"/>
                <w:highlight w:val="none"/>
              </w:rPr>
              <w:t>声电源在预测点产生的声压级；</w:t>
            </w:r>
          </w:p>
          <w:p>
            <w:pPr>
              <w:adjustRightIn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L1—</w:t>
            </w:r>
            <w:r>
              <w:rPr>
                <w:rFonts w:ascii="宋体" w:hAnsi="宋体"/>
                <w:snapToGrid/>
                <w:color w:val="auto"/>
                <w:kern w:val="2"/>
                <w:sz w:val="24"/>
                <w:szCs w:val="24"/>
                <w:highlight w:val="none"/>
              </w:rPr>
              <w:t>声电源在参考点产生的声压级；</w:t>
            </w:r>
          </w:p>
          <w:p>
            <w:pPr>
              <w:adjustRightIn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r2—</w:t>
            </w:r>
            <w:r>
              <w:rPr>
                <w:rFonts w:ascii="宋体" w:hAnsi="宋体"/>
                <w:snapToGrid/>
                <w:color w:val="auto"/>
                <w:kern w:val="2"/>
                <w:sz w:val="24"/>
                <w:szCs w:val="24"/>
                <w:highlight w:val="none"/>
              </w:rPr>
              <w:t>预测点距声源的距离；</w:t>
            </w:r>
          </w:p>
          <w:p>
            <w:pPr>
              <w:adjustRightInd/>
              <w:spacing w:line="360" w:lineRule="auto"/>
              <w:ind w:firstLine="720" w:firstLineChars="300"/>
              <w:jc w:val="both"/>
              <w:rPr>
                <w:snapToGrid/>
                <w:color w:val="auto"/>
                <w:kern w:val="2"/>
                <w:sz w:val="24"/>
                <w:szCs w:val="24"/>
                <w:highlight w:val="none"/>
              </w:rPr>
            </w:pPr>
            <w:r>
              <w:rPr>
                <w:snapToGrid/>
                <w:color w:val="auto"/>
                <w:kern w:val="2"/>
                <w:sz w:val="24"/>
                <w:szCs w:val="24"/>
                <w:highlight w:val="none"/>
              </w:rPr>
              <w:t>r1—</w:t>
            </w:r>
            <w:r>
              <w:rPr>
                <w:rFonts w:ascii="宋体" w:hAnsi="宋体"/>
                <w:snapToGrid/>
                <w:color w:val="auto"/>
                <w:kern w:val="2"/>
                <w:sz w:val="24"/>
                <w:szCs w:val="24"/>
                <w:highlight w:val="none"/>
              </w:rPr>
              <w:t>参考点距声源的距离；</w:t>
            </w:r>
          </w:p>
          <w:p>
            <w:pPr>
              <w:adjustRightInd/>
              <w:spacing w:line="360" w:lineRule="auto"/>
              <w:ind w:firstLine="480" w:firstLineChars="200"/>
              <w:jc w:val="both"/>
              <w:rPr>
                <w:snapToGrid/>
                <w:color w:val="auto"/>
                <w:kern w:val="2"/>
                <w:sz w:val="24"/>
                <w:szCs w:val="24"/>
                <w:highlight w:val="none"/>
              </w:rPr>
            </w:pPr>
            <w:r>
              <w:rPr>
                <w:snapToGrid/>
                <w:color w:val="auto"/>
                <w:kern w:val="2"/>
                <w:sz w:val="24"/>
                <w:szCs w:val="24"/>
                <w:highlight w:val="none"/>
              </w:rPr>
              <w:t xml:space="preserve"> </w:t>
            </w:r>
            <w:r>
              <w:rPr>
                <w:rFonts w:ascii="宋体" w:cs="宋体"/>
                <w:snapToGrid/>
                <w:color w:val="auto"/>
                <w:kern w:val="2"/>
                <w:sz w:val="24"/>
                <w:szCs w:val="24"/>
                <w:highlight w:val="none"/>
              </w:rPr>
              <w:drawing>
                <wp:inline distT="0" distB="0" distL="0" distR="0">
                  <wp:extent cx="223520" cy="165100"/>
                  <wp:effectExtent l="0" t="0" r="5080" b="6350"/>
                  <wp:docPr id="58" name="图片 58" descr="C:\Users\ADMINI~1\AppData\Local\Temp\ksohtml5936\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1\AppData\Local\Temp\ksohtml5936\wps1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23520" cy="165100"/>
                          </a:xfrm>
                          <a:prstGeom prst="rect">
                            <a:avLst/>
                          </a:prstGeom>
                          <a:noFill/>
                          <a:ln>
                            <a:noFill/>
                          </a:ln>
                        </pic:spPr>
                      </pic:pic>
                    </a:graphicData>
                  </a:graphic>
                </wp:inline>
              </w:drawing>
            </w:r>
            <w:r>
              <w:rPr>
                <w:snapToGrid/>
                <w:color w:val="auto"/>
                <w:kern w:val="2"/>
                <w:sz w:val="24"/>
                <w:szCs w:val="24"/>
                <w:highlight w:val="none"/>
              </w:rPr>
              <w:t>—</w:t>
            </w:r>
            <w:r>
              <w:rPr>
                <w:rFonts w:ascii="宋体" w:hAnsi="宋体"/>
                <w:snapToGrid/>
                <w:color w:val="auto"/>
                <w:kern w:val="2"/>
                <w:sz w:val="24"/>
                <w:szCs w:val="24"/>
                <w:highlight w:val="none"/>
              </w:rPr>
              <w:t>各种因素引起的衰减量（包括声屏障、空气吸收引起的衰减量），</w:t>
            </w:r>
          </w:p>
          <w:p>
            <w:pPr>
              <w:adjustRightIn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多两个以上多个声源同时存在时，其预测点总声级采用以下公式：</w:t>
            </w:r>
          </w:p>
          <w:p>
            <w:pPr>
              <w:adjustRightInd/>
              <w:spacing w:line="360" w:lineRule="auto"/>
              <w:rPr>
                <w:snapToGrid/>
                <w:color w:val="auto"/>
                <w:kern w:val="2"/>
                <w:sz w:val="24"/>
                <w:szCs w:val="24"/>
                <w:highlight w:val="none"/>
              </w:rPr>
            </w:pPr>
            <w:r>
              <w:rPr>
                <w:rFonts w:ascii="宋体" w:cs="宋体"/>
                <w:snapToGrid/>
                <w:color w:val="auto"/>
                <w:kern w:val="2"/>
                <w:sz w:val="24"/>
                <w:szCs w:val="24"/>
                <w:highlight w:val="none"/>
              </w:rPr>
              <w:drawing>
                <wp:inline distT="0" distB="0" distL="0" distR="0">
                  <wp:extent cx="2013585" cy="387350"/>
                  <wp:effectExtent l="0" t="0" r="5715" b="0"/>
                  <wp:docPr id="59" name="图片 59" descr="C:\Users\ADMINI~1\AppData\Local\Temp\ksohtml5936\wp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1\AppData\Local\Temp\ksohtml5936\wps1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020300" cy="388938"/>
                          </a:xfrm>
                          <a:prstGeom prst="rect">
                            <a:avLst/>
                          </a:prstGeom>
                          <a:noFill/>
                          <a:ln>
                            <a:noFill/>
                          </a:ln>
                        </pic:spPr>
                      </pic:pic>
                    </a:graphicData>
                  </a:graphic>
                </wp:inline>
              </w:drawing>
            </w:r>
            <w:r>
              <w:rPr>
                <w:snapToGrid/>
                <w:color w:val="auto"/>
                <w:kern w:val="2"/>
                <w:sz w:val="24"/>
                <w:szCs w:val="24"/>
                <w:highlight w:val="none"/>
              </w:rPr>
              <w:t xml:space="preserve"> </w:t>
            </w:r>
          </w:p>
          <w:p>
            <w:pPr>
              <w:adjustRightInd/>
              <w:spacing w:line="360" w:lineRule="auto"/>
              <w:jc w:val="both"/>
              <w:rPr>
                <w:snapToGrid/>
                <w:color w:val="auto"/>
                <w:kern w:val="2"/>
                <w:sz w:val="24"/>
                <w:szCs w:val="24"/>
                <w:highlight w:val="none"/>
              </w:rPr>
            </w:pPr>
            <w:r>
              <w:rPr>
                <w:rFonts w:ascii="宋体" w:hAnsi="宋体"/>
                <w:snapToGrid/>
                <w:color w:val="auto"/>
                <w:kern w:val="2"/>
                <w:sz w:val="24"/>
                <w:szCs w:val="24"/>
                <w:highlight w:val="none"/>
              </w:rPr>
              <w:t>式中：</w:t>
            </w:r>
            <w:r>
              <w:rPr>
                <w:snapToGrid/>
                <w:color w:val="auto"/>
                <w:kern w:val="2"/>
                <w:sz w:val="24"/>
                <w:szCs w:val="24"/>
                <w:highlight w:val="none"/>
              </w:rPr>
              <w:t>Leq—</w:t>
            </w:r>
            <w:r>
              <w:rPr>
                <w:rFonts w:ascii="宋体" w:hAnsi="宋体"/>
                <w:snapToGrid/>
                <w:color w:val="auto"/>
                <w:kern w:val="2"/>
                <w:sz w:val="24"/>
                <w:szCs w:val="24"/>
                <w:highlight w:val="none"/>
              </w:rPr>
              <w:t>预测点的总等效声级，</w:t>
            </w:r>
            <w:r>
              <w:rPr>
                <w:snapToGrid/>
                <w:color w:val="auto"/>
                <w:kern w:val="2"/>
                <w:sz w:val="24"/>
                <w:szCs w:val="24"/>
                <w:highlight w:val="none"/>
              </w:rPr>
              <w:t>dB</w:t>
            </w:r>
            <w:r>
              <w:rPr>
                <w:rFonts w:ascii="宋体" w:hAnsi="宋体"/>
                <w:snapToGrid/>
                <w:color w:val="auto"/>
                <w:kern w:val="2"/>
                <w:sz w:val="24"/>
                <w:szCs w:val="24"/>
                <w:highlight w:val="none"/>
              </w:rPr>
              <w:t>；</w:t>
            </w:r>
          </w:p>
          <w:p>
            <w:pPr>
              <w:adjustRightInd/>
              <w:spacing w:line="360" w:lineRule="auto"/>
              <w:ind w:firstLine="600" w:firstLineChars="250"/>
              <w:jc w:val="both"/>
              <w:rPr>
                <w:snapToGrid/>
                <w:color w:val="auto"/>
                <w:kern w:val="2"/>
                <w:sz w:val="24"/>
                <w:szCs w:val="24"/>
                <w:highlight w:val="none"/>
              </w:rPr>
            </w:pPr>
            <w:r>
              <w:rPr>
                <w:snapToGrid/>
                <w:color w:val="auto"/>
                <w:kern w:val="2"/>
                <w:sz w:val="24"/>
                <w:szCs w:val="24"/>
                <w:highlight w:val="none"/>
              </w:rPr>
              <w:t>L</w:t>
            </w:r>
            <w:r>
              <w:rPr>
                <w:snapToGrid/>
                <w:color w:val="auto"/>
                <w:kern w:val="2"/>
                <w:sz w:val="24"/>
                <w:szCs w:val="24"/>
                <w:highlight w:val="none"/>
                <w:vertAlign w:val="subscript"/>
              </w:rPr>
              <w:t>i</w:t>
            </w:r>
            <w:r>
              <w:rPr>
                <w:snapToGrid/>
                <w:color w:val="auto"/>
                <w:kern w:val="2"/>
                <w:sz w:val="24"/>
                <w:szCs w:val="24"/>
                <w:highlight w:val="none"/>
              </w:rPr>
              <w:t>—</w:t>
            </w:r>
            <w:r>
              <w:rPr>
                <w:rFonts w:ascii="宋体" w:hAnsi="宋体"/>
                <w:snapToGrid/>
                <w:color w:val="auto"/>
                <w:kern w:val="2"/>
                <w:sz w:val="24"/>
                <w:szCs w:val="24"/>
                <w:highlight w:val="none"/>
              </w:rPr>
              <w:t>第</w:t>
            </w:r>
            <w:r>
              <w:rPr>
                <w:snapToGrid/>
                <w:color w:val="auto"/>
                <w:kern w:val="2"/>
                <w:sz w:val="24"/>
                <w:szCs w:val="24"/>
                <w:highlight w:val="none"/>
              </w:rPr>
              <w:t>i</w:t>
            </w:r>
            <w:r>
              <w:rPr>
                <w:rFonts w:ascii="宋体" w:hAnsi="宋体"/>
                <w:snapToGrid/>
                <w:color w:val="auto"/>
                <w:kern w:val="2"/>
                <w:sz w:val="24"/>
                <w:szCs w:val="24"/>
                <w:highlight w:val="none"/>
              </w:rPr>
              <w:t>个声源对预测点的声级影响，</w:t>
            </w:r>
            <w:r>
              <w:rPr>
                <w:snapToGrid/>
                <w:color w:val="auto"/>
                <w:kern w:val="2"/>
                <w:sz w:val="24"/>
                <w:szCs w:val="24"/>
                <w:highlight w:val="none"/>
              </w:rPr>
              <w:t>dB</w:t>
            </w:r>
            <w:r>
              <w:rPr>
                <w:rFonts w:ascii="宋体" w:hAnsi="宋体"/>
                <w:snapToGrid/>
                <w:color w:val="auto"/>
                <w:kern w:val="2"/>
                <w:sz w:val="24"/>
                <w:szCs w:val="24"/>
                <w:highlight w:val="none"/>
              </w:rPr>
              <w:t>。</w:t>
            </w:r>
          </w:p>
          <w:p>
            <w:pPr>
              <w:adjustRightInd/>
              <w:spacing w:line="360" w:lineRule="auto"/>
              <w:ind w:firstLine="480" w:firstLineChars="200"/>
              <w:jc w:val="both"/>
              <w:rPr>
                <w:color w:val="auto"/>
                <w:highlight w:val="none"/>
              </w:rPr>
            </w:pPr>
            <w:r>
              <w:rPr>
                <w:rFonts w:ascii="宋体" w:hAnsi="宋体"/>
                <w:snapToGrid/>
                <w:color w:val="auto"/>
                <w:kern w:val="2"/>
                <w:sz w:val="24"/>
                <w:szCs w:val="24"/>
                <w:highlight w:val="none"/>
              </w:rPr>
              <w:t>在不考虑各种衰减影响情况下，利用模式可模拟计算得到各种施工机械在不通距离处的噪声影响值，具体结果详见表</w:t>
            </w:r>
            <w:r>
              <w:rPr>
                <w:snapToGrid/>
                <w:color w:val="auto"/>
                <w:kern w:val="2"/>
                <w:sz w:val="24"/>
                <w:szCs w:val="24"/>
                <w:highlight w:val="none"/>
              </w:rPr>
              <w:t>4-</w:t>
            </w:r>
            <w:r>
              <w:rPr>
                <w:rFonts w:hint="eastAsia"/>
                <w:snapToGrid/>
                <w:color w:val="auto"/>
                <w:kern w:val="2"/>
                <w:sz w:val="24"/>
                <w:szCs w:val="24"/>
                <w:highlight w:val="none"/>
              </w:rPr>
              <w:t>7</w:t>
            </w:r>
            <w:r>
              <w:rPr>
                <w:rFonts w:ascii="宋体" w:hAnsi="宋体"/>
                <w:snapToGrid/>
                <w:color w:val="auto"/>
                <w:kern w:val="2"/>
                <w:sz w:val="24"/>
                <w:szCs w:val="24"/>
                <w:highlight w:val="none"/>
              </w:rPr>
              <w:t>。</w:t>
            </w:r>
          </w:p>
          <w:p>
            <w:pPr>
              <w:adjustRightInd/>
              <w:snapToGrid/>
              <w:ind w:firstLine="964" w:firstLineChars="400"/>
              <w:rPr>
                <w:rFonts w:hint="eastAsia" w:eastAsia="宋体"/>
                <w:b/>
                <w:bCs/>
                <w:snapToGrid/>
                <w:color w:val="auto"/>
                <w:kern w:val="2"/>
                <w:sz w:val="24"/>
                <w:szCs w:val="24"/>
                <w:highlight w:val="none"/>
                <w:lang w:eastAsia="zh-CN"/>
              </w:rPr>
            </w:pPr>
            <w:r>
              <w:rPr>
                <w:rFonts w:ascii="宋体" w:hAnsi="宋体"/>
                <w:b/>
                <w:bCs/>
                <w:snapToGrid/>
                <w:color w:val="auto"/>
                <w:kern w:val="2"/>
                <w:sz w:val="24"/>
                <w:szCs w:val="24"/>
                <w:highlight w:val="none"/>
              </w:rPr>
              <w:t>表</w:t>
            </w:r>
            <w:r>
              <w:rPr>
                <w:b/>
                <w:bCs/>
                <w:snapToGrid/>
                <w:color w:val="auto"/>
                <w:kern w:val="2"/>
                <w:sz w:val="24"/>
                <w:szCs w:val="24"/>
                <w:highlight w:val="none"/>
              </w:rPr>
              <w:t>4-</w:t>
            </w:r>
            <w:r>
              <w:rPr>
                <w:rFonts w:hint="eastAsia"/>
                <w:b/>
                <w:bCs/>
                <w:snapToGrid/>
                <w:color w:val="auto"/>
                <w:kern w:val="2"/>
                <w:sz w:val="24"/>
                <w:szCs w:val="24"/>
                <w:highlight w:val="none"/>
              </w:rPr>
              <w:t>7</w:t>
            </w:r>
            <w:r>
              <w:rPr>
                <w:b/>
                <w:bCs/>
                <w:snapToGrid/>
                <w:color w:val="auto"/>
                <w:kern w:val="2"/>
                <w:sz w:val="24"/>
                <w:szCs w:val="24"/>
                <w:highlight w:val="none"/>
              </w:rPr>
              <w:t xml:space="preserve"> </w:t>
            </w:r>
            <w:r>
              <w:rPr>
                <w:rFonts w:ascii="宋体" w:hAnsi="宋体"/>
                <w:b/>
                <w:bCs/>
                <w:snapToGrid/>
                <w:color w:val="auto"/>
                <w:kern w:val="2"/>
                <w:sz w:val="24"/>
                <w:szCs w:val="24"/>
                <w:highlight w:val="none"/>
              </w:rPr>
              <w:t>各种施工机械在不同距离处的噪声预测值</w:t>
            </w:r>
            <w:r>
              <w:rPr>
                <w:rFonts w:hint="eastAsia" w:ascii="宋体" w:hAnsi="宋体"/>
                <w:b/>
                <w:bCs/>
                <w:snapToGrid/>
                <w:color w:val="auto"/>
                <w:kern w:val="2"/>
                <w:sz w:val="24"/>
                <w:szCs w:val="24"/>
                <w:highlight w:val="none"/>
                <w:lang w:eastAsia="zh-CN"/>
              </w:rPr>
              <w:t>（</w:t>
            </w:r>
            <w:r>
              <w:rPr>
                <w:rFonts w:ascii="宋体" w:hAnsi="宋体"/>
                <w:b/>
                <w:bCs/>
                <w:snapToGrid/>
                <w:color w:val="auto"/>
                <w:kern w:val="2"/>
                <w:sz w:val="24"/>
                <w:szCs w:val="24"/>
                <w:highlight w:val="none"/>
              </w:rPr>
              <w:t>单位：</w:t>
            </w:r>
            <w:r>
              <w:rPr>
                <w:b/>
                <w:bCs/>
                <w:snapToGrid/>
                <w:color w:val="auto"/>
                <w:kern w:val="2"/>
                <w:sz w:val="24"/>
                <w:szCs w:val="24"/>
                <w:highlight w:val="none"/>
              </w:rPr>
              <w:t>dB</w:t>
            </w:r>
            <w:r>
              <w:rPr>
                <w:rFonts w:ascii="宋体" w:hAnsi="宋体"/>
                <w:b/>
                <w:bCs/>
                <w:snapToGrid/>
                <w:color w:val="auto"/>
                <w:kern w:val="2"/>
                <w:sz w:val="24"/>
                <w:szCs w:val="24"/>
                <w:highlight w:val="none"/>
              </w:rPr>
              <w:t>（</w:t>
            </w:r>
            <w:r>
              <w:rPr>
                <w:b/>
                <w:bCs/>
                <w:snapToGrid/>
                <w:color w:val="auto"/>
                <w:kern w:val="2"/>
                <w:sz w:val="24"/>
                <w:szCs w:val="24"/>
                <w:highlight w:val="none"/>
              </w:rPr>
              <w:t>A</w:t>
            </w:r>
            <w:r>
              <w:rPr>
                <w:rFonts w:ascii="宋体" w:hAnsi="宋体"/>
                <w:b/>
                <w:bCs/>
                <w:snapToGrid/>
                <w:color w:val="auto"/>
                <w:kern w:val="2"/>
                <w:sz w:val="24"/>
                <w:szCs w:val="24"/>
                <w:highlight w:val="none"/>
              </w:rPr>
              <w:t>）</w:t>
            </w:r>
            <w:r>
              <w:rPr>
                <w:rFonts w:hint="eastAsia" w:ascii="宋体" w:hAnsi="宋体"/>
                <w:b/>
                <w:bCs/>
                <w:snapToGrid/>
                <w:color w:val="auto"/>
                <w:kern w:val="2"/>
                <w:sz w:val="24"/>
                <w:szCs w:val="24"/>
                <w:highlight w:val="none"/>
                <w:lang w:eastAsia="zh-CN"/>
              </w:rPr>
              <w:t>）</w:t>
            </w:r>
          </w:p>
          <w:tbl>
            <w:tblPr>
              <w:tblStyle w:val="24"/>
              <w:tblW w:w="758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50"/>
              <w:gridCol w:w="793"/>
              <w:gridCol w:w="784"/>
              <w:gridCol w:w="844"/>
              <w:gridCol w:w="844"/>
              <w:gridCol w:w="844"/>
              <w:gridCol w:w="844"/>
              <w:gridCol w:w="844"/>
              <w:gridCol w:w="83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0" w:type="dxa"/>
                  <w:vMerge w:val="restart"/>
                </w:tcPr>
                <w:p>
                  <w:pPr>
                    <w:rPr>
                      <w:snapToGrid/>
                      <w:color w:val="auto"/>
                      <w:kern w:val="2"/>
                      <w:sz w:val="21"/>
                      <w:szCs w:val="21"/>
                      <w:highlight w:val="none"/>
                    </w:rPr>
                  </w:pPr>
                  <w:r>
                    <w:rPr>
                      <w:rFonts w:ascii="宋体" w:hAnsi="宋体"/>
                      <w:snapToGrid/>
                      <w:color w:val="auto"/>
                      <w:kern w:val="2"/>
                      <w:sz w:val="21"/>
                      <w:szCs w:val="21"/>
                      <w:highlight w:val="none"/>
                    </w:rPr>
                    <w:t>施工机械</w:t>
                  </w:r>
                </w:p>
              </w:tc>
              <w:tc>
                <w:tcPr>
                  <w:tcW w:w="6636" w:type="dxa"/>
                  <w:gridSpan w:val="8"/>
                </w:tcPr>
                <w:p>
                  <w:pPr>
                    <w:rPr>
                      <w:snapToGrid/>
                      <w:color w:val="auto"/>
                      <w:kern w:val="2"/>
                      <w:sz w:val="21"/>
                      <w:szCs w:val="21"/>
                      <w:highlight w:val="none"/>
                    </w:rPr>
                  </w:pPr>
                  <w:r>
                    <w:rPr>
                      <w:rFonts w:ascii="宋体" w:hAnsi="宋体"/>
                      <w:snapToGrid/>
                      <w:color w:val="auto"/>
                      <w:kern w:val="2"/>
                      <w:sz w:val="21"/>
                      <w:szCs w:val="21"/>
                      <w:highlight w:val="none"/>
                    </w:rPr>
                    <w:t>距机械不同距离处的噪声预测值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0" w:type="dxa"/>
                  <w:vMerge w:val="continue"/>
                  <w:vAlign w:val="center"/>
                </w:tcPr>
                <w:p>
                  <w:pPr>
                    <w:widowControl/>
                    <w:adjustRightInd/>
                    <w:snapToGrid/>
                    <w:jc w:val="left"/>
                    <w:rPr>
                      <w:snapToGrid/>
                      <w:color w:val="auto"/>
                      <w:kern w:val="2"/>
                      <w:sz w:val="21"/>
                      <w:szCs w:val="21"/>
                      <w:highlight w:val="none"/>
                    </w:rPr>
                  </w:pPr>
                </w:p>
              </w:tc>
              <w:tc>
                <w:tcPr>
                  <w:tcW w:w="793" w:type="dxa"/>
                </w:tcPr>
                <w:p>
                  <w:pPr>
                    <w:rPr>
                      <w:snapToGrid/>
                      <w:color w:val="auto"/>
                      <w:kern w:val="2"/>
                      <w:sz w:val="21"/>
                      <w:szCs w:val="21"/>
                      <w:highlight w:val="none"/>
                    </w:rPr>
                  </w:pPr>
                  <w:r>
                    <w:rPr>
                      <w:snapToGrid/>
                      <w:color w:val="auto"/>
                      <w:kern w:val="2"/>
                      <w:sz w:val="21"/>
                      <w:szCs w:val="21"/>
                      <w:highlight w:val="none"/>
                    </w:rPr>
                    <w:t>1m</w:t>
                  </w:r>
                </w:p>
              </w:tc>
              <w:tc>
                <w:tcPr>
                  <w:tcW w:w="784" w:type="dxa"/>
                </w:tcPr>
                <w:p>
                  <w:pPr>
                    <w:rPr>
                      <w:snapToGrid/>
                      <w:color w:val="auto"/>
                      <w:kern w:val="2"/>
                      <w:sz w:val="21"/>
                      <w:szCs w:val="21"/>
                      <w:highlight w:val="none"/>
                    </w:rPr>
                  </w:pPr>
                  <w:r>
                    <w:rPr>
                      <w:snapToGrid/>
                      <w:color w:val="auto"/>
                      <w:kern w:val="2"/>
                      <w:sz w:val="21"/>
                      <w:szCs w:val="21"/>
                      <w:highlight w:val="none"/>
                    </w:rPr>
                    <w:t>10m</w:t>
                  </w:r>
                </w:p>
              </w:tc>
              <w:tc>
                <w:tcPr>
                  <w:tcW w:w="844" w:type="dxa"/>
                </w:tcPr>
                <w:p>
                  <w:pPr>
                    <w:rPr>
                      <w:snapToGrid/>
                      <w:color w:val="auto"/>
                      <w:kern w:val="2"/>
                      <w:sz w:val="21"/>
                      <w:szCs w:val="21"/>
                      <w:highlight w:val="none"/>
                    </w:rPr>
                  </w:pPr>
                  <w:r>
                    <w:rPr>
                      <w:snapToGrid/>
                      <w:color w:val="auto"/>
                      <w:kern w:val="2"/>
                      <w:sz w:val="21"/>
                      <w:szCs w:val="21"/>
                      <w:highlight w:val="none"/>
                    </w:rPr>
                    <w:t>20m</w:t>
                  </w:r>
                </w:p>
              </w:tc>
              <w:tc>
                <w:tcPr>
                  <w:tcW w:w="844" w:type="dxa"/>
                </w:tcPr>
                <w:p>
                  <w:pPr>
                    <w:rPr>
                      <w:snapToGrid/>
                      <w:color w:val="auto"/>
                      <w:kern w:val="2"/>
                      <w:sz w:val="21"/>
                      <w:szCs w:val="21"/>
                      <w:highlight w:val="none"/>
                    </w:rPr>
                  </w:pPr>
                  <w:r>
                    <w:rPr>
                      <w:snapToGrid/>
                      <w:color w:val="auto"/>
                      <w:kern w:val="2"/>
                      <w:sz w:val="21"/>
                      <w:szCs w:val="21"/>
                      <w:highlight w:val="none"/>
                    </w:rPr>
                    <w:t>30m</w:t>
                  </w:r>
                </w:p>
              </w:tc>
              <w:tc>
                <w:tcPr>
                  <w:tcW w:w="844" w:type="dxa"/>
                </w:tcPr>
                <w:p>
                  <w:pPr>
                    <w:rPr>
                      <w:snapToGrid/>
                      <w:color w:val="auto"/>
                      <w:kern w:val="2"/>
                      <w:sz w:val="21"/>
                      <w:szCs w:val="21"/>
                      <w:highlight w:val="none"/>
                    </w:rPr>
                  </w:pPr>
                  <w:r>
                    <w:rPr>
                      <w:snapToGrid/>
                      <w:color w:val="auto"/>
                      <w:kern w:val="2"/>
                      <w:sz w:val="21"/>
                      <w:szCs w:val="21"/>
                      <w:highlight w:val="none"/>
                    </w:rPr>
                    <w:t>40m</w:t>
                  </w:r>
                </w:p>
              </w:tc>
              <w:tc>
                <w:tcPr>
                  <w:tcW w:w="844" w:type="dxa"/>
                </w:tcPr>
                <w:p>
                  <w:pPr>
                    <w:rPr>
                      <w:snapToGrid/>
                      <w:color w:val="auto"/>
                      <w:kern w:val="2"/>
                      <w:sz w:val="21"/>
                      <w:szCs w:val="21"/>
                      <w:highlight w:val="none"/>
                    </w:rPr>
                  </w:pPr>
                  <w:r>
                    <w:rPr>
                      <w:snapToGrid/>
                      <w:color w:val="auto"/>
                      <w:kern w:val="2"/>
                      <w:sz w:val="21"/>
                      <w:szCs w:val="21"/>
                      <w:highlight w:val="none"/>
                    </w:rPr>
                    <w:t>50m</w:t>
                  </w:r>
                </w:p>
              </w:tc>
              <w:tc>
                <w:tcPr>
                  <w:tcW w:w="844" w:type="dxa"/>
                </w:tcPr>
                <w:p>
                  <w:pPr>
                    <w:rPr>
                      <w:snapToGrid/>
                      <w:color w:val="auto"/>
                      <w:kern w:val="2"/>
                      <w:sz w:val="21"/>
                      <w:szCs w:val="21"/>
                      <w:highlight w:val="none"/>
                    </w:rPr>
                  </w:pPr>
                  <w:r>
                    <w:rPr>
                      <w:snapToGrid/>
                      <w:color w:val="auto"/>
                      <w:kern w:val="2"/>
                      <w:sz w:val="21"/>
                      <w:szCs w:val="21"/>
                      <w:highlight w:val="none"/>
                    </w:rPr>
                    <w:t>150m</w:t>
                  </w:r>
                </w:p>
              </w:tc>
              <w:tc>
                <w:tcPr>
                  <w:tcW w:w="839" w:type="dxa"/>
                </w:tcPr>
                <w:p>
                  <w:pPr>
                    <w:rPr>
                      <w:snapToGrid/>
                      <w:color w:val="auto"/>
                      <w:kern w:val="2"/>
                      <w:sz w:val="21"/>
                      <w:szCs w:val="21"/>
                      <w:highlight w:val="none"/>
                    </w:rPr>
                  </w:pPr>
                  <w:r>
                    <w:rPr>
                      <w:snapToGrid/>
                      <w:color w:val="auto"/>
                      <w:kern w:val="2"/>
                      <w:sz w:val="21"/>
                      <w:szCs w:val="21"/>
                      <w:highlight w:val="none"/>
                    </w:rPr>
                    <w:t>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0" w:type="dxa"/>
                </w:tcPr>
                <w:p>
                  <w:pPr>
                    <w:rPr>
                      <w:snapToGrid/>
                      <w:color w:val="auto"/>
                      <w:kern w:val="2"/>
                      <w:sz w:val="21"/>
                      <w:szCs w:val="21"/>
                      <w:highlight w:val="none"/>
                    </w:rPr>
                  </w:pPr>
                  <w:r>
                    <w:rPr>
                      <w:rFonts w:ascii="宋体" w:hAnsi="宋体"/>
                      <w:snapToGrid/>
                      <w:color w:val="auto"/>
                      <w:kern w:val="2"/>
                      <w:sz w:val="21"/>
                      <w:szCs w:val="21"/>
                      <w:highlight w:val="none"/>
                    </w:rPr>
                    <w:t>挖掘机</w:t>
                  </w:r>
                </w:p>
              </w:tc>
              <w:tc>
                <w:tcPr>
                  <w:tcW w:w="793" w:type="dxa"/>
                </w:tcPr>
                <w:p>
                  <w:pPr>
                    <w:rPr>
                      <w:snapToGrid/>
                      <w:color w:val="auto"/>
                      <w:kern w:val="2"/>
                      <w:sz w:val="21"/>
                      <w:szCs w:val="21"/>
                      <w:highlight w:val="none"/>
                    </w:rPr>
                  </w:pPr>
                  <w:r>
                    <w:rPr>
                      <w:snapToGrid/>
                      <w:color w:val="auto"/>
                      <w:kern w:val="2"/>
                      <w:sz w:val="21"/>
                      <w:szCs w:val="21"/>
                      <w:highlight w:val="none"/>
                    </w:rPr>
                    <w:t>90</w:t>
                  </w:r>
                </w:p>
              </w:tc>
              <w:tc>
                <w:tcPr>
                  <w:tcW w:w="784" w:type="dxa"/>
                </w:tcPr>
                <w:p>
                  <w:pPr>
                    <w:rPr>
                      <w:snapToGrid/>
                      <w:color w:val="auto"/>
                      <w:kern w:val="2"/>
                      <w:sz w:val="21"/>
                      <w:szCs w:val="21"/>
                      <w:highlight w:val="none"/>
                    </w:rPr>
                  </w:pPr>
                  <w:r>
                    <w:rPr>
                      <w:snapToGrid/>
                      <w:color w:val="auto"/>
                      <w:kern w:val="2"/>
                      <w:sz w:val="21"/>
                      <w:szCs w:val="21"/>
                      <w:highlight w:val="none"/>
                    </w:rPr>
                    <w:t>70</w:t>
                  </w:r>
                </w:p>
              </w:tc>
              <w:tc>
                <w:tcPr>
                  <w:tcW w:w="844" w:type="dxa"/>
                </w:tcPr>
                <w:p>
                  <w:pPr>
                    <w:rPr>
                      <w:snapToGrid/>
                      <w:color w:val="auto"/>
                      <w:kern w:val="2"/>
                      <w:sz w:val="21"/>
                      <w:szCs w:val="21"/>
                      <w:highlight w:val="none"/>
                    </w:rPr>
                  </w:pPr>
                  <w:r>
                    <w:rPr>
                      <w:snapToGrid/>
                      <w:color w:val="auto"/>
                      <w:kern w:val="2"/>
                      <w:sz w:val="21"/>
                      <w:szCs w:val="21"/>
                      <w:highlight w:val="none"/>
                    </w:rPr>
                    <w:t>64</w:t>
                  </w:r>
                </w:p>
              </w:tc>
              <w:tc>
                <w:tcPr>
                  <w:tcW w:w="844" w:type="dxa"/>
                </w:tcPr>
                <w:p>
                  <w:pPr>
                    <w:rPr>
                      <w:snapToGrid/>
                      <w:color w:val="auto"/>
                      <w:kern w:val="2"/>
                      <w:sz w:val="21"/>
                      <w:szCs w:val="21"/>
                      <w:highlight w:val="none"/>
                    </w:rPr>
                  </w:pPr>
                  <w:r>
                    <w:rPr>
                      <w:snapToGrid/>
                      <w:color w:val="auto"/>
                      <w:kern w:val="2"/>
                      <w:sz w:val="21"/>
                      <w:szCs w:val="21"/>
                      <w:highlight w:val="none"/>
                    </w:rPr>
                    <w:t>60</w:t>
                  </w:r>
                </w:p>
              </w:tc>
              <w:tc>
                <w:tcPr>
                  <w:tcW w:w="844" w:type="dxa"/>
                </w:tcPr>
                <w:p>
                  <w:pPr>
                    <w:rPr>
                      <w:snapToGrid/>
                      <w:color w:val="auto"/>
                      <w:kern w:val="2"/>
                      <w:sz w:val="21"/>
                      <w:szCs w:val="21"/>
                      <w:highlight w:val="none"/>
                    </w:rPr>
                  </w:pPr>
                  <w:r>
                    <w:rPr>
                      <w:snapToGrid/>
                      <w:color w:val="auto"/>
                      <w:kern w:val="2"/>
                      <w:sz w:val="21"/>
                      <w:szCs w:val="21"/>
                      <w:highlight w:val="none"/>
                    </w:rPr>
                    <w:t>56</w:t>
                  </w:r>
                </w:p>
              </w:tc>
              <w:tc>
                <w:tcPr>
                  <w:tcW w:w="844" w:type="dxa"/>
                </w:tcPr>
                <w:p>
                  <w:pPr>
                    <w:rPr>
                      <w:snapToGrid/>
                      <w:color w:val="auto"/>
                      <w:kern w:val="2"/>
                      <w:sz w:val="21"/>
                      <w:szCs w:val="21"/>
                      <w:highlight w:val="none"/>
                    </w:rPr>
                  </w:pPr>
                  <w:r>
                    <w:rPr>
                      <w:snapToGrid/>
                      <w:color w:val="auto"/>
                      <w:kern w:val="2"/>
                      <w:sz w:val="21"/>
                      <w:szCs w:val="21"/>
                      <w:highlight w:val="none"/>
                    </w:rPr>
                    <w:t>50</w:t>
                  </w:r>
                </w:p>
              </w:tc>
              <w:tc>
                <w:tcPr>
                  <w:tcW w:w="844" w:type="dxa"/>
                </w:tcPr>
                <w:p>
                  <w:pPr>
                    <w:rPr>
                      <w:snapToGrid/>
                      <w:color w:val="auto"/>
                      <w:kern w:val="2"/>
                      <w:sz w:val="21"/>
                      <w:szCs w:val="21"/>
                      <w:highlight w:val="none"/>
                    </w:rPr>
                  </w:pPr>
                  <w:r>
                    <w:rPr>
                      <w:snapToGrid/>
                      <w:color w:val="auto"/>
                      <w:kern w:val="2"/>
                      <w:sz w:val="21"/>
                      <w:szCs w:val="21"/>
                      <w:highlight w:val="none"/>
                    </w:rPr>
                    <w:t>46.5</w:t>
                  </w:r>
                </w:p>
              </w:tc>
              <w:tc>
                <w:tcPr>
                  <w:tcW w:w="839" w:type="dxa"/>
                </w:tcPr>
                <w:p>
                  <w:pPr>
                    <w:rPr>
                      <w:snapToGrid/>
                      <w:color w:val="auto"/>
                      <w:kern w:val="2"/>
                      <w:sz w:val="21"/>
                      <w:szCs w:val="21"/>
                      <w:highlight w:val="none"/>
                    </w:rPr>
                  </w:pPr>
                  <w:r>
                    <w:rPr>
                      <w:snapToGrid/>
                      <w:color w:val="auto"/>
                      <w:kern w:val="2"/>
                      <w:sz w:val="21"/>
                      <w:szCs w:val="21"/>
                      <w:highlight w:val="none"/>
                    </w:rPr>
                    <w:t>44.0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0" w:type="dxa"/>
                </w:tcPr>
                <w:p>
                  <w:pPr>
                    <w:rPr>
                      <w:snapToGrid/>
                      <w:color w:val="auto"/>
                      <w:kern w:val="2"/>
                      <w:sz w:val="21"/>
                      <w:szCs w:val="21"/>
                      <w:highlight w:val="none"/>
                    </w:rPr>
                  </w:pPr>
                  <w:r>
                    <w:rPr>
                      <w:rFonts w:ascii="宋体" w:hAnsi="宋体"/>
                      <w:snapToGrid/>
                      <w:color w:val="auto"/>
                      <w:kern w:val="2"/>
                      <w:sz w:val="21"/>
                      <w:szCs w:val="21"/>
                      <w:highlight w:val="none"/>
                    </w:rPr>
                    <w:t>洒水车</w:t>
                  </w:r>
                </w:p>
              </w:tc>
              <w:tc>
                <w:tcPr>
                  <w:tcW w:w="793" w:type="dxa"/>
                </w:tcPr>
                <w:p>
                  <w:pPr>
                    <w:rPr>
                      <w:snapToGrid/>
                      <w:color w:val="auto"/>
                      <w:kern w:val="2"/>
                      <w:sz w:val="21"/>
                      <w:szCs w:val="21"/>
                      <w:highlight w:val="none"/>
                    </w:rPr>
                  </w:pPr>
                  <w:r>
                    <w:rPr>
                      <w:snapToGrid/>
                      <w:color w:val="auto"/>
                      <w:kern w:val="2"/>
                      <w:sz w:val="21"/>
                      <w:szCs w:val="21"/>
                      <w:highlight w:val="none"/>
                    </w:rPr>
                    <w:t>70</w:t>
                  </w:r>
                </w:p>
              </w:tc>
              <w:tc>
                <w:tcPr>
                  <w:tcW w:w="784" w:type="dxa"/>
                </w:tcPr>
                <w:p>
                  <w:pPr>
                    <w:rPr>
                      <w:snapToGrid/>
                      <w:color w:val="auto"/>
                      <w:kern w:val="2"/>
                      <w:sz w:val="21"/>
                      <w:szCs w:val="21"/>
                      <w:highlight w:val="none"/>
                    </w:rPr>
                  </w:pPr>
                  <w:r>
                    <w:rPr>
                      <w:snapToGrid/>
                      <w:color w:val="auto"/>
                      <w:kern w:val="2"/>
                      <w:sz w:val="21"/>
                      <w:szCs w:val="21"/>
                      <w:highlight w:val="none"/>
                    </w:rPr>
                    <w:t>50</w:t>
                  </w:r>
                </w:p>
              </w:tc>
              <w:tc>
                <w:tcPr>
                  <w:tcW w:w="844" w:type="dxa"/>
                </w:tcPr>
                <w:p>
                  <w:pPr>
                    <w:rPr>
                      <w:snapToGrid/>
                      <w:color w:val="auto"/>
                      <w:kern w:val="2"/>
                      <w:sz w:val="21"/>
                      <w:szCs w:val="21"/>
                      <w:highlight w:val="none"/>
                    </w:rPr>
                  </w:pPr>
                  <w:r>
                    <w:rPr>
                      <w:snapToGrid/>
                      <w:color w:val="auto"/>
                      <w:kern w:val="2"/>
                      <w:sz w:val="21"/>
                      <w:szCs w:val="21"/>
                      <w:highlight w:val="none"/>
                    </w:rPr>
                    <w:t>44</w:t>
                  </w:r>
                </w:p>
              </w:tc>
              <w:tc>
                <w:tcPr>
                  <w:tcW w:w="844" w:type="dxa"/>
                </w:tcPr>
                <w:p>
                  <w:pPr>
                    <w:rPr>
                      <w:snapToGrid/>
                      <w:color w:val="auto"/>
                      <w:kern w:val="2"/>
                      <w:sz w:val="21"/>
                      <w:szCs w:val="21"/>
                      <w:highlight w:val="none"/>
                    </w:rPr>
                  </w:pPr>
                  <w:r>
                    <w:rPr>
                      <w:snapToGrid/>
                      <w:color w:val="auto"/>
                      <w:kern w:val="2"/>
                      <w:sz w:val="21"/>
                      <w:szCs w:val="21"/>
                      <w:highlight w:val="none"/>
                    </w:rPr>
                    <w:t>40</w:t>
                  </w:r>
                </w:p>
              </w:tc>
              <w:tc>
                <w:tcPr>
                  <w:tcW w:w="844" w:type="dxa"/>
                </w:tcPr>
                <w:p>
                  <w:pPr>
                    <w:rPr>
                      <w:snapToGrid/>
                      <w:color w:val="auto"/>
                      <w:kern w:val="2"/>
                      <w:sz w:val="21"/>
                      <w:szCs w:val="21"/>
                      <w:highlight w:val="none"/>
                    </w:rPr>
                  </w:pPr>
                  <w:r>
                    <w:rPr>
                      <w:snapToGrid/>
                      <w:color w:val="auto"/>
                      <w:kern w:val="2"/>
                      <w:sz w:val="21"/>
                      <w:szCs w:val="21"/>
                      <w:highlight w:val="none"/>
                    </w:rPr>
                    <w:t>36</w:t>
                  </w:r>
                </w:p>
              </w:tc>
              <w:tc>
                <w:tcPr>
                  <w:tcW w:w="844" w:type="dxa"/>
                </w:tcPr>
                <w:p>
                  <w:pPr>
                    <w:rPr>
                      <w:snapToGrid/>
                      <w:color w:val="auto"/>
                      <w:kern w:val="2"/>
                      <w:sz w:val="21"/>
                      <w:szCs w:val="21"/>
                      <w:highlight w:val="none"/>
                    </w:rPr>
                  </w:pPr>
                  <w:r>
                    <w:rPr>
                      <w:snapToGrid/>
                      <w:color w:val="auto"/>
                      <w:kern w:val="2"/>
                      <w:sz w:val="21"/>
                      <w:szCs w:val="21"/>
                      <w:highlight w:val="none"/>
                    </w:rPr>
                    <w:t>30</w:t>
                  </w:r>
                </w:p>
              </w:tc>
              <w:tc>
                <w:tcPr>
                  <w:tcW w:w="844" w:type="dxa"/>
                </w:tcPr>
                <w:p>
                  <w:pPr>
                    <w:rPr>
                      <w:snapToGrid/>
                      <w:color w:val="auto"/>
                      <w:kern w:val="2"/>
                      <w:sz w:val="21"/>
                      <w:szCs w:val="21"/>
                      <w:highlight w:val="none"/>
                    </w:rPr>
                  </w:pPr>
                  <w:r>
                    <w:rPr>
                      <w:snapToGrid/>
                      <w:color w:val="auto"/>
                      <w:kern w:val="2"/>
                      <w:sz w:val="21"/>
                      <w:szCs w:val="21"/>
                      <w:highlight w:val="none"/>
                    </w:rPr>
                    <w:t>26.5</w:t>
                  </w:r>
                </w:p>
              </w:tc>
              <w:tc>
                <w:tcPr>
                  <w:tcW w:w="839" w:type="dxa"/>
                </w:tcPr>
                <w:p>
                  <w:pPr>
                    <w:rPr>
                      <w:snapToGrid/>
                      <w:color w:val="auto"/>
                      <w:kern w:val="2"/>
                      <w:sz w:val="21"/>
                      <w:szCs w:val="21"/>
                      <w:highlight w:val="none"/>
                    </w:rPr>
                  </w:pPr>
                  <w:r>
                    <w:rPr>
                      <w:snapToGrid/>
                      <w:color w:val="auto"/>
                      <w:kern w:val="2"/>
                      <w:sz w:val="21"/>
                      <w:szCs w:val="21"/>
                      <w:highlight w:val="none"/>
                    </w:rPr>
                    <w:t>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0" w:type="dxa"/>
                </w:tcPr>
                <w:p>
                  <w:pPr>
                    <w:rPr>
                      <w:snapToGrid/>
                      <w:color w:val="auto"/>
                      <w:kern w:val="2"/>
                      <w:sz w:val="21"/>
                      <w:szCs w:val="21"/>
                      <w:highlight w:val="none"/>
                    </w:rPr>
                  </w:pPr>
                  <w:r>
                    <w:rPr>
                      <w:rFonts w:ascii="宋体" w:hAnsi="宋体"/>
                      <w:snapToGrid/>
                      <w:color w:val="auto"/>
                      <w:kern w:val="2"/>
                      <w:sz w:val="21"/>
                      <w:szCs w:val="21"/>
                      <w:highlight w:val="none"/>
                    </w:rPr>
                    <w:t>推土机</w:t>
                  </w:r>
                </w:p>
              </w:tc>
              <w:tc>
                <w:tcPr>
                  <w:tcW w:w="793" w:type="dxa"/>
                </w:tcPr>
                <w:p>
                  <w:pPr>
                    <w:rPr>
                      <w:snapToGrid/>
                      <w:color w:val="auto"/>
                      <w:kern w:val="2"/>
                      <w:sz w:val="21"/>
                      <w:szCs w:val="21"/>
                      <w:highlight w:val="none"/>
                    </w:rPr>
                  </w:pPr>
                  <w:r>
                    <w:rPr>
                      <w:snapToGrid/>
                      <w:color w:val="auto"/>
                      <w:kern w:val="2"/>
                      <w:sz w:val="21"/>
                      <w:szCs w:val="21"/>
                      <w:highlight w:val="none"/>
                    </w:rPr>
                    <w:t>90</w:t>
                  </w:r>
                </w:p>
              </w:tc>
              <w:tc>
                <w:tcPr>
                  <w:tcW w:w="784" w:type="dxa"/>
                </w:tcPr>
                <w:p>
                  <w:pPr>
                    <w:rPr>
                      <w:snapToGrid/>
                      <w:color w:val="auto"/>
                      <w:kern w:val="2"/>
                      <w:sz w:val="21"/>
                      <w:szCs w:val="21"/>
                      <w:highlight w:val="none"/>
                    </w:rPr>
                  </w:pPr>
                  <w:r>
                    <w:rPr>
                      <w:snapToGrid/>
                      <w:color w:val="auto"/>
                      <w:kern w:val="2"/>
                      <w:sz w:val="21"/>
                      <w:szCs w:val="21"/>
                      <w:highlight w:val="none"/>
                    </w:rPr>
                    <w:t>70</w:t>
                  </w:r>
                </w:p>
              </w:tc>
              <w:tc>
                <w:tcPr>
                  <w:tcW w:w="844" w:type="dxa"/>
                </w:tcPr>
                <w:p>
                  <w:pPr>
                    <w:rPr>
                      <w:snapToGrid/>
                      <w:color w:val="auto"/>
                      <w:kern w:val="2"/>
                      <w:sz w:val="21"/>
                      <w:szCs w:val="21"/>
                      <w:highlight w:val="none"/>
                    </w:rPr>
                  </w:pPr>
                  <w:r>
                    <w:rPr>
                      <w:snapToGrid/>
                      <w:color w:val="auto"/>
                      <w:kern w:val="2"/>
                      <w:sz w:val="21"/>
                      <w:szCs w:val="21"/>
                      <w:highlight w:val="none"/>
                    </w:rPr>
                    <w:t>64</w:t>
                  </w:r>
                </w:p>
              </w:tc>
              <w:tc>
                <w:tcPr>
                  <w:tcW w:w="844" w:type="dxa"/>
                </w:tcPr>
                <w:p>
                  <w:pPr>
                    <w:rPr>
                      <w:snapToGrid/>
                      <w:color w:val="auto"/>
                      <w:kern w:val="2"/>
                      <w:sz w:val="21"/>
                      <w:szCs w:val="21"/>
                      <w:highlight w:val="none"/>
                    </w:rPr>
                  </w:pPr>
                  <w:r>
                    <w:rPr>
                      <w:snapToGrid/>
                      <w:color w:val="auto"/>
                      <w:kern w:val="2"/>
                      <w:sz w:val="21"/>
                      <w:szCs w:val="21"/>
                      <w:highlight w:val="none"/>
                    </w:rPr>
                    <w:t>60</w:t>
                  </w:r>
                </w:p>
              </w:tc>
              <w:tc>
                <w:tcPr>
                  <w:tcW w:w="844" w:type="dxa"/>
                </w:tcPr>
                <w:p>
                  <w:pPr>
                    <w:rPr>
                      <w:snapToGrid/>
                      <w:color w:val="auto"/>
                      <w:kern w:val="2"/>
                      <w:sz w:val="21"/>
                      <w:szCs w:val="21"/>
                      <w:highlight w:val="none"/>
                    </w:rPr>
                  </w:pPr>
                  <w:r>
                    <w:rPr>
                      <w:snapToGrid/>
                      <w:color w:val="auto"/>
                      <w:kern w:val="2"/>
                      <w:sz w:val="21"/>
                      <w:szCs w:val="21"/>
                      <w:highlight w:val="none"/>
                    </w:rPr>
                    <w:t>56</w:t>
                  </w:r>
                </w:p>
              </w:tc>
              <w:tc>
                <w:tcPr>
                  <w:tcW w:w="844" w:type="dxa"/>
                </w:tcPr>
                <w:p>
                  <w:pPr>
                    <w:rPr>
                      <w:snapToGrid/>
                      <w:color w:val="auto"/>
                      <w:kern w:val="2"/>
                      <w:sz w:val="21"/>
                      <w:szCs w:val="21"/>
                      <w:highlight w:val="none"/>
                    </w:rPr>
                  </w:pPr>
                  <w:r>
                    <w:rPr>
                      <w:snapToGrid/>
                      <w:color w:val="auto"/>
                      <w:kern w:val="2"/>
                      <w:sz w:val="21"/>
                      <w:szCs w:val="21"/>
                      <w:highlight w:val="none"/>
                    </w:rPr>
                    <w:t>50</w:t>
                  </w:r>
                </w:p>
              </w:tc>
              <w:tc>
                <w:tcPr>
                  <w:tcW w:w="844" w:type="dxa"/>
                </w:tcPr>
                <w:p>
                  <w:pPr>
                    <w:rPr>
                      <w:snapToGrid/>
                      <w:color w:val="auto"/>
                      <w:kern w:val="2"/>
                      <w:sz w:val="21"/>
                      <w:szCs w:val="21"/>
                      <w:highlight w:val="none"/>
                    </w:rPr>
                  </w:pPr>
                  <w:r>
                    <w:rPr>
                      <w:snapToGrid/>
                      <w:color w:val="auto"/>
                      <w:kern w:val="2"/>
                      <w:sz w:val="21"/>
                      <w:szCs w:val="21"/>
                      <w:highlight w:val="none"/>
                    </w:rPr>
                    <w:t>46.5</w:t>
                  </w:r>
                </w:p>
              </w:tc>
              <w:tc>
                <w:tcPr>
                  <w:tcW w:w="839" w:type="dxa"/>
                </w:tcPr>
                <w:p>
                  <w:pPr>
                    <w:rPr>
                      <w:snapToGrid/>
                      <w:color w:val="auto"/>
                      <w:kern w:val="2"/>
                      <w:sz w:val="21"/>
                      <w:szCs w:val="21"/>
                      <w:highlight w:val="none"/>
                    </w:rPr>
                  </w:pPr>
                  <w:r>
                    <w:rPr>
                      <w:snapToGrid/>
                      <w:color w:val="auto"/>
                      <w:kern w:val="2"/>
                      <w:sz w:val="21"/>
                      <w:szCs w:val="21"/>
                      <w:highlight w:val="none"/>
                    </w:rPr>
                    <w:t>44.0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0" w:type="dxa"/>
                </w:tcPr>
                <w:p>
                  <w:pPr>
                    <w:rPr>
                      <w:snapToGrid/>
                      <w:color w:val="auto"/>
                      <w:kern w:val="2"/>
                      <w:sz w:val="21"/>
                      <w:szCs w:val="21"/>
                      <w:highlight w:val="none"/>
                    </w:rPr>
                  </w:pPr>
                  <w:r>
                    <w:rPr>
                      <w:rFonts w:ascii="宋体" w:hAnsi="宋体"/>
                      <w:snapToGrid/>
                      <w:color w:val="auto"/>
                      <w:kern w:val="2"/>
                      <w:sz w:val="21"/>
                      <w:szCs w:val="21"/>
                      <w:highlight w:val="none"/>
                    </w:rPr>
                    <w:t>压路机</w:t>
                  </w:r>
                </w:p>
              </w:tc>
              <w:tc>
                <w:tcPr>
                  <w:tcW w:w="793" w:type="dxa"/>
                </w:tcPr>
                <w:p>
                  <w:pPr>
                    <w:rPr>
                      <w:snapToGrid/>
                      <w:color w:val="auto"/>
                      <w:kern w:val="2"/>
                      <w:sz w:val="21"/>
                      <w:szCs w:val="21"/>
                      <w:highlight w:val="none"/>
                    </w:rPr>
                  </w:pPr>
                  <w:r>
                    <w:rPr>
                      <w:snapToGrid/>
                      <w:color w:val="auto"/>
                      <w:kern w:val="2"/>
                      <w:sz w:val="21"/>
                      <w:szCs w:val="21"/>
                      <w:highlight w:val="none"/>
                    </w:rPr>
                    <w:t>90</w:t>
                  </w:r>
                </w:p>
              </w:tc>
              <w:tc>
                <w:tcPr>
                  <w:tcW w:w="784" w:type="dxa"/>
                </w:tcPr>
                <w:p>
                  <w:pPr>
                    <w:rPr>
                      <w:snapToGrid/>
                      <w:color w:val="auto"/>
                      <w:kern w:val="2"/>
                      <w:sz w:val="21"/>
                      <w:szCs w:val="21"/>
                      <w:highlight w:val="none"/>
                    </w:rPr>
                  </w:pPr>
                  <w:r>
                    <w:rPr>
                      <w:snapToGrid/>
                      <w:color w:val="auto"/>
                      <w:kern w:val="2"/>
                      <w:sz w:val="21"/>
                      <w:szCs w:val="21"/>
                      <w:highlight w:val="none"/>
                    </w:rPr>
                    <w:t>70</w:t>
                  </w:r>
                </w:p>
              </w:tc>
              <w:tc>
                <w:tcPr>
                  <w:tcW w:w="844" w:type="dxa"/>
                </w:tcPr>
                <w:p>
                  <w:pPr>
                    <w:rPr>
                      <w:snapToGrid/>
                      <w:color w:val="auto"/>
                      <w:kern w:val="2"/>
                      <w:sz w:val="21"/>
                      <w:szCs w:val="21"/>
                      <w:highlight w:val="none"/>
                    </w:rPr>
                  </w:pPr>
                  <w:r>
                    <w:rPr>
                      <w:snapToGrid/>
                      <w:color w:val="auto"/>
                      <w:kern w:val="2"/>
                      <w:sz w:val="21"/>
                      <w:szCs w:val="21"/>
                      <w:highlight w:val="none"/>
                    </w:rPr>
                    <w:t>64</w:t>
                  </w:r>
                </w:p>
              </w:tc>
              <w:tc>
                <w:tcPr>
                  <w:tcW w:w="844" w:type="dxa"/>
                </w:tcPr>
                <w:p>
                  <w:pPr>
                    <w:rPr>
                      <w:snapToGrid/>
                      <w:color w:val="auto"/>
                      <w:kern w:val="2"/>
                      <w:sz w:val="21"/>
                      <w:szCs w:val="21"/>
                      <w:highlight w:val="none"/>
                    </w:rPr>
                  </w:pPr>
                  <w:r>
                    <w:rPr>
                      <w:snapToGrid/>
                      <w:color w:val="auto"/>
                      <w:kern w:val="2"/>
                      <w:sz w:val="21"/>
                      <w:szCs w:val="21"/>
                      <w:highlight w:val="none"/>
                    </w:rPr>
                    <w:t>60</w:t>
                  </w:r>
                </w:p>
              </w:tc>
              <w:tc>
                <w:tcPr>
                  <w:tcW w:w="844" w:type="dxa"/>
                </w:tcPr>
                <w:p>
                  <w:pPr>
                    <w:rPr>
                      <w:snapToGrid/>
                      <w:color w:val="auto"/>
                      <w:kern w:val="2"/>
                      <w:sz w:val="21"/>
                      <w:szCs w:val="21"/>
                      <w:highlight w:val="none"/>
                    </w:rPr>
                  </w:pPr>
                  <w:r>
                    <w:rPr>
                      <w:snapToGrid/>
                      <w:color w:val="auto"/>
                      <w:kern w:val="2"/>
                      <w:sz w:val="21"/>
                      <w:szCs w:val="21"/>
                      <w:highlight w:val="none"/>
                    </w:rPr>
                    <w:t>56</w:t>
                  </w:r>
                </w:p>
              </w:tc>
              <w:tc>
                <w:tcPr>
                  <w:tcW w:w="844" w:type="dxa"/>
                </w:tcPr>
                <w:p>
                  <w:pPr>
                    <w:rPr>
                      <w:snapToGrid/>
                      <w:color w:val="auto"/>
                      <w:kern w:val="2"/>
                      <w:sz w:val="21"/>
                      <w:szCs w:val="21"/>
                      <w:highlight w:val="none"/>
                    </w:rPr>
                  </w:pPr>
                  <w:r>
                    <w:rPr>
                      <w:snapToGrid/>
                      <w:color w:val="auto"/>
                      <w:kern w:val="2"/>
                      <w:sz w:val="21"/>
                      <w:szCs w:val="21"/>
                      <w:highlight w:val="none"/>
                    </w:rPr>
                    <w:t>50</w:t>
                  </w:r>
                </w:p>
              </w:tc>
              <w:tc>
                <w:tcPr>
                  <w:tcW w:w="844" w:type="dxa"/>
                </w:tcPr>
                <w:p>
                  <w:pPr>
                    <w:rPr>
                      <w:snapToGrid/>
                      <w:color w:val="auto"/>
                      <w:kern w:val="2"/>
                      <w:sz w:val="21"/>
                      <w:szCs w:val="21"/>
                      <w:highlight w:val="none"/>
                    </w:rPr>
                  </w:pPr>
                  <w:r>
                    <w:rPr>
                      <w:snapToGrid/>
                      <w:color w:val="auto"/>
                      <w:kern w:val="2"/>
                      <w:sz w:val="21"/>
                      <w:szCs w:val="21"/>
                      <w:highlight w:val="none"/>
                    </w:rPr>
                    <w:t>46.5</w:t>
                  </w:r>
                </w:p>
              </w:tc>
              <w:tc>
                <w:tcPr>
                  <w:tcW w:w="839" w:type="dxa"/>
                </w:tcPr>
                <w:p>
                  <w:pPr>
                    <w:rPr>
                      <w:snapToGrid/>
                      <w:color w:val="auto"/>
                      <w:kern w:val="2"/>
                      <w:sz w:val="21"/>
                      <w:szCs w:val="21"/>
                      <w:highlight w:val="none"/>
                    </w:rPr>
                  </w:pPr>
                  <w:r>
                    <w:rPr>
                      <w:snapToGrid/>
                      <w:color w:val="auto"/>
                      <w:kern w:val="2"/>
                      <w:sz w:val="21"/>
                      <w:szCs w:val="21"/>
                      <w:highlight w:val="none"/>
                    </w:rPr>
                    <w:t>44.0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50" w:type="dxa"/>
                </w:tcPr>
                <w:p>
                  <w:pPr>
                    <w:rPr>
                      <w:snapToGrid/>
                      <w:color w:val="auto"/>
                      <w:kern w:val="2"/>
                      <w:sz w:val="21"/>
                      <w:szCs w:val="21"/>
                      <w:highlight w:val="none"/>
                    </w:rPr>
                  </w:pPr>
                  <w:r>
                    <w:rPr>
                      <w:rFonts w:ascii="宋体" w:hAnsi="宋体"/>
                      <w:snapToGrid/>
                      <w:color w:val="auto"/>
                      <w:kern w:val="2"/>
                      <w:sz w:val="21"/>
                      <w:szCs w:val="21"/>
                      <w:highlight w:val="none"/>
                    </w:rPr>
                    <w:t>打桩机</w:t>
                  </w:r>
                </w:p>
              </w:tc>
              <w:tc>
                <w:tcPr>
                  <w:tcW w:w="793" w:type="dxa"/>
                </w:tcPr>
                <w:p>
                  <w:pPr>
                    <w:rPr>
                      <w:snapToGrid/>
                      <w:color w:val="auto"/>
                      <w:kern w:val="2"/>
                      <w:sz w:val="21"/>
                      <w:szCs w:val="21"/>
                      <w:highlight w:val="none"/>
                    </w:rPr>
                  </w:pPr>
                  <w:r>
                    <w:rPr>
                      <w:snapToGrid/>
                      <w:color w:val="auto"/>
                      <w:kern w:val="2"/>
                      <w:sz w:val="21"/>
                      <w:szCs w:val="21"/>
                      <w:highlight w:val="none"/>
                    </w:rPr>
                    <w:t>100</w:t>
                  </w:r>
                </w:p>
              </w:tc>
              <w:tc>
                <w:tcPr>
                  <w:tcW w:w="784" w:type="dxa"/>
                </w:tcPr>
                <w:p>
                  <w:pPr>
                    <w:rPr>
                      <w:snapToGrid/>
                      <w:color w:val="auto"/>
                      <w:kern w:val="2"/>
                      <w:sz w:val="21"/>
                      <w:szCs w:val="21"/>
                      <w:highlight w:val="none"/>
                    </w:rPr>
                  </w:pPr>
                  <w:r>
                    <w:rPr>
                      <w:snapToGrid/>
                      <w:color w:val="auto"/>
                      <w:kern w:val="2"/>
                      <w:sz w:val="21"/>
                      <w:szCs w:val="21"/>
                      <w:highlight w:val="none"/>
                    </w:rPr>
                    <w:t>80</w:t>
                  </w:r>
                </w:p>
              </w:tc>
              <w:tc>
                <w:tcPr>
                  <w:tcW w:w="844" w:type="dxa"/>
                </w:tcPr>
                <w:p>
                  <w:pPr>
                    <w:rPr>
                      <w:snapToGrid/>
                      <w:color w:val="auto"/>
                      <w:kern w:val="2"/>
                      <w:sz w:val="21"/>
                      <w:szCs w:val="21"/>
                      <w:highlight w:val="none"/>
                    </w:rPr>
                  </w:pPr>
                  <w:r>
                    <w:rPr>
                      <w:snapToGrid/>
                      <w:color w:val="auto"/>
                      <w:kern w:val="2"/>
                      <w:sz w:val="21"/>
                      <w:szCs w:val="21"/>
                      <w:highlight w:val="none"/>
                    </w:rPr>
                    <w:t>74</w:t>
                  </w:r>
                </w:p>
              </w:tc>
              <w:tc>
                <w:tcPr>
                  <w:tcW w:w="844" w:type="dxa"/>
                </w:tcPr>
                <w:p>
                  <w:pPr>
                    <w:rPr>
                      <w:snapToGrid/>
                      <w:color w:val="auto"/>
                      <w:kern w:val="2"/>
                      <w:sz w:val="21"/>
                      <w:szCs w:val="21"/>
                      <w:highlight w:val="none"/>
                    </w:rPr>
                  </w:pPr>
                  <w:r>
                    <w:rPr>
                      <w:snapToGrid/>
                      <w:color w:val="auto"/>
                      <w:kern w:val="2"/>
                      <w:sz w:val="21"/>
                      <w:szCs w:val="21"/>
                      <w:highlight w:val="none"/>
                    </w:rPr>
                    <w:t>70</w:t>
                  </w:r>
                </w:p>
              </w:tc>
              <w:tc>
                <w:tcPr>
                  <w:tcW w:w="844" w:type="dxa"/>
                </w:tcPr>
                <w:p>
                  <w:pPr>
                    <w:rPr>
                      <w:snapToGrid/>
                      <w:color w:val="auto"/>
                      <w:kern w:val="2"/>
                      <w:sz w:val="21"/>
                      <w:szCs w:val="21"/>
                      <w:highlight w:val="none"/>
                    </w:rPr>
                  </w:pPr>
                  <w:r>
                    <w:rPr>
                      <w:snapToGrid/>
                      <w:color w:val="auto"/>
                      <w:kern w:val="2"/>
                      <w:sz w:val="21"/>
                      <w:szCs w:val="21"/>
                      <w:highlight w:val="none"/>
                    </w:rPr>
                    <w:t>66</w:t>
                  </w:r>
                </w:p>
              </w:tc>
              <w:tc>
                <w:tcPr>
                  <w:tcW w:w="844" w:type="dxa"/>
                </w:tcPr>
                <w:p>
                  <w:pPr>
                    <w:rPr>
                      <w:snapToGrid/>
                      <w:color w:val="auto"/>
                      <w:kern w:val="2"/>
                      <w:sz w:val="21"/>
                      <w:szCs w:val="21"/>
                      <w:highlight w:val="none"/>
                    </w:rPr>
                  </w:pPr>
                  <w:r>
                    <w:rPr>
                      <w:snapToGrid/>
                      <w:color w:val="auto"/>
                      <w:kern w:val="2"/>
                      <w:sz w:val="21"/>
                      <w:szCs w:val="21"/>
                      <w:highlight w:val="none"/>
                    </w:rPr>
                    <w:t>60</w:t>
                  </w:r>
                </w:p>
              </w:tc>
              <w:tc>
                <w:tcPr>
                  <w:tcW w:w="844" w:type="dxa"/>
                </w:tcPr>
                <w:p>
                  <w:pPr>
                    <w:rPr>
                      <w:snapToGrid/>
                      <w:color w:val="auto"/>
                      <w:kern w:val="2"/>
                      <w:sz w:val="21"/>
                      <w:szCs w:val="21"/>
                      <w:highlight w:val="none"/>
                    </w:rPr>
                  </w:pPr>
                  <w:r>
                    <w:rPr>
                      <w:snapToGrid/>
                      <w:color w:val="auto"/>
                      <w:kern w:val="2"/>
                      <w:sz w:val="21"/>
                      <w:szCs w:val="21"/>
                      <w:highlight w:val="none"/>
                    </w:rPr>
                    <w:t>56.5</w:t>
                  </w:r>
                </w:p>
              </w:tc>
              <w:tc>
                <w:tcPr>
                  <w:tcW w:w="839" w:type="dxa"/>
                </w:tcPr>
                <w:p>
                  <w:pPr>
                    <w:rPr>
                      <w:snapToGrid/>
                      <w:color w:val="auto"/>
                      <w:kern w:val="2"/>
                      <w:sz w:val="21"/>
                      <w:szCs w:val="21"/>
                      <w:highlight w:val="none"/>
                    </w:rPr>
                  </w:pPr>
                  <w:r>
                    <w:rPr>
                      <w:snapToGrid/>
                      <w:color w:val="auto"/>
                      <w:kern w:val="2"/>
                      <w:sz w:val="21"/>
                      <w:szCs w:val="21"/>
                      <w:highlight w:val="none"/>
                    </w:rPr>
                    <w:t>54.0</w:t>
                  </w:r>
                </w:p>
              </w:tc>
            </w:tr>
          </w:tbl>
          <w:p>
            <w:pPr>
              <w:adjustRightInd/>
              <w:spacing w:line="360" w:lineRule="auto"/>
              <w:ind w:firstLine="480" w:firstLineChars="200"/>
              <w:jc w:val="both"/>
              <w:rPr>
                <w:snapToGrid/>
                <w:color w:val="auto"/>
                <w:kern w:val="2"/>
                <w:sz w:val="24"/>
                <w:szCs w:val="24"/>
                <w:highlight w:val="none"/>
              </w:rPr>
            </w:pPr>
            <w:r>
              <w:rPr>
                <w:rFonts w:ascii="宋体" w:hAnsi="宋体"/>
                <w:snapToGrid/>
                <w:color w:val="auto"/>
                <w:kern w:val="2"/>
                <w:sz w:val="24"/>
                <w:szCs w:val="24"/>
                <w:highlight w:val="none"/>
              </w:rPr>
              <w:t>分析施工期工程建设使用典型施工机械的情况，从表</w:t>
            </w:r>
            <w:r>
              <w:rPr>
                <w:snapToGrid/>
                <w:color w:val="auto"/>
                <w:kern w:val="2"/>
                <w:sz w:val="24"/>
                <w:szCs w:val="24"/>
                <w:highlight w:val="none"/>
              </w:rPr>
              <w:t>4-</w:t>
            </w:r>
            <w:r>
              <w:rPr>
                <w:rFonts w:hint="eastAsia"/>
                <w:snapToGrid/>
                <w:color w:val="auto"/>
                <w:kern w:val="2"/>
                <w:sz w:val="24"/>
                <w:szCs w:val="24"/>
                <w:highlight w:val="none"/>
              </w:rPr>
              <w:t>7</w:t>
            </w:r>
            <w:r>
              <w:rPr>
                <w:rFonts w:ascii="宋体" w:hAnsi="宋体"/>
                <w:snapToGrid/>
                <w:color w:val="auto"/>
                <w:kern w:val="2"/>
                <w:sz w:val="24"/>
                <w:szCs w:val="24"/>
                <w:highlight w:val="none"/>
              </w:rPr>
              <w:t>典型施工机械在不同距离噪声预测值，可以看出：</w:t>
            </w:r>
          </w:p>
          <w:p>
            <w:pPr>
              <w:adjustRightInd/>
              <w:spacing w:line="360" w:lineRule="auto"/>
              <w:ind w:firstLine="480" w:firstLineChars="200"/>
              <w:jc w:val="both"/>
              <w:rPr>
                <w:snapToGrid/>
                <w:color w:val="auto"/>
                <w:kern w:val="2"/>
                <w:sz w:val="24"/>
                <w:szCs w:val="24"/>
                <w:highlight w:val="none"/>
              </w:rPr>
            </w:pPr>
            <w:r>
              <w:rPr>
                <w:snapToGrid/>
                <w:color w:val="auto"/>
                <w:kern w:val="2"/>
                <w:sz w:val="24"/>
                <w:szCs w:val="24"/>
                <w:highlight w:val="none"/>
              </w:rPr>
              <w:t>在建设期，大部分施工设备的昼间噪声在厂界（以30m计）以内基本符合《建筑施工场界环境噪声排放标准》（GB12523-2011）中所规定的标准，而夜间则相反，大部分都超出标准。</w:t>
            </w:r>
          </w:p>
          <w:p>
            <w:pPr>
              <w:adjustRightInd/>
              <w:spacing w:line="360" w:lineRule="auto"/>
              <w:ind w:firstLine="480" w:firstLineChars="200"/>
              <w:jc w:val="both"/>
              <w:rPr>
                <w:snapToGrid/>
                <w:color w:val="auto"/>
                <w:kern w:val="2"/>
                <w:sz w:val="24"/>
                <w:szCs w:val="24"/>
                <w:highlight w:val="none"/>
              </w:rPr>
            </w:pPr>
            <w:r>
              <w:rPr>
                <w:rFonts w:hint="eastAsia"/>
                <w:snapToGrid/>
                <w:color w:val="auto"/>
                <w:kern w:val="2"/>
                <w:sz w:val="24"/>
                <w:szCs w:val="24"/>
                <w:highlight w:val="none"/>
              </w:rPr>
              <w:t>根据</w:t>
            </w:r>
            <w:r>
              <w:rPr>
                <w:snapToGrid/>
                <w:color w:val="auto"/>
                <w:kern w:val="2"/>
                <w:sz w:val="24"/>
                <w:szCs w:val="24"/>
                <w:highlight w:val="none"/>
              </w:rPr>
              <w:t>治理区周边声环境敏感</w:t>
            </w:r>
            <w:r>
              <w:rPr>
                <w:rFonts w:hint="eastAsia"/>
                <w:snapToGrid/>
                <w:color w:val="auto"/>
                <w:kern w:val="2"/>
                <w:sz w:val="24"/>
                <w:szCs w:val="24"/>
                <w:highlight w:val="none"/>
              </w:rPr>
              <w:t>点</w:t>
            </w:r>
            <w:r>
              <w:rPr>
                <w:snapToGrid/>
                <w:color w:val="auto"/>
                <w:kern w:val="2"/>
                <w:sz w:val="24"/>
                <w:szCs w:val="24"/>
                <w:highlight w:val="none"/>
              </w:rPr>
              <w:t>的调查，</w:t>
            </w:r>
            <w:r>
              <w:rPr>
                <w:rFonts w:hint="eastAsia"/>
                <w:snapToGrid/>
                <w:color w:val="auto"/>
                <w:kern w:val="2"/>
                <w:sz w:val="24"/>
                <w:szCs w:val="24"/>
                <w:highlight w:val="none"/>
              </w:rPr>
              <w:t>项目</w:t>
            </w:r>
            <w:r>
              <w:rPr>
                <w:snapToGrid/>
                <w:color w:val="auto"/>
                <w:kern w:val="2"/>
                <w:sz w:val="24"/>
                <w:szCs w:val="24"/>
                <w:highlight w:val="none"/>
              </w:rPr>
              <w:t>声环</w:t>
            </w:r>
            <w:r>
              <w:rPr>
                <w:rFonts w:hint="eastAsia"/>
                <w:snapToGrid/>
                <w:color w:val="auto"/>
                <w:kern w:val="2"/>
                <w:sz w:val="24"/>
                <w:szCs w:val="24"/>
                <w:highlight w:val="none"/>
              </w:rPr>
              <w:t>敏感</w:t>
            </w:r>
            <w:r>
              <w:rPr>
                <w:snapToGrid/>
                <w:color w:val="auto"/>
                <w:kern w:val="2"/>
                <w:sz w:val="24"/>
                <w:szCs w:val="24"/>
                <w:highlight w:val="none"/>
              </w:rPr>
              <w:t>目标主要为香山</w:t>
            </w:r>
            <w:r>
              <w:rPr>
                <w:rFonts w:hint="eastAsia"/>
                <w:snapToGrid/>
                <w:color w:val="auto"/>
                <w:kern w:val="2"/>
                <w:sz w:val="24"/>
                <w:szCs w:val="24"/>
                <w:highlight w:val="none"/>
                <w:lang w:eastAsia="zh-CN"/>
              </w:rPr>
              <w:t>梁水园村北</w:t>
            </w:r>
            <w:r>
              <w:rPr>
                <w:rFonts w:hint="eastAsia"/>
                <w:snapToGrid/>
                <w:color w:val="auto"/>
                <w:kern w:val="2"/>
                <w:sz w:val="24"/>
                <w:szCs w:val="24"/>
                <w:highlight w:val="none"/>
                <w:lang w:val="en-US" w:eastAsia="zh-CN"/>
              </w:rPr>
              <w:t>13</w:t>
            </w:r>
            <w:r>
              <w:rPr>
                <w:rFonts w:hint="eastAsia"/>
                <w:snapToGrid/>
                <w:color w:val="auto"/>
                <w:kern w:val="2"/>
                <w:sz w:val="24"/>
                <w:szCs w:val="24"/>
                <w:highlight w:val="none"/>
              </w:rPr>
              <w:t>号</w:t>
            </w:r>
            <w:r>
              <w:rPr>
                <w:snapToGrid/>
                <w:color w:val="auto"/>
                <w:kern w:val="2"/>
                <w:sz w:val="24"/>
                <w:szCs w:val="24"/>
                <w:highlight w:val="none"/>
              </w:rPr>
              <w:t>治理点</w:t>
            </w:r>
            <w:r>
              <w:rPr>
                <w:rFonts w:hint="eastAsia"/>
                <w:snapToGrid/>
                <w:color w:val="auto"/>
                <w:kern w:val="2"/>
                <w:sz w:val="24"/>
                <w:szCs w:val="24"/>
                <w:highlight w:val="none"/>
                <w:lang w:eastAsia="zh-CN"/>
              </w:rPr>
              <w:t>西侧</w:t>
            </w:r>
            <w:r>
              <w:rPr>
                <w:snapToGrid/>
                <w:color w:val="auto"/>
                <w:kern w:val="2"/>
                <w:sz w:val="24"/>
                <w:szCs w:val="24"/>
                <w:highlight w:val="none"/>
              </w:rPr>
              <w:t>，距离约</w:t>
            </w:r>
            <w:r>
              <w:rPr>
                <w:rFonts w:hint="eastAsia"/>
                <w:snapToGrid/>
                <w:color w:val="auto"/>
                <w:kern w:val="2"/>
                <w:sz w:val="24"/>
                <w:szCs w:val="24"/>
                <w:highlight w:val="none"/>
              </w:rPr>
              <w:t>26m，由于</w:t>
            </w:r>
            <w:r>
              <w:rPr>
                <w:snapToGrid/>
                <w:color w:val="auto"/>
                <w:kern w:val="2"/>
                <w:sz w:val="24"/>
                <w:szCs w:val="24"/>
                <w:highlight w:val="none"/>
              </w:rPr>
              <w:t>距离敏感点</w:t>
            </w:r>
            <w:r>
              <w:rPr>
                <w:rFonts w:hint="eastAsia"/>
                <w:snapToGrid/>
                <w:color w:val="auto"/>
                <w:kern w:val="2"/>
                <w:sz w:val="24"/>
                <w:szCs w:val="24"/>
                <w:highlight w:val="none"/>
              </w:rPr>
              <w:t>较</w:t>
            </w:r>
            <w:r>
              <w:rPr>
                <w:snapToGrid/>
                <w:color w:val="auto"/>
                <w:kern w:val="2"/>
                <w:sz w:val="24"/>
                <w:szCs w:val="24"/>
                <w:highlight w:val="none"/>
              </w:rPr>
              <w:t>近</w:t>
            </w:r>
            <w:r>
              <w:rPr>
                <w:rFonts w:hint="eastAsia"/>
                <w:snapToGrid/>
                <w:color w:val="auto"/>
                <w:kern w:val="2"/>
                <w:sz w:val="24"/>
                <w:szCs w:val="24"/>
                <w:highlight w:val="none"/>
              </w:rPr>
              <w:t>，</w:t>
            </w:r>
            <w:r>
              <w:rPr>
                <w:snapToGrid/>
                <w:color w:val="auto"/>
                <w:kern w:val="2"/>
                <w:sz w:val="24"/>
                <w:szCs w:val="24"/>
                <w:highlight w:val="none"/>
              </w:rPr>
              <w:t>施工噪声</w:t>
            </w:r>
            <w:r>
              <w:rPr>
                <w:rFonts w:hint="eastAsia"/>
                <w:snapToGrid/>
                <w:color w:val="auto"/>
                <w:kern w:val="2"/>
                <w:sz w:val="24"/>
                <w:szCs w:val="24"/>
                <w:highlight w:val="none"/>
              </w:rPr>
              <w:t>会</w:t>
            </w:r>
            <w:r>
              <w:rPr>
                <w:snapToGrid/>
                <w:color w:val="auto"/>
                <w:kern w:val="2"/>
                <w:sz w:val="24"/>
                <w:szCs w:val="24"/>
                <w:highlight w:val="none"/>
              </w:rPr>
              <w:t>对其</w:t>
            </w:r>
            <w:r>
              <w:rPr>
                <w:rFonts w:hint="eastAsia"/>
                <w:snapToGrid/>
                <w:color w:val="auto"/>
                <w:kern w:val="2"/>
                <w:sz w:val="24"/>
                <w:szCs w:val="24"/>
                <w:highlight w:val="none"/>
              </w:rPr>
              <w:t>产生</w:t>
            </w:r>
            <w:r>
              <w:rPr>
                <w:snapToGrid/>
                <w:color w:val="auto"/>
                <w:kern w:val="2"/>
                <w:sz w:val="24"/>
                <w:szCs w:val="24"/>
                <w:highlight w:val="none"/>
              </w:rPr>
              <w:t>影响，</w:t>
            </w:r>
            <w:r>
              <w:rPr>
                <w:rFonts w:ascii="宋体" w:hAnsi="宋体"/>
                <w:snapToGrid/>
                <w:color w:val="auto"/>
                <w:kern w:val="2"/>
                <w:sz w:val="24"/>
                <w:szCs w:val="24"/>
                <w:highlight w:val="none"/>
              </w:rPr>
              <w:t>因此必须限制夜间施工的时间和施工的种类，限制高噪声机械在夜间使用，尽量避免高噪声设备同时作业，以</w:t>
            </w:r>
            <w:r>
              <w:rPr>
                <w:rFonts w:hint="eastAsia" w:ascii="宋体" w:hAnsi="宋体"/>
                <w:snapToGrid/>
                <w:color w:val="auto"/>
                <w:kern w:val="2"/>
                <w:sz w:val="24"/>
                <w:szCs w:val="24"/>
                <w:highlight w:val="none"/>
              </w:rPr>
              <w:t>减少</w:t>
            </w:r>
            <w:r>
              <w:rPr>
                <w:rFonts w:ascii="宋体" w:hAnsi="宋体"/>
                <w:snapToGrid/>
                <w:color w:val="auto"/>
                <w:kern w:val="2"/>
                <w:sz w:val="24"/>
                <w:szCs w:val="24"/>
                <w:highlight w:val="none"/>
              </w:rPr>
              <w:t>施工噪声</w:t>
            </w:r>
            <w:r>
              <w:rPr>
                <w:rFonts w:hint="eastAsia" w:ascii="宋体" w:hAnsi="宋体"/>
                <w:snapToGrid/>
                <w:color w:val="auto"/>
                <w:kern w:val="2"/>
                <w:sz w:val="24"/>
                <w:szCs w:val="24"/>
                <w:highlight w:val="none"/>
              </w:rPr>
              <w:t>对其</w:t>
            </w:r>
            <w:r>
              <w:rPr>
                <w:rFonts w:ascii="宋体" w:hAnsi="宋体"/>
                <w:snapToGrid/>
                <w:color w:val="auto"/>
                <w:kern w:val="2"/>
                <w:sz w:val="24"/>
                <w:szCs w:val="24"/>
                <w:highlight w:val="none"/>
              </w:rPr>
              <w:t>影响。</w:t>
            </w:r>
            <w:r>
              <w:rPr>
                <w:snapToGrid/>
                <w:color w:val="auto"/>
                <w:kern w:val="2"/>
                <w:sz w:val="24"/>
                <w:szCs w:val="24"/>
                <w:highlight w:val="none"/>
              </w:rPr>
              <w:t>为减轻施工噪声对周围</w:t>
            </w:r>
            <w:r>
              <w:rPr>
                <w:rFonts w:hint="eastAsia"/>
                <w:snapToGrid/>
                <w:color w:val="auto"/>
                <w:kern w:val="2"/>
                <w:sz w:val="24"/>
                <w:szCs w:val="24"/>
                <w:highlight w:val="none"/>
              </w:rPr>
              <w:t>声环境</w:t>
            </w:r>
            <w:r>
              <w:rPr>
                <w:snapToGrid/>
                <w:color w:val="auto"/>
                <w:kern w:val="2"/>
                <w:sz w:val="24"/>
                <w:szCs w:val="24"/>
                <w:highlight w:val="none"/>
              </w:rPr>
              <w:t>的影响，提出如下防治对策:</w:t>
            </w:r>
          </w:p>
          <w:p>
            <w:pPr>
              <w:adjustRightInd/>
              <w:spacing w:line="360" w:lineRule="auto"/>
              <w:ind w:firstLine="480" w:firstLineChars="200"/>
              <w:jc w:val="both"/>
              <w:rPr>
                <w:snapToGrid/>
                <w:color w:val="auto"/>
                <w:kern w:val="2"/>
                <w:sz w:val="24"/>
                <w:szCs w:val="24"/>
                <w:highlight w:val="none"/>
              </w:rPr>
            </w:pPr>
            <w:r>
              <w:rPr>
                <w:rFonts w:hint="eastAsia" w:ascii="宋体" w:hAnsi="宋体" w:cs="宋体"/>
                <w:snapToGrid/>
                <w:color w:val="auto"/>
                <w:kern w:val="2"/>
                <w:sz w:val="24"/>
                <w:szCs w:val="24"/>
                <w:highlight w:val="none"/>
              </w:rPr>
              <w:t>①</w:t>
            </w:r>
            <w:r>
              <w:rPr>
                <w:snapToGrid/>
                <w:color w:val="auto"/>
                <w:kern w:val="2"/>
                <w:sz w:val="24"/>
                <w:szCs w:val="24"/>
                <w:highlight w:val="none"/>
              </w:rPr>
              <w:t>施工期应严格执行《建筑施工场界环境噪声排放标准》(GB12523-2011)有关规定；</w:t>
            </w:r>
          </w:p>
          <w:p>
            <w:pPr>
              <w:adjustRightInd/>
              <w:spacing w:line="360" w:lineRule="auto"/>
              <w:ind w:firstLine="480" w:firstLineChars="200"/>
              <w:jc w:val="both"/>
              <w:rPr>
                <w:snapToGrid/>
                <w:color w:val="auto"/>
                <w:kern w:val="2"/>
                <w:sz w:val="24"/>
                <w:szCs w:val="24"/>
                <w:highlight w:val="none"/>
              </w:rPr>
            </w:pPr>
            <w:r>
              <w:rPr>
                <w:rFonts w:hint="eastAsia" w:ascii="宋体" w:hAnsi="宋体" w:cs="宋体"/>
                <w:snapToGrid/>
                <w:color w:val="auto"/>
                <w:kern w:val="2"/>
                <w:sz w:val="24"/>
                <w:szCs w:val="24"/>
                <w:highlight w:val="none"/>
              </w:rPr>
              <w:t>②</w:t>
            </w:r>
            <w:r>
              <w:rPr>
                <w:snapToGrid/>
                <w:color w:val="auto"/>
                <w:kern w:val="2"/>
                <w:sz w:val="24"/>
                <w:szCs w:val="24"/>
                <w:highlight w:val="none"/>
              </w:rPr>
              <w:t>加强管理，控制同时作业的高噪声设备的数量</w:t>
            </w:r>
            <w:r>
              <w:rPr>
                <w:rFonts w:hint="eastAsia"/>
                <w:snapToGrid/>
                <w:color w:val="auto"/>
                <w:kern w:val="2"/>
                <w:sz w:val="24"/>
                <w:szCs w:val="24"/>
                <w:highlight w:val="none"/>
              </w:rPr>
              <w:t>，</w:t>
            </w:r>
            <w:r>
              <w:rPr>
                <w:snapToGrid/>
                <w:color w:val="auto"/>
                <w:kern w:val="2"/>
                <w:sz w:val="24"/>
                <w:szCs w:val="24"/>
                <w:highlight w:val="none"/>
              </w:rPr>
              <w:t>施工作业安排在白天进行；</w:t>
            </w:r>
          </w:p>
          <w:p>
            <w:pPr>
              <w:adjustRightInd/>
              <w:spacing w:line="360" w:lineRule="auto"/>
              <w:ind w:firstLine="480" w:firstLineChars="200"/>
              <w:jc w:val="both"/>
              <w:rPr>
                <w:rFonts w:hint="eastAsia" w:ascii="宋体" w:hAnsi="宋体"/>
                <w:snapToGrid/>
                <w:color w:val="auto"/>
                <w:kern w:val="2"/>
                <w:sz w:val="24"/>
                <w:szCs w:val="24"/>
                <w:highlight w:val="none"/>
              </w:rPr>
            </w:pPr>
            <w:r>
              <w:rPr>
                <w:rFonts w:hint="eastAsia" w:ascii="宋体" w:hAnsi="宋体" w:cs="宋体"/>
                <w:snapToGrid/>
                <w:color w:val="auto"/>
                <w:kern w:val="2"/>
                <w:sz w:val="24"/>
                <w:szCs w:val="24"/>
                <w:highlight w:val="none"/>
              </w:rPr>
              <w:t>③</w:t>
            </w:r>
            <w:r>
              <w:rPr>
                <w:snapToGrid/>
                <w:color w:val="auto"/>
                <w:kern w:val="2"/>
                <w:sz w:val="24"/>
                <w:szCs w:val="24"/>
                <w:highlight w:val="none"/>
              </w:rPr>
              <w:t>对于施工期间的材料运输、敲击、人的喊叫等施工声源，施工单位通过文明施工</w:t>
            </w:r>
            <w:r>
              <w:rPr>
                <w:rFonts w:hint="eastAsia"/>
                <w:snapToGrid/>
                <w:color w:val="auto"/>
                <w:kern w:val="2"/>
                <w:sz w:val="24"/>
                <w:szCs w:val="24"/>
                <w:highlight w:val="none"/>
              </w:rPr>
              <w:t>，</w:t>
            </w:r>
            <w:r>
              <w:rPr>
                <w:rFonts w:hint="eastAsia" w:ascii="宋体" w:hAnsi="宋体"/>
                <w:snapToGrid/>
                <w:color w:val="auto"/>
                <w:kern w:val="2"/>
                <w:sz w:val="24"/>
                <w:szCs w:val="24"/>
                <w:highlight w:val="none"/>
              </w:rPr>
              <w:t>加强有效管理加以缓解；</w:t>
            </w:r>
          </w:p>
          <w:p>
            <w:pPr>
              <w:adjustRightInd/>
              <w:spacing w:line="360" w:lineRule="auto"/>
              <w:ind w:firstLine="480" w:firstLineChars="200"/>
              <w:jc w:val="both"/>
              <w:rPr>
                <w:rFonts w:hint="eastAsia" w:ascii="宋体" w:hAnsi="宋体"/>
                <w:snapToGrid/>
                <w:color w:val="auto"/>
                <w:kern w:val="2"/>
                <w:sz w:val="24"/>
                <w:szCs w:val="24"/>
                <w:highlight w:val="none"/>
              </w:rPr>
            </w:pPr>
            <w:r>
              <w:rPr>
                <w:rFonts w:hint="eastAsia" w:ascii="宋体" w:hAnsi="宋体"/>
                <w:snapToGrid/>
                <w:color w:val="auto"/>
                <w:kern w:val="2"/>
                <w:sz w:val="24"/>
                <w:szCs w:val="24"/>
                <w:highlight w:val="none"/>
              </w:rPr>
              <w:t>④在施工现场标明投诉电话，建设单位在接到投诉后及时与当地环保部门取得联系，以便及时处理环境纠纷；</w:t>
            </w:r>
          </w:p>
          <w:p>
            <w:pPr>
              <w:adjustRightInd/>
              <w:spacing w:line="360" w:lineRule="auto"/>
              <w:ind w:firstLine="480" w:firstLineChars="200"/>
              <w:jc w:val="both"/>
              <w:rPr>
                <w:rFonts w:hint="eastAsia" w:ascii="宋体" w:hAnsi="宋体"/>
                <w:snapToGrid/>
                <w:color w:val="auto"/>
                <w:kern w:val="2"/>
                <w:sz w:val="24"/>
                <w:szCs w:val="24"/>
                <w:highlight w:val="none"/>
              </w:rPr>
            </w:pPr>
            <w:r>
              <w:rPr>
                <w:rFonts w:hint="eastAsia" w:ascii="宋体" w:hAnsi="宋体"/>
                <w:snapToGrid/>
                <w:color w:val="auto"/>
                <w:kern w:val="2"/>
                <w:sz w:val="24"/>
                <w:szCs w:val="24"/>
                <w:highlight w:val="none"/>
              </w:rPr>
              <w:t>⑤靠近敏感点施工时应事先告知敏感点居民，并在靠近敏感点处设置移动声屏障；</w:t>
            </w:r>
          </w:p>
          <w:p>
            <w:pPr>
              <w:adjustRightInd/>
              <w:spacing w:line="360" w:lineRule="auto"/>
              <w:ind w:firstLine="480" w:firstLineChars="200"/>
              <w:jc w:val="both"/>
              <w:rPr>
                <w:rFonts w:ascii="宋体" w:hAnsi="宋体"/>
                <w:snapToGrid/>
                <w:color w:val="auto"/>
                <w:kern w:val="2"/>
                <w:sz w:val="24"/>
                <w:szCs w:val="24"/>
                <w:highlight w:val="none"/>
              </w:rPr>
            </w:pPr>
            <w:r>
              <w:rPr>
                <w:rFonts w:hint="eastAsia" w:ascii="宋体" w:hAnsi="宋体"/>
                <w:snapToGrid/>
                <w:color w:val="auto"/>
                <w:kern w:val="2"/>
                <w:sz w:val="24"/>
                <w:szCs w:val="24"/>
                <w:highlight w:val="none"/>
              </w:rPr>
              <w:t>采取以上措施后，项目施工期机械噪声对区域声环境的影响将大大降低，对区域声环境的影响将在可接受水平。</w:t>
            </w:r>
          </w:p>
          <w:p>
            <w:pPr>
              <w:pStyle w:val="15"/>
              <w:ind w:firstLine="482"/>
              <w:rPr>
                <w:b/>
                <w:bCs/>
                <w:color w:val="auto"/>
                <w:sz w:val="24"/>
                <w:szCs w:val="24"/>
                <w:highlight w:val="none"/>
              </w:rPr>
            </w:pPr>
            <w:r>
              <w:rPr>
                <w:b/>
                <w:bCs/>
                <w:color w:val="auto"/>
                <w:sz w:val="24"/>
                <w:szCs w:val="24"/>
                <w:highlight w:val="none"/>
              </w:rPr>
              <w:t>5</w:t>
            </w:r>
            <w:r>
              <w:rPr>
                <w:rFonts w:hint="eastAsia"/>
                <w:b/>
                <w:bCs/>
                <w:color w:val="auto"/>
                <w:sz w:val="24"/>
                <w:szCs w:val="24"/>
                <w:highlight w:val="none"/>
              </w:rPr>
              <w:t>、</w:t>
            </w:r>
            <w:r>
              <w:rPr>
                <w:rFonts w:hint="eastAsia"/>
                <w:color w:val="auto"/>
                <w:sz w:val="24"/>
                <w:szCs w:val="24"/>
                <w:highlight w:val="none"/>
              </w:rPr>
              <w:t>固体废物环境影响分析</w:t>
            </w:r>
          </w:p>
          <w:p>
            <w:pPr>
              <w:adjustRightInd/>
              <w:spacing w:line="360" w:lineRule="auto"/>
              <w:ind w:firstLine="480" w:firstLineChars="200"/>
              <w:jc w:val="both"/>
              <w:rPr>
                <w:rFonts w:hint="eastAsia" w:ascii="宋体" w:hAnsi="宋体"/>
                <w:snapToGrid/>
                <w:color w:val="auto"/>
                <w:kern w:val="2"/>
                <w:sz w:val="24"/>
                <w:szCs w:val="24"/>
                <w:highlight w:val="none"/>
              </w:rPr>
            </w:pPr>
            <w:r>
              <w:rPr>
                <w:rFonts w:hint="eastAsia" w:ascii="宋体" w:hAnsi="宋体"/>
                <w:snapToGrid/>
                <w:color w:val="auto"/>
                <w:kern w:val="2"/>
                <w:sz w:val="24"/>
                <w:szCs w:val="24"/>
                <w:highlight w:val="none"/>
              </w:rPr>
              <w:t>本</w:t>
            </w:r>
            <w:r>
              <w:rPr>
                <w:rFonts w:ascii="宋体" w:hAnsi="宋体"/>
                <w:snapToGrid/>
                <w:color w:val="auto"/>
                <w:kern w:val="2"/>
                <w:sz w:val="24"/>
                <w:szCs w:val="24"/>
                <w:highlight w:val="none"/>
              </w:rPr>
              <w:t>项目施工期</w:t>
            </w:r>
            <w:r>
              <w:rPr>
                <w:rFonts w:hint="eastAsia" w:ascii="宋体" w:hAnsi="宋体"/>
                <w:snapToGrid/>
                <w:color w:val="auto"/>
                <w:kern w:val="2"/>
                <w:sz w:val="24"/>
                <w:szCs w:val="24"/>
                <w:highlight w:val="none"/>
              </w:rPr>
              <w:t>的</w:t>
            </w:r>
            <w:r>
              <w:rPr>
                <w:rFonts w:ascii="宋体" w:hAnsi="宋体"/>
                <w:snapToGrid/>
                <w:color w:val="auto"/>
                <w:kern w:val="2"/>
                <w:sz w:val="24"/>
                <w:szCs w:val="24"/>
                <w:highlight w:val="none"/>
              </w:rPr>
              <w:t>固体废物主要来源于治理区内土方、</w:t>
            </w:r>
            <w:r>
              <w:rPr>
                <w:rFonts w:hint="eastAsia" w:ascii="宋体" w:hAnsi="宋体"/>
                <w:snapToGrid/>
                <w:color w:val="auto"/>
                <w:kern w:val="2"/>
                <w:sz w:val="24"/>
                <w:szCs w:val="24"/>
                <w:highlight w:val="none"/>
              </w:rPr>
              <w:t>场区</w:t>
            </w:r>
            <w:r>
              <w:rPr>
                <w:rFonts w:ascii="宋体" w:hAnsi="宋体"/>
                <w:snapToGrid/>
                <w:color w:val="auto"/>
                <w:kern w:val="2"/>
                <w:sz w:val="24"/>
                <w:szCs w:val="24"/>
                <w:highlight w:val="none"/>
              </w:rPr>
              <w:t>剥离的表土、拆除的建筑</w:t>
            </w:r>
            <w:r>
              <w:rPr>
                <w:rFonts w:hint="eastAsia" w:ascii="宋体" w:hAnsi="宋体"/>
                <w:snapToGrid/>
                <w:color w:val="auto"/>
                <w:kern w:val="2"/>
                <w:sz w:val="24"/>
                <w:szCs w:val="24"/>
                <w:highlight w:val="none"/>
              </w:rPr>
              <w:t>垃圾</w:t>
            </w:r>
            <w:r>
              <w:rPr>
                <w:rFonts w:ascii="宋体" w:hAnsi="宋体"/>
                <w:snapToGrid/>
                <w:color w:val="auto"/>
                <w:kern w:val="2"/>
                <w:sz w:val="24"/>
                <w:szCs w:val="24"/>
                <w:highlight w:val="none"/>
              </w:rPr>
              <w:t>和施工人员的生活垃圾。</w:t>
            </w:r>
          </w:p>
          <w:p>
            <w:pPr>
              <w:adjustRightInd/>
              <w:spacing w:line="360" w:lineRule="auto"/>
              <w:ind w:firstLine="480" w:firstLineChars="200"/>
              <w:jc w:val="both"/>
              <w:rPr>
                <w:snapToGrid/>
                <w:color w:val="auto"/>
                <w:kern w:val="2"/>
                <w:sz w:val="24"/>
                <w:szCs w:val="24"/>
                <w:highlight w:val="none"/>
              </w:rPr>
            </w:pPr>
            <w:r>
              <w:rPr>
                <w:snapToGrid/>
                <w:color w:val="auto"/>
                <w:kern w:val="2"/>
                <w:sz w:val="24"/>
                <w:szCs w:val="24"/>
                <w:highlight w:val="none"/>
              </w:rPr>
              <w:t>（1）土方</w:t>
            </w:r>
          </w:p>
          <w:p>
            <w:pPr>
              <w:adjustRightInd/>
              <w:spacing w:line="360" w:lineRule="auto"/>
              <w:ind w:firstLine="480" w:firstLineChars="200"/>
              <w:jc w:val="both"/>
              <w:rPr>
                <w:snapToGrid/>
                <w:color w:val="auto"/>
                <w:kern w:val="2"/>
                <w:sz w:val="24"/>
                <w:szCs w:val="24"/>
                <w:highlight w:val="none"/>
              </w:rPr>
            </w:pPr>
            <w:r>
              <w:rPr>
                <w:snapToGrid/>
                <w:color w:val="auto"/>
                <w:kern w:val="2"/>
                <w:sz w:val="24"/>
                <w:szCs w:val="24"/>
                <w:highlight w:val="none"/>
              </w:rPr>
              <w:t>根据本项目土石方平衡表可知，本项目开挖土方全部回填，挖填平衡，无弃土产生。</w:t>
            </w:r>
          </w:p>
          <w:p>
            <w:pPr>
              <w:adjustRightInd/>
              <w:spacing w:line="360" w:lineRule="auto"/>
              <w:ind w:firstLine="480" w:firstLineChars="200"/>
              <w:jc w:val="both"/>
              <w:rPr>
                <w:snapToGrid/>
                <w:color w:val="auto"/>
                <w:kern w:val="2"/>
                <w:sz w:val="24"/>
                <w:szCs w:val="24"/>
                <w:highlight w:val="none"/>
              </w:rPr>
            </w:pPr>
            <w:r>
              <w:rPr>
                <w:snapToGrid/>
                <w:color w:val="auto"/>
                <w:kern w:val="2"/>
                <w:sz w:val="24"/>
                <w:szCs w:val="24"/>
                <w:highlight w:val="none"/>
              </w:rPr>
              <w:t>（2）建筑垃圾</w:t>
            </w:r>
          </w:p>
          <w:p>
            <w:pPr>
              <w:pStyle w:val="15"/>
              <w:ind w:firstLine="480"/>
              <w:jc w:val="both"/>
              <w:rPr>
                <w:rFonts w:hint="eastAsia" w:eastAsia="宋体"/>
                <w:color w:val="auto"/>
                <w:sz w:val="24"/>
                <w:szCs w:val="24"/>
                <w:highlight w:val="none"/>
                <w:lang w:eastAsia="zh-CN"/>
              </w:rPr>
            </w:pPr>
            <w:r>
              <w:rPr>
                <w:rFonts w:hint="eastAsia"/>
                <w:color w:val="auto"/>
                <w:sz w:val="24"/>
                <w:szCs w:val="24"/>
                <w:highlight w:val="none"/>
              </w:rPr>
              <w:t>建筑垃圾主要来源于废弃建筑物拆除工程，</w:t>
            </w:r>
            <w:r>
              <w:rPr>
                <w:color w:val="auto"/>
                <w:sz w:val="24"/>
                <w:szCs w:val="24"/>
                <w:highlight w:val="none"/>
              </w:rPr>
              <w:t>建筑垃圾量</w:t>
            </w:r>
            <w:r>
              <w:rPr>
                <w:rFonts w:hint="eastAsia"/>
                <w:color w:val="auto"/>
                <w:sz w:val="24"/>
                <w:szCs w:val="24"/>
                <w:highlight w:val="none"/>
              </w:rPr>
              <w:t>产生</w:t>
            </w:r>
            <w:r>
              <w:rPr>
                <w:color w:val="auto"/>
                <w:sz w:val="24"/>
                <w:szCs w:val="24"/>
                <w:highlight w:val="none"/>
              </w:rPr>
              <w:t>量为</w:t>
            </w:r>
            <w:r>
              <w:rPr>
                <w:rFonts w:hint="eastAsia"/>
                <w:color w:val="auto"/>
                <w:sz w:val="24"/>
                <w:szCs w:val="24"/>
                <w:highlight w:val="none"/>
                <w:lang w:val="en-US" w:eastAsia="zh-CN"/>
              </w:rPr>
              <w:t>148.45</w:t>
            </w:r>
            <w:r>
              <w:rPr>
                <w:rFonts w:hint="eastAsia"/>
                <w:color w:val="auto"/>
                <w:sz w:val="24"/>
                <w:szCs w:val="24"/>
                <w:highlight w:val="none"/>
              </w:rPr>
              <w:t>m</w:t>
            </w:r>
            <w:r>
              <w:rPr>
                <w:rFonts w:hint="eastAsia"/>
                <w:color w:val="auto"/>
                <w:sz w:val="24"/>
                <w:szCs w:val="24"/>
                <w:highlight w:val="none"/>
                <w:vertAlign w:val="superscript"/>
              </w:rPr>
              <w:t>3</w:t>
            </w:r>
            <w:r>
              <w:rPr>
                <w:rFonts w:hint="eastAsia"/>
                <w:color w:val="auto"/>
                <w:sz w:val="24"/>
                <w:szCs w:val="24"/>
                <w:highlight w:val="none"/>
              </w:rPr>
              <w:t>，拆除的</w:t>
            </w:r>
            <w:r>
              <w:rPr>
                <w:color w:val="auto"/>
                <w:sz w:val="24"/>
                <w:szCs w:val="24"/>
                <w:highlight w:val="none"/>
              </w:rPr>
              <w:t>建筑</w:t>
            </w:r>
            <w:r>
              <w:rPr>
                <w:rFonts w:hint="eastAsia"/>
                <w:color w:val="auto"/>
                <w:sz w:val="24"/>
                <w:szCs w:val="24"/>
                <w:highlight w:val="none"/>
              </w:rPr>
              <w:t>垃圾用挖机装自卸汽车运输，运输至政府指定的</w:t>
            </w:r>
            <w:r>
              <w:rPr>
                <w:color w:val="auto"/>
                <w:sz w:val="24"/>
                <w:szCs w:val="24"/>
                <w:highlight w:val="none"/>
              </w:rPr>
              <w:t>建筑垃圾</w:t>
            </w:r>
            <w:r>
              <w:rPr>
                <w:rFonts w:hint="eastAsia"/>
                <w:color w:val="auto"/>
                <w:sz w:val="24"/>
                <w:szCs w:val="24"/>
                <w:highlight w:val="none"/>
              </w:rPr>
              <w:t>填埋场进行</w:t>
            </w:r>
            <w:r>
              <w:rPr>
                <w:rFonts w:hint="eastAsia"/>
                <w:color w:val="auto"/>
                <w:sz w:val="24"/>
                <w:szCs w:val="24"/>
                <w:highlight w:val="none"/>
                <w:lang w:eastAsia="zh-CN"/>
              </w:rPr>
              <w:t>处置。</w:t>
            </w:r>
          </w:p>
          <w:p>
            <w:pPr>
              <w:pStyle w:val="15"/>
              <w:ind w:firstLine="480"/>
              <w:rPr>
                <w:rFonts w:hint="eastAsia"/>
                <w:color w:val="auto"/>
                <w:sz w:val="24"/>
                <w:szCs w:val="24"/>
                <w:highlight w:val="none"/>
              </w:rPr>
            </w:pPr>
            <w:r>
              <w:rPr>
                <w:rFonts w:hint="eastAsia"/>
                <w:color w:val="auto"/>
                <w:sz w:val="24"/>
                <w:szCs w:val="24"/>
                <w:highlight w:val="none"/>
              </w:rPr>
              <w:t>（3）生活</w:t>
            </w:r>
            <w:r>
              <w:rPr>
                <w:color w:val="auto"/>
                <w:sz w:val="24"/>
                <w:szCs w:val="24"/>
                <w:highlight w:val="none"/>
              </w:rPr>
              <w:t>垃圾</w:t>
            </w:r>
          </w:p>
          <w:p>
            <w:pPr>
              <w:pStyle w:val="15"/>
              <w:ind w:firstLine="480"/>
              <w:rPr>
                <w:color w:val="auto"/>
                <w:sz w:val="24"/>
                <w:szCs w:val="24"/>
                <w:highlight w:val="none"/>
              </w:rPr>
            </w:pPr>
            <w:r>
              <w:rPr>
                <w:rFonts w:hint="eastAsia"/>
                <w:color w:val="auto"/>
                <w:sz w:val="24"/>
                <w:szCs w:val="24"/>
                <w:highlight w:val="none"/>
              </w:rPr>
              <w:t>项目施工人员均为当地人，不在施工现场食宿，生活</w:t>
            </w:r>
            <w:r>
              <w:rPr>
                <w:color w:val="auto"/>
                <w:sz w:val="24"/>
                <w:szCs w:val="24"/>
                <w:highlight w:val="none"/>
              </w:rPr>
              <w:t>垃圾产生量以</w:t>
            </w:r>
            <w:r>
              <w:rPr>
                <w:rFonts w:hint="eastAsia"/>
                <w:color w:val="auto"/>
                <w:sz w:val="24"/>
                <w:szCs w:val="24"/>
                <w:highlight w:val="none"/>
              </w:rPr>
              <w:t>人均</w:t>
            </w:r>
            <w:r>
              <w:rPr>
                <w:color w:val="auto"/>
                <w:sz w:val="24"/>
                <w:szCs w:val="24"/>
                <w:highlight w:val="none"/>
              </w:rPr>
              <w:t>每天</w:t>
            </w:r>
            <w:r>
              <w:rPr>
                <w:rFonts w:hint="eastAsia"/>
                <w:color w:val="auto"/>
                <w:sz w:val="24"/>
                <w:szCs w:val="24"/>
                <w:highlight w:val="none"/>
              </w:rPr>
              <w:t>产生0.35kg计算</w:t>
            </w:r>
            <w:r>
              <w:rPr>
                <w:color w:val="auto"/>
                <w:sz w:val="24"/>
                <w:szCs w:val="24"/>
                <w:highlight w:val="none"/>
              </w:rPr>
              <w:t>，施工人数</w:t>
            </w:r>
            <w:r>
              <w:rPr>
                <w:rFonts w:hint="eastAsia"/>
                <w:color w:val="auto"/>
                <w:sz w:val="24"/>
                <w:szCs w:val="24"/>
                <w:highlight w:val="none"/>
              </w:rPr>
              <w:t>60人</w:t>
            </w:r>
            <w:r>
              <w:rPr>
                <w:color w:val="auto"/>
                <w:sz w:val="24"/>
                <w:szCs w:val="24"/>
                <w:highlight w:val="none"/>
              </w:rPr>
              <w:t>，则生活垃圾产生量为</w:t>
            </w:r>
            <w:r>
              <w:rPr>
                <w:rFonts w:hint="eastAsia"/>
                <w:color w:val="auto"/>
                <w:sz w:val="24"/>
                <w:szCs w:val="24"/>
                <w:highlight w:val="none"/>
              </w:rPr>
              <w:t>21kg/</w:t>
            </w:r>
            <w:r>
              <w:rPr>
                <w:color w:val="auto"/>
                <w:sz w:val="24"/>
                <w:szCs w:val="24"/>
                <w:highlight w:val="none"/>
              </w:rPr>
              <w:t>d</w:t>
            </w:r>
            <w:r>
              <w:rPr>
                <w:rFonts w:hint="eastAsia"/>
                <w:color w:val="auto"/>
                <w:sz w:val="24"/>
                <w:szCs w:val="24"/>
                <w:highlight w:val="none"/>
              </w:rPr>
              <w:t>，</w:t>
            </w:r>
            <w:r>
              <w:rPr>
                <w:color w:val="auto"/>
                <w:sz w:val="24"/>
                <w:szCs w:val="24"/>
                <w:highlight w:val="none"/>
              </w:rPr>
              <w:t>施工期</w:t>
            </w:r>
            <w:r>
              <w:rPr>
                <w:rFonts w:hint="eastAsia"/>
                <w:color w:val="auto"/>
                <w:sz w:val="24"/>
                <w:szCs w:val="24"/>
                <w:highlight w:val="none"/>
              </w:rPr>
              <w:t>产生</w:t>
            </w:r>
            <w:r>
              <w:rPr>
                <w:color w:val="auto"/>
                <w:sz w:val="24"/>
                <w:szCs w:val="24"/>
                <w:highlight w:val="none"/>
              </w:rPr>
              <w:t>的生活垃圾</w:t>
            </w:r>
            <w:r>
              <w:rPr>
                <w:rFonts w:hint="eastAsia"/>
                <w:color w:val="auto"/>
                <w:sz w:val="24"/>
                <w:szCs w:val="24"/>
                <w:highlight w:val="none"/>
              </w:rPr>
              <w:t>集中收集后，由施工单位组织收集统一外运至环卫部门指定地点。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690" w:type="dxa"/>
            <w:tcBorders>
              <w:tl2br w:val="nil"/>
              <w:tr2bl w:val="nil"/>
            </w:tcBorders>
            <w:vAlign w:val="center"/>
          </w:tcPr>
          <w:p>
            <w:pPr>
              <w:rPr>
                <w:sz w:val="24"/>
                <w:szCs w:val="24"/>
                <w:highlight w:val="yellow"/>
              </w:rPr>
            </w:pPr>
            <w:r>
              <w:rPr>
                <w:rFonts w:hint="eastAsia" w:cs="宋体"/>
                <w:bCs/>
                <w:color w:val="000000"/>
                <w:spacing w:val="10"/>
                <w:kern w:val="2"/>
                <w:sz w:val="24"/>
                <w:szCs w:val="24"/>
                <w:highlight w:val="none"/>
              </w:rPr>
              <w:t>运营期生态环境影响分析</w:t>
            </w:r>
          </w:p>
        </w:tc>
        <w:tc>
          <w:tcPr>
            <w:tcW w:w="7832" w:type="dxa"/>
            <w:tcBorders>
              <w:tl2br w:val="nil"/>
              <w:tr2bl w:val="nil"/>
            </w:tcBorders>
          </w:tcPr>
          <w:p>
            <w:pPr>
              <w:pStyle w:val="30"/>
              <w:spacing w:line="360" w:lineRule="auto"/>
              <w:ind w:firstLine="480" w:firstLineChars="200"/>
            </w:pPr>
            <w:r>
              <w:rPr>
                <w:rFonts w:ascii="宋体" w:hAnsi="宋体" w:cs="宋体"/>
                <w:color w:val="auto"/>
                <w:sz w:val="24"/>
                <w:szCs w:val="24"/>
                <w:highlight w:val="none"/>
                <w:lang w:bidi="zh-CN"/>
              </w:rPr>
              <w:t>本项目为生态修复项目，项目施工结束后已将原有的采矿破坏面恢复植被，运营期仅有维护管理人员对治</w:t>
            </w:r>
            <w:r>
              <w:rPr>
                <w:rFonts w:ascii="宋体" w:hAnsi="宋体" w:eastAsia="宋体" w:cs="宋体"/>
                <w:color w:val="auto"/>
                <w:sz w:val="24"/>
                <w:szCs w:val="24"/>
                <w:highlight w:val="none"/>
                <w:lang w:bidi="zh-CN"/>
              </w:rPr>
              <w:t>理区域进行维护，维护人员均为当地雇工，不在项目区吃住，且该</w:t>
            </w:r>
            <w:r>
              <w:rPr>
                <w:rFonts w:hint="eastAsia" w:ascii="宋体" w:hAnsi="宋体" w:eastAsia="宋体" w:cs="宋体"/>
                <w:color w:val="auto"/>
                <w:sz w:val="24"/>
                <w:szCs w:val="24"/>
                <w:highlight w:val="none"/>
                <w:lang w:bidi="zh-CN"/>
              </w:rPr>
              <w:t>项目</w:t>
            </w:r>
            <w:r>
              <w:rPr>
                <w:rFonts w:ascii="宋体" w:hAnsi="宋体" w:eastAsia="宋体" w:cs="宋体"/>
                <w:color w:val="auto"/>
                <w:sz w:val="24"/>
                <w:szCs w:val="24"/>
                <w:highlight w:val="none"/>
                <w:lang w:bidi="zh-CN"/>
              </w:rPr>
              <w:t>运营期无其他污染源，所以该项目运营期对环境不会产生影响。建设单位运营期做到对治理区的正常维护、保障植被成活率，项目运营期不仅对环境无不利影响，而且具有良好的环境正效益。</w:t>
            </w:r>
          </w:p>
          <w:p>
            <w:pPr>
              <w:pStyle w:val="19"/>
              <w:rPr>
                <w:rFonts w:hint="eastAsia"/>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90" w:type="dxa"/>
            <w:tcBorders>
              <w:tl2br w:val="nil"/>
              <w:tr2bl w:val="nil"/>
            </w:tcBorders>
            <w:vAlign w:val="center"/>
          </w:tcPr>
          <w:p>
            <w:pPr>
              <w:bidi w:val="0"/>
              <w:rPr>
                <w:szCs w:val="24"/>
                <w:highlight w:val="yellow"/>
              </w:rPr>
            </w:pPr>
            <w:r>
              <w:rPr>
                <w:rFonts w:hint="eastAsia"/>
                <w:sz w:val="24"/>
                <w:szCs w:val="24"/>
                <w:highlight w:val="none"/>
              </w:rPr>
              <w:t>选址选线环境合理性分析</w:t>
            </w:r>
          </w:p>
        </w:tc>
        <w:tc>
          <w:tcPr>
            <w:tcW w:w="7832" w:type="dxa"/>
            <w:tcBorders>
              <w:tl2br w:val="nil"/>
              <w:tr2bl w:val="nil"/>
            </w:tcBorders>
          </w:tcPr>
          <w:p>
            <w:pPr>
              <w:spacing w:line="360" w:lineRule="auto"/>
              <w:jc w:val="both"/>
              <w:rPr>
                <w:rFonts w:ascii="宋体" w:hAnsi="宋体"/>
                <w:snapToGrid/>
                <w:color w:val="auto"/>
                <w:kern w:val="2"/>
                <w:sz w:val="24"/>
                <w:szCs w:val="24"/>
                <w:highlight w:val="none"/>
              </w:rPr>
            </w:pPr>
            <w:r>
              <w:rPr>
                <w:rFonts w:hint="eastAsia" w:ascii="宋体" w:hAnsi="宋体"/>
                <w:snapToGrid/>
                <w:color w:val="auto"/>
                <w:kern w:val="2"/>
                <w:sz w:val="24"/>
                <w:szCs w:val="24"/>
                <w:highlight w:val="none"/>
              </w:rPr>
              <w:t>（1）治理区选址合理性</w:t>
            </w:r>
          </w:p>
          <w:p>
            <w:pPr>
              <w:pStyle w:val="15"/>
              <w:ind w:firstLine="420"/>
              <w:rPr>
                <w:rFonts w:hint="eastAsia"/>
                <w:sz w:val="24"/>
                <w:szCs w:val="24"/>
                <w:highlight w:val="none"/>
              </w:rPr>
            </w:pPr>
            <w:r>
              <w:rPr>
                <w:sz w:val="24"/>
                <w:szCs w:val="24"/>
                <w:highlight w:val="none"/>
              </w:rPr>
              <w:t>本项目实施区域为香山梁水园村北生态修复治理区</w:t>
            </w:r>
            <w:r>
              <w:rPr>
                <w:rFonts w:hint="eastAsia"/>
                <w:sz w:val="24"/>
                <w:szCs w:val="24"/>
                <w:highlight w:val="none"/>
                <w:lang w:eastAsia="zh-CN"/>
              </w:rPr>
              <w:t>、</w:t>
            </w:r>
            <w:r>
              <w:rPr>
                <w:sz w:val="24"/>
                <w:szCs w:val="24"/>
                <w:highlight w:val="none"/>
              </w:rPr>
              <w:t>香山黄泉村</w:t>
            </w:r>
            <w:r>
              <w:rPr>
                <w:rFonts w:hint="eastAsia"/>
                <w:sz w:val="24"/>
                <w:szCs w:val="24"/>
                <w:highlight w:val="none"/>
                <w:lang w:eastAsia="zh-CN"/>
              </w:rPr>
              <w:t>一</w:t>
            </w:r>
            <w:r>
              <w:rPr>
                <w:sz w:val="24"/>
                <w:szCs w:val="24"/>
                <w:highlight w:val="none"/>
              </w:rPr>
              <w:t>采区生态修复治理区</w:t>
            </w:r>
            <w:r>
              <w:rPr>
                <w:rFonts w:hint="eastAsia"/>
                <w:sz w:val="24"/>
                <w:szCs w:val="24"/>
                <w:highlight w:val="none"/>
                <w:lang w:eastAsia="zh-CN"/>
              </w:rPr>
              <w:t>、</w:t>
            </w:r>
            <w:r>
              <w:rPr>
                <w:sz w:val="24"/>
                <w:szCs w:val="24"/>
                <w:highlight w:val="none"/>
              </w:rPr>
              <w:t>香山黄泉村</w:t>
            </w:r>
            <w:r>
              <w:rPr>
                <w:rFonts w:hint="eastAsia"/>
                <w:sz w:val="24"/>
                <w:szCs w:val="24"/>
                <w:highlight w:val="none"/>
                <w:lang w:eastAsia="zh-CN"/>
              </w:rPr>
              <w:t>二</w:t>
            </w:r>
            <w:r>
              <w:rPr>
                <w:sz w:val="24"/>
                <w:szCs w:val="24"/>
                <w:highlight w:val="none"/>
              </w:rPr>
              <w:t>采区生态修复治理区</w:t>
            </w:r>
            <w:r>
              <w:rPr>
                <w:rFonts w:hint="eastAsia"/>
                <w:sz w:val="24"/>
                <w:szCs w:val="24"/>
                <w:highlight w:val="none"/>
                <w:lang w:eastAsia="zh-CN"/>
              </w:rPr>
              <w:t>、</w:t>
            </w:r>
            <w:r>
              <w:rPr>
                <w:sz w:val="24"/>
                <w:szCs w:val="24"/>
                <w:highlight w:val="none"/>
              </w:rPr>
              <w:t>香山黄泉村</w:t>
            </w:r>
            <w:r>
              <w:rPr>
                <w:rFonts w:hint="eastAsia"/>
                <w:sz w:val="24"/>
                <w:szCs w:val="24"/>
                <w:highlight w:val="none"/>
                <w:lang w:eastAsia="zh-CN"/>
              </w:rPr>
              <w:t>三</w:t>
            </w:r>
            <w:r>
              <w:rPr>
                <w:sz w:val="24"/>
                <w:szCs w:val="24"/>
                <w:highlight w:val="none"/>
              </w:rPr>
              <w:t>采区生态修复治理区</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pacing w:val="-6"/>
                <w:sz w:val="24"/>
                <w:szCs w:val="24"/>
                <w:highlight w:val="none"/>
              </w:rPr>
              <w:t>常乐镇原上</w:t>
            </w:r>
            <w:r>
              <w:rPr>
                <w:rFonts w:hint="default" w:ascii="Times New Roman" w:hAnsi="Times New Roman" w:eastAsia="宋体" w:cs="Times New Roman"/>
                <w:spacing w:val="-1"/>
                <w:sz w:val="24"/>
                <w:szCs w:val="24"/>
                <w:highlight w:val="none"/>
              </w:rPr>
              <w:t>游村西生态修复治理区</w:t>
            </w:r>
            <w:r>
              <w:rPr>
                <w:rFonts w:hint="default" w:ascii="Times New Roman" w:hAnsi="Times New Roman" w:eastAsia="宋体" w:cs="Times New Roman"/>
                <w:sz w:val="24"/>
                <w:szCs w:val="24"/>
                <w:highlight w:val="none"/>
              </w:rPr>
              <w:t>，</w:t>
            </w:r>
            <w:r>
              <w:rPr>
                <w:color w:val="auto"/>
                <w:sz w:val="24"/>
                <w:szCs w:val="24"/>
                <w:highlight w:val="none"/>
              </w:rPr>
              <w:t>治理</w:t>
            </w:r>
            <w:r>
              <w:rPr>
                <w:rFonts w:hint="eastAsia"/>
                <w:color w:val="auto"/>
                <w:sz w:val="24"/>
                <w:szCs w:val="24"/>
                <w:highlight w:val="none"/>
              </w:rPr>
              <w:t>总</w:t>
            </w:r>
            <w:r>
              <w:rPr>
                <w:color w:val="auto"/>
                <w:sz w:val="24"/>
                <w:szCs w:val="24"/>
                <w:highlight w:val="none"/>
              </w:rPr>
              <w:t>面积</w:t>
            </w:r>
            <w:r>
              <w:rPr>
                <w:rFonts w:hint="eastAsia"/>
                <w:color w:val="auto"/>
                <w:sz w:val="24"/>
                <w:szCs w:val="24"/>
                <w:highlight w:val="none"/>
                <w:lang w:val="en-US" w:eastAsia="zh-CN"/>
              </w:rPr>
              <w:t>158.71h</w:t>
            </w:r>
            <w:r>
              <w:rPr>
                <w:color w:val="auto"/>
                <w:sz w:val="24"/>
                <w:szCs w:val="24"/>
                <w:highlight w:val="none"/>
              </w:rPr>
              <w:t>m</w:t>
            </w:r>
            <w:r>
              <w:rPr>
                <w:color w:val="auto"/>
                <w:sz w:val="24"/>
                <w:szCs w:val="24"/>
                <w:highlight w:val="none"/>
                <w:vertAlign w:val="superscript"/>
              </w:rPr>
              <w:t>2</w:t>
            </w:r>
            <w:r>
              <w:rPr>
                <w:color w:val="auto"/>
                <w:sz w:val="24"/>
                <w:szCs w:val="24"/>
                <w:highlight w:val="none"/>
              </w:rPr>
              <w:t>，治理矿山点个数为</w:t>
            </w:r>
            <w:r>
              <w:rPr>
                <w:rFonts w:hint="eastAsia"/>
                <w:color w:val="auto"/>
                <w:sz w:val="24"/>
                <w:szCs w:val="24"/>
                <w:highlight w:val="none"/>
                <w:lang w:val="en-US" w:eastAsia="zh-CN"/>
              </w:rPr>
              <w:t>23</w:t>
            </w:r>
            <w:r>
              <w:rPr>
                <w:color w:val="auto"/>
                <w:sz w:val="24"/>
                <w:szCs w:val="24"/>
                <w:highlight w:val="none"/>
              </w:rPr>
              <w:t>个</w:t>
            </w:r>
            <w:r>
              <w:rPr>
                <w:rFonts w:hint="eastAsia"/>
                <w:color w:val="auto"/>
                <w:sz w:val="24"/>
                <w:szCs w:val="24"/>
                <w:highlight w:val="none"/>
                <w:lang w:eastAsia="zh-CN"/>
              </w:rPr>
              <w:t>，</w:t>
            </w:r>
            <w:r>
              <w:rPr>
                <w:rFonts w:hint="eastAsia" w:ascii="宋体" w:hAnsi="宋体"/>
                <w:snapToGrid/>
                <w:color w:val="auto"/>
                <w:kern w:val="2"/>
                <w:sz w:val="24"/>
                <w:szCs w:val="24"/>
                <w:highlight w:val="none"/>
              </w:rPr>
              <w:t>选址具有唯一性。</w:t>
            </w:r>
            <w:r>
              <w:rPr>
                <w:rFonts w:hint="eastAsia" w:ascii="宋体" w:hAnsi="宋体"/>
                <w:snapToGrid/>
                <w:color w:val="auto"/>
                <w:kern w:val="2"/>
                <w:sz w:val="24"/>
                <w:szCs w:val="24"/>
                <w:highlight w:val="none"/>
                <w:lang w:eastAsia="zh-CN"/>
              </w:rPr>
              <w:t>除</w:t>
            </w:r>
            <w:r>
              <w:rPr>
                <w:rFonts w:hint="eastAsia"/>
                <w:color w:val="auto"/>
                <w:sz w:val="24"/>
                <w:szCs w:val="24"/>
                <w:highlight w:val="none"/>
                <w:lang w:eastAsia="zh-CN"/>
              </w:rPr>
              <w:t>香山黄泉村一采区生态修复治理区内的</w:t>
            </w:r>
            <w:r>
              <w:rPr>
                <w:rFonts w:hint="eastAsia"/>
                <w:color w:val="auto"/>
                <w:sz w:val="24"/>
                <w:szCs w:val="24"/>
                <w:highlight w:val="none"/>
                <w:lang w:val="en-US" w:eastAsia="zh-CN"/>
              </w:rPr>
              <w:t>1号至5号治理点范围涉及</w:t>
            </w:r>
            <w:r>
              <w:rPr>
                <w:rFonts w:hint="eastAsia"/>
                <w:color w:val="auto"/>
                <w:sz w:val="24"/>
                <w:szCs w:val="24"/>
                <w:highlight w:val="none"/>
              </w:rPr>
              <w:t>中卫市生态保护红线</w:t>
            </w:r>
            <w:r>
              <w:rPr>
                <w:rFonts w:hint="eastAsia"/>
                <w:color w:val="auto"/>
                <w:sz w:val="24"/>
                <w:szCs w:val="24"/>
                <w:highlight w:val="none"/>
                <w:lang w:eastAsia="zh-CN"/>
              </w:rPr>
              <w:t>管控范围，其他生态修复治理区不在</w:t>
            </w:r>
            <w:r>
              <w:rPr>
                <w:rFonts w:hint="eastAsia"/>
                <w:color w:val="auto"/>
                <w:sz w:val="24"/>
                <w:szCs w:val="24"/>
                <w:highlight w:val="none"/>
              </w:rPr>
              <w:t>中卫市生态保护红线</w:t>
            </w:r>
            <w:r>
              <w:rPr>
                <w:rFonts w:hint="eastAsia"/>
                <w:color w:val="auto"/>
                <w:sz w:val="24"/>
                <w:szCs w:val="24"/>
                <w:highlight w:val="none"/>
                <w:lang w:eastAsia="zh-CN"/>
              </w:rPr>
              <w:t>管控范围，</w:t>
            </w:r>
            <w:r>
              <w:rPr>
                <w:rFonts w:hint="eastAsia" w:ascii="宋体" w:hAnsi="宋体"/>
                <w:snapToGrid/>
                <w:color w:val="auto"/>
                <w:kern w:val="2"/>
                <w:sz w:val="24"/>
                <w:szCs w:val="24"/>
                <w:highlight w:val="none"/>
              </w:rPr>
              <w:t>本项目不涉及饮用水源保护地、风景名胜区、自然保护区等生态保护区。</w:t>
            </w:r>
            <w:r>
              <w:rPr>
                <w:rFonts w:hint="eastAsia"/>
                <w:color w:val="auto"/>
                <w:sz w:val="24"/>
                <w:szCs w:val="24"/>
                <w:highlight w:val="none"/>
                <w:lang w:eastAsia="zh-CN"/>
              </w:rPr>
              <w:t>香山黄泉村一采区生态修复治理区内的</w:t>
            </w:r>
            <w:r>
              <w:rPr>
                <w:rFonts w:hint="eastAsia"/>
                <w:color w:val="auto"/>
                <w:sz w:val="24"/>
                <w:szCs w:val="24"/>
                <w:highlight w:val="none"/>
                <w:lang w:val="en-US" w:eastAsia="zh-CN"/>
              </w:rPr>
              <w:t>1号至5号治理点为历史遗留矿山开采后的开采区，项目选址不可避让。虽然1号至5号治理</w:t>
            </w:r>
            <w:r>
              <w:rPr>
                <w:rFonts w:hint="eastAsia"/>
                <w:color w:val="000000" w:themeColor="text1"/>
                <w:sz w:val="24"/>
                <w:szCs w:val="24"/>
                <w:highlight w:val="none"/>
                <w:lang w:val="en-US" w:eastAsia="zh-CN"/>
                <w14:textFill>
                  <w14:solidFill>
                    <w14:schemeClr w14:val="tx1"/>
                  </w14:solidFill>
                </w14:textFill>
              </w:rPr>
              <w:t>点在生态红线范围内，但区域生态环境脆弱、水土流失严重，本项目的实施将系统性的解决矿区生态修复问题，改变水土流失和恢复生态环境。</w:t>
            </w:r>
            <w:r>
              <w:rPr>
                <w:rFonts w:hint="eastAsia"/>
                <w:sz w:val="24"/>
                <w:szCs w:val="24"/>
                <w:highlight w:val="none"/>
                <w:lang w:eastAsia="zh-CN"/>
              </w:rPr>
              <w:t>本项目属于</w:t>
            </w:r>
            <w:r>
              <w:rPr>
                <w:rFonts w:hint="eastAsia"/>
                <w:highlight w:val="none"/>
              </w:rPr>
              <w:t>《关于在国土空间规划中统筹划定落实三条控制线的指导意见》的要求</w:t>
            </w:r>
            <w:r>
              <w:rPr>
                <w:rFonts w:hint="eastAsia"/>
                <w:highlight w:val="none"/>
                <w:lang w:eastAsia="zh-CN"/>
              </w:rPr>
              <w:t>中第八项：“</w:t>
            </w:r>
            <w:r>
              <w:rPr>
                <w:rFonts w:hint="default" w:ascii="Times New Roman" w:hAnsi="Times New Roman" w:cs="Times New Roman"/>
                <w:sz w:val="24"/>
                <w:szCs w:val="24"/>
                <w:highlight w:val="none"/>
              </w:rPr>
              <w:t>重要生态修复工程</w:t>
            </w:r>
            <w:r>
              <w:rPr>
                <w:rFonts w:hint="eastAsia"/>
                <w:highlight w:val="none"/>
                <w:lang w:eastAsia="zh-CN"/>
              </w:rPr>
              <w:t>”，</w:t>
            </w:r>
            <w:r>
              <w:rPr>
                <w:rFonts w:hint="eastAsia"/>
                <w:sz w:val="24"/>
                <w:szCs w:val="24"/>
                <w:highlight w:val="none"/>
                <w:lang w:eastAsia="zh-CN"/>
              </w:rPr>
              <w:t>本项目实施可以确保生态保护红线内“生态功能不降低，面积不减少，性质不改变”，</w:t>
            </w:r>
            <w:r>
              <w:rPr>
                <w:rFonts w:hint="eastAsia"/>
                <w:color w:val="000000" w:themeColor="text1"/>
                <w:sz w:val="24"/>
                <w:szCs w:val="24"/>
                <w:highlight w:val="none"/>
                <w:lang w:eastAsia="zh-CN"/>
                <w14:textFill>
                  <w14:solidFill>
                    <w14:schemeClr w14:val="tx1"/>
                  </w14:solidFill>
                </w14:textFill>
              </w:rPr>
              <w:t>项目运营后</w:t>
            </w:r>
            <w:r>
              <w:rPr>
                <w:rFonts w:hint="eastAsia"/>
                <w:sz w:val="24"/>
                <w:szCs w:val="24"/>
                <w:highlight w:val="none"/>
                <w:lang w:eastAsia="zh-CN"/>
              </w:rPr>
              <w:t>改善区域内的生态环境，对涉及</w:t>
            </w:r>
            <w:r>
              <w:rPr>
                <w:rFonts w:hint="eastAsia"/>
                <w:color w:val="000000" w:themeColor="text1"/>
                <w:sz w:val="24"/>
                <w:szCs w:val="24"/>
                <w:highlight w:val="none"/>
                <w14:textFill>
                  <w14:solidFill>
                    <w14:schemeClr w14:val="tx1"/>
                  </w14:solidFill>
                </w14:textFill>
              </w:rPr>
              <w:t>中卫市生态保护红线</w:t>
            </w:r>
            <w:r>
              <w:rPr>
                <w:rFonts w:hint="eastAsia"/>
                <w:color w:val="000000" w:themeColor="text1"/>
                <w:sz w:val="24"/>
                <w:szCs w:val="24"/>
                <w:highlight w:val="none"/>
                <w:lang w:eastAsia="zh-CN"/>
                <w14:textFill>
                  <w14:solidFill>
                    <w14:schemeClr w14:val="tx1"/>
                  </w14:solidFill>
                </w14:textFill>
              </w:rPr>
              <w:t>管控范围内区域的生态环境有积极影响，治理区选址合理可行。</w:t>
            </w:r>
          </w:p>
          <w:p>
            <w:pPr>
              <w:spacing w:line="360" w:lineRule="auto"/>
              <w:jc w:val="left"/>
              <w:rPr>
                <w:snapToGrid/>
                <w:color w:val="auto"/>
                <w:sz w:val="24"/>
                <w:szCs w:val="24"/>
                <w:highlight w:val="none"/>
              </w:rPr>
            </w:pPr>
            <w:r>
              <w:rPr>
                <w:snapToGrid/>
                <w:color w:val="auto"/>
                <w:sz w:val="24"/>
                <w:szCs w:val="24"/>
                <w:highlight w:val="none"/>
              </w:rPr>
              <w:t>（2）取土场选址合理性</w:t>
            </w:r>
          </w:p>
          <w:p>
            <w:pPr>
              <w:pStyle w:val="15"/>
              <w:ind w:left="0" w:leftChars="0" w:firstLine="480" w:firstLineChars="200"/>
              <w:rPr>
                <w:color w:val="auto"/>
                <w:sz w:val="24"/>
                <w:szCs w:val="24"/>
                <w:highlight w:val="none"/>
              </w:rPr>
            </w:pPr>
            <w:r>
              <w:rPr>
                <w:rFonts w:hint="eastAsia" w:ascii="宋体" w:hAnsi="宋体"/>
                <w:snapToGrid/>
                <w:color w:val="auto"/>
                <w:sz w:val="24"/>
                <w:szCs w:val="24"/>
                <w:highlight w:val="none"/>
              </w:rPr>
              <w:t>为</w:t>
            </w:r>
            <w:r>
              <w:rPr>
                <w:rFonts w:ascii="宋体" w:hAnsi="宋体"/>
                <w:snapToGrid/>
                <w:color w:val="auto"/>
                <w:sz w:val="24"/>
                <w:szCs w:val="24"/>
                <w:highlight w:val="none"/>
              </w:rPr>
              <w:t>满足绿化</w:t>
            </w:r>
            <w:r>
              <w:rPr>
                <w:rFonts w:hint="eastAsia" w:ascii="宋体" w:hAnsi="宋体"/>
                <w:snapToGrid/>
                <w:color w:val="auto"/>
                <w:sz w:val="24"/>
                <w:szCs w:val="24"/>
                <w:highlight w:val="none"/>
              </w:rPr>
              <w:t>覆土</w:t>
            </w:r>
            <w:r>
              <w:rPr>
                <w:rFonts w:ascii="宋体" w:hAnsi="宋体"/>
                <w:snapToGrid/>
                <w:color w:val="auto"/>
                <w:sz w:val="24"/>
                <w:szCs w:val="24"/>
                <w:highlight w:val="none"/>
              </w:rPr>
              <w:t>的要求，</w:t>
            </w:r>
            <w:r>
              <w:rPr>
                <w:rFonts w:hint="eastAsia" w:ascii="宋体" w:hAnsi="宋体"/>
                <w:snapToGrid/>
                <w:color w:val="auto"/>
                <w:sz w:val="24"/>
                <w:szCs w:val="24"/>
                <w:highlight w:val="none"/>
              </w:rPr>
              <w:t>本</w:t>
            </w:r>
            <w:r>
              <w:rPr>
                <w:rFonts w:ascii="宋体" w:hAnsi="宋体"/>
                <w:snapToGrid/>
                <w:color w:val="auto"/>
                <w:sz w:val="24"/>
                <w:szCs w:val="24"/>
                <w:highlight w:val="none"/>
              </w:rPr>
              <w:t>项目在</w:t>
            </w:r>
            <w:r>
              <w:rPr>
                <w:rFonts w:hint="eastAsia" w:ascii="宋体" w:hAnsi="宋体"/>
                <w:snapToGrid/>
                <w:color w:val="auto"/>
                <w:sz w:val="24"/>
                <w:szCs w:val="24"/>
                <w:highlight w:val="none"/>
              </w:rPr>
              <w:t>治理区</w:t>
            </w:r>
            <w:r>
              <w:rPr>
                <w:rFonts w:ascii="宋体" w:hAnsi="宋体"/>
                <w:snapToGrid/>
                <w:color w:val="auto"/>
                <w:sz w:val="24"/>
                <w:szCs w:val="24"/>
                <w:highlight w:val="none"/>
              </w:rPr>
              <w:t>设置</w:t>
            </w:r>
            <w:r>
              <w:rPr>
                <w:rFonts w:hint="eastAsia"/>
                <w:color w:val="auto"/>
                <w:sz w:val="24"/>
                <w:szCs w:val="24"/>
                <w:highlight w:val="none"/>
              </w:rPr>
              <w:t>取土场</w:t>
            </w:r>
            <w:r>
              <w:rPr>
                <w:rFonts w:hint="eastAsia"/>
                <w:color w:val="auto"/>
                <w:sz w:val="24"/>
                <w:szCs w:val="24"/>
                <w:highlight w:val="none"/>
                <w:lang w:val="en-US" w:eastAsia="zh-CN"/>
              </w:rPr>
              <w:t>2</w:t>
            </w:r>
            <w:r>
              <w:rPr>
                <w:rFonts w:hint="eastAsia"/>
                <w:color w:val="auto"/>
                <w:sz w:val="24"/>
                <w:szCs w:val="24"/>
                <w:highlight w:val="none"/>
                <w:lang w:eastAsia="zh-CN"/>
              </w:rPr>
              <w:t>座，</w:t>
            </w:r>
            <w:r>
              <w:rPr>
                <w:rFonts w:hint="eastAsia"/>
                <w:color w:val="auto"/>
                <w:sz w:val="24"/>
                <w:szCs w:val="24"/>
                <w:highlight w:val="none"/>
              </w:rPr>
              <w:t>取土场均位于香山梁水园村北</w:t>
            </w:r>
            <w:r>
              <w:rPr>
                <w:rFonts w:hint="eastAsia"/>
                <w:color w:val="auto"/>
                <w:sz w:val="24"/>
                <w:szCs w:val="24"/>
                <w:highlight w:val="none"/>
                <w:lang w:val="en-US" w:eastAsia="zh-CN"/>
              </w:rPr>
              <w:t>12号</w:t>
            </w:r>
            <w:r>
              <w:rPr>
                <w:rFonts w:hint="eastAsia"/>
                <w:color w:val="auto"/>
                <w:sz w:val="24"/>
                <w:szCs w:val="24"/>
                <w:highlight w:val="none"/>
              </w:rPr>
              <w:t>治理区，不新增用地，方便</w:t>
            </w:r>
            <w:r>
              <w:rPr>
                <w:color w:val="auto"/>
                <w:sz w:val="24"/>
                <w:szCs w:val="24"/>
                <w:highlight w:val="none"/>
              </w:rPr>
              <w:t>管理和减少运输距离</w:t>
            </w:r>
            <w:r>
              <w:rPr>
                <w:rFonts w:hint="eastAsia"/>
                <w:color w:val="auto"/>
                <w:sz w:val="24"/>
                <w:szCs w:val="24"/>
                <w:highlight w:val="none"/>
              </w:rPr>
              <w:t>，可</w:t>
            </w:r>
            <w:r>
              <w:rPr>
                <w:color w:val="auto"/>
                <w:sz w:val="24"/>
                <w:szCs w:val="24"/>
                <w:highlight w:val="none"/>
              </w:rPr>
              <w:t>减少物料的损耗。</w:t>
            </w:r>
            <w:r>
              <w:rPr>
                <w:rFonts w:hint="eastAsia"/>
                <w:color w:val="auto"/>
                <w:sz w:val="24"/>
                <w:szCs w:val="24"/>
                <w:highlight w:val="none"/>
              </w:rPr>
              <w:t>施工后期将对取土场进行植被恢复工程，因此项目取土场选址合理。</w:t>
            </w:r>
          </w:p>
          <w:p>
            <w:pPr>
              <w:pStyle w:val="15"/>
              <w:ind w:left="0" w:leftChars="0" w:firstLine="0" w:firstLineChars="0"/>
              <w:rPr>
                <w:rFonts w:hint="eastAsia" w:eastAsia="宋体"/>
                <w:color w:val="auto"/>
                <w:sz w:val="24"/>
                <w:szCs w:val="24"/>
                <w:highlight w:val="none"/>
                <w:lang w:eastAsia="zh-CN"/>
              </w:rPr>
            </w:pPr>
            <w:r>
              <w:rPr>
                <w:rFonts w:hint="eastAsia"/>
                <w:color w:val="auto"/>
                <w:sz w:val="24"/>
                <w:szCs w:val="24"/>
                <w:highlight w:val="none"/>
              </w:rPr>
              <w:t>（3）施工道路</w:t>
            </w:r>
            <w:r>
              <w:rPr>
                <w:rFonts w:hint="eastAsia"/>
                <w:color w:val="auto"/>
                <w:sz w:val="24"/>
                <w:szCs w:val="24"/>
                <w:highlight w:val="none"/>
                <w:lang w:eastAsia="zh-CN"/>
              </w:rPr>
              <w:t>合理性</w:t>
            </w:r>
          </w:p>
          <w:p>
            <w:pPr>
              <w:pStyle w:val="15"/>
              <w:ind w:firstLine="420"/>
              <w:rPr>
                <w:color w:val="auto"/>
                <w:sz w:val="24"/>
                <w:szCs w:val="24"/>
                <w:highlight w:val="none"/>
              </w:rPr>
            </w:pPr>
            <w:r>
              <w:rPr>
                <w:rFonts w:hint="eastAsia"/>
                <w:color w:val="auto"/>
                <w:sz w:val="24"/>
                <w:szCs w:val="24"/>
                <w:highlight w:val="none"/>
              </w:rPr>
              <w:t>本项目施工期依托现有道路，不新建施工便道，</w:t>
            </w:r>
            <w:r>
              <w:rPr>
                <w:color w:val="auto"/>
                <w:sz w:val="24"/>
                <w:szCs w:val="24"/>
                <w:highlight w:val="none"/>
              </w:rPr>
              <w:t>进入矿山道路为村级道路和山地土路，交通便利。</w:t>
            </w:r>
            <w:r>
              <w:rPr>
                <w:rFonts w:hint="eastAsia"/>
                <w:color w:val="auto"/>
                <w:sz w:val="24"/>
                <w:szCs w:val="24"/>
                <w:highlight w:val="none"/>
              </w:rPr>
              <w:t>治理区周边分布有县道、乡道等交通要道，交通便利。治理点现有道路可通往中卫沙坡头区等地，为施工机械和器材运输提供了便利治理点治理点的条件。</w:t>
            </w:r>
          </w:p>
          <w:p>
            <w:pPr>
              <w:pStyle w:val="15"/>
              <w:ind w:firstLine="420"/>
              <w:rPr>
                <w:color w:val="0000FF"/>
                <w:sz w:val="24"/>
                <w:szCs w:val="24"/>
                <w:highlight w:val="yellow"/>
              </w:rPr>
            </w:pPr>
          </w:p>
          <w:p>
            <w:pPr>
              <w:pStyle w:val="15"/>
              <w:ind w:firstLine="420"/>
              <w:rPr>
                <w:color w:val="0000FF"/>
                <w:sz w:val="24"/>
                <w:szCs w:val="24"/>
                <w:highlight w:val="yellow"/>
              </w:rPr>
            </w:pPr>
          </w:p>
          <w:p>
            <w:pPr>
              <w:pStyle w:val="15"/>
              <w:ind w:firstLine="420"/>
              <w:rPr>
                <w:color w:val="0000FF"/>
                <w:sz w:val="24"/>
                <w:szCs w:val="24"/>
                <w:highlight w:val="yellow"/>
              </w:rPr>
            </w:pPr>
          </w:p>
          <w:p>
            <w:pPr>
              <w:pStyle w:val="15"/>
              <w:ind w:firstLine="420"/>
              <w:rPr>
                <w:color w:val="0000FF"/>
                <w:sz w:val="24"/>
                <w:szCs w:val="24"/>
                <w:highlight w:val="yellow"/>
              </w:rPr>
            </w:pPr>
          </w:p>
          <w:p>
            <w:pPr>
              <w:pStyle w:val="15"/>
              <w:ind w:left="0" w:leftChars="0" w:firstLine="0" w:firstLineChars="0"/>
              <w:rPr>
                <w:color w:val="0000FF"/>
                <w:sz w:val="24"/>
                <w:szCs w:val="24"/>
                <w:highlight w:val="yellow"/>
              </w:rPr>
            </w:pPr>
          </w:p>
        </w:tc>
      </w:tr>
    </w:tbl>
    <w:p>
      <w:pPr>
        <w:pStyle w:val="22"/>
        <w:jc w:val="center"/>
        <w:outlineLvl w:val="0"/>
        <w:rPr>
          <w:rFonts w:ascii="黑体" w:hAnsi="黑体" w:eastAsia="黑体"/>
          <w:color w:val="000000"/>
          <w:sz w:val="30"/>
          <w:szCs w:val="30"/>
          <w:highlight w:val="yellow"/>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2"/>
        <w:jc w:val="center"/>
        <w:outlineLvl w:val="0"/>
        <w:rPr>
          <w:rFonts w:ascii="黑体" w:hAnsi="黑体" w:eastAsia="黑体"/>
          <w:color w:val="000000"/>
          <w:sz w:val="30"/>
          <w:szCs w:val="30"/>
          <w:highlight w:val="none"/>
        </w:rPr>
      </w:pPr>
      <w:r>
        <w:rPr>
          <w:rFonts w:hint="eastAsia" w:ascii="黑体" w:hAnsi="黑体" w:eastAsia="黑体"/>
          <w:color w:val="000000"/>
          <w:sz w:val="30"/>
          <w:szCs w:val="30"/>
          <w:highlight w:val="none"/>
        </w:rPr>
        <w:t>五、主要生态环境保护措施</w:t>
      </w:r>
    </w:p>
    <w:tbl>
      <w:tblPr>
        <w:tblStyle w:val="25"/>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9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4" w:hRule="atLeast"/>
        </w:trPr>
        <w:tc>
          <w:tcPr>
            <w:tcW w:w="600" w:type="dxa"/>
            <w:tcBorders>
              <w:tl2br w:val="nil"/>
              <w:tr2bl w:val="nil"/>
            </w:tcBorders>
            <w:vAlign w:val="center"/>
          </w:tcPr>
          <w:p>
            <w:pPr>
              <w:rPr>
                <w:sz w:val="24"/>
                <w:szCs w:val="24"/>
                <w:highlight w:val="none"/>
              </w:rPr>
            </w:pPr>
            <w:r>
              <w:rPr>
                <w:rFonts w:hint="eastAsia"/>
                <w:sz w:val="24"/>
                <w:szCs w:val="24"/>
                <w:highlight w:val="none"/>
              </w:rPr>
              <w:t>施工期生态环境保护措施</w:t>
            </w:r>
          </w:p>
        </w:tc>
        <w:tc>
          <w:tcPr>
            <w:tcW w:w="7922" w:type="dxa"/>
            <w:tcBorders>
              <w:tl2br w:val="nil"/>
              <w:tr2bl w:val="nil"/>
            </w:tcBorders>
          </w:tcPr>
          <w:p>
            <w:pPr>
              <w:pStyle w:val="15"/>
              <w:ind w:firstLine="0" w:firstLineChars="0"/>
              <w:rPr>
                <w:rFonts w:hint="eastAsia" w:eastAsia="宋体"/>
                <w:color w:val="auto"/>
                <w:sz w:val="24"/>
                <w:szCs w:val="24"/>
                <w:highlight w:val="none"/>
                <w:lang w:eastAsia="zh-CN"/>
              </w:rPr>
            </w:pPr>
            <w:r>
              <w:rPr>
                <w:rFonts w:hint="eastAsia"/>
                <w:b/>
                <w:bCs/>
                <w:color w:val="auto"/>
                <w:sz w:val="24"/>
                <w:szCs w:val="24"/>
                <w:highlight w:val="none"/>
              </w:rPr>
              <w:t>1、</w:t>
            </w:r>
            <w:r>
              <w:rPr>
                <w:b/>
                <w:bCs/>
                <w:color w:val="auto"/>
                <w:sz w:val="24"/>
                <w:szCs w:val="24"/>
                <w:highlight w:val="none"/>
              </w:rPr>
              <w:t>生态环境保护措施</w:t>
            </w:r>
            <w:r>
              <w:rPr>
                <w:rFonts w:hint="eastAsia"/>
                <w:b/>
                <w:bCs/>
                <w:color w:val="auto"/>
                <w:sz w:val="24"/>
                <w:szCs w:val="24"/>
                <w:highlight w:val="none"/>
                <w:lang w:eastAsia="zh-CN"/>
              </w:rPr>
              <w:t>（详见生态专项评价）</w:t>
            </w:r>
          </w:p>
          <w:p>
            <w:pPr>
              <w:pStyle w:val="15"/>
              <w:spacing w:line="360" w:lineRule="auto"/>
              <w:ind w:firstLine="42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（1）对区域植被影响防治措施</w:t>
            </w:r>
          </w:p>
          <w:p>
            <w:pPr>
              <w:pStyle w:val="8"/>
              <w:keepNext w:val="0"/>
              <w:keepLines w:val="0"/>
              <w:pageBreakBefore w:val="0"/>
              <w:widowControl w:val="0"/>
              <w:numPr>
                <w:ilvl w:val="0"/>
                <w:numId w:val="0"/>
              </w:numPr>
              <w:tabs>
                <w:tab w:val="left" w:pos="1244"/>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本项目区域植物群落组成简单，项目区内被破坏的植被覆盖率低，修复区施工完成后将进行生态复绿，可使治理区被破坏的植被得到恢复。为了进一步减少施工过程中对植物的影响，采取的保护措施如下：</w:t>
            </w:r>
          </w:p>
          <w:p>
            <w:pPr>
              <w:pStyle w:val="8"/>
              <w:keepNext w:val="0"/>
              <w:keepLines w:val="0"/>
              <w:pageBreakBefore w:val="0"/>
              <w:widowControl w:val="0"/>
              <w:numPr>
                <w:ilvl w:val="0"/>
                <w:numId w:val="0"/>
              </w:numPr>
              <w:tabs>
                <w:tab w:val="left" w:pos="1244"/>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①施工期间，在各主要工程区（如主体工程施工区、取土场等）设置生态保护警示牌。警示牌上标明工程施工区范围，禁止越界施工占地，尽量减少占地造成的植被损失；</w:t>
            </w:r>
          </w:p>
          <w:p>
            <w:pPr>
              <w:pStyle w:val="8"/>
              <w:keepNext w:val="0"/>
              <w:keepLines w:val="0"/>
              <w:pageBreakBefore w:val="0"/>
              <w:widowControl w:val="0"/>
              <w:numPr>
                <w:ilvl w:val="0"/>
                <w:numId w:val="0"/>
              </w:numPr>
              <w:tabs>
                <w:tab w:val="left" w:pos="1244"/>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②明确施工工序，杜绝超挖、乱挖等不规范施工方式。在施工过程中，开挖回填土方均按设计要求进行施工。对表土集中堆放和保存，并用于工程区的迹地恢复；</w:t>
            </w:r>
          </w:p>
          <w:p>
            <w:pPr>
              <w:pStyle w:val="8"/>
              <w:keepNext w:val="0"/>
              <w:keepLines w:val="0"/>
              <w:pageBreakBefore w:val="0"/>
              <w:widowControl w:val="0"/>
              <w:numPr>
                <w:ilvl w:val="0"/>
                <w:numId w:val="0"/>
              </w:numPr>
              <w:tabs>
                <w:tab w:val="left" w:pos="1244"/>
              </w:tabs>
              <w:kinsoku/>
              <w:wordWrap/>
              <w:overflowPunct/>
              <w:topLinePunct w:val="0"/>
              <w:autoSpaceDE w:val="0"/>
              <w:autoSpaceDN w:val="0"/>
              <w:bidi w:val="0"/>
              <w:adjustRightInd/>
              <w:snapToGrid/>
              <w:spacing w:before="0" w:after="0" w:line="360" w:lineRule="auto"/>
              <w:ind w:right="0" w:rightChars="0" w:firstLine="480" w:firstLineChars="200"/>
              <w:jc w:val="left"/>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b w:val="0"/>
                <w:bCs w:val="0"/>
                <w:color w:val="auto"/>
                <w:spacing w:val="0"/>
                <w:w w:val="100"/>
                <w:position w:val="0"/>
                <w:sz w:val="24"/>
                <w:szCs w:val="24"/>
                <w:highlight w:val="none"/>
                <w:lang w:val="en-US" w:eastAsia="zh-CN"/>
              </w:rPr>
              <w:t>③避免车辆在运输过程中对当地植被的碾压，尽量减少对区域植被的破坏，将撒落到植被上的土方尽快清理，使植被恢复原有的生长状态，保证施工对区域植物生境的破坏最小化；</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z w:val="24"/>
                <w:szCs w:val="24"/>
                <w:highlight w:val="none"/>
              </w:rPr>
              <w:t>④</w:t>
            </w:r>
            <w:r>
              <w:rPr>
                <w:rFonts w:hint="default" w:ascii="Times New Roman" w:hAnsi="Times New Roman" w:cs="Times New Roman"/>
                <w:color w:val="auto"/>
                <w:sz w:val="24"/>
                <w:szCs w:val="24"/>
                <w:highlight w:val="none"/>
              </w:rPr>
              <w:t>修复区生态修复时优选适宜当地环境生长的本土物种，</w:t>
            </w:r>
            <w:r>
              <w:rPr>
                <w:rFonts w:hint="default" w:ascii="Times New Roman" w:hAnsi="Times New Roman" w:eastAsia="宋体" w:cs="Times New Roman"/>
                <w:color w:val="auto"/>
                <w:spacing w:val="0"/>
                <w:w w:val="100"/>
                <w:position w:val="0"/>
                <w:sz w:val="24"/>
                <w:szCs w:val="24"/>
                <w:highlight w:val="none"/>
                <w:lang w:val="en-US" w:eastAsia="zh-CN"/>
              </w:rPr>
              <w:t>保证绿化栽植的成活率。把剥离的表层熟土回填至周围的植被恢复区内，用作绿化带的覆土改造。</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pacing w:val="0"/>
                <w:w w:val="100"/>
                <w:kern w:val="0"/>
                <w:position w:val="0"/>
                <w:sz w:val="24"/>
                <w:szCs w:val="24"/>
                <w:highlight w:val="none"/>
                <w:lang w:val="en-US" w:eastAsia="zh-CN" w:bidi="ar"/>
              </w:rPr>
              <w:t>⑤合理规划修复治理治理顺序，分阶段施工，恢复地表植被；</w:t>
            </w:r>
          </w:p>
          <w:p>
            <w:pPr>
              <w:keepNext w:val="0"/>
              <w:keepLines w:val="0"/>
              <w:pageBreakBefore w:val="0"/>
              <w:widowControl/>
              <w:suppressLineNumbers w:val="0"/>
              <w:kinsoku/>
              <w:wordWrap/>
              <w:topLinePunct w:val="0"/>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kern w:val="0"/>
                <w:position w:val="0"/>
                <w:sz w:val="24"/>
                <w:szCs w:val="24"/>
                <w:highlight w:val="none"/>
                <w:lang w:val="en-US" w:eastAsia="zh-CN" w:bidi="ar"/>
              </w:rPr>
              <w:t>⑥工程施工期进行生态影响的监测或调查，主要是生境、陆生动植物、重点保护动植物的变化，通过动态监测和完善管理，使生态向良性或有利方向发展。在工程管理机构，应设置生态环境管理人员，建立各种管理及报告制度，加强相关生态环境保护教育工作，提高施工人员和管理人员环境意识。</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（2）对动物资源保护措施</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spacing w:val="0"/>
                <w:w w:val="100"/>
                <w:position w:val="0"/>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施工期间对动物的影响主要表现为施工期间地表清理对动物活动场所的破坏以及施工期间的机械噪声给动物带来惊扰。为了减少施工过程中对动物的影响，采取的保护措施如</w:t>
            </w:r>
            <w:r>
              <w:rPr>
                <w:rFonts w:hint="default" w:ascii="Times New Roman" w:hAnsi="Times New Roman" w:eastAsia="宋体" w:cs="Times New Roman"/>
                <w:b w:val="0"/>
                <w:bCs w:val="0"/>
                <w:color w:val="auto"/>
                <w:spacing w:val="0"/>
                <w:w w:val="100"/>
                <w:position w:val="0"/>
                <w:sz w:val="24"/>
                <w:szCs w:val="24"/>
                <w:highlight w:val="none"/>
                <w:lang w:val="en-US" w:eastAsia="zh-CN"/>
              </w:rPr>
              <w:t>下：</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highlight w:val="none"/>
                <w:lang w:val="en-US" w:eastAsia="zh-CN"/>
              </w:rPr>
            </w:pPr>
            <w:r>
              <w:rPr>
                <w:rFonts w:hint="default" w:ascii="Times New Roman" w:hAnsi="Times New Roman" w:cs="Times New Roman"/>
                <w:color w:val="auto"/>
                <w:spacing w:val="0"/>
                <w:w w:val="100"/>
                <w:position w:val="0"/>
                <w:sz w:val="24"/>
                <w:szCs w:val="24"/>
                <w:highlight w:val="none"/>
                <w:lang w:val="en-US" w:eastAsia="zh-CN"/>
              </w:rPr>
              <w:t>①施工期间，以公告、宣传单、板报和会议等形式，加强对施工人员的环境保护宣传教育和保护野生动物常识的宣传，提高施工人员的环境保护意识，使其在施工中自觉保护生态环境及野生动物，并遵守相关的生态保护规定。</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highlight w:val="none"/>
                <w:lang w:val="en-US" w:eastAsia="zh-CN"/>
              </w:rPr>
            </w:pPr>
            <w:r>
              <w:rPr>
                <w:rFonts w:hint="default" w:ascii="Times New Roman" w:hAnsi="Times New Roman" w:cs="Times New Roman"/>
                <w:color w:val="auto"/>
                <w:spacing w:val="0"/>
                <w:w w:val="100"/>
                <w:position w:val="0"/>
                <w:sz w:val="24"/>
                <w:szCs w:val="24"/>
                <w:highlight w:val="none"/>
                <w:lang w:val="en-US" w:eastAsia="zh-CN"/>
              </w:rPr>
              <w:t>②合理安排施工时序，优化施工组织。错开施工高峰期，避免同一段出现大规模的施工，施工过程中选用低噪声设备，严禁夜间施工，避免对野生动物产生较大的惊扰。</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highlight w:val="none"/>
                <w:lang w:val="en-US" w:eastAsia="zh-CN"/>
              </w:rPr>
            </w:pPr>
            <w:r>
              <w:rPr>
                <w:rFonts w:hint="default" w:ascii="Times New Roman" w:hAnsi="Times New Roman" w:cs="Times New Roman"/>
                <w:color w:val="auto"/>
                <w:spacing w:val="0"/>
                <w:w w:val="100"/>
                <w:position w:val="0"/>
                <w:sz w:val="24"/>
                <w:szCs w:val="24"/>
                <w:highlight w:val="none"/>
                <w:lang w:val="en-US" w:eastAsia="zh-CN"/>
              </w:rPr>
              <w:t>③施工期间，在各主要施工作业区设置生态保护警示牌。警示牌上标明工程施工区范围，禁止施工人员越界施工或砍伐林木、禁止捕猎野生动物，尽量减少占地造成的植被损失对野生动物的伤害。</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both"/>
              <w:textAlignment w:val="auto"/>
              <w:rPr>
                <w:rFonts w:hint="default" w:ascii="Times New Roman" w:hAnsi="Times New Roman"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lang w:val="en-US" w:eastAsia="zh-CN"/>
              </w:rPr>
              <w:t>④</w:t>
            </w:r>
            <w:r>
              <w:rPr>
                <w:rFonts w:hint="default" w:ascii="Times New Roman" w:hAnsi="Times New Roman" w:cs="Times New Roman"/>
                <w:color w:val="auto"/>
                <w:spacing w:val="0"/>
                <w:w w:val="100"/>
                <w:position w:val="0"/>
                <w:sz w:val="24"/>
                <w:szCs w:val="24"/>
                <w:highlight w:val="none"/>
                <w:lang w:val="en-US" w:eastAsia="zh-CN"/>
              </w:rPr>
              <w:t>工程完工后尽快做好生态环境的恢复工作，种植本地土著植物品种，以尽量减少生境破坏对动物的不利影响。</w:t>
            </w:r>
          </w:p>
          <w:p>
            <w:pPr>
              <w:pStyle w:val="15"/>
              <w:numPr>
                <w:ilvl w:val="0"/>
                <w:numId w:val="0"/>
              </w:num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水土流失影响防治措施</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default" w:ascii="Times New Roman" w:hAnsi="Times New Roman" w:cs="Times New Roman"/>
                <w:color w:val="auto"/>
                <w:spacing w:val="0"/>
                <w:w w:val="100"/>
                <w:position w:val="0"/>
                <w:sz w:val="24"/>
                <w:szCs w:val="24"/>
                <w:lang w:val="en-US" w:eastAsia="zh-CN"/>
              </w:rPr>
              <w:t>①水土流失防治措施布设遵循以下原则：</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eastAsia" w:cs="Times New Roman"/>
                <w:color w:val="auto"/>
                <w:spacing w:val="0"/>
                <w:w w:val="100"/>
                <w:position w:val="0"/>
                <w:sz w:val="24"/>
                <w:szCs w:val="24"/>
                <w:lang w:val="en-US" w:eastAsia="zh-CN"/>
              </w:rPr>
              <w:t>a、</w:t>
            </w:r>
            <w:r>
              <w:rPr>
                <w:rFonts w:hint="default" w:ascii="Times New Roman" w:hAnsi="Times New Roman" w:cs="Times New Roman"/>
                <w:color w:val="auto"/>
                <w:spacing w:val="0"/>
                <w:w w:val="100"/>
                <w:position w:val="0"/>
                <w:sz w:val="24"/>
                <w:szCs w:val="24"/>
                <w:lang w:val="en-US" w:eastAsia="zh-CN"/>
              </w:rPr>
              <w:t>结合工程实际和项目区水土流失现状，因地制宜、因害设防、防治结合、全面布局、科学配置。</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eastAsia" w:cs="Times New Roman"/>
                <w:color w:val="auto"/>
                <w:spacing w:val="0"/>
                <w:w w:val="100"/>
                <w:position w:val="0"/>
                <w:sz w:val="24"/>
                <w:szCs w:val="24"/>
                <w:lang w:val="en-US" w:eastAsia="zh-CN"/>
              </w:rPr>
              <w:t>b、</w:t>
            </w:r>
            <w:r>
              <w:rPr>
                <w:rFonts w:hint="default" w:ascii="Times New Roman" w:hAnsi="Times New Roman" w:cs="Times New Roman"/>
                <w:color w:val="auto"/>
                <w:spacing w:val="0"/>
                <w:w w:val="100"/>
                <w:position w:val="0"/>
                <w:sz w:val="24"/>
                <w:szCs w:val="24"/>
                <w:lang w:val="en-US" w:eastAsia="zh-CN"/>
              </w:rPr>
              <w:t>减少对原地表和植被的破坏，合理布设取土场。</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eastAsia" w:cs="Times New Roman"/>
                <w:color w:val="auto"/>
                <w:spacing w:val="0"/>
                <w:w w:val="100"/>
                <w:position w:val="0"/>
                <w:sz w:val="24"/>
                <w:szCs w:val="24"/>
                <w:lang w:val="en-US" w:eastAsia="zh-CN"/>
              </w:rPr>
              <w:t>c、</w:t>
            </w:r>
            <w:r>
              <w:rPr>
                <w:rFonts w:hint="default" w:ascii="Times New Roman" w:hAnsi="Times New Roman" w:cs="Times New Roman"/>
                <w:color w:val="auto"/>
                <w:spacing w:val="0"/>
                <w:w w:val="100"/>
                <w:position w:val="0"/>
                <w:sz w:val="24"/>
                <w:szCs w:val="24"/>
                <w:lang w:val="en-US" w:eastAsia="zh-CN"/>
              </w:rPr>
              <w:t>项目建设过程中注重生态环境保护，设置临时性防护措施，减少施工过程中造成的人为扰动及产生的弃土。</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eastAsia" w:cs="Times New Roman"/>
                <w:color w:val="auto"/>
                <w:spacing w:val="0"/>
                <w:w w:val="100"/>
                <w:position w:val="0"/>
                <w:sz w:val="24"/>
                <w:szCs w:val="24"/>
                <w:lang w:val="en-US" w:eastAsia="zh-CN"/>
              </w:rPr>
              <w:t>d、</w:t>
            </w:r>
            <w:r>
              <w:rPr>
                <w:rFonts w:hint="default" w:ascii="Times New Roman" w:hAnsi="Times New Roman" w:cs="Times New Roman"/>
                <w:color w:val="auto"/>
                <w:spacing w:val="0"/>
                <w:w w:val="100"/>
                <w:position w:val="0"/>
                <w:sz w:val="24"/>
                <w:szCs w:val="24"/>
                <w:lang w:val="en-US" w:eastAsia="zh-CN"/>
              </w:rPr>
              <w:t>注重吸收当地水土保持的成功经验，借鉴国内外先进技术。</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eastAsia" w:cs="Times New Roman"/>
                <w:color w:val="auto"/>
                <w:spacing w:val="0"/>
                <w:w w:val="100"/>
                <w:position w:val="0"/>
                <w:sz w:val="24"/>
                <w:szCs w:val="24"/>
                <w:lang w:val="en-US" w:eastAsia="zh-CN"/>
              </w:rPr>
              <w:t>e、</w:t>
            </w:r>
            <w:r>
              <w:rPr>
                <w:rFonts w:hint="default" w:ascii="Times New Roman" w:hAnsi="Times New Roman" w:cs="Times New Roman"/>
                <w:color w:val="auto"/>
                <w:spacing w:val="0"/>
                <w:w w:val="100"/>
                <w:position w:val="0"/>
                <w:sz w:val="24"/>
                <w:szCs w:val="24"/>
                <w:lang w:val="en-US" w:eastAsia="zh-CN"/>
              </w:rPr>
              <w:t>树立人与自然和谐相处的理念，尊重自然规律，注重与周边景观相协调， 在临近城市区道路两侧的植物措施，可结合景观要求适当提高标准。</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eastAsia" w:cs="Times New Roman"/>
                <w:color w:val="auto"/>
                <w:spacing w:val="0"/>
                <w:w w:val="100"/>
                <w:position w:val="0"/>
                <w:sz w:val="24"/>
                <w:szCs w:val="24"/>
                <w:lang w:val="en-US" w:eastAsia="zh-CN"/>
              </w:rPr>
              <w:t>f、</w:t>
            </w:r>
            <w:r>
              <w:rPr>
                <w:rFonts w:hint="default" w:ascii="Times New Roman" w:hAnsi="Times New Roman" w:cs="Times New Roman"/>
                <w:color w:val="auto"/>
                <w:spacing w:val="0"/>
                <w:w w:val="100"/>
                <w:position w:val="0"/>
                <w:sz w:val="24"/>
                <w:szCs w:val="24"/>
                <w:lang w:val="en-US" w:eastAsia="zh-CN"/>
              </w:rPr>
              <w:t>工程措施、植物措施、临时措施合理配置、统筹兼顾，形成综合防护体系。</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eastAsia" w:cs="Times New Roman"/>
                <w:color w:val="auto"/>
                <w:spacing w:val="0"/>
                <w:w w:val="100"/>
                <w:position w:val="0"/>
                <w:sz w:val="24"/>
                <w:szCs w:val="24"/>
                <w:lang w:val="en-US" w:eastAsia="zh-CN"/>
              </w:rPr>
              <w:t>g、</w:t>
            </w:r>
            <w:r>
              <w:rPr>
                <w:rFonts w:hint="default" w:ascii="Times New Roman" w:hAnsi="Times New Roman" w:cs="Times New Roman"/>
                <w:color w:val="auto"/>
                <w:spacing w:val="0"/>
                <w:w w:val="100"/>
                <w:position w:val="0"/>
                <w:sz w:val="24"/>
                <w:szCs w:val="24"/>
                <w:lang w:val="en-US" w:eastAsia="zh-CN"/>
              </w:rPr>
              <w:t>工程措施要尽量选用当地材料，做到技术上可靠、经济上合理。</w:t>
            </w:r>
          </w:p>
          <w:p>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jc w:val="left"/>
              <w:textAlignment w:val="auto"/>
              <w:rPr>
                <w:rFonts w:hint="default" w:ascii="Times New Roman" w:hAnsi="Times New Roman" w:cs="Times New Roman"/>
                <w:color w:val="auto"/>
                <w:spacing w:val="0"/>
                <w:w w:val="100"/>
                <w:position w:val="0"/>
                <w:sz w:val="24"/>
                <w:szCs w:val="24"/>
                <w:lang w:val="en-US" w:eastAsia="zh-CN"/>
              </w:rPr>
            </w:pPr>
            <w:r>
              <w:rPr>
                <w:rFonts w:hint="eastAsia" w:cs="Times New Roman"/>
                <w:color w:val="auto"/>
                <w:spacing w:val="0"/>
                <w:w w:val="100"/>
                <w:position w:val="0"/>
                <w:sz w:val="24"/>
                <w:szCs w:val="24"/>
                <w:lang w:val="en-US" w:eastAsia="zh-CN"/>
              </w:rPr>
              <w:t>h、</w:t>
            </w:r>
            <w:r>
              <w:rPr>
                <w:rFonts w:hint="default" w:ascii="Times New Roman" w:hAnsi="Times New Roman" w:cs="Times New Roman"/>
                <w:color w:val="auto"/>
                <w:spacing w:val="0"/>
                <w:w w:val="100"/>
                <w:position w:val="0"/>
                <w:sz w:val="24"/>
                <w:szCs w:val="24"/>
                <w:lang w:val="en-US" w:eastAsia="zh-CN"/>
              </w:rPr>
              <w:t>植物措施要尽量选用适合当地的品种，并考虑绿化美化效果。</w:t>
            </w:r>
          </w:p>
          <w:p>
            <w:pPr>
              <w:spacing w:line="360" w:lineRule="auto"/>
              <w:ind w:firstLine="480" w:firstLineChars="200"/>
              <w:jc w:val="left"/>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color w:val="auto"/>
                <w:spacing w:val="0"/>
                <w:w w:val="100"/>
                <w:position w:val="0"/>
                <w:sz w:val="24"/>
                <w:szCs w:val="24"/>
                <w:lang w:val="en-US" w:eastAsia="zh-CN"/>
              </w:rPr>
              <w:t>②</w:t>
            </w:r>
            <w:r>
              <w:rPr>
                <w:rFonts w:hint="default" w:ascii="Times New Roman" w:hAnsi="Times New Roman" w:cs="Times New Roman"/>
                <w:color w:val="auto"/>
                <w:sz w:val="24"/>
                <w:szCs w:val="24"/>
              </w:rPr>
              <w:t>水土流失影响防治措施</w:t>
            </w:r>
          </w:p>
          <w:p>
            <w:pPr>
              <w:pStyle w:val="15"/>
              <w:spacing w:line="360" w:lineRule="auto"/>
              <w:ind w:left="0" w:lef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b w:val="0"/>
                <w:bCs w:val="0"/>
                <w:color w:val="auto"/>
                <w:sz w:val="24"/>
                <w:szCs w:val="24"/>
                <w:highlight w:val="none"/>
                <w:lang w:eastAsia="zh-CN"/>
              </w:rPr>
              <w:t>本项目治理区地质</w:t>
            </w:r>
            <w:r>
              <w:rPr>
                <w:rFonts w:hint="default" w:ascii="Times New Roman" w:hAnsi="Times New Roman" w:cs="Times New Roman"/>
                <w:b w:val="0"/>
                <w:bCs w:val="0"/>
                <w:color w:val="auto"/>
                <w:sz w:val="24"/>
                <w:szCs w:val="24"/>
                <w:highlight w:val="none"/>
              </w:rPr>
              <w:t>环境本身受到严重创伤，水土流失严重，前期矿坑回填施工，土地平整</w:t>
            </w:r>
            <w:r>
              <w:rPr>
                <w:rFonts w:hint="default" w:ascii="Times New Roman" w:hAnsi="Times New Roman" w:cs="Times New Roman"/>
                <w:b w:val="0"/>
                <w:bCs w:val="0"/>
                <w:color w:val="auto"/>
                <w:sz w:val="24"/>
                <w:szCs w:val="24"/>
                <w:highlight w:val="none"/>
                <w:lang w:eastAsia="zh-CN"/>
              </w:rPr>
              <w:t>等</w:t>
            </w:r>
            <w:r>
              <w:rPr>
                <w:rFonts w:hint="default" w:ascii="Times New Roman" w:hAnsi="Times New Roman" w:cs="Times New Roman"/>
                <w:b w:val="0"/>
                <w:bCs w:val="0"/>
                <w:color w:val="auto"/>
                <w:sz w:val="24"/>
                <w:szCs w:val="24"/>
                <w:highlight w:val="none"/>
              </w:rPr>
              <w:t>可能会加重水土流失，但由于本工程主要目的是为矿区生态修复，上述活动造成的影响是暂时的，在土方回填压实后，因施工破坏而影响水土流失的各种因素在各项水土保持措施得到恢复和改善，水土流失逐渐减少，直到达到新的稳定状态。</w:t>
            </w:r>
            <w:r>
              <w:rPr>
                <w:rFonts w:hint="default" w:ascii="Times New Roman" w:hAnsi="Times New Roman" w:cs="Times New Roman"/>
                <w:color w:val="auto"/>
                <w:sz w:val="24"/>
                <w:szCs w:val="24"/>
                <w:highlight w:val="none"/>
              </w:rPr>
              <w:t>严禁乱倾倒施工中产生的固体废弃物，定点存放，及时外</w:t>
            </w:r>
            <w:r>
              <w:rPr>
                <w:rFonts w:hint="default" w:ascii="Times New Roman" w:hAnsi="Times New Roman" w:eastAsia="宋体" w:cs="Times New Roman"/>
                <w:color w:val="auto"/>
                <w:sz w:val="24"/>
                <w:szCs w:val="24"/>
                <w:highlight w:val="none"/>
              </w:rPr>
              <w:t>运处置，避免污染土壤。实行水土保持“三同时”制度</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项目建设通过士石方工程消除地质灾害，修复破坏的地形地貌，重建植被，恢复原有的地形地貌及土地资源，建立综合防治体系使水十流失得到有效控制</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可以使遭到破坏的生态环境得到改善和基本恢复。</w:t>
            </w:r>
          </w:p>
          <w:p>
            <w:pPr>
              <w:pStyle w:val="15"/>
              <w:spacing w:line="360" w:lineRule="auto"/>
              <w:ind w:left="420" w:firstLine="0" w:firstLineChars="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）取土场生态恢复措施</w:t>
            </w:r>
          </w:p>
          <w:p>
            <w:pPr>
              <w:pStyle w:val="15"/>
              <w:spacing w:line="360" w:lineRule="auto"/>
              <w:ind w:firstLine="420"/>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0"/>
                <w:w w:val="100"/>
                <w:position w:val="0"/>
                <w:sz w:val="24"/>
                <w:szCs w:val="24"/>
                <w:highlight w:val="none"/>
                <w:lang w:val="en-US" w:eastAsia="zh-CN"/>
              </w:rPr>
              <w:t>①</w:t>
            </w:r>
            <w:r>
              <w:rPr>
                <w:rFonts w:hint="default" w:ascii="Times New Roman" w:hAnsi="Times New Roman" w:cs="Times New Roman"/>
                <w:color w:val="auto"/>
                <w:sz w:val="24"/>
                <w:szCs w:val="24"/>
                <w:highlight w:val="none"/>
              </w:rPr>
              <w:t>使用取土场的过程中保持不留坑洼沟坎，边坡坡度要平缓；保持道路通畅，取土场的运输路线利用原有道路，减少对植被的破坏。</w:t>
            </w:r>
          </w:p>
          <w:p>
            <w:pPr>
              <w:pStyle w:val="15"/>
              <w:spacing w:line="360" w:lineRule="auto"/>
              <w:ind w:firstLine="420"/>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0"/>
                <w:w w:val="100"/>
                <w:position w:val="0"/>
                <w:sz w:val="24"/>
                <w:szCs w:val="24"/>
                <w:highlight w:val="none"/>
                <w:lang w:val="en-US" w:eastAsia="zh-CN"/>
              </w:rPr>
              <w:t>②</w:t>
            </w:r>
            <w:r>
              <w:rPr>
                <w:rFonts w:hint="default" w:ascii="Times New Roman" w:hAnsi="Times New Roman" w:cs="Times New Roman"/>
                <w:color w:val="auto"/>
                <w:sz w:val="24"/>
                <w:szCs w:val="24"/>
                <w:highlight w:val="none"/>
              </w:rPr>
              <w:t>取土场使用完毕后，进行植被恢复，提升原有的土地质量，恢复地表植被、优化土壤结构及景观，改善水土流失，本项目设置的取土场对生态环境影响较小。</w:t>
            </w:r>
          </w:p>
          <w:p>
            <w:pPr>
              <w:pStyle w:val="15"/>
              <w:spacing w:line="360" w:lineRule="auto"/>
              <w:ind w:firstLine="420"/>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（5）</w:t>
            </w:r>
            <w:r>
              <w:rPr>
                <w:rFonts w:hint="default" w:ascii="Times New Roman" w:hAnsi="Times New Roman" w:cs="Times New Roman"/>
                <w:color w:val="auto"/>
                <w:sz w:val="24"/>
                <w:szCs w:val="24"/>
                <w:lang w:val="en-US" w:eastAsia="zh-CN"/>
              </w:rPr>
              <w:t>土地利用保护措施</w:t>
            </w:r>
          </w:p>
          <w:p>
            <w:pPr>
              <w:pStyle w:val="15"/>
              <w:spacing w:line="360" w:lineRule="auto"/>
              <w:ind w:firstLine="42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pacing w:val="0"/>
                <w:w w:val="100"/>
                <w:position w:val="0"/>
                <w:sz w:val="24"/>
                <w:szCs w:val="24"/>
                <w:lang w:val="en-US" w:eastAsia="zh-CN"/>
              </w:rPr>
              <w:t>①</w:t>
            </w:r>
            <w:r>
              <w:rPr>
                <w:rFonts w:hint="default" w:ascii="Times New Roman" w:hAnsi="Times New Roman" w:cs="Times New Roman"/>
                <w:color w:val="auto"/>
                <w:sz w:val="24"/>
                <w:szCs w:val="24"/>
                <w:lang w:val="en-US" w:eastAsia="zh-CN"/>
              </w:rPr>
              <w:t>合理组织施工，严格按设计占地面积、样式要求等进行开挖，避免超出治理区控制点</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缩小施工作业范围，施工人员和机械不得在规定区域外活动。</w:t>
            </w:r>
          </w:p>
          <w:p>
            <w:pPr>
              <w:pStyle w:val="15"/>
              <w:spacing w:line="360" w:lineRule="auto"/>
              <w:ind w:firstLine="42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pacing w:val="0"/>
                <w:w w:val="100"/>
                <w:position w:val="0"/>
                <w:sz w:val="24"/>
                <w:szCs w:val="24"/>
                <w:lang w:val="en-US" w:eastAsia="zh-CN"/>
              </w:rPr>
              <w:t>②</w:t>
            </w:r>
            <w:r>
              <w:rPr>
                <w:rFonts w:hint="default" w:ascii="Times New Roman" w:hAnsi="Times New Roman" w:cs="Times New Roman"/>
                <w:color w:val="auto"/>
                <w:sz w:val="24"/>
                <w:szCs w:val="24"/>
                <w:lang w:val="en-US" w:eastAsia="zh-CN"/>
              </w:rPr>
              <w:t>施工材料有序堆放，减少对周围的生态破坏。土地平整后，需对各安全平台进行挖掘，减少施工机械进出场对周围环境的影响。</w:t>
            </w:r>
          </w:p>
          <w:p>
            <w:pPr>
              <w:pStyle w:val="15"/>
              <w:spacing w:line="360" w:lineRule="auto"/>
              <w:ind w:firstLine="42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pacing w:val="0"/>
                <w:w w:val="100"/>
                <w:position w:val="0"/>
                <w:sz w:val="24"/>
                <w:szCs w:val="24"/>
                <w:lang w:val="en-US" w:eastAsia="zh-CN"/>
              </w:rPr>
              <w:t>③</w:t>
            </w:r>
            <w:r>
              <w:rPr>
                <w:rFonts w:hint="default" w:ascii="Times New Roman" w:hAnsi="Times New Roman" w:cs="Times New Roman"/>
                <w:color w:val="auto"/>
                <w:sz w:val="24"/>
                <w:szCs w:val="24"/>
                <w:lang w:val="en-US" w:eastAsia="zh-CN"/>
              </w:rPr>
              <w:t>开挖土方分层开挖，分层回填，随挖随填</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不能及时回填的土方，使用土袋挡护、拍实、表层覆盖草垫或其它覆盖物遮挡；</w:t>
            </w:r>
          </w:p>
          <w:p>
            <w:pPr>
              <w:pStyle w:val="15"/>
              <w:spacing w:line="360" w:lineRule="auto"/>
              <w:ind w:firstLine="420"/>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（6）其他</w:t>
            </w:r>
            <w:r>
              <w:rPr>
                <w:rFonts w:hint="default" w:ascii="Times New Roman" w:hAnsi="Times New Roman" w:cs="Times New Roman"/>
                <w:color w:val="auto"/>
                <w:sz w:val="24"/>
                <w:szCs w:val="24"/>
                <w:lang w:val="en-US" w:eastAsia="zh-CN"/>
              </w:rPr>
              <w:t>生态</w:t>
            </w:r>
            <w:r>
              <w:rPr>
                <w:rFonts w:hint="eastAsia" w:cs="Times New Roman"/>
                <w:color w:val="auto"/>
                <w:sz w:val="24"/>
                <w:szCs w:val="24"/>
                <w:lang w:val="en-US" w:eastAsia="zh-CN"/>
              </w:rPr>
              <w:t>保护</w:t>
            </w:r>
            <w:r>
              <w:rPr>
                <w:rFonts w:hint="default" w:ascii="Times New Roman" w:hAnsi="Times New Roman" w:cs="Times New Roman"/>
                <w:color w:val="auto"/>
                <w:sz w:val="24"/>
                <w:szCs w:val="24"/>
                <w:lang w:val="en-US" w:eastAsia="zh-CN"/>
              </w:rPr>
              <w:t>措施</w:t>
            </w:r>
          </w:p>
          <w:p>
            <w:pPr>
              <w:pStyle w:val="15"/>
              <w:spacing w:line="360" w:lineRule="auto"/>
              <w:ind w:firstLine="420"/>
              <w:rPr>
                <w:rFonts w:hint="eastAsia"/>
                <w:color w:val="auto"/>
                <w:lang w:eastAsia="zh-CN"/>
              </w:rPr>
            </w:pPr>
            <w:r>
              <w:rPr>
                <w:rFonts w:hint="default" w:ascii="Times New Roman" w:hAnsi="Times New Roman" w:cs="Times New Roman"/>
                <w:color w:val="auto"/>
                <w:sz w:val="24"/>
                <w:szCs w:val="24"/>
                <w:lang w:val="en-US" w:eastAsia="zh-CN"/>
              </w:rPr>
              <w:t>在施工期要组织强有力的领导机构，加强管理，保护水土资源，防止和避免工程建设过程中可能造成的水土流失给施工区域带来的不利影响，保证水土保持措施与主体工程同时设计、同时施工、同时投入使用。本项目通过加强土</w:t>
            </w:r>
            <w:r>
              <w:rPr>
                <w:color w:val="auto"/>
              </w:rPr>
              <w:t>地复垦、绿化</w:t>
            </w:r>
            <w:r>
              <w:rPr>
                <w:rFonts w:hint="eastAsia"/>
                <w:color w:val="auto"/>
                <w:lang w:eastAsia="zh-CN"/>
              </w:rPr>
              <w:t>、生态修复</w:t>
            </w:r>
            <w:r>
              <w:rPr>
                <w:color w:val="auto"/>
              </w:rPr>
              <w:t>可使水土流失得到有效控制，使其满足水土保持目标要求。</w:t>
            </w:r>
            <w:r>
              <w:rPr>
                <w:rFonts w:hint="eastAsia"/>
                <w:color w:val="auto"/>
                <w:lang w:eastAsia="zh-CN"/>
              </w:rPr>
              <w:t>同时评价还提出以下要求：</w:t>
            </w:r>
          </w:p>
          <w:p>
            <w:pPr>
              <w:pStyle w:val="15"/>
              <w:spacing w:line="360" w:lineRule="auto"/>
              <w:ind w:firstLine="420"/>
              <w:rPr>
                <w:rFonts w:ascii="Times New Roman" w:hAnsi="Times New Roman" w:eastAsia="宋体" w:cs="Times New Roman"/>
                <w:snapToGrid w:val="0"/>
                <w:color w:val="auto"/>
                <w:sz w:val="24"/>
                <w:szCs w:val="24"/>
                <w:lang w:val="en-US" w:eastAsia="zh-CN" w:bidi="ar-SA"/>
              </w:rPr>
            </w:pPr>
            <w:r>
              <w:rPr>
                <w:rFonts w:ascii="Times New Roman" w:hAnsi="Times New Roman" w:eastAsia="宋体" w:cs="Times New Roman"/>
                <w:snapToGrid w:val="0"/>
                <w:color w:val="auto"/>
                <w:sz w:val="24"/>
                <w:szCs w:val="24"/>
                <w:lang w:val="en-US" w:eastAsia="zh-CN" w:bidi="ar-SA"/>
              </w:rPr>
              <w:t>①在土方开挖回填时避开雨季，雨季来临前将开挖回填、弃方的边坡处理完毕。</w:t>
            </w:r>
          </w:p>
          <w:p>
            <w:pPr>
              <w:pStyle w:val="15"/>
              <w:spacing w:line="360" w:lineRule="auto"/>
              <w:ind w:firstLine="420"/>
              <w:rPr>
                <w:rFonts w:ascii="Times New Roman" w:hAnsi="Times New Roman" w:eastAsia="宋体" w:cs="Times New Roman"/>
                <w:snapToGrid w:val="0"/>
                <w:color w:val="auto"/>
                <w:sz w:val="24"/>
                <w:szCs w:val="24"/>
                <w:lang w:val="en-US" w:eastAsia="zh-CN" w:bidi="ar-SA"/>
              </w:rPr>
            </w:pPr>
            <w:r>
              <w:rPr>
                <w:rFonts w:ascii="Times New Roman" w:hAnsi="Times New Roman" w:eastAsia="宋体" w:cs="Times New Roman"/>
                <w:snapToGrid w:val="0"/>
                <w:color w:val="auto"/>
                <w:sz w:val="24"/>
                <w:szCs w:val="24"/>
                <w:lang w:val="en-US" w:eastAsia="zh-CN" w:bidi="ar-SA"/>
              </w:rPr>
              <w:t>②做好施工规划，减少临时占地和重复施工，尽量做到小范围内的土方平衡，减少土方的堆放时间，施工取土时采取平行作业，边开挖、边平整，计划取土，及时进行景观再造；不能及时回填的土方，使用土袋挡护、拍实、表层覆盖草垫或其它覆盖物遮挡。</w:t>
            </w:r>
          </w:p>
          <w:p>
            <w:pPr>
              <w:pStyle w:val="15"/>
              <w:spacing w:line="360" w:lineRule="auto"/>
              <w:ind w:firstLine="420"/>
              <w:rPr>
                <w:rFonts w:ascii="Times New Roman" w:hAnsi="Times New Roman" w:eastAsia="宋体" w:cs="Times New Roman"/>
                <w:snapToGrid w:val="0"/>
                <w:color w:val="auto"/>
                <w:sz w:val="24"/>
                <w:szCs w:val="24"/>
                <w:lang w:val="en-US" w:eastAsia="zh-CN" w:bidi="ar-SA"/>
              </w:rPr>
            </w:pPr>
            <w:r>
              <w:rPr>
                <w:rFonts w:ascii="Times New Roman" w:hAnsi="Times New Roman" w:eastAsia="宋体" w:cs="Times New Roman"/>
                <w:snapToGrid w:val="0"/>
                <w:color w:val="auto"/>
                <w:sz w:val="24"/>
                <w:szCs w:val="24"/>
                <w:lang w:val="en-US" w:eastAsia="zh-CN" w:bidi="ar-SA"/>
              </w:rPr>
              <w:t>③在植被重建时，及时复绿，严格按照施工方案种植</w:t>
            </w:r>
            <w:r>
              <w:rPr>
                <w:rFonts w:hint="eastAsia" w:cs="Times New Roman"/>
                <w:snapToGrid w:val="0"/>
                <w:color w:val="auto"/>
                <w:sz w:val="24"/>
                <w:szCs w:val="24"/>
                <w:lang w:val="en-US" w:eastAsia="zh-CN" w:bidi="ar-SA"/>
              </w:rPr>
              <w:t>绿化植被</w:t>
            </w:r>
            <w:r>
              <w:rPr>
                <w:rFonts w:ascii="Times New Roman" w:hAnsi="Times New Roman" w:eastAsia="宋体" w:cs="Times New Roman"/>
                <w:snapToGrid w:val="0"/>
                <w:color w:val="auto"/>
                <w:sz w:val="24"/>
                <w:szCs w:val="24"/>
                <w:lang w:val="en-US" w:eastAsia="zh-CN" w:bidi="ar-SA"/>
              </w:rPr>
              <w:t>。</w:t>
            </w:r>
          </w:p>
          <w:p>
            <w:pPr>
              <w:pStyle w:val="15"/>
              <w:spacing w:line="360" w:lineRule="auto"/>
              <w:ind w:left="0" w:leftChars="0" w:firstLine="480" w:firstLineChars="200"/>
              <w:rPr>
                <w:rFonts w:hint="eastAsia"/>
                <w:color w:val="auto"/>
                <w:lang w:eastAsia="zh-CN"/>
              </w:rPr>
            </w:pPr>
            <w:r>
              <w:rPr>
                <w:rFonts w:ascii="Times New Roman" w:hAnsi="Times New Roman" w:eastAsia="宋体" w:cs="Times New Roman"/>
                <w:snapToGrid w:val="0"/>
                <w:color w:val="auto"/>
                <w:sz w:val="24"/>
                <w:szCs w:val="24"/>
                <w:lang w:val="en-US" w:eastAsia="zh-CN" w:bidi="ar-SA"/>
              </w:rPr>
              <w:t>④</w:t>
            </w:r>
            <w:r>
              <w:rPr>
                <w:color w:val="auto"/>
              </w:rPr>
              <w:t>项目施工阶段严格要求、文明施工，避免对规划用地以外植被的破坏</w:t>
            </w:r>
            <w:r>
              <w:rPr>
                <w:rFonts w:hint="eastAsia"/>
                <w:color w:val="auto"/>
                <w:lang w:eastAsia="zh-CN"/>
              </w:rPr>
              <w:t>。</w:t>
            </w:r>
          </w:p>
          <w:p>
            <w:pPr>
              <w:pStyle w:val="15"/>
              <w:spacing w:line="360" w:lineRule="auto"/>
              <w:ind w:left="0" w:leftChars="0" w:firstLine="480" w:firstLineChars="200"/>
              <w:rPr>
                <w:rFonts w:hint="eastAsia"/>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）景观生态影响措施</w:t>
            </w:r>
          </w:p>
          <w:p>
            <w:pPr>
              <w:pStyle w:val="15"/>
              <w:spacing w:line="360" w:lineRule="auto"/>
              <w:ind w:left="0" w:leftChars="0" w:firstLine="480" w:firstLineChars="200"/>
              <w:rPr>
                <w:rFonts w:hint="eastAsia"/>
                <w:color w:val="auto"/>
                <w:lang w:eastAsia="zh-CN"/>
              </w:rPr>
            </w:pPr>
            <w:r>
              <w:rPr>
                <w:rFonts w:hint="eastAsia"/>
                <w:color w:val="auto"/>
                <w:lang w:eastAsia="zh-CN"/>
              </w:rPr>
              <w:t>评价区现状景观为草地景观、旱地景观，现有景观的异质性主要表现为二维平面的空间异质性，由于山丘破损、危岩分布，基质、斑块与廊道之间有一定的界限。根据治理区地址环境条件、所处地理位置、土地功能规划等因素，采区工程措施后，覆土绿化的植被选择气候条件适当、根系发达、分生能力强、耐瘠薄抗性强灌木栽植，同时根据不同植物的颜色特性，可考虑采区混合，分区绿化等方式，不仅可以绿化治理区，还可以产生较好的景观效果。项目建成后，该区的景观结构发生了变化，优势度值较高，且连通程度较好，其景观观赏价值比原有的类型景观高。本项目的建设将增加区域的绿地面积，减少区域内景观斑块数，新增的绿地对区域的景观和视觉改善作用明显，同时增加了区域景观的协调性、生动性、多样性，在很大程度上改善了区域的生态景观。</w:t>
            </w:r>
          </w:p>
          <w:p>
            <w:pPr>
              <w:pStyle w:val="15"/>
              <w:ind w:firstLine="0" w:firstLineChars="0"/>
              <w:rPr>
                <w:color w:val="auto"/>
                <w:sz w:val="24"/>
                <w:szCs w:val="24"/>
                <w:highlight w:val="none"/>
              </w:rPr>
            </w:pPr>
            <w:r>
              <w:rPr>
                <w:rFonts w:hint="eastAsia"/>
                <w:b/>
                <w:bCs/>
                <w:color w:val="auto"/>
                <w:sz w:val="24"/>
                <w:szCs w:val="24"/>
                <w:highlight w:val="none"/>
              </w:rPr>
              <w:t>2、</w:t>
            </w:r>
            <w:r>
              <w:rPr>
                <w:rFonts w:hint="eastAsia"/>
                <w:b/>
                <w:bCs/>
                <w:color w:val="auto"/>
                <w:sz w:val="24"/>
                <w:szCs w:val="24"/>
                <w:lang w:eastAsia="zh-CN"/>
              </w:rPr>
              <w:t>废气污染防治</w:t>
            </w:r>
            <w:r>
              <w:rPr>
                <w:rFonts w:hint="eastAsia"/>
                <w:b/>
                <w:bCs/>
                <w:color w:val="auto"/>
                <w:sz w:val="24"/>
                <w:szCs w:val="24"/>
              </w:rPr>
              <w:t>措施</w:t>
            </w:r>
          </w:p>
          <w:p>
            <w:pPr>
              <w:pStyle w:val="15"/>
              <w:ind w:firstLine="420"/>
              <w:rPr>
                <w:color w:val="auto"/>
                <w:sz w:val="24"/>
                <w:szCs w:val="24"/>
                <w:highlight w:val="none"/>
              </w:rPr>
            </w:pPr>
            <w:bookmarkStart w:id="3" w:name="_Hlk112400358"/>
            <w:r>
              <w:rPr>
                <w:rFonts w:hint="eastAsia"/>
                <w:color w:val="auto"/>
                <w:sz w:val="24"/>
                <w:szCs w:val="24"/>
                <w:highlight w:val="none"/>
              </w:rPr>
              <w:t>（1）施工扬尘</w:t>
            </w:r>
          </w:p>
          <w:p>
            <w:pPr>
              <w:pStyle w:val="15"/>
              <w:ind w:firstLine="420"/>
              <w:rPr>
                <w:rFonts w:hint="eastAsia"/>
                <w:color w:val="auto"/>
                <w:sz w:val="24"/>
                <w:szCs w:val="24"/>
                <w:highlight w:val="none"/>
              </w:rPr>
            </w:pPr>
            <w:r>
              <w:rPr>
                <w:rFonts w:hint="eastAsia"/>
                <w:color w:val="auto"/>
                <w:sz w:val="24"/>
                <w:szCs w:val="24"/>
                <w:highlight w:val="none"/>
              </w:rPr>
              <w:t>为减少施工扬尘，施工时须满足《关于进一步加强施工工地和道路扬尘管控工作的通知》(建办质[2019]23 号)、《宁夏回族自治区大气污染防治条例》相关要求，采取“六个百分百”防尘措施:做到施工工地100%落实围挡，施工现场地面100%硬化，出入口100%设置冲洗设施，驶出车辆 100%冲洗，沙石</w:t>
            </w:r>
            <w:r>
              <w:rPr>
                <w:rFonts w:hint="eastAsia"/>
                <w:color w:val="auto"/>
                <w:sz w:val="24"/>
                <w:szCs w:val="24"/>
                <w:highlight w:val="none"/>
                <w:lang w:eastAsia="zh-CN"/>
              </w:rPr>
              <w:t>拉运</w:t>
            </w:r>
            <w:r>
              <w:rPr>
                <w:rFonts w:hint="eastAsia"/>
                <w:color w:val="auto"/>
                <w:sz w:val="24"/>
                <w:szCs w:val="24"/>
                <w:highlight w:val="none"/>
              </w:rPr>
              <w:t>车辆100%遮盖，施工区域裸露空地堆场 100%遮盖防尘网或喷洒抑尘剂，施工作业避开大风天气等措施。在采取上述措施后，施工作业现场产生的扬尘对周围</w:t>
            </w:r>
            <w:r>
              <w:rPr>
                <w:color w:val="auto"/>
                <w:sz w:val="24"/>
                <w:szCs w:val="24"/>
                <w:highlight w:val="none"/>
              </w:rPr>
              <w:t>环境影响较小。</w:t>
            </w:r>
          </w:p>
          <w:p>
            <w:pPr>
              <w:pStyle w:val="15"/>
              <w:ind w:firstLine="420"/>
              <w:rPr>
                <w:rFonts w:hint="eastAsia"/>
                <w:color w:val="auto"/>
                <w:sz w:val="24"/>
                <w:szCs w:val="24"/>
                <w:highlight w:val="none"/>
              </w:rPr>
            </w:pPr>
            <w:r>
              <w:rPr>
                <w:rFonts w:hint="eastAsia"/>
                <w:color w:val="auto"/>
                <w:sz w:val="24"/>
                <w:szCs w:val="24"/>
                <w:highlight w:val="none"/>
              </w:rPr>
              <w:t>在</w:t>
            </w:r>
            <w:r>
              <w:rPr>
                <w:color w:val="auto"/>
                <w:sz w:val="24"/>
                <w:szCs w:val="24"/>
                <w:highlight w:val="none"/>
              </w:rPr>
              <w:t>工程</w:t>
            </w:r>
            <w:r>
              <w:rPr>
                <w:rFonts w:hint="eastAsia"/>
                <w:color w:val="auto"/>
                <w:sz w:val="24"/>
                <w:szCs w:val="24"/>
                <w:highlight w:val="none"/>
              </w:rPr>
              <w:t>建设</w:t>
            </w:r>
            <w:r>
              <w:rPr>
                <w:color w:val="auto"/>
                <w:sz w:val="24"/>
                <w:szCs w:val="24"/>
                <w:highlight w:val="none"/>
              </w:rPr>
              <w:t>期间，伴随着土方的挖掘，设备的装卸和运输等施工活动</w:t>
            </w:r>
            <w:r>
              <w:rPr>
                <w:rFonts w:hint="eastAsia"/>
                <w:color w:val="auto"/>
                <w:sz w:val="24"/>
                <w:szCs w:val="24"/>
                <w:highlight w:val="none"/>
              </w:rPr>
              <w:t>，</w:t>
            </w:r>
            <w:r>
              <w:rPr>
                <w:color w:val="auto"/>
                <w:sz w:val="24"/>
                <w:szCs w:val="24"/>
                <w:highlight w:val="none"/>
              </w:rPr>
              <w:t>其扬尘</w:t>
            </w:r>
            <w:r>
              <w:rPr>
                <w:rFonts w:hint="eastAsia"/>
                <w:color w:val="auto"/>
                <w:sz w:val="24"/>
                <w:szCs w:val="24"/>
                <w:highlight w:val="none"/>
              </w:rPr>
              <w:t>将给</w:t>
            </w:r>
            <w:r>
              <w:rPr>
                <w:color w:val="auto"/>
                <w:sz w:val="24"/>
                <w:szCs w:val="24"/>
                <w:highlight w:val="none"/>
              </w:rPr>
              <w:t>附近的大气环境带来不利影响。因此</w:t>
            </w:r>
            <w:r>
              <w:rPr>
                <w:rFonts w:hint="eastAsia"/>
                <w:color w:val="auto"/>
                <w:sz w:val="24"/>
                <w:szCs w:val="24"/>
                <w:highlight w:val="none"/>
              </w:rPr>
              <w:t>必须</w:t>
            </w:r>
            <w:r>
              <w:rPr>
                <w:color w:val="auto"/>
                <w:sz w:val="24"/>
                <w:szCs w:val="24"/>
                <w:highlight w:val="none"/>
              </w:rPr>
              <w:t>采取合理可行的控制措施，尽量减轻其环境影响，缩小其影响范围。采取</w:t>
            </w:r>
            <w:r>
              <w:rPr>
                <w:rFonts w:hint="eastAsia"/>
                <w:color w:val="auto"/>
                <w:sz w:val="24"/>
                <w:szCs w:val="24"/>
                <w:highlight w:val="none"/>
              </w:rPr>
              <w:t>的</w:t>
            </w:r>
            <w:r>
              <w:rPr>
                <w:color w:val="auto"/>
                <w:sz w:val="24"/>
                <w:szCs w:val="24"/>
                <w:highlight w:val="none"/>
              </w:rPr>
              <w:t>防治措施如下：</w:t>
            </w:r>
          </w:p>
          <w:p>
            <w:pPr>
              <w:pStyle w:val="15"/>
              <w:ind w:firstLine="420"/>
              <w:rPr>
                <w:color w:val="auto"/>
                <w:sz w:val="24"/>
                <w:szCs w:val="24"/>
                <w:highlight w:val="none"/>
              </w:rPr>
            </w:pPr>
            <w:r>
              <w:rPr>
                <w:rFonts w:hint="eastAsia" w:ascii="宋体" w:hAnsi="宋体"/>
                <w:color w:val="auto"/>
                <w:sz w:val="24"/>
                <w:szCs w:val="24"/>
                <w:highlight w:val="none"/>
              </w:rPr>
              <w:t>①</w:t>
            </w:r>
            <w:r>
              <w:rPr>
                <w:rFonts w:hint="eastAsia"/>
                <w:color w:val="auto"/>
                <w:sz w:val="24"/>
                <w:szCs w:val="24"/>
                <w:highlight w:val="none"/>
              </w:rPr>
              <w:t>土方开挖时、削坡前采用水枪、洒水器等给对作业面和土堆适当喷水，以减少扬尘量，装卸时尽量减少卸装的高度，减少扬尘的产生，开挖的土方要及时运走等，以防长期堆放表面干燥而起尘或被雨水冲刷；</w:t>
            </w:r>
          </w:p>
          <w:p>
            <w:pPr>
              <w:pStyle w:val="15"/>
              <w:ind w:firstLine="420"/>
              <w:rPr>
                <w:color w:val="auto"/>
                <w:sz w:val="24"/>
                <w:szCs w:val="24"/>
                <w:highlight w:val="none"/>
              </w:rPr>
            </w:pPr>
            <w:r>
              <w:rPr>
                <w:rFonts w:hint="eastAsia" w:ascii="宋体" w:hAnsi="宋体"/>
                <w:color w:val="auto"/>
                <w:sz w:val="24"/>
                <w:szCs w:val="24"/>
                <w:highlight w:val="none"/>
              </w:rPr>
              <w:t>②</w:t>
            </w:r>
            <w:r>
              <w:rPr>
                <w:rFonts w:hint="eastAsia"/>
                <w:color w:val="auto"/>
                <w:sz w:val="24"/>
                <w:szCs w:val="24"/>
                <w:highlight w:val="none"/>
              </w:rPr>
              <w:t>对临时堆土场定期进行洒水抑尘，采取苫盖措施，防止扬尘的产生；</w:t>
            </w:r>
          </w:p>
          <w:p>
            <w:pPr>
              <w:pStyle w:val="15"/>
              <w:ind w:firstLine="420"/>
              <w:rPr>
                <w:color w:val="auto"/>
                <w:sz w:val="24"/>
                <w:szCs w:val="24"/>
                <w:highlight w:val="none"/>
              </w:rPr>
            </w:pPr>
            <w:r>
              <w:rPr>
                <w:rFonts w:hint="eastAsia" w:ascii="宋体" w:hAnsi="宋体"/>
                <w:color w:val="auto"/>
                <w:sz w:val="24"/>
                <w:szCs w:val="24"/>
                <w:highlight w:val="none"/>
              </w:rPr>
              <w:t>③</w:t>
            </w:r>
            <w:r>
              <w:rPr>
                <w:rFonts w:hint="eastAsia"/>
                <w:color w:val="auto"/>
                <w:sz w:val="24"/>
                <w:szCs w:val="24"/>
                <w:highlight w:val="none"/>
              </w:rPr>
              <w:t>施工工地周边设置施工围挡、篷布遮盖等措施可有效减少扬尘的影响范围，其影响范围可控制在项目施工区域内；</w:t>
            </w:r>
          </w:p>
          <w:p>
            <w:pPr>
              <w:pStyle w:val="15"/>
              <w:ind w:firstLine="420"/>
              <w:rPr>
                <w:color w:val="auto"/>
                <w:sz w:val="24"/>
                <w:szCs w:val="24"/>
                <w:highlight w:val="none"/>
              </w:rPr>
            </w:pPr>
            <w:r>
              <w:rPr>
                <w:rFonts w:hint="eastAsia" w:ascii="宋体" w:hAnsi="宋体"/>
                <w:color w:val="auto"/>
                <w:sz w:val="24"/>
                <w:szCs w:val="24"/>
                <w:highlight w:val="none"/>
              </w:rPr>
              <w:t>④</w:t>
            </w:r>
            <w:r>
              <w:rPr>
                <w:rFonts w:hint="eastAsia"/>
                <w:color w:val="auto"/>
                <w:sz w:val="24"/>
                <w:szCs w:val="24"/>
                <w:highlight w:val="none"/>
              </w:rPr>
              <w:t>控制施工作业面，在合理安排施工进程情况下，尽可能减少大面积施工，以减少扬尘产生量；</w:t>
            </w:r>
          </w:p>
          <w:p>
            <w:pPr>
              <w:pStyle w:val="15"/>
              <w:ind w:firstLine="420"/>
              <w:rPr>
                <w:rFonts w:hint="eastAsia"/>
                <w:color w:val="auto"/>
                <w:sz w:val="24"/>
                <w:szCs w:val="24"/>
                <w:highlight w:val="none"/>
              </w:rPr>
            </w:pPr>
            <w:r>
              <w:rPr>
                <w:rFonts w:hint="eastAsia" w:ascii="宋体" w:hAnsi="宋体"/>
                <w:color w:val="auto"/>
                <w:sz w:val="24"/>
                <w:szCs w:val="24"/>
                <w:highlight w:val="none"/>
              </w:rPr>
              <w:t>⑤</w:t>
            </w:r>
            <w:r>
              <w:rPr>
                <w:rFonts w:hint="eastAsia"/>
                <w:color w:val="auto"/>
                <w:sz w:val="24"/>
                <w:szCs w:val="24"/>
                <w:highlight w:val="none"/>
              </w:rPr>
              <w:t>合理安排施工工序、施工进度，尽量避免在大风气象条件下施工，</w:t>
            </w:r>
            <w:r>
              <w:rPr>
                <w:color w:val="auto"/>
                <w:sz w:val="24"/>
                <w:szCs w:val="24"/>
                <w:highlight w:val="none"/>
              </w:rPr>
              <w:t>当</w:t>
            </w:r>
            <w:r>
              <w:rPr>
                <w:rFonts w:hint="eastAsia"/>
                <w:color w:val="auto"/>
                <w:sz w:val="24"/>
                <w:szCs w:val="24"/>
                <w:highlight w:val="none"/>
              </w:rPr>
              <w:t>风速</w:t>
            </w:r>
            <w:r>
              <w:rPr>
                <w:color w:val="auto"/>
                <w:sz w:val="24"/>
                <w:szCs w:val="24"/>
                <w:highlight w:val="none"/>
              </w:rPr>
              <w:t>过大时</w:t>
            </w:r>
            <w:r>
              <w:rPr>
                <w:rFonts w:hint="eastAsia"/>
                <w:color w:val="auto"/>
                <w:sz w:val="24"/>
                <w:szCs w:val="24"/>
                <w:highlight w:val="none"/>
              </w:rPr>
              <w:t>，</w:t>
            </w:r>
            <w:r>
              <w:rPr>
                <w:color w:val="auto"/>
                <w:sz w:val="24"/>
                <w:szCs w:val="24"/>
                <w:highlight w:val="none"/>
              </w:rPr>
              <w:t>应停止作业，并对堆存的砂石料等建筑材料采取遮盖措施；</w:t>
            </w:r>
          </w:p>
          <w:p>
            <w:pPr>
              <w:pStyle w:val="15"/>
              <w:ind w:firstLine="420"/>
              <w:rPr>
                <w:rFonts w:hint="eastAsia"/>
                <w:color w:val="auto"/>
                <w:sz w:val="24"/>
                <w:szCs w:val="24"/>
                <w:highlight w:val="none"/>
              </w:rPr>
            </w:pPr>
            <w:r>
              <w:rPr>
                <w:rFonts w:hint="eastAsia" w:ascii="宋体" w:hAnsi="宋体"/>
                <w:color w:val="auto"/>
                <w:sz w:val="24"/>
                <w:szCs w:val="24"/>
                <w:highlight w:val="none"/>
              </w:rPr>
              <w:t>⑥</w:t>
            </w:r>
            <w:r>
              <w:rPr>
                <w:rFonts w:hint="eastAsia"/>
                <w:color w:val="auto"/>
                <w:sz w:val="24"/>
                <w:szCs w:val="24"/>
                <w:highlight w:val="none"/>
              </w:rPr>
              <w:t>运输车辆应完好，不应装载过满，并尽量采取遮盖、密闭措施，减少沿途抛洒，并及时清扫散落在地面上的泥土和建筑材料，冲洗轮胎，定时洒水</w:t>
            </w:r>
            <w:r>
              <w:rPr>
                <w:color w:val="auto"/>
                <w:sz w:val="24"/>
                <w:szCs w:val="24"/>
                <w:highlight w:val="none"/>
              </w:rPr>
              <w:t>抑尘</w:t>
            </w:r>
            <w:r>
              <w:rPr>
                <w:rFonts w:hint="eastAsia"/>
                <w:color w:val="auto"/>
                <w:sz w:val="24"/>
                <w:szCs w:val="24"/>
                <w:highlight w:val="none"/>
              </w:rPr>
              <w:t>，以减少运输过程中</w:t>
            </w:r>
            <w:r>
              <w:rPr>
                <w:color w:val="auto"/>
                <w:sz w:val="24"/>
                <w:szCs w:val="24"/>
                <w:highlight w:val="none"/>
              </w:rPr>
              <w:t>产生的</w:t>
            </w:r>
            <w:r>
              <w:rPr>
                <w:rFonts w:hint="eastAsia"/>
                <w:color w:val="auto"/>
                <w:sz w:val="24"/>
                <w:szCs w:val="24"/>
                <w:highlight w:val="none"/>
              </w:rPr>
              <w:t>扬尘。</w:t>
            </w:r>
          </w:p>
          <w:p>
            <w:pPr>
              <w:pStyle w:val="15"/>
              <w:ind w:firstLine="420"/>
              <w:rPr>
                <w:color w:val="auto"/>
                <w:sz w:val="24"/>
                <w:szCs w:val="24"/>
                <w:highlight w:val="none"/>
              </w:rPr>
            </w:pPr>
            <w:r>
              <w:rPr>
                <w:rFonts w:hint="eastAsia"/>
                <w:color w:val="auto"/>
                <w:sz w:val="24"/>
                <w:szCs w:val="24"/>
                <w:highlight w:val="none"/>
              </w:rPr>
              <w:t>施工粉尘的污染程度与风速、大面积开挖造成地表裸露、粉尘粒径、粉尘含湿量等因素有关，其中风速对粉尘的污染影响最大，风速增大，产生的含尘量呈正比或级数增加，粉尘污染范围也相应扩大。大风情况下，施工引起的扬尘飘移较远。通过设置围栏、定期洒水降尘等措施减小施工扬尘对周边空气环境影响。</w:t>
            </w:r>
          </w:p>
          <w:p>
            <w:pPr>
              <w:pStyle w:val="15"/>
              <w:ind w:firstLine="420"/>
              <w:rPr>
                <w:color w:val="auto"/>
                <w:sz w:val="24"/>
                <w:szCs w:val="24"/>
                <w:highlight w:val="none"/>
              </w:rPr>
            </w:pPr>
            <w:r>
              <w:rPr>
                <w:rFonts w:hint="eastAsia"/>
                <w:color w:val="auto"/>
                <w:sz w:val="24"/>
                <w:szCs w:val="24"/>
                <w:highlight w:val="none"/>
              </w:rPr>
              <w:t>综上，评价认为采取施工期废气污染防治措施技术可行、经济合理，在落实上述措施后对区域环境空气影响较小，措施可行。</w:t>
            </w:r>
          </w:p>
          <w:p>
            <w:pPr>
              <w:pStyle w:val="15"/>
              <w:ind w:firstLine="420"/>
              <w:rPr>
                <w:rFonts w:hint="eastAsia"/>
                <w:color w:val="auto"/>
                <w:sz w:val="24"/>
                <w:szCs w:val="24"/>
                <w:highlight w:val="none"/>
              </w:rPr>
            </w:pPr>
            <w:r>
              <w:rPr>
                <w:rFonts w:hint="eastAsia"/>
                <w:color w:val="auto"/>
                <w:sz w:val="24"/>
                <w:szCs w:val="24"/>
                <w:highlight w:val="none"/>
              </w:rPr>
              <w:t>（2）</w:t>
            </w:r>
            <w:r>
              <w:rPr>
                <w:color w:val="auto"/>
                <w:sz w:val="24"/>
                <w:szCs w:val="24"/>
                <w:highlight w:val="none"/>
              </w:rPr>
              <w:t>施工</w:t>
            </w:r>
            <w:r>
              <w:rPr>
                <w:rFonts w:hint="eastAsia"/>
                <w:color w:val="auto"/>
                <w:sz w:val="24"/>
                <w:szCs w:val="24"/>
                <w:highlight w:val="none"/>
              </w:rPr>
              <w:t>机械</w:t>
            </w:r>
            <w:r>
              <w:rPr>
                <w:color w:val="auto"/>
                <w:sz w:val="24"/>
                <w:szCs w:val="24"/>
                <w:highlight w:val="none"/>
              </w:rPr>
              <w:t>尾气</w:t>
            </w:r>
          </w:p>
          <w:p>
            <w:pPr>
              <w:pStyle w:val="15"/>
              <w:ind w:firstLine="420"/>
              <w:rPr>
                <w:rFonts w:hint="eastAsia"/>
                <w:color w:val="auto"/>
                <w:sz w:val="24"/>
                <w:szCs w:val="24"/>
                <w:highlight w:val="none"/>
              </w:rPr>
            </w:pPr>
            <w:r>
              <w:rPr>
                <w:rFonts w:hint="eastAsia"/>
                <w:color w:val="auto"/>
                <w:sz w:val="24"/>
                <w:szCs w:val="24"/>
                <w:highlight w:val="none"/>
              </w:rPr>
              <w:t>项目施工机械尾气主要来自施工机械和运输土方等原材料的汽车，其主要成分为CO、NOx，以及未完全燃烧的THC等，其特点是排放量小，属间断性无组织排放。由于拟建项目所在地较为开阔，空气流通较好，车辆排放的尾气能够较快地扩散，对当地的大气</w:t>
            </w:r>
            <w:r>
              <w:rPr>
                <w:color w:val="auto"/>
                <w:sz w:val="24"/>
                <w:szCs w:val="24"/>
                <w:highlight w:val="none"/>
              </w:rPr>
              <w:t>环境影响较小</w:t>
            </w:r>
            <w:r>
              <w:rPr>
                <w:rFonts w:hint="eastAsia"/>
                <w:color w:val="auto"/>
                <w:sz w:val="24"/>
                <w:szCs w:val="24"/>
                <w:highlight w:val="none"/>
              </w:rPr>
              <w:t>，但项目建设过程中仍应采取控制措施，加强施工机械的维护，使环境空气质量受到的影响降至最低。</w:t>
            </w:r>
          </w:p>
          <w:p>
            <w:pPr>
              <w:pStyle w:val="15"/>
              <w:ind w:firstLine="420"/>
              <w:rPr>
                <w:rFonts w:hint="eastAsia"/>
                <w:color w:val="auto"/>
                <w:sz w:val="24"/>
                <w:szCs w:val="24"/>
                <w:highlight w:val="none"/>
              </w:rPr>
            </w:pPr>
            <w:r>
              <w:rPr>
                <w:rFonts w:hint="eastAsia"/>
                <w:color w:val="auto"/>
                <w:sz w:val="24"/>
                <w:szCs w:val="24"/>
                <w:highlight w:val="none"/>
              </w:rPr>
              <w:t>施工单位应尽量选用低能耗、低污染排放的施工运输车辆，对于尾气排放超标的车辆，应安装尾气净化装置；施工单位须使用污染物排放符合国家标准的运输车和施工机械设备，定期对车辆设备进行维护保养，使其始终处于良好的工作状态，严禁使用报废车辆。</w:t>
            </w:r>
          </w:p>
          <w:p>
            <w:pPr>
              <w:pStyle w:val="15"/>
              <w:ind w:firstLine="420"/>
              <w:rPr>
                <w:rFonts w:hint="eastAsia"/>
                <w:color w:val="auto"/>
                <w:sz w:val="24"/>
                <w:szCs w:val="24"/>
                <w:highlight w:val="none"/>
              </w:rPr>
            </w:pPr>
            <w:r>
              <w:rPr>
                <w:rFonts w:hint="eastAsia"/>
                <w:color w:val="auto"/>
                <w:sz w:val="24"/>
                <w:szCs w:val="24"/>
                <w:highlight w:val="none"/>
              </w:rPr>
              <w:t>通过采取以上措施，可最大限度的降低施工期扬尘、尾气对施工沿线敏感点</w:t>
            </w:r>
            <w:r>
              <w:rPr>
                <w:color w:val="auto"/>
                <w:sz w:val="24"/>
                <w:szCs w:val="24"/>
                <w:highlight w:val="none"/>
              </w:rPr>
              <w:t>及周边居民的影响</w:t>
            </w:r>
            <w:r>
              <w:rPr>
                <w:rFonts w:hint="eastAsia"/>
                <w:color w:val="auto"/>
                <w:sz w:val="24"/>
                <w:szCs w:val="24"/>
                <w:highlight w:val="none"/>
              </w:rPr>
              <w:t>。</w:t>
            </w:r>
            <w:r>
              <w:rPr>
                <w:color w:val="auto"/>
                <w:sz w:val="24"/>
                <w:szCs w:val="24"/>
                <w:highlight w:val="none"/>
              </w:rPr>
              <w:t>施工</w:t>
            </w:r>
            <w:r>
              <w:rPr>
                <w:rFonts w:hint="eastAsia"/>
                <w:color w:val="auto"/>
                <w:sz w:val="24"/>
                <w:szCs w:val="24"/>
                <w:highlight w:val="none"/>
              </w:rPr>
              <w:t>扬尘</w:t>
            </w:r>
            <w:r>
              <w:rPr>
                <w:color w:val="auto"/>
                <w:sz w:val="24"/>
                <w:szCs w:val="24"/>
                <w:highlight w:val="none"/>
              </w:rPr>
              <w:t>和</w:t>
            </w:r>
            <w:r>
              <w:rPr>
                <w:rFonts w:hint="eastAsia"/>
                <w:color w:val="auto"/>
                <w:sz w:val="24"/>
                <w:szCs w:val="24"/>
                <w:highlight w:val="none"/>
              </w:rPr>
              <w:t>机械</w:t>
            </w:r>
            <w:r>
              <w:rPr>
                <w:color w:val="auto"/>
                <w:sz w:val="24"/>
                <w:szCs w:val="24"/>
                <w:highlight w:val="none"/>
              </w:rPr>
              <w:t>尾气随着施工期的结束而自然</w:t>
            </w:r>
            <w:r>
              <w:rPr>
                <w:rFonts w:hint="eastAsia"/>
                <w:color w:val="auto"/>
                <w:sz w:val="24"/>
                <w:szCs w:val="24"/>
                <w:highlight w:val="none"/>
              </w:rPr>
              <w:t>消失</w:t>
            </w:r>
            <w:r>
              <w:rPr>
                <w:color w:val="auto"/>
                <w:sz w:val="24"/>
                <w:szCs w:val="24"/>
                <w:highlight w:val="none"/>
              </w:rPr>
              <w:t>，其影响也是相对短暂的。</w:t>
            </w:r>
          </w:p>
          <w:p>
            <w:pPr>
              <w:pStyle w:val="15"/>
              <w:ind w:firstLine="0" w:firstLineChars="0"/>
              <w:rPr>
                <w:color w:val="auto"/>
                <w:sz w:val="24"/>
                <w:szCs w:val="24"/>
                <w:highlight w:val="none"/>
              </w:rPr>
            </w:pPr>
            <w:r>
              <w:rPr>
                <w:rFonts w:hint="eastAsia"/>
                <w:b/>
                <w:bCs/>
                <w:color w:val="auto"/>
                <w:sz w:val="24"/>
                <w:szCs w:val="24"/>
                <w:highlight w:val="none"/>
              </w:rPr>
              <w:t>3、</w:t>
            </w:r>
            <w:r>
              <w:rPr>
                <w:rFonts w:hint="eastAsia"/>
                <w:b/>
                <w:bCs/>
                <w:color w:val="auto"/>
                <w:sz w:val="24"/>
                <w:szCs w:val="24"/>
              </w:rPr>
              <w:t>水环境</w:t>
            </w:r>
            <w:r>
              <w:rPr>
                <w:rFonts w:hint="eastAsia"/>
                <w:b/>
                <w:bCs/>
                <w:color w:val="auto"/>
                <w:sz w:val="24"/>
                <w:szCs w:val="24"/>
                <w:lang w:eastAsia="zh-CN"/>
              </w:rPr>
              <w:t>污染防治</w:t>
            </w:r>
            <w:r>
              <w:rPr>
                <w:rFonts w:hint="eastAsia"/>
                <w:b/>
                <w:bCs/>
                <w:color w:val="auto"/>
                <w:sz w:val="24"/>
                <w:szCs w:val="24"/>
              </w:rPr>
              <w:t>措施</w:t>
            </w:r>
          </w:p>
          <w:bookmarkEnd w:id="3"/>
          <w:p>
            <w:pPr>
              <w:adjustRightInd/>
              <w:spacing w:line="360" w:lineRule="auto"/>
              <w:ind w:firstLine="480" w:firstLineChars="200"/>
              <w:jc w:val="both"/>
              <w:rPr>
                <w:snapToGrid/>
                <w:color w:val="auto"/>
                <w:sz w:val="24"/>
                <w:szCs w:val="24"/>
                <w:highlight w:val="none"/>
              </w:rPr>
            </w:pPr>
            <w:r>
              <w:rPr>
                <w:rFonts w:ascii="宋体" w:hAnsi="宋体"/>
                <w:snapToGrid/>
                <w:color w:val="auto"/>
                <w:sz w:val="24"/>
                <w:szCs w:val="24"/>
                <w:highlight w:val="none"/>
              </w:rPr>
              <w:t>本项目施工期产生的废水主要为施工废水以及生活污水。</w:t>
            </w:r>
          </w:p>
          <w:p>
            <w:pPr>
              <w:adjustRightInd/>
              <w:spacing w:line="360" w:lineRule="auto"/>
              <w:ind w:firstLine="480" w:firstLineChars="200"/>
              <w:jc w:val="both"/>
              <w:rPr>
                <w:snapToGrid/>
                <w:color w:val="auto"/>
                <w:sz w:val="24"/>
                <w:szCs w:val="24"/>
                <w:highlight w:val="none"/>
              </w:rPr>
            </w:pPr>
            <w:r>
              <w:rPr>
                <w:rFonts w:ascii="宋体" w:hAnsi="宋体"/>
                <w:snapToGrid/>
                <w:color w:val="auto"/>
                <w:sz w:val="24"/>
                <w:szCs w:val="24"/>
                <w:highlight w:val="none"/>
              </w:rPr>
              <w:t>（</w:t>
            </w:r>
            <w:r>
              <w:rPr>
                <w:snapToGrid/>
                <w:color w:val="auto"/>
                <w:sz w:val="24"/>
                <w:szCs w:val="24"/>
                <w:highlight w:val="none"/>
              </w:rPr>
              <w:t>1</w:t>
            </w:r>
            <w:r>
              <w:rPr>
                <w:rFonts w:ascii="宋体" w:hAnsi="宋体"/>
                <w:snapToGrid/>
                <w:color w:val="auto"/>
                <w:sz w:val="24"/>
                <w:szCs w:val="24"/>
                <w:highlight w:val="none"/>
              </w:rPr>
              <w:t>）施工废水</w:t>
            </w:r>
          </w:p>
          <w:p>
            <w:pPr>
              <w:adjustRightInd/>
              <w:spacing w:line="360" w:lineRule="auto"/>
              <w:ind w:firstLine="480" w:firstLineChars="200"/>
              <w:jc w:val="both"/>
              <w:rPr>
                <w:color w:val="auto"/>
                <w:sz w:val="24"/>
                <w:szCs w:val="24"/>
                <w:highlight w:val="none"/>
              </w:rPr>
            </w:pPr>
            <w:r>
              <w:rPr>
                <w:rFonts w:ascii="宋体" w:hAnsi="宋体"/>
                <w:snapToGrid/>
                <w:color w:val="auto"/>
                <w:sz w:val="24"/>
                <w:szCs w:val="24"/>
                <w:highlight w:val="none"/>
              </w:rPr>
              <w:t>施工废水主要来自</w:t>
            </w:r>
            <w:r>
              <w:rPr>
                <w:rFonts w:hint="eastAsia" w:ascii="宋体" w:hAnsi="宋体"/>
                <w:snapToGrid/>
                <w:color w:val="auto"/>
                <w:sz w:val="24"/>
                <w:szCs w:val="24"/>
                <w:highlight w:val="none"/>
              </w:rPr>
              <w:t>施工</w:t>
            </w:r>
            <w:r>
              <w:rPr>
                <w:rFonts w:ascii="宋体" w:hAnsi="宋体"/>
                <w:snapToGrid/>
                <w:color w:val="auto"/>
                <w:sz w:val="24"/>
                <w:szCs w:val="24"/>
                <w:highlight w:val="none"/>
              </w:rPr>
              <w:t>机械、车辆冲洗水，</w:t>
            </w:r>
            <w:r>
              <w:rPr>
                <w:rFonts w:hint="eastAsia"/>
                <w:color w:val="auto"/>
                <w:sz w:val="24"/>
                <w:szCs w:val="24"/>
                <w:highlight w:val="none"/>
              </w:rPr>
              <w:t>主要污染因子为SS及石油类。项目施工现场出入口拟设置临时隔油沉淀池</w:t>
            </w:r>
            <w:r>
              <w:rPr>
                <w:rFonts w:ascii="宋体" w:hAnsi="宋体"/>
                <w:snapToGrid/>
                <w:color w:val="auto"/>
                <w:sz w:val="24"/>
                <w:szCs w:val="24"/>
                <w:highlight w:val="none"/>
              </w:rPr>
              <w:t>（容积视实际废水产生量而定，沉淀时间大于</w:t>
            </w:r>
            <w:r>
              <w:rPr>
                <w:snapToGrid/>
                <w:color w:val="auto"/>
                <w:sz w:val="24"/>
                <w:szCs w:val="24"/>
                <w:highlight w:val="none"/>
              </w:rPr>
              <w:t>2</w:t>
            </w:r>
            <w:r>
              <w:rPr>
                <w:rFonts w:ascii="宋体" w:hAnsi="宋体"/>
                <w:snapToGrid/>
                <w:color w:val="auto"/>
                <w:sz w:val="24"/>
                <w:szCs w:val="24"/>
                <w:highlight w:val="none"/>
              </w:rPr>
              <w:t>小时）</w:t>
            </w:r>
            <w:r>
              <w:rPr>
                <w:rFonts w:hint="eastAsia"/>
                <w:color w:val="auto"/>
                <w:sz w:val="24"/>
                <w:szCs w:val="24"/>
                <w:highlight w:val="none"/>
              </w:rPr>
              <w:t>，经经隔油沉淀池处理后，用于施工场地洒水降尘等，废水不外排，对区域地表水体影响较小。</w:t>
            </w:r>
          </w:p>
          <w:p>
            <w:pPr>
              <w:adjustRightInd/>
              <w:spacing w:line="360" w:lineRule="auto"/>
              <w:ind w:firstLine="480" w:firstLineChars="200"/>
              <w:jc w:val="both"/>
              <w:rPr>
                <w:snapToGrid/>
                <w:color w:val="auto"/>
                <w:sz w:val="24"/>
                <w:szCs w:val="24"/>
                <w:highlight w:val="none"/>
              </w:rPr>
            </w:pPr>
            <w:r>
              <w:rPr>
                <w:rFonts w:ascii="宋体" w:hAnsi="宋体"/>
                <w:snapToGrid/>
                <w:color w:val="auto"/>
                <w:sz w:val="24"/>
                <w:szCs w:val="24"/>
                <w:highlight w:val="none"/>
              </w:rPr>
              <w:t>（</w:t>
            </w:r>
            <w:r>
              <w:rPr>
                <w:snapToGrid/>
                <w:color w:val="auto"/>
                <w:sz w:val="24"/>
                <w:szCs w:val="24"/>
                <w:highlight w:val="none"/>
              </w:rPr>
              <w:t>2</w:t>
            </w:r>
            <w:r>
              <w:rPr>
                <w:rFonts w:ascii="宋体" w:hAnsi="宋体"/>
                <w:snapToGrid/>
                <w:color w:val="auto"/>
                <w:sz w:val="24"/>
                <w:szCs w:val="24"/>
                <w:highlight w:val="none"/>
              </w:rPr>
              <w:t>）生活污水</w:t>
            </w:r>
          </w:p>
          <w:p>
            <w:pPr>
              <w:pStyle w:val="15"/>
              <w:ind w:firstLine="420"/>
              <w:rPr>
                <w:rFonts w:hint="eastAsia" w:eastAsia="宋体"/>
                <w:color w:val="auto"/>
                <w:sz w:val="24"/>
                <w:szCs w:val="24"/>
                <w:highlight w:val="none"/>
                <w:lang w:eastAsia="zh-CN"/>
              </w:rPr>
            </w:pPr>
            <w:r>
              <w:rPr>
                <w:rFonts w:hint="eastAsia"/>
                <w:color w:val="auto"/>
                <w:sz w:val="24"/>
                <w:szCs w:val="24"/>
                <w:highlight w:val="none"/>
                <w:lang w:eastAsia="zh-CN"/>
              </w:rPr>
              <w:t>本项目</w:t>
            </w:r>
            <w:r>
              <w:rPr>
                <w:rFonts w:hint="eastAsia"/>
                <w:color w:val="auto"/>
                <w:sz w:val="24"/>
                <w:szCs w:val="24"/>
                <w:highlight w:val="none"/>
              </w:rPr>
              <w:t>不设置施工营地，生活</w:t>
            </w:r>
            <w:r>
              <w:rPr>
                <w:color w:val="auto"/>
                <w:sz w:val="24"/>
                <w:szCs w:val="24"/>
                <w:highlight w:val="none"/>
              </w:rPr>
              <w:t>污水依托</w:t>
            </w:r>
            <w:r>
              <w:rPr>
                <w:rFonts w:hint="eastAsia"/>
                <w:color w:val="auto"/>
                <w:sz w:val="24"/>
                <w:szCs w:val="24"/>
                <w:highlight w:val="none"/>
              </w:rPr>
              <w:t>施工人员生活污水依托周边民居既有旱厕，本项目无生活污水</w:t>
            </w:r>
            <w:r>
              <w:rPr>
                <w:rFonts w:hint="eastAsia"/>
                <w:color w:val="auto"/>
                <w:sz w:val="24"/>
                <w:szCs w:val="24"/>
                <w:highlight w:val="none"/>
                <w:lang w:eastAsia="zh-CN"/>
              </w:rPr>
              <w:t>排放。</w:t>
            </w:r>
          </w:p>
          <w:p>
            <w:pPr>
              <w:pStyle w:val="15"/>
              <w:ind w:firstLine="0" w:firstLineChars="0"/>
              <w:rPr>
                <w:color w:val="auto"/>
                <w:sz w:val="24"/>
                <w:szCs w:val="24"/>
                <w:highlight w:val="none"/>
              </w:rPr>
            </w:pPr>
            <w:r>
              <w:rPr>
                <w:rFonts w:hint="eastAsia"/>
                <w:b/>
                <w:bCs/>
                <w:color w:val="auto"/>
                <w:sz w:val="24"/>
                <w:szCs w:val="24"/>
                <w:highlight w:val="none"/>
              </w:rPr>
              <w:t>4、</w:t>
            </w:r>
            <w:r>
              <w:rPr>
                <w:rFonts w:hint="eastAsia"/>
                <w:b/>
                <w:bCs/>
                <w:color w:val="auto"/>
                <w:sz w:val="24"/>
                <w:szCs w:val="24"/>
              </w:rPr>
              <w:t>声环境</w:t>
            </w:r>
            <w:r>
              <w:rPr>
                <w:rFonts w:hint="eastAsia"/>
                <w:b/>
                <w:bCs/>
                <w:color w:val="auto"/>
                <w:sz w:val="24"/>
                <w:szCs w:val="24"/>
                <w:lang w:eastAsia="zh-CN"/>
              </w:rPr>
              <w:t>防治</w:t>
            </w:r>
            <w:r>
              <w:rPr>
                <w:rFonts w:hint="eastAsia"/>
                <w:b/>
                <w:bCs/>
                <w:color w:val="auto"/>
                <w:sz w:val="24"/>
                <w:szCs w:val="24"/>
              </w:rPr>
              <w:t>措施</w:t>
            </w:r>
          </w:p>
          <w:p>
            <w:pPr>
              <w:pStyle w:val="15"/>
              <w:ind w:left="0" w:leftChars="0" w:firstLine="480" w:firstLineChars="200"/>
              <w:rPr>
                <w:rFonts w:hint="eastAsia" w:eastAsia="宋体"/>
                <w:color w:val="auto"/>
                <w:sz w:val="24"/>
                <w:szCs w:val="24"/>
                <w:highlight w:val="none"/>
                <w:lang w:eastAsia="zh-CN"/>
              </w:rPr>
            </w:pPr>
            <w:bookmarkStart w:id="4" w:name="_Hlk112400489"/>
            <w:r>
              <w:rPr>
                <w:rFonts w:hint="eastAsia"/>
                <w:color w:val="auto"/>
                <w:sz w:val="24"/>
                <w:szCs w:val="24"/>
                <w:highlight w:val="none"/>
              </w:rPr>
              <w:t>项目施工期间，不同施工阶段使用不同的施工机械设备，因而产生不同施工阶段噪声。根据本项目的施工特点，主要产噪施工机械有挖掘机、推土机和装载机及运输车辆等。根据项目施工特点，项目通过采用低噪声机械设备、合理安排施工计划和时间以及距离防护和隔声等措施减少施工噪声对区域声环境的影响，结合施工进展，具体采取如下防治措施</w:t>
            </w:r>
            <w:r>
              <w:rPr>
                <w:rFonts w:hint="eastAsia"/>
                <w:color w:val="auto"/>
                <w:sz w:val="24"/>
                <w:szCs w:val="24"/>
                <w:highlight w:val="none"/>
                <w:lang w:eastAsia="zh-CN"/>
              </w:rPr>
              <w:t>：</w:t>
            </w:r>
          </w:p>
          <w:p>
            <w:pPr>
              <w:pStyle w:val="15"/>
              <w:spacing w:line="360" w:lineRule="auto"/>
              <w:ind w:firstLine="420"/>
              <w:rPr>
                <w:rFonts w:hint="eastAsia" w:eastAsia="宋体"/>
                <w:color w:val="auto"/>
                <w:sz w:val="24"/>
                <w:szCs w:val="24"/>
                <w:highlight w:val="none"/>
                <w:lang w:eastAsia="zh-CN"/>
              </w:rPr>
            </w:pPr>
            <w:r>
              <w:rPr>
                <w:rFonts w:hint="eastAsia"/>
                <w:color w:val="auto"/>
                <w:sz w:val="24"/>
                <w:szCs w:val="24"/>
                <w:highlight w:val="none"/>
              </w:rPr>
              <w:t>①要求施工期使用的主要机械设备为低噪声机械设备，并在施工中有专人对其进行保养维护，施工单位应对现场使用设备的人员进行培训，严格按操作规范使用各类机械</w:t>
            </w:r>
            <w:r>
              <w:rPr>
                <w:rFonts w:hint="eastAsia"/>
                <w:color w:val="auto"/>
                <w:sz w:val="24"/>
                <w:szCs w:val="24"/>
                <w:highlight w:val="none"/>
                <w:lang w:eastAsia="zh-CN"/>
              </w:rPr>
              <w:t>设备；</w:t>
            </w:r>
          </w:p>
          <w:p>
            <w:pPr>
              <w:pStyle w:val="15"/>
              <w:spacing w:line="360" w:lineRule="auto"/>
              <w:ind w:firstLine="420"/>
              <w:rPr>
                <w:rFonts w:hint="eastAsia" w:eastAsia="宋体"/>
                <w:color w:val="auto"/>
                <w:sz w:val="24"/>
                <w:szCs w:val="24"/>
                <w:highlight w:val="none"/>
                <w:lang w:eastAsia="zh-CN"/>
              </w:rPr>
            </w:pPr>
            <w:r>
              <w:rPr>
                <w:rFonts w:hint="eastAsia"/>
                <w:color w:val="auto"/>
                <w:sz w:val="24"/>
                <w:szCs w:val="24"/>
                <w:highlight w:val="none"/>
              </w:rPr>
              <w:t>②尽可能利用距离衰减措施，在不影响施工情况下将强噪声设备移至距离居民点相对较远的地方</w:t>
            </w:r>
            <w:r>
              <w:rPr>
                <w:rFonts w:hint="eastAsia"/>
                <w:color w:val="auto"/>
                <w:sz w:val="24"/>
                <w:szCs w:val="24"/>
                <w:highlight w:val="none"/>
                <w:lang w:eastAsia="zh-CN"/>
              </w:rPr>
              <w:t>；</w:t>
            </w:r>
          </w:p>
          <w:p>
            <w:pPr>
              <w:pStyle w:val="15"/>
              <w:keepNext w:val="0"/>
              <w:keepLines w:val="0"/>
              <w:pageBreakBefore w:val="0"/>
              <w:widowControl w:val="0"/>
              <w:kinsoku/>
              <w:wordWrap/>
              <w:overflowPunct/>
              <w:topLinePunct w:val="0"/>
              <w:bidi w:val="0"/>
              <w:spacing w:line="360" w:lineRule="auto"/>
              <w:ind w:firstLine="420"/>
              <w:textAlignment w:val="auto"/>
              <w:rPr>
                <w:rFonts w:hint="eastAsia" w:ascii="Times New Roman" w:hAnsi="Times New Roman" w:eastAsia="宋体" w:cs="Times New Roman"/>
                <w:color w:val="auto"/>
                <w:spacing w:val="0"/>
                <w:w w:val="100"/>
                <w:position w:val="0"/>
                <w:sz w:val="24"/>
                <w:szCs w:val="24"/>
                <w:highlight w:val="none"/>
                <w:lang w:eastAsia="zh-CN"/>
              </w:rPr>
            </w:pPr>
            <w:r>
              <w:rPr>
                <w:rFonts w:hint="default" w:ascii="Times New Roman" w:hAnsi="Times New Roman" w:eastAsia="宋体" w:cs="Times New Roman"/>
                <w:color w:val="auto"/>
                <w:spacing w:val="0"/>
                <w:w w:val="100"/>
                <w:position w:val="0"/>
                <w:sz w:val="24"/>
                <w:szCs w:val="24"/>
                <w:highlight w:val="none"/>
              </w:rPr>
              <w:t>③夜间禁止大型机械施工，禁止在施工区鸣笛，干扰附近居民休息。合理安排施工时间，在居民集中的施工段，在人们睡眠休息时间午间12：00～14：00和夜间22：00～6：00 停止高噪声机械施工，车辆经过居民区和噪声敏感点附近时应控制车速不超过20km/h，禁止鸣笛</w:t>
            </w:r>
            <w:r>
              <w:rPr>
                <w:rFonts w:hint="eastAsia" w:ascii="Times New Roman" w:hAnsi="Times New Roman" w:eastAsia="宋体" w:cs="Times New Roman"/>
                <w:color w:val="auto"/>
                <w:spacing w:val="0"/>
                <w:w w:val="100"/>
                <w:position w:val="0"/>
                <w:sz w:val="24"/>
                <w:szCs w:val="24"/>
                <w:highlight w:val="none"/>
                <w:lang w:eastAsia="zh-CN"/>
              </w:rPr>
              <w:t>；</w:t>
            </w:r>
          </w:p>
          <w:p>
            <w:pPr>
              <w:pStyle w:val="9"/>
              <w:keepNext w:val="0"/>
              <w:keepLines w:val="0"/>
              <w:pageBreakBefore w:val="0"/>
              <w:widowControl w:val="0"/>
              <w:numPr>
                <w:ilvl w:val="0"/>
                <w:numId w:val="0"/>
              </w:numPr>
              <w:tabs>
                <w:tab w:val="left" w:pos="2044"/>
              </w:tabs>
              <w:kinsoku/>
              <w:wordWrap/>
              <w:overflowPunct/>
              <w:topLinePunct w:val="0"/>
              <w:autoSpaceDE w:val="0"/>
              <w:autoSpaceDN w:val="0"/>
              <w:bidi w:val="0"/>
              <w:adjustRightInd/>
              <w:snapToGrid/>
              <w:spacing w:line="360" w:lineRule="auto"/>
              <w:ind w:leftChars="0" w:right="0" w:rightChars="0" w:firstLine="480" w:firstLineChars="200"/>
              <w:jc w:val="left"/>
              <w:textAlignment w:val="auto"/>
              <w:rPr>
                <w:rFonts w:hint="default" w:ascii="Times New Roman" w:hAnsi="Times New Roman" w:eastAsia="宋体" w:cs="Times New Roman"/>
                <w:color w:val="auto"/>
                <w:spacing w:val="0"/>
                <w:w w:val="100"/>
                <w:position w:val="0"/>
                <w:sz w:val="24"/>
                <w:szCs w:val="24"/>
                <w:highlight w:val="none"/>
              </w:rPr>
            </w:pPr>
            <w:r>
              <w:rPr>
                <w:rFonts w:hint="eastAsia" w:ascii="Times New Roman" w:hAnsi="Times New Roman" w:eastAsia="宋体" w:cs="Times New Roman"/>
                <w:color w:val="auto"/>
                <w:spacing w:val="0"/>
                <w:w w:val="100"/>
                <w:position w:val="0"/>
                <w:sz w:val="24"/>
                <w:szCs w:val="24"/>
                <w:highlight w:val="none"/>
                <w:lang w:eastAsia="zh-CN"/>
              </w:rPr>
              <w:t>④</w:t>
            </w:r>
            <w:r>
              <w:rPr>
                <w:rFonts w:hint="eastAsia"/>
                <w:color w:val="auto"/>
                <w:sz w:val="24"/>
                <w:szCs w:val="24"/>
                <w:highlight w:val="none"/>
              </w:rPr>
              <w:t>建设工程应当实行封闭施工管理，现场周边设置围档；</w:t>
            </w:r>
          </w:p>
          <w:p>
            <w:pPr>
              <w:pStyle w:val="15"/>
              <w:spacing w:line="360" w:lineRule="auto"/>
              <w:ind w:firstLine="420"/>
              <w:rPr>
                <w:rFonts w:hint="eastAsia" w:eastAsia="宋体"/>
                <w:color w:val="auto"/>
                <w:sz w:val="24"/>
                <w:szCs w:val="24"/>
                <w:highlight w:val="none"/>
                <w:lang w:eastAsia="zh-CN"/>
              </w:rPr>
            </w:pPr>
            <w:r>
              <w:rPr>
                <w:rFonts w:hint="eastAsia" w:ascii="宋体" w:hAnsi="宋体" w:eastAsia="宋体" w:cs="宋体"/>
                <w:color w:val="auto"/>
                <w:sz w:val="24"/>
                <w:szCs w:val="24"/>
                <w:highlight w:val="none"/>
              </w:rPr>
              <w:t>⑤</w:t>
            </w:r>
            <w:r>
              <w:rPr>
                <w:rFonts w:hint="eastAsia"/>
                <w:color w:val="auto"/>
                <w:sz w:val="24"/>
                <w:szCs w:val="24"/>
                <w:highlight w:val="none"/>
              </w:rPr>
              <w:t>加强对施工人员的环境宣传和教育，使他们认真落实各项降噪措施，做到文明施工</w:t>
            </w:r>
            <w:r>
              <w:rPr>
                <w:rFonts w:hint="eastAsia"/>
                <w:color w:val="auto"/>
                <w:sz w:val="24"/>
                <w:szCs w:val="24"/>
                <w:highlight w:val="none"/>
                <w:lang w:eastAsia="zh-CN"/>
              </w:rPr>
              <w:t>。</w:t>
            </w:r>
          </w:p>
          <w:p>
            <w:pPr>
              <w:pStyle w:val="15"/>
              <w:spacing w:line="360" w:lineRule="auto"/>
              <w:ind w:firstLine="420"/>
              <w:rPr>
                <w:color w:val="auto"/>
                <w:sz w:val="24"/>
                <w:szCs w:val="24"/>
                <w:highlight w:val="none"/>
              </w:rPr>
            </w:pPr>
            <w:r>
              <w:rPr>
                <w:rFonts w:hint="eastAsia"/>
                <w:color w:val="auto"/>
                <w:sz w:val="24"/>
                <w:szCs w:val="24"/>
                <w:highlight w:val="none"/>
              </w:rPr>
              <w:t>通过采取上述措施，将项目施工期施工机械噪声对周围环境的影响降至最低。随着项目施工结束，施工噪声污染将随之消失，在严格执行上述措施的前提下，项目施工噪声对周边环境产生的影响</w:t>
            </w:r>
            <w:r>
              <w:rPr>
                <w:rFonts w:hint="eastAsia"/>
                <w:color w:val="auto"/>
                <w:sz w:val="24"/>
                <w:szCs w:val="24"/>
                <w:highlight w:val="none"/>
                <w:lang w:eastAsia="zh-CN"/>
              </w:rPr>
              <w:t>较小</w:t>
            </w:r>
            <w:r>
              <w:rPr>
                <w:rFonts w:hint="eastAsia"/>
                <w:color w:val="auto"/>
                <w:sz w:val="24"/>
                <w:szCs w:val="24"/>
                <w:highlight w:val="none"/>
              </w:rPr>
              <w:t>。</w:t>
            </w:r>
          </w:p>
          <w:bookmarkEnd w:id="4"/>
          <w:p>
            <w:pPr>
              <w:pStyle w:val="15"/>
              <w:spacing w:line="360" w:lineRule="auto"/>
              <w:ind w:firstLine="0" w:firstLineChars="0"/>
              <w:rPr>
                <w:color w:val="auto"/>
                <w:sz w:val="24"/>
                <w:szCs w:val="24"/>
                <w:highlight w:val="none"/>
              </w:rPr>
            </w:pPr>
            <w:r>
              <w:rPr>
                <w:rFonts w:hint="eastAsia"/>
                <w:b/>
                <w:bCs/>
                <w:color w:val="auto"/>
                <w:sz w:val="24"/>
                <w:szCs w:val="24"/>
                <w:highlight w:val="none"/>
              </w:rPr>
              <w:t>5、固体废物保护措施</w:t>
            </w:r>
          </w:p>
          <w:p>
            <w:pPr>
              <w:adjustRightInd/>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snapToGrid/>
                <w:color w:val="auto"/>
                <w:kern w:val="2"/>
                <w:sz w:val="24"/>
                <w:szCs w:val="24"/>
                <w:highlight w:val="none"/>
              </w:rPr>
              <w:t>根据本项目土石方平衡表可知，本项目开挖土方全部回填，挖填平衡，无弃土产生。</w:t>
            </w:r>
            <w:r>
              <w:rPr>
                <w:rFonts w:hint="default" w:ascii="Times New Roman" w:hAnsi="Times New Roman" w:cs="Times New Roman"/>
                <w:snapToGrid/>
                <w:color w:val="auto"/>
                <w:kern w:val="2"/>
                <w:sz w:val="24"/>
                <w:szCs w:val="24"/>
                <w:highlight w:val="none"/>
                <w:lang w:eastAsia="zh-CN"/>
              </w:rPr>
              <w:t>因此</w:t>
            </w:r>
            <w:r>
              <w:rPr>
                <w:rFonts w:hint="default" w:ascii="Times New Roman" w:hAnsi="Times New Roman" w:cs="Times New Roman"/>
                <w:color w:val="auto"/>
                <w:sz w:val="24"/>
                <w:szCs w:val="24"/>
                <w:highlight w:val="none"/>
              </w:rPr>
              <w:t>施工期</w:t>
            </w:r>
            <w:r>
              <w:rPr>
                <w:rFonts w:hint="default" w:ascii="Times New Roman" w:hAnsi="Times New Roman" w:cs="Times New Roman"/>
                <w:color w:val="auto"/>
                <w:sz w:val="24"/>
                <w:szCs w:val="24"/>
                <w:highlight w:val="none"/>
                <w:lang w:eastAsia="zh-CN"/>
              </w:rPr>
              <w:t>产生</w:t>
            </w:r>
            <w:r>
              <w:rPr>
                <w:rFonts w:hint="default" w:ascii="Times New Roman" w:hAnsi="Times New Roman" w:cs="Times New Roman"/>
                <w:color w:val="auto"/>
                <w:sz w:val="24"/>
                <w:szCs w:val="24"/>
                <w:highlight w:val="none"/>
              </w:rPr>
              <w:t>的固体废物主要为建筑垃圾和生活垃圾。</w:t>
            </w:r>
          </w:p>
          <w:p>
            <w:pPr>
              <w:pStyle w:val="2"/>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left"/>
              <w:textAlignment w:val="auto"/>
              <w:rPr>
                <w:rFonts w:hint="eastAsia"/>
                <w:lang w:val="en-US" w:eastAsia="zh-CN"/>
              </w:rPr>
            </w:pPr>
            <w:r>
              <w:rPr>
                <w:rFonts w:hint="default" w:ascii="Times New Roman" w:hAnsi="Times New Roman" w:cs="Times New Roman"/>
                <w:color w:val="auto"/>
                <w:sz w:val="24"/>
                <w:szCs w:val="24"/>
                <w:highlight w:val="none"/>
              </w:rPr>
              <w:t>建筑垃圾主要来源于废弃建筑物拆除工程，</w:t>
            </w:r>
            <w:r>
              <w:rPr>
                <w:rFonts w:hint="default" w:ascii="Times New Roman" w:hAnsi="Times New Roman" w:cs="Times New Roman"/>
                <w:color w:val="auto"/>
                <w:sz w:val="24"/>
                <w:szCs w:val="24"/>
                <w:highlight w:val="none"/>
                <w:lang w:eastAsia="zh-CN"/>
              </w:rPr>
              <w:t>拆除建筑垃圾量</w:t>
            </w:r>
            <w:r>
              <w:rPr>
                <w:rFonts w:hint="eastAsia" w:ascii="Times New Roman" w:hAnsi="Times New Roman" w:cs="Times New Roman"/>
                <w:color w:val="auto"/>
                <w:sz w:val="24"/>
                <w:szCs w:val="24"/>
                <w:highlight w:val="none"/>
                <w:lang w:eastAsia="zh-CN"/>
              </w:rPr>
              <w:t>148.45</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，拆除垃圾用挖机装自卸汽车运输，运输至政府指定</w:t>
            </w:r>
            <w:r>
              <w:rPr>
                <w:rFonts w:hint="default" w:ascii="Times New Roman" w:hAnsi="Times New Roman" w:cs="Times New Roman"/>
                <w:color w:val="auto"/>
                <w:sz w:val="24"/>
                <w:szCs w:val="24"/>
                <w:highlight w:val="none"/>
                <w:lang w:eastAsia="zh-CN"/>
              </w:rPr>
              <w:t>的建筑垃圾</w:t>
            </w:r>
            <w:r>
              <w:rPr>
                <w:rFonts w:hint="default" w:ascii="Times New Roman" w:hAnsi="Times New Roman" w:cs="Times New Roman"/>
                <w:color w:val="auto"/>
                <w:sz w:val="24"/>
                <w:szCs w:val="24"/>
                <w:highlight w:val="none"/>
              </w:rPr>
              <w:t>填埋场</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pacing w:val="0"/>
                <w:w w:val="100"/>
                <w:position w:val="0"/>
                <w:sz w:val="24"/>
                <w:szCs w:val="24"/>
                <w:highlight w:val="none"/>
                <w:lang w:eastAsia="zh-CN"/>
              </w:rPr>
              <w:t>不得用于就地回填</w:t>
            </w:r>
            <w:r>
              <w:rPr>
                <w:rFonts w:hint="default" w:ascii="Times New Roman" w:hAnsi="Times New Roman" w:eastAsia="宋体" w:cs="Times New Roman"/>
                <w:color w:val="auto"/>
                <w:spacing w:val="0"/>
                <w:w w:val="100"/>
                <w:position w:val="0"/>
                <w:sz w:val="24"/>
                <w:szCs w:val="24"/>
                <w:highlight w:val="none"/>
                <w:lang w:val="en-US" w:eastAsia="zh-CN"/>
              </w:rPr>
              <w:t>。</w:t>
            </w:r>
            <w:r>
              <w:rPr>
                <w:rFonts w:hint="eastAsia"/>
                <w:color w:val="auto"/>
                <w:sz w:val="24"/>
                <w:szCs w:val="24"/>
                <w:highlight w:val="none"/>
              </w:rPr>
              <w:t>生活垃圾集中收集</w:t>
            </w:r>
            <w:r>
              <w:rPr>
                <w:rFonts w:hint="eastAsia"/>
                <w:color w:val="auto"/>
                <w:sz w:val="24"/>
                <w:szCs w:val="24"/>
                <w:highlight w:val="none"/>
                <w:lang w:eastAsia="zh-CN"/>
              </w:rPr>
              <w:t>后</w:t>
            </w:r>
            <w:r>
              <w:rPr>
                <w:rFonts w:hint="eastAsia"/>
                <w:color w:val="auto"/>
                <w:sz w:val="24"/>
                <w:szCs w:val="24"/>
                <w:highlight w:val="none"/>
              </w:rPr>
              <w:t>，由施工单位组织收集统一外运至环卫部门指定地点。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0" w:type="dxa"/>
            <w:tcBorders>
              <w:tl2br w:val="nil"/>
              <w:tr2bl w:val="nil"/>
            </w:tcBorders>
            <w:vAlign w:val="center"/>
          </w:tcPr>
          <w:p>
            <w:pPr>
              <w:jc w:val="center"/>
              <w:rPr>
                <w:color w:val="auto"/>
                <w:highlight w:val="none"/>
              </w:rPr>
            </w:pPr>
            <w:r>
              <w:rPr>
                <w:rFonts w:hint="eastAsia"/>
                <w:color w:val="auto"/>
                <w:sz w:val="24"/>
                <w:szCs w:val="24"/>
                <w:highlight w:val="none"/>
              </w:rPr>
              <w:t>运营期生态环境保护措施</w:t>
            </w:r>
          </w:p>
        </w:tc>
        <w:tc>
          <w:tcPr>
            <w:tcW w:w="7922" w:type="dxa"/>
            <w:tcBorders>
              <w:tl2br w:val="nil"/>
              <w:tr2bl w:val="nil"/>
            </w:tcBorders>
          </w:tcPr>
          <w:p>
            <w:pPr>
              <w:pStyle w:val="5"/>
              <w:bidi w:val="0"/>
              <w:rPr>
                <w:rFonts w:hint="eastAsia"/>
                <w:color w:val="auto"/>
                <w:szCs w:val="24"/>
                <w:highlight w:val="none"/>
              </w:rPr>
            </w:pPr>
            <w:r>
              <w:rPr>
                <w:rFonts w:hint="eastAsia"/>
                <w:lang w:val="en-US" w:eastAsia="zh-CN"/>
              </w:rPr>
              <w:t>1、</w:t>
            </w:r>
            <w:r>
              <w:rPr>
                <w:rFonts w:hint="eastAsia"/>
              </w:rPr>
              <w:t>运营期生态环境保护措施</w:t>
            </w:r>
          </w:p>
          <w:p>
            <w:pPr>
              <w:pStyle w:val="15"/>
              <w:ind w:left="0" w:leftChars="0" w:firstLine="480" w:firstLineChars="200"/>
              <w:rPr>
                <w:rFonts w:hint="eastAsia"/>
                <w:color w:val="auto"/>
                <w:sz w:val="24"/>
                <w:szCs w:val="24"/>
                <w:highlight w:val="none"/>
              </w:rPr>
            </w:pPr>
            <w:r>
              <w:rPr>
                <w:color w:val="auto"/>
                <w:sz w:val="24"/>
              </w:rPr>
              <w:t>本项目运营期主要为种植苗木的养护工程，无大气污染物、废水、固体废物、噪声产生。运营期生态环境影响主要表现为景观变化和营运期由于缺水、缺土等原因造成场区绿化率、水土保持率下降而造成治理区出现水土流失的情况。运营期要加强复垦地苗木、草地的养护，及时浇水，施肥、病虫害防治、补土、苗木补种，保证苗木及草地的成活率，保证场地的绿化率，认真做好养护工作将有效防止运营期水土流失的发生</w:t>
            </w:r>
            <w:r>
              <w:rPr>
                <w:rFonts w:hint="eastAsia"/>
                <w:color w:val="auto"/>
                <w:sz w:val="24"/>
                <w:lang w:eastAsia="zh-CN"/>
              </w:rPr>
              <w:t>。</w:t>
            </w:r>
            <w:r>
              <w:rPr>
                <w:rFonts w:hint="eastAsia"/>
                <w:color w:val="auto"/>
                <w:sz w:val="24"/>
                <w:szCs w:val="24"/>
              </w:rPr>
              <w:t>本项目运营期不仅对环境无不利影响，具有良好的环境正效益。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0" w:type="dxa"/>
            <w:tcBorders>
              <w:tl2br w:val="nil"/>
              <w:tr2bl w:val="nil"/>
            </w:tcBorders>
            <w:vAlign w:val="center"/>
          </w:tcPr>
          <w:p>
            <w:pPr>
              <w:jc w:val="center"/>
              <w:rPr>
                <w:highlight w:val="none"/>
              </w:rPr>
            </w:pPr>
            <w:r>
              <w:rPr>
                <w:rFonts w:hint="eastAsia"/>
                <w:highlight w:val="none"/>
              </w:rPr>
              <w:t>其他</w:t>
            </w:r>
          </w:p>
        </w:tc>
        <w:tc>
          <w:tcPr>
            <w:tcW w:w="7922" w:type="dxa"/>
            <w:tcBorders>
              <w:tl2br w:val="nil"/>
              <w:tr2bl w:val="nil"/>
            </w:tcBorders>
            <w:vAlign w:val="center"/>
          </w:tcPr>
          <w:p>
            <w:pPr>
              <w:pStyle w:val="15"/>
              <w:ind w:firstLine="420"/>
              <w:jc w:val="center"/>
              <w:rPr>
                <w:rFonts w:hint="eastAsia" w:eastAsia="宋体"/>
                <w:highlight w:val="none"/>
                <w:lang w:eastAsia="zh-CN"/>
              </w:rPr>
            </w:pPr>
            <w:r>
              <w:rPr>
                <w:rFonts w:hint="eastAsia"/>
                <w:highlight w:val="none"/>
                <w:lang w:eastAsia="zh-CN"/>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0" w:type="dxa"/>
            <w:tcBorders>
              <w:tl2br w:val="nil"/>
              <w:tr2bl w:val="nil"/>
            </w:tcBorders>
            <w:vAlign w:val="center"/>
          </w:tcPr>
          <w:p>
            <w:pPr>
              <w:rPr>
                <w:highlight w:val="yellow"/>
              </w:rPr>
            </w:pPr>
            <w:r>
              <w:rPr>
                <w:rFonts w:hint="eastAsia"/>
                <w:highlight w:val="none"/>
              </w:rPr>
              <w:t>环保投资</w:t>
            </w:r>
          </w:p>
        </w:tc>
        <w:tc>
          <w:tcPr>
            <w:tcW w:w="7922" w:type="dxa"/>
            <w:tcBorders>
              <w:tl2br w:val="nil"/>
              <w:tr2bl w:val="nil"/>
            </w:tcBorders>
            <w:vAlign w:val="center"/>
          </w:tcPr>
          <w:p>
            <w:pPr>
              <w:pStyle w:val="15"/>
              <w:ind w:firstLine="420"/>
              <w:rPr>
                <w:color w:val="auto"/>
                <w:highlight w:val="none"/>
              </w:rPr>
            </w:pPr>
            <w:r>
              <w:rPr>
                <w:rFonts w:hint="eastAsia"/>
                <w:color w:val="auto"/>
                <w:highlight w:val="none"/>
              </w:rPr>
              <w:t>本项目总投资概算</w:t>
            </w:r>
            <w:r>
              <w:rPr>
                <w:rFonts w:hint="eastAsia"/>
                <w:color w:val="auto"/>
                <w:highlight w:val="none"/>
                <w:lang w:val="en-US" w:eastAsia="zh-CN"/>
              </w:rPr>
              <w:t>3796.16</w:t>
            </w:r>
            <w:r>
              <w:rPr>
                <w:rFonts w:hint="eastAsia"/>
                <w:color w:val="auto"/>
                <w:highlight w:val="none"/>
              </w:rPr>
              <w:t>万元，其中环保投资</w:t>
            </w:r>
            <w:r>
              <w:rPr>
                <w:rFonts w:hint="eastAsia"/>
                <w:color w:val="auto"/>
                <w:highlight w:val="none"/>
                <w:lang w:val="en-US" w:eastAsia="zh-CN"/>
              </w:rPr>
              <w:t>3796.16</w:t>
            </w:r>
            <w:r>
              <w:rPr>
                <w:rFonts w:hint="eastAsia"/>
                <w:color w:val="auto"/>
                <w:highlight w:val="none"/>
              </w:rPr>
              <w:t>万元，占总投资100%</w:t>
            </w:r>
            <w:r>
              <w:rPr>
                <w:rFonts w:hint="eastAsia"/>
                <w:color w:val="auto"/>
                <w:highlight w:val="none"/>
                <w:lang w:eastAsia="zh-CN"/>
              </w:rPr>
              <w:t>，全部用于生态修复工程</w:t>
            </w:r>
            <w:r>
              <w:rPr>
                <w:rFonts w:hint="eastAsia"/>
                <w:color w:val="auto"/>
                <w:highlight w:val="none"/>
              </w:rPr>
              <w:t>。</w:t>
            </w:r>
          </w:p>
          <w:p>
            <w:pPr>
              <w:pStyle w:val="7"/>
              <w:outlineLvl w:val="6"/>
              <w:rPr>
                <w:highlight w:val="none"/>
              </w:rPr>
            </w:pPr>
            <w:r>
              <w:rPr>
                <w:rFonts w:hint="eastAsia"/>
                <w:highlight w:val="none"/>
              </w:rPr>
              <w:t>表5-</w:t>
            </w:r>
            <w:r>
              <w:rPr>
                <w:rFonts w:hint="eastAsia"/>
                <w:highlight w:val="none"/>
                <w:lang w:val="en-US" w:eastAsia="zh-CN"/>
              </w:rPr>
              <w:t>5</w:t>
            </w:r>
            <w:r>
              <w:rPr>
                <w:rFonts w:hint="eastAsia"/>
                <w:highlight w:val="none"/>
              </w:rPr>
              <w:t xml:space="preserve"> </w:t>
            </w:r>
            <w:r>
              <w:rPr>
                <w:highlight w:val="none"/>
              </w:rPr>
              <w:t>环保投资</w:t>
            </w:r>
            <w:r>
              <w:rPr>
                <w:rFonts w:hint="eastAsia"/>
                <w:highlight w:val="none"/>
              </w:rPr>
              <w:t>各项目</w:t>
            </w:r>
            <w:r>
              <w:rPr>
                <w:highlight w:val="none"/>
              </w:rPr>
              <w:t>明细</w:t>
            </w:r>
          </w:p>
          <w:tbl>
            <w:tblPr>
              <w:tblStyle w:val="24"/>
              <w:tblW w:w="7608"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99"/>
              <w:gridCol w:w="1742"/>
              <w:gridCol w:w="2473"/>
              <w:gridCol w:w="1262"/>
              <w:gridCol w:w="11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999" w:type="dxa"/>
                  <w:tcBorders>
                    <w:top w:val="single" w:color="000000" w:sz="12"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时段</w:t>
                  </w:r>
                </w:p>
              </w:tc>
              <w:tc>
                <w:tcPr>
                  <w:tcW w:w="1742" w:type="dxa"/>
                  <w:tcBorders>
                    <w:top w:val="single" w:color="000000" w:sz="12"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工作项目</w:t>
                  </w:r>
                </w:p>
              </w:tc>
              <w:tc>
                <w:tcPr>
                  <w:tcW w:w="2473" w:type="dxa"/>
                  <w:tcBorders>
                    <w:top w:val="single" w:color="000000" w:sz="12"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内容</w:t>
                  </w:r>
                </w:p>
              </w:tc>
              <w:tc>
                <w:tcPr>
                  <w:tcW w:w="1262" w:type="dxa"/>
                  <w:tcBorders>
                    <w:top w:val="single" w:color="000000" w:sz="12"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投资/万元</w:t>
                  </w:r>
                </w:p>
              </w:tc>
              <w:tc>
                <w:tcPr>
                  <w:tcW w:w="1132" w:type="dxa"/>
                  <w:tcBorders>
                    <w:top w:val="single" w:color="000000" w:sz="12"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比例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99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施工期</w:t>
                  </w:r>
                </w:p>
              </w:tc>
              <w:tc>
                <w:tcPr>
                  <w:tcW w:w="17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生态环境影响减缓措施</w:t>
                  </w: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削高填低、采坑回填、边坡坡角培土及凹陷处回填、绿化覆土</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lang w:val="en-US"/>
                    </w:rPr>
                  </w:pPr>
                  <w:r>
                    <w:rPr>
                      <w:rFonts w:hint="default" w:ascii="Times New Roman" w:hAnsi="Times New Roman" w:eastAsia="宋体" w:cs="Times New Roman"/>
                      <w:i w:val="0"/>
                      <w:iCs w:val="0"/>
                      <w:snapToGrid w:val="0"/>
                      <w:color w:val="000000"/>
                      <w:kern w:val="0"/>
                      <w:sz w:val="21"/>
                      <w:szCs w:val="21"/>
                      <w:u w:val="none"/>
                      <w:lang w:val="en-US" w:eastAsia="zh-CN" w:bidi="ar"/>
                    </w:rPr>
                    <w:t>3159.44</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83.23%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17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生态恢复工程、宣传警示工程</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lang w:val="en-US"/>
                    </w:rPr>
                  </w:pPr>
                  <w:r>
                    <w:rPr>
                      <w:rFonts w:hint="default" w:ascii="Times New Roman" w:hAnsi="Times New Roman" w:eastAsia="宋体" w:cs="Times New Roman"/>
                      <w:i w:val="0"/>
                      <w:iCs w:val="0"/>
                      <w:snapToGrid w:val="0"/>
                      <w:color w:val="000000"/>
                      <w:kern w:val="0"/>
                      <w:sz w:val="21"/>
                      <w:szCs w:val="21"/>
                      <w:u w:val="none"/>
                      <w:lang w:val="en-US" w:eastAsia="zh-CN" w:bidi="ar"/>
                    </w:rPr>
                    <w:t>402.56</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10.60%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174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大气环境影响减缓措施</w:t>
                  </w: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运输过程中篷布遮盖</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10</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174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施工现场设置围挡、洒水降尘</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20</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17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声环境影响减缓措施</w:t>
                  </w: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噪声设备保养维护、施工场地设置临时遮挡</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20</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17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固体废物影响减缓措施</w:t>
                  </w: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废弃建筑物拆除工程、生活垃圾集中收集后统一外运至指定地点。</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10</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17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环境监测</w:t>
                  </w: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噪声监测、TSP监测</w:t>
                  </w:r>
                  <w:r>
                    <w:rPr>
                      <w:rFonts w:hint="eastAsia" w:cs="Times New Roman"/>
                      <w:i w:val="0"/>
                      <w:iCs w:val="0"/>
                      <w:snapToGrid w:val="0"/>
                      <w:color w:val="000000"/>
                      <w:kern w:val="0"/>
                      <w:sz w:val="21"/>
                      <w:szCs w:val="21"/>
                      <w:highlight w:val="none"/>
                      <w:u w:val="none"/>
                      <w:lang w:val="en-US" w:eastAsia="zh-CN" w:bidi="ar"/>
                    </w:rPr>
                    <w:t>、生态监测</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30</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0.79%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42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小计</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snapToGrid w:val="0"/>
                      <w:color w:val="000000"/>
                      <w:kern w:val="0"/>
                      <w:sz w:val="21"/>
                      <w:szCs w:val="21"/>
                      <w:highlight w:val="none"/>
                      <w:u w:val="none"/>
                      <w:lang w:val="en-US" w:eastAsia="zh-CN" w:bidi="ar"/>
                    </w:rPr>
                    <w:t>3652</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96.20%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9"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运营期</w:t>
                  </w:r>
                </w:p>
              </w:tc>
              <w:tc>
                <w:tcPr>
                  <w:tcW w:w="17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营运期生态环境</w:t>
                  </w: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对人工栽植的林灌木和草地区域进行3年管护管理</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snapToGrid w:val="0"/>
                      <w:color w:val="000000"/>
                      <w:kern w:val="0"/>
                      <w:sz w:val="21"/>
                      <w:szCs w:val="21"/>
                      <w:highlight w:val="none"/>
                      <w:u w:val="none"/>
                      <w:lang w:val="en-US" w:eastAsia="zh-CN" w:bidi="ar"/>
                    </w:rPr>
                    <w:t>83.6</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2.20%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yellow"/>
                      <w:u w:val="none"/>
                    </w:rPr>
                  </w:pPr>
                </w:p>
              </w:tc>
              <w:tc>
                <w:tcPr>
                  <w:tcW w:w="174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自然恢复期环境监测</w:t>
                  </w:r>
                </w:p>
              </w:tc>
              <w:tc>
                <w:tcPr>
                  <w:tcW w:w="247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监测各区域林草措施保存率、生长情况及覆盖度</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snapToGrid w:val="0"/>
                      <w:color w:val="000000"/>
                      <w:kern w:val="0"/>
                      <w:sz w:val="21"/>
                      <w:szCs w:val="21"/>
                      <w:highlight w:val="none"/>
                      <w:u w:val="none"/>
                      <w:lang w:val="en-US" w:eastAsia="zh-CN" w:bidi="ar"/>
                    </w:rPr>
                    <w:t>60.56</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1.60%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9"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default" w:ascii="Times New Roman" w:hAnsi="Times New Roman" w:eastAsia="宋体" w:cs="Times New Roman"/>
                      <w:i w:val="0"/>
                      <w:iCs w:val="0"/>
                      <w:color w:val="000000"/>
                      <w:sz w:val="21"/>
                      <w:szCs w:val="21"/>
                      <w:highlight w:val="none"/>
                      <w:u w:val="none"/>
                    </w:rPr>
                  </w:pPr>
                </w:p>
              </w:tc>
              <w:tc>
                <w:tcPr>
                  <w:tcW w:w="421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小计</w:t>
                  </w:r>
                </w:p>
              </w:tc>
              <w:tc>
                <w:tcPr>
                  <w:tcW w:w="126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lang w:val="en-US"/>
                    </w:rPr>
                  </w:pPr>
                  <w:r>
                    <w:rPr>
                      <w:rFonts w:hint="eastAsia" w:cs="Times New Roman"/>
                      <w:i w:val="0"/>
                      <w:iCs w:val="0"/>
                      <w:snapToGrid w:val="0"/>
                      <w:color w:val="000000"/>
                      <w:kern w:val="0"/>
                      <w:sz w:val="21"/>
                      <w:szCs w:val="21"/>
                      <w:highlight w:val="none"/>
                      <w:u w:val="none"/>
                      <w:lang w:val="en-US" w:eastAsia="zh-CN" w:bidi="ar"/>
                    </w:rPr>
                    <w:t>144.16</w:t>
                  </w:r>
                </w:p>
              </w:tc>
              <w:tc>
                <w:tcPr>
                  <w:tcW w:w="1132" w:type="dxa"/>
                  <w:tcBorders>
                    <w:top w:val="single" w:color="000000" w:sz="4" w:space="0"/>
                    <w:left w:val="single" w:color="000000" w:sz="4" w:space="0"/>
                    <w:bottom w:val="single" w:color="000000" w:sz="4"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u w:val="none"/>
                      <w:lang w:val="en-US" w:eastAsia="zh-CN" w:bidi="ar"/>
                    </w:rPr>
                    <w:t>3.80%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5214" w:type="dxa"/>
                  <w:gridSpan w:val="3"/>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合计</w:t>
                  </w:r>
                </w:p>
              </w:tc>
              <w:tc>
                <w:tcPr>
                  <w:tcW w:w="1262" w:type="dxa"/>
                  <w:tcBorders>
                    <w:top w:val="single" w:color="000000" w:sz="4" w:space="0"/>
                    <w:left w:val="single" w:color="000000" w:sz="4" w:space="0"/>
                    <w:bottom w:val="single" w:color="000000" w:sz="12"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cs="Times New Roman"/>
                      <w:i w:val="0"/>
                      <w:iCs w:val="0"/>
                      <w:snapToGrid w:val="0"/>
                      <w:color w:val="000000"/>
                      <w:kern w:val="0"/>
                      <w:sz w:val="21"/>
                      <w:szCs w:val="21"/>
                      <w:highlight w:val="none"/>
                      <w:u w:val="none"/>
                      <w:lang w:val="en-US" w:eastAsia="zh-CN" w:bidi="ar"/>
                    </w:rPr>
                    <w:t>3796.16</w:t>
                  </w:r>
                </w:p>
              </w:tc>
              <w:tc>
                <w:tcPr>
                  <w:tcW w:w="1132" w:type="dxa"/>
                  <w:tcBorders>
                    <w:top w:val="single" w:color="000000" w:sz="4" w:space="0"/>
                    <w:left w:val="single" w:color="000000" w:sz="4" w:space="0"/>
                    <w:bottom w:val="single" w:color="000000" w:sz="12" w:space="0"/>
                    <w:right w:val="single" w:color="000000" w:sz="12"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highlight w:val="yellow"/>
                      <w:u w:val="none"/>
                    </w:rPr>
                  </w:pPr>
                  <w:r>
                    <w:rPr>
                      <w:rFonts w:hint="default" w:ascii="Times New Roman" w:hAnsi="Times New Roman" w:eastAsia="宋体" w:cs="Times New Roman"/>
                      <w:i w:val="0"/>
                      <w:iCs w:val="0"/>
                      <w:snapToGrid w:val="0"/>
                      <w:color w:val="000000"/>
                      <w:kern w:val="0"/>
                      <w:sz w:val="21"/>
                      <w:szCs w:val="21"/>
                      <w:highlight w:val="none"/>
                      <w:u w:val="none"/>
                      <w:lang w:val="en-US" w:eastAsia="zh-CN" w:bidi="ar"/>
                    </w:rPr>
                    <w:t>100.00%</w:t>
                  </w:r>
                </w:p>
              </w:tc>
            </w:tr>
          </w:tbl>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p>
            <w:pPr>
              <w:pStyle w:val="15"/>
              <w:ind w:firstLine="0" w:firstLineChars="0"/>
              <w:rPr>
                <w:highlight w:val="yellow"/>
              </w:rPr>
            </w:pPr>
          </w:p>
        </w:tc>
      </w:tr>
    </w:tbl>
    <w:p>
      <w:pPr>
        <w:jc w:val="both"/>
        <w:rPr>
          <w:highlight w:val="yellow"/>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4"/>
        <w:rPr>
          <w:highlight w:val="none"/>
        </w:rPr>
      </w:pPr>
      <w:r>
        <w:rPr>
          <w:rFonts w:hint="eastAsia"/>
          <w:highlight w:val="none"/>
        </w:rPr>
        <w:t xml:space="preserve">六 </w:t>
      </w:r>
      <w:r>
        <w:rPr>
          <w:rFonts w:hint="eastAsia" w:ascii="黑体" w:hAnsi="黑体"/>
          <w:color w:val="000000"/>
          <w:szCs w:val="30"/>
          <w:highlight w:val="none"/>
        </w:rPr>
        <w:t>生态环境保护措施监督检查清单</w:t>
      </w:r>
    </w:p>
    <w:tbl>
      <w:tblPr>
        <w:tblStyle w:val="25"/>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2640"/>
        <w:gridCol w:w="1710"/>
        <w:gridCol w:w="1740"/>
        <w:gridCol w:w="13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7" w:type="dxa"/>
            <w:vMerge w:val="restart"/>
            <w:tcBorders>
              <w:tl2br w:val="nil"/>
              <w:tr2bl w:val="nil"/>
            </w:tcBorders>
            <w:vAlign w:val="center"/>
          </w:tcPr>
          <w:p>
            <w:pPr>
              <w:bidi w:val="0"/>
              <w:jc w:val="center"/>
              <w:rPr>
                <w:rFonts w:hint="eastAsia"/>
                <w:sz w:val="24"/>
                <w:szCs w:val="24"/>
                <w:highlight w:val="none"/>
                <w:lang w:eastAsia="zh-CN"/>
              </w:rPr>
            </w:pPr>
            <w:r>
              <w:rPr>
                <w:rFonts w:hint="eastAsia"/>
                <w:sz w:val="24"/>
                <w:szCs w:val="24"/>
                <w:highlight w:val="none"/>
                <w:lang w:eastAsia="zh-CN"/>
              </w:rPr>
              <w:t>内容</w:t>
            </w:r>
          </w:p>
          <w:p>
            <w:pPr>
              <w:bidi w:val="0"/>
              <w:jc w:val="center"/>
              <w:rPr>
                <w:rFonts w:hint="eastAsia"/>
                <w:sz w:val="24"/>
                <w:szCs w:val="24"/>
                <w:highlight w:val="none"/>
                <w:lang w:eastAsia="zh-CN"/>
              </w:rPr>
            </w:pPr>
            <w:r>
              <w:rPr>
                <w:rFonts w:hint="eastAsia"/>
                <w:sz w:val="24"/>
                <w:szCs w:val="24"/>
                <w:highlight w:val="none"/>
                <w:lang w:eastAsia="zh-CN"/>
              </w:rPr>
              <w:t>要素</w:t>
            </w:r>
          </w:p>
        </w:tc>
        <w:tc>
          <w:tcPr>
            <w:tcW w:w="4350" w:type="dxa"/>
            <w:gridSpan w:val="2"/>
            <w:tcBorders>
              <w:tl2br w:val="nil"/>
              <w:tr2bl w:val="nil"/>
            </w:tcBorders>
            <w:vAlign w:val="center"/>
          </w:tcPr>
          <w:p>
            <w:pPr>
              <w:bidi w:val="0"/>
              <w:jc w:val="center"/>
              <w:rPr>
                <w:sz w:val="24"/>
                <w:szCs w:val="24"/>
                <w:highlight w:val="none"/>
              </w:rPr>
            </w:pPr>
            <w:r>
              <w:rPr>
                <w:rFonts w:hint="eastAsia"/>
                <w:sz w:val="24"/>
                <w:szCs w:val="24"/>
                <w:highlight w:val="none"/>
                <w:lang w:eastAsia="zh-CN"/>
              </w:rPr>
              <w:t>施工期</w:t>
            </w:r>
          </w:p>
        </w:tc>
        <w:tc>
          <w:tcPr>
            <w:tcW w:w="3085" w:type="dxa"/>
            <w:gridSpan w:val="2"/>
            <w:tcBorders>
              <w:tl2br w:val="nil"/>
              <w:tr2bl w:val="nil"/>
            </w:tcBorders>
            <w:vAlign w:val="center"/>
          </w:tcPr>
          <w:p>
            <w:pPr>
              <w:bidi w:val="0"/>
              <w:jc w:val="center"/>
              <w:rPr>
                <w:sz w:val="24"/>
                <w:szCs w:val="24"/>
                <w:highlight w:val="none"/>
              </w:rPr>
            </w:pPr>
            <w:r>
              <w:rPr>
                <w:rFonts w:hint="eastAsia"/>
                <w:sz w:val="24"/>
                <w:szCs w:val="24"/>
                <w:highlight w:val="none"/>
                <w:lang w:eastAsia="zh-CN"/>
              </w:rPr>
              <w:t>运营期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7" w:type="dxa"/>
            <w:vMerge w:val="continue"/>
            <w:tcBorders>
              <w:tl2br w:val="nil"/>
              <w:tr2bl w:val="nil"/>
            </w:tcBorders>
            <w:vAlign w:val="center"/>
          </w:tcPr>
          <w:p>
            <w:pPr>
              <w:bidi w:val="0"/>
              <w:jc w:val="center"/>
              <w:rPr>
                <w:rFonts w:hint="eastAsia"/>
                <w:sz w:val="24"/>
                <w:szCs w:val="24"/>
                <w:highlight w:val="none"/>
                <w:lang w:eastAsia="zh-CN"/>
              </w:rPr>
            </w:pPr>
          </w:p>
        </w:tc>
        <w:tc>
          <w:tcPr>
            <w:tcW w:w="2640" w:type="dxa"/>
            <w:tcBorders>
              <w:tl2br w:val="nil"/>
              <w:tr2bl w:val="nil"/>
            </w:tcBorders>
            <w:vAlign w:val="center"/>
          </w:tcPr>
          <w:p>
            <w:pPr>
              <w:bidi w:val="0"/>
              <w:jc w:val="center"/>
              <w:rPr>
                <w:rFonts w:hint="eastAsia"/>
                <w:sz w:val="24"/>
                <w:szCs w:val="24"/>
                <w:highlight w:val="none"/>
                <w:lang w:eastAsia="zh-CN"/>
              </w:rPr>
            </w:pPr>
            <w:r>
              <w:rPr>
                <w:rFonts w:hint="eastAsia"/>
                <w:sz w:val="24"/>
                <w:szCs w:val="24"/>
                <w:highlight w:val="none"/>
                <w:lang w:eastAsia="zh-CN"/>
              </w:rPr>
              <w:t>环境保护措施</w:t>
            </w:r>
          </w:p>
        </w:tc>
        <w:tc>
          <w:tcPr>
            <w:tcW w:w="1710" w:type="dxa"/>
            <w:tcBorders>
              <w:tl2br w:val="nil"/>
              <w:tr2bl w:val="nil"/>
            </w:tcBorders>
            <w:vAlign w:val="center"/>
          </w:tcPr>
          <w:p>
            <w:pPr>
              <w:bidi w:val="0"/>
              <w:jc w:val="center"/>
              <w:rPr>
                <w:rFonts w:hint="eastAsia"/>
                <w:sz w:val="24"/>
                <w:szCs w:val="24"/>
                <w:highlight w:val="none"/>
                <w:lang w:eastAsia="zh-CN"/>
              </w:rPr>
            </w:pPr>
            <w:r>
              <w:rPr>
                <w:rFonts w:hint="eastAsia"/>
                <w:sz w:val="24"/>
                <w:szCs w:val="24"/>
                <w:highlight w:val="none"/>
                <w:lang w:eastAsia="zh-CN"/>
              </w:rPr>
              <w:t>验收要求</w:t>
            </w:r>
          </w:p>
        </w:tc>
        <w:tc>
          <w:tcPr>
            <w:tcW w:w="1740" w:type="dxa"/>
            <w:tcBorders>
              <w:tl2br w:val="nil"/>
              <w:tr2bl w:val="nil"/>
            </w:tcBorders>
            <w:vAlign w:val="center"/>
          </w:tcPr>
          <w:p>
            <w:pPr>
              <w:bidi w:val="0"/>
              <w:jc w:val="center"/>
              <w:rPr>
                <w:rFonts w:hint="eastAsia"/>
                <w:sz w:val="24"/>
                <w:szCs w:val="24"/>
                <w:highlight w:val="none"/>
                <w:lang w:eastAsia="zh-CN"/>
              </w:rPr>
            </w:pPr>
            <w:r>
              <w:rPr>
                <w:rFonts w:hint="eastAsia"/>
                <w:sz w:val="24"/>
                <w:szCs w:val="24"/>
                <w:highlight w:val="none"/>
                <w:lang w:eastAsia="zh-CN"/>
              </w:rPr>
              <w:t>环境保护措施</w:t>
            </w:r>
          </w:p>
        </w:tc>
        <w:tc>
          <w:tcPr>
            <w:tcW w:w="1345" w:type="dxa"/>
            <w:tcBorders>
              <w:tl2br w:val="nil"/>
              <w:tr2bl w:val="nil"/>
            </w:tcBorders>
            <w:vAlign w:val="center"/>
          </w:tcPr>
          <w:p>
            <w:pPr>
              <w:bidi w:val="0"/>
              <w:jc w:val="center"/>
              <w:rPr>
                <w:rFonts w:hint="eastAsia"/>
                <w:sz w:val="24"/>
                <w:szCs w:val="24"/>
                <w:highlight w:val="none"/>
                <w:lang w:eastAsia="zh-CN"/>
              </w:rPr>
            </w:pPr>
            <w:r>
              <w:rPr>
                <w:rFonts w:hint="eastAsia"/>
                <w:sz w:val="24"/>
                <w:szCs w:val="24"/>
                <w:highlight w:val="none"/>
                <w:lang w:eastAsia="zh-CN"/>
              </w:rPr>
              <w:t>验收要求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2" w:hRule="atLeast"/>
        </w:trPr>
        <w:tc>
          <w:tcPr>
            <w:tcW w:w="1087" w:type="dxa"/>
            <w:tcBorders>
              <w:tl2br w:val="nil"/>
              <w:tr2bl w:val="nil"/>
            </w:tcBorders>
            <w:vAlign w:val="center"/>
          </w:tcPr>
          <w:p>
            <w:pPr>
              <w:bidi w:val="0"/>
              <w:jc w:val="center"/>
              <w:rPr>
                <w:rFonts w:hint="eastAsia"/>
                <w:sz w:val="24"/>
                <w:szCs w:val="24"/>
                <w:highlight w:val="none"/>
                <w:lang w:eastAsia="zh-CN"/>
              </w:rPr>
            </w:pPr>
            <w:r>
              <w:rPr>
                <w:rFonts w:hint="eastAsia"/>
                <w:sz w:val="24"/>
                <w:szCs w:val="24"/>
                <w:highlight w:val="none"/>
                <w:lang w:eastAsia="zh-CN"/>
              </w:rPr>
              <w:t>陆生</w:t>
            </w:r>
          </w:p>
          <w:p>
            <w:pPr>
              <w:bidi w:val="0"/>
              <w:jc w:val="center"/>
              <w:rPr>
                <w:rFonts w:hint="eastAsia"/>
                <w:sz w:val="24"/>
                <w:szCs w:val="24"/>
                <w:highlight w:val="none"/>
                <w:lang w:eastAsia="zh-CN"/>
              </w:rPr>
            </w:pPr>
            <w:r>
              <w:rPr>
                <w:rFonts w:hint="eastAsia"/>
                <w:sz w:val="24"/>
                <w:szCs w:val="24"/>
                <w:highlight w:val="none"/>
                <w:lang w:eastAsia="zh-CN"/>
              </w:rPr>
              <w:t>生态</w:t>
            </w:r>
          </w:p>
        </w:tc>
        <w:tc>
          <w:tcPr>
            <w:tcW w:w="2640" w:type="dxa"/>
            <w:tcBorders>
              <w:tl2br w:val="nil"/>
              <w:tr2bl w:val="nil"/>
            </w:tcBorders>
            <w:vAlign w:val="center"/>
          </w:tcPr>
          <w:p>
            <w:pPr>
              <w:bidi w:val="0"/>
              <w:jc w:val="both"/>
              <w:rPr>
                <w:rFonts w:hint="eastAsia"/>
                <w:sz w:val="24"/>
                <w:szCs w:val="24"/>
                <w:highlight w:val="none"/>
                <w:lang w:val="en-US" w:eastAsia="zh-CN"/>
              </w:rPr>
            </w:pPr>
            <w:r>
              <w:rPr>
                <w:rFonts w:hint="eastAsia"/>
                <w:sz w:val="24"/>
                <w:szCs w:val="24"/>
                <w:highlight w:val="none"/>
                <w:lang w:val="en-US" w:eastAsia="zh-CN"/>
              </w:rPr>
              <w:t>1、</w:t>
            </w:r>
            <w:r>
              <w:rPr>
                <w:rFonts w:hint="default"/>
                <w:sz w:val="24"/>
                <w:szCs w:val="24"/>
                <w:highlight w:val="none"/>
                <w:lang w:val="en-US" w:eastAsia="zh-CN"/>
              </w:rPr>
              <w:t>设置生态保护警示牌</w:t>
            </w:r>
            <w:r>
              <w:rPr>
                <w:rFonts w:hint="eastAsia"/>
                <w:sz w:val="24"/>
                <w:szCs w:val="24"/>
                <w:highlight w:val="none"/>
                <w:lang w:val="en-US" w:eastAsia="zh-CN"/>
              </w:rPr>
              <w:t>；</w:t>
            </w:r>
          </w:p>
          <w:p>
            <w:pPr>
              <w:bidi w:val="0"/>
              <w:jc w:val="both"/>
              <w:rPr>
                <w:rFonts w:hint="eastAsia"/>
                <w:sz w:val="24"/>
                <w:szCs w:val="24"/>
                <w:highlight w:val="none"/>
                <w:lang w:val="en-US" w:eastAsia="zh-CN"/>
              </w:rPr>
            </w:pPr>
            <w:r>
              <w:rPr>
                <w:rFonts w:hint="eastAsia"/>
                <w:sz w:val="24"/>
                <w:szCs w:val="24"/>
                <w:highlight w:val="none"/>
                <w:lang w:val="en-US" w:eastAsia="zh-CN"/>
              </w:rPr>
              <w:t>2、明确并合理规划施工工序；</w:t>
            </w:r>
          </w:p>
          <w:p>
            <w:pPr>
              <w:bidi w:val="0"/>
              <w:jc w:val="both"/>
              <w:rPr>
                <w:rFonts w:hint="eastAsia"/>
                <w:sz w:val="24"/>
                <w:szCs w:val="24"/>
                <w:highlight w:val="none"/>
                <w:lang w:val="en-US" w:eastAsia="zh-CN"/>
              </w:rPr>
            </w:pPr>
            <w:r>
              <w:rPr>
                <w:rFonts w:hint="eastAsia"/>
                <w:sz w:val="24"/>
                <w:szCs w:val="24"/>
                <w:highlight w:val="none"/>
                <w:lang w:val="en-US" w:eastAsia="zh-CN"/>
              </w:rPr>
              <w:t>3、避免车辆在运输过程中对当地植被的碾压；4、优选适宜当地环境生长的本土物种；</w:t>
            </w:r>
          </w:p>
          <w:p>
            <w:pPr>
              <w:bidi w:val="0"/>
              <w:jc w:val="both"/>
              <w:rPr>
                <w:rFonts w:hint="default"/>
                <w:sz w:val="24"/>
                <w:szCs w:val="24"/>
                <w:highlight w:val="none"/>
                <w:lang w:val="en-US" w:eastAsia="zh-CN"/>
              </w:rPr>
            </w:pPr>
            <w:r>
              <w:rPr>
                <w:rFonts w:hint="eastAsia"/>
                <w:sz w:val="24"/>
                <w:szCs w:val="24"/>
                <w:highlight w:val="none"/>
                <w:lang w:val="en-US" w:eastAsia="zh-CN"/>
              </w:rPr>
              <w:t>5、</w:t>
            </w:r>
            <w:r>
              <w:rPr>
                <w:rFonts w:hint="default"/>
                <w:sz w:val="24"/>
                <w:szCs w:val="24"/>
                <w:highlight w:val="none"/>
              </w:rPr>
              <w:t>减小土石方工程量、只对矿坑遭到破坏的地貌进行施工，不得破坏原有地貌等方式降低施工期对水土流失的影响，工程竣工后及时覆土恢复地表植被。</w:t>
            </w:r>
          </w:p>
        </w:tc>
        <w:tc>
          <w:tcPr>
            <w:tcW w:w="1710" w:type="dxa"/>
            <w:tcBorders>
              <w:tl2br w:val="nil"/>
              <w:tr2bl w:val="nil"/>
            </w:tcBorders>
            <w:vAlign w:val="center"/>
          </w:tcPr>
          <w:p>
            <w:pPr>
              <w:bidi w:val="0"/>
              <w:jc w:val="center"/>
              <w:rPr>
                <w:sz w:val="24"/>
                <w:szCs w:val="24"/>
                <w:highlight w:val="none"/>
              </w:rPr>
            </w:pPr>
            <w:r>
              <w:rPr>
                <w:rFonts w:hint="eastAsia"/>
                <w:sz w:val="24"/>
                <w:szCs w:val="24"/>
                <w:highlight w:val="none"/>
                <w:lang w:val="en-US" w:eastAsia="zh-CN"/>
              </w:rPr>
              <w:t>各项生态环境保护措施落实到位</w:t>
            </w:r>
          </w:p>
          <w:p>
            <w:pPr>
              <w:bidi w:val="0"/>
              <w:jc w:val="center"/>
              <w:rPr>
                <w:rFonts w:hint="eastAsia"/>
                <w:sz w:val="24"/>
                <w:szCs w:val="24"/>
                <w:highlight w:val="none"/>
                <w:lang w:eastAsia="zh-CN"/>
              </w:rPr>
            </w:pPr>
          </w:p>
        </w:tc>
        <w:tc>
          <w:tcPr>
            <w:tcW w:w="1740" w:type="dxa"/>
            <w:tcBorders>
              <w:tl2br w:val="nil"/>
              <w:tr2bl w:val="nil"/>
            </w:tcBorders>
            <w:vAlign w:val="center"/>
          </w:tcPr>
          <w:p>
            <w:pPr>
              <w:pStyle w:val="14"/>
              <w:rPr>
                <w:rFonts w:hint="eastAsia" w:eastAsia="宋体"/>
                <w:lang w:eastAsia="zh-CN"/>
              </w:rPr>
            </w:pPr>
            <w:r>
              <w:rPr>
                <w:rFonts w:hint="eastAsia"/>
                <w:lang w:eastAsia="zh-CN"/>
              </w:rPr>
              <w:t>种植柠条、文冠果等灌木，撒播草籽恢复为林地、草地，对未成活树木进行补植。</w:t>
            </w:r>
          </w:p>
          <w:p>
            <w:pPr>
              <w:bidi w:val="0"/>
              <w:jc w:val="center"/>
              <w:rPr>
                <w:rFonts w:hint="default"/>
                <w:sz w:val="24"/>
                <w:szCs w:val="24"/>
                <w:highlight w:val="none"/>
                <w:lang w:val="en-US" w:eastAsia="zh-CN"/>
              </w:rPr>
            </w:pP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lang w:eastAsia="zh-CN"/>
              </w:rPr>
              <w:t>覆盖率要求，达到</w:t>
            </w:r>
            <w:r>
              <w:rPr>
                <w:rFonts w:hint="eastAsia"/>
                <w:lang w:val="en-US" w:eastAsia="zh-CN"/>
              </w:rPr>
              <w:t>80%以上，</w:t>
            </w:r>
            <w:r>
              <w:rPr>
                <w:rFonts w:hint="eastAsia"/>
                <w:color w:val="auto"/>
                <w:sz w:val="24"/>
                <w:szCs w:val="24"/>
                <w:lang w:val="en-US" w:eastAsia="zh-CN"/>
              </w:rPr>
              <w:t>满足生态环境保护的要求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80"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水生</w:t>
            </w:r>
          </w:p>
          <w:p>
            <w:pPr>
              <w:bidi w:val="0"/>
              <w:jc w:val="center"/>
              <w:rPr>
                <w:rFonts w:hint="eastAsia"/>
                <w:sz w:val="24"/>
                <w:szCs w:val="24"/>
                <w:highlight w:val="none"/>
                <w:lang w:eastAsia="zh-CN"/>
              </w:rPr>
            </w:pPr>
            <w:r>
              <w:rPr>
                <w:rFonts w:hint="eastAsia"/>
                <w:sz w:val="24"/>
                <w:szCs w:val="24"/>
                <w:highlight w:val="none"/>
                <w:lang w:val="en-US" w:eastAsia="zh-CN"/>
              </w:rPr>
              <w:t>生态</w:t>
            </w:r>
          </w:p>
        </w:tc>
        <w:tc>
          <w:tcPr>
            <w:tcW w:w="26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1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5" w:hRule="atLeast"/>
        </w:trPr>
        <w:tc>
          <w:tcPr>
            <w:tcW w:w="1087"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地表水环境</w:t>
            </w:r>
          </w:p>
        </w:tc>
        <w:tc>
          <w:tcPr>
            <w:tcW w:w="2640" w:type="dxa"/>
            <w:tcBorders>
              <w:tl2br w:val="nil"/>
              <w:tr2bl w:val="nil"/>
            </w:tcBorders>
            <w:vAlign w:val="center"/>
          </w:tcPr>
          <w:p>
            <w:pPr>
              <w:bidi w:val="0"/>
              <w:jc w:val="left"/>
              <w:rPr>
                <w:rFonts w:hint="eastAsia"/>
                <w:sz w:val="24"/>
                <w:szCs w:val="24"/>
                <w:highlight w:val="none"/>
                <w:lang w:eastAsia="zh-CN"/>
              </w:rPr>
            </w:pPr>
            <w:r>
              <w:rPr>
                <w:rFonts w:hint="eastAsia"/>
                <w:sz w:val="24"/>
                <w:szCs w:val="24"/>
                <w:highlight w:val="none"/>
                <w:lang w:val="en-US" w:eastAsia="zh-CN"/>
              </w:rPr>
              <w:t>1、</w:t>
            </w:r>
            <w:r>
              <w:rPr>
                <w:rFonts w:hint="eastAsia"/>
                <w:sz w:val="24"/>
                <w:szCs w:val="24"/>
                <w:highlight w:val="none"/>
                <w:lang w:eastAsia="zh-CN"/>
              </w:rPr>
              <w:t>施工废水：项目施工现场出入口拟设置临时隔油沉淀池，经经隔油沉淀池处理后，用于施工场地洒水降尘等，废水不外排；</w:t>
            </w:r>
          </w:p>
          <w:p>
            <w:pPr>
              <w:bidi w:val="0"/>
              <w:jc w:val="left"/>
              <w:rPr>
                <w:rFonts w:hint="eastAsia"/>
                <w:sz w:val="24"/>
                <w:szCs w:val="24"/>
                <w:highlight w:val="none"/>
                <w:lang w:eastAsia="zh-CN"/>
              </w:rPr>
            </w:pPr>
            <w:r>
              <w:rPr>
                <w:rFonts w:hint="eastAsia"/>
                <w:sz w:val="24"/>
                <w:szCs w:val="24"/>
                <w:highlight w:val="none"/>
                <w:lang w:val="en-US" w:eastAsia="zh-CN"/>
              </w:rPr>
              <w:t>2、</w:t>
            </w:r>
            <w:r>
              <w:rPr>
                <w:rFonts w:hint="eastAsia"/>
                <w:sz w:val="24"/>
                <w:szCs w:val="24"/>
                <w:highlight w:val="none"/>
                <w:lang w:eastAsia="zh-CN"/>
              </w:rPr>
              <w:t>生活污水：本项目不设置施工营地，生活污水依托周边民居既有旱厕，本项目无生活污水排放。</w:t>
            </w:r>
          </w:p>
        </w:tc>
        <w:tc>
          <w:tcPr>
            <w:tcW w:w="1710" w:type="dxa"/>
            <w:tcBorders>
              <w:tl2br w:val="nil"/>
              <w:tr2bl w:val="nil"/>
            </w:tcBorders>
            <w:vAlign w:val="center"/>
          </w:tcPr>
          <w:p>
            <w:pPr>
              <w:bidi w:val="0"/>
              <w:jc w:val="center"/>
              <w:rPr>
                <w:rFonts w:hint="eastAsia"/>
                <w:sz w:val="24"/>
                <w:szCs w:val="24"/>
                <w:highlight w:val="none"/>
                <w:lang w:eastAsia="zh-CN"/>
              </w:rPr>
            </w:pPr>
            <w:r>
              <w:rPr>
                <w:rFonts w:ascii="宋体" w:hAnsi="宋体" w:cs="宋体"/>
                <w:bCs/>
                <w:color w:val="auto"/>
                <w:sz w:val="24"/>
                <w:szCs w:val="24"/>
                <w:highlight w:val="none"/>
                <w:lang w:bidi="zh-CN"/>
              </w:rPr>
              <w:t>施工现场设置沉淀池沉淀后</w:t>
            </w:r>
            <w:r>
              <w:rPr>
                <w:rFonts w:hint="eastAsia" w:ascii="宋体" w:hAnsi="宋体" w:cs="宋体"/>
                <w:bCs/>
                <w:color w:val="auto"/>
                <w:sz w:val="24"/>
                <w:szCs w:val="24"/>
                <w:highlight w:val="none"/>
                <w:lang w:bidi="zh-CN"/>
              </w:rPr>
              <w:t>洒水抑尘，</w:t>
            </w:r>
            <w:r>
              <w:rPr>
                <w:rFonts w:hint="eastAsia"/>
                <w:color w:val="auto"/>
                <w:sz w:val="24"/>
                <w:szCs w:val="24"/>
                <w:lang w:eastAsia="zh-CN"/>
              </w:rPr>
              <w:t>不外排，</w:t>
            </w:r>
            <w:r>
              <w:rPr>
                <w:rFonts w:hint="eastAsia"/>
                <w:color w:val="auto"/>
                <w:sz w:val="24"/>
                <w:szCs w:val="24"/>
                <w:lang w:val="en-US" w:eastAsia="zh-CN"/>
              </w:rPr>
              <w:t>满足生态环境保护的要求</w:t>
            </w:r>
          </w:p>
        </w:tc>
        <w:tc>
          <w:tcPr>
            <w:tcW w:w="1740" w:type="dxa"/>
            <w:tcBorders>
              <w:tl2br w:val="nil"/>
              <w:tr2bl w:val="nil"/>
            </w:tcBorders>
            <w:vAlign w:val="center"/>
          </w:tcPr>
          <w:p>
            <w:pPr>
              <w:bidi w:val="0"/>
              <w:jc w:val="center"/>
              <w:rPr>
                <w:rFonts w:hint="eastAsia"/>
                <w:sz w:val="24"/>
                <w:szCs w:val="24"/>
                <w:highlight w:val="none"/>
                <w:lang w:eastAsia="zh-CN"/>
              </w:rPr>
            </w:pPr>
          </w:p>
        </w:tc>
        <w:tc>
          <w:tcPr>
            <w:tcW w:w="1345" w:type="dxa"/>
            <w:tcBorders>
              <w:tl2br w:val="nil"/>
              <w:tr2bl w:val="nil"/>
            </w:tcBorders>
            <w:vAlign w:val="center"/>
          </w:tcPr>
          <w:p>
            <w:pPr>
              <w:bidi w:val="0"/>
              <w:jc w:val="center"/>
              <w:rPr>
                <w:rFonts w:hint="eastAsia"/>
                <w:sz w:val="24"/>
                <w:szCs w:val="24"/>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地下水环境</w:t>
            </w:r>
          </w:p>
        </w:tc>
        <w:tc>
          <w:tcPr>
            <w:tcW w:w="26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1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声环境</w:t>
            </w:r>
          </w:p>
        </w:tc>
        <w:tc>
          <w:tcPr>
            <w:tcW w:w="2640" w:type="dxa"/>
            <w:tcBorders>
              <w:tl2br w:val="nil"/>
              <w:tr2bl w:val="nil"/>
            </w:tcBorders>
            <w:vAlign w:val="center"/>
          </w:tcPr>
          <w:p>
            <w:pPr>
              <w:bidi w:val="0"/>
              <w:jc w:val="both"/>
              <w:rPr>
                <w:rFonts w:hint="eastAsia"/>
                <w:sz w:val="24"/>
                <w:szCs w:val="24"/>
                <w:highlight w:val="none"/>
                <w:lang w:val="en-US" w:eastAsia="zh-CN"/>
              </w:rPr>
            </w:pPr>
            <w:r>
              <w:rPr>
                <w:rFonts w:hint="eastAsia"/>
                <w:sz w:val="24"/>
                <w:szCs w:val="24"/>
                <w:highlight w:val="none"/>
                <w:lang w:val="en-US" w:eastAsia="zh-CN"/>
              </w:rPr>
              <w:t>1、维护保养机械；</w:t>
            </w:r>
          </w:p>
          <w:p>
            <w:pPr>
              <w:bidi w:val="0"/>
              <w:jc w:val="both"/>
              <w:rPr>
                <w:rFonts w:hint="eastAsia"/>
                <w:sz w:val="24"/>
                <w:szCs w:val="24"/>
                <w:highlight w:val="none"/>
                <w:lang w:val="en-US" w:eastAsia="zh-CN"/>
              </w:rPr>
            </w:pPr>
            <w:r>
              <w:rPr>
                <w:rFonts w:hint="eastAsia"/>
                <w:sz w:val="24"/>
                <w:szCs w:val="24"/>
                <w:highlight w:val="none"/>
                <w:lang w:val="en-US" w:eastAsia="zh-CN"/>
              </w:rPr>
              <w:t>2、</w:t>
            </w:r>
            <w:r>
              <w:rPr>
                <w:rFonts w:hint="eastAsia"/>
                <w:sz w:val="24"/>
                <w:szCs w:val="24"/>
                <w:highlight w:val="none"/>
              </w:rPr>
              <w:t>在不影响施工情况下将强噪声设备移至距离居民点相对较远的地方</w:t>
            </w:r>
            <w:r>
              <w:rPr>
                <w:rFonts w:hint="eastAsia"/>
                <w:sz w:val="24"/>
                <w:szCs w:val="24"/>
                <w:highlight w:val="none"/>
                <w:lang w:eastAsia="zh-CN"/>
              </w:rPr>
              <w:t>；</w:t>
            </w:r>
          </w:p>
          <w:p>
            <w:pPr>
              <w:bidi w:val="0"/>
              <w:jc w:val="both"/>
              <w:rPr>
                <w:rFonts w:hint="eastAsia"/>
                <w:sz w:val="24"/>
                <w:szCs w:val="24"/>
                <w:highlight w:val="none"/>
                <w:lang w:val="en-US" w:eastAsia="zh-CN"/>
              </w:rPr>
            </w:pPr>
            <w:r>
              <w:rPr>
                <w:rFonts w:hint="eastAsia"/>
                <w:sz w:val="24"/>
                <w:szCs w:val="24"/>
                <w:highlight w:val="none"/>
                <w:lang w:val="en-US" w:eastAsia="zh-CN"/>
              </w:rPr>
              <w:t>3、</w:t>
            </w:r>
            <w:r>
              <w:rPr>
                <w:rFonts w:hint="default"/>
                <w:sz w:val="24"/>
                <w:szCs w:val="24"/>
                <w:highlight w:val="none"/>
              </w:rPr>
              <w:t>夜间禁止大型机械施工，禁止在施工区鸣笛，干扰附近居民休息。</w:t>
            </w:r>
          </w:p>
          <w:p>
            <w:pPr>
              <w:bidi w:val="0"/>
              <w:jc w:val="both"/>
              <w:rPr>
                <w:rFonts w:hint="eastAsia"/>
                <w:sz w:val="24"/>
                <w:szCs w:val="24"/>
                <w:highlight w:val="none"/>
                <w:lang w:val="en-US" w:eastAsia="zh-CN"/>
              </w:rPr>
            </w:pPr>
            <w:r>
              <w:rPr>
                <w:rFonts w:hint="eastAsia"/>
                <w:sz w:val="24"/>
                <w:szCs w:val="24"/>
                <w:highlight w:val="none"/>
                <w:lang w:val="en-US" w:eastAsia="zh-CN"/>
              </w:rPr>
              <w:t>4、</w:t>
            </w:r>
            <w:r>
              <w:rPr>
                <w:rFonts w:hint="eastAsia"/>
                <w:sz w:val="24"/>
                <w:szCs w:val="24"/>
                <w:highlight w:val="none"/>
              </w:rPr>
              <w:t>实行封闭施工管理，现场周边设置围档；</w:t>
            </w:r>
          </w:p>
          <w:p>
            <w:pPr>
              <w:bidi w:val="0"/>
              <w:jc w:val="both"/>
              <w:rPr>
                <w:rFonts w:hint="eastAsia"/>
                <w:sz w:val="24"/>
                <w:szCs w:val="24"/>
                <w:highlight w:val="none"/>
                <w:lang w:val="en-US" w:eastAsia="zh-CN"/>
              </w:rPr>
            </w:pPr>
            <w:r>
              <w:rPr>
                <w:rFonts w:hint="eastAsia"/>
                <w:sz w:val="24"/>
                <w:szCs w:val="24"/>
                <w:highlight w:val="none"/>
                <w:lang w:val="en-US" w:eastAsia="zh-CN"/>
              </w:rPr>
              <w:t>5、</w:t>
            </w:r>
            <w:r>
              <w:rPr>
                <w:rFonts w:hint="eastAsia"/>
                <w:sz w:val="24"/>
                <w:szCs w:val="24"/>
                <w:highlight w:val="none"/>
              </w:rPr>
              <w:t>加强对施工人员的环境宣传和教育</w:t>
            </w:r>
            <w:r>
              <w:rPr>
                <w:rFonts w:hint="eastAsia"/>
                <w:sz w:val="24"/>
                <w:szCs w:val="24"/>
                <w:highlight w:val="none"/>
                <w:lang w:eastAsia="zh-CN"/>
              </w:rPr>
              <w:t>。</w:t>
            </w:r>
          </w:p>
        </w:tc>
        <w:tc>
          <w:tcPr>
            <w:tcW w:w="1710" w:type="dxa"/>
            <w:tcBorders>
              <w:tl2br w:val="nil"/>
              <w:tr2bl w:val="nil"/>
            </w:tcBorders>
            <w:vAlign w:val="center"/>
          </w:tcPr>
          <w:p>
            <w:pPr>
              <w:pStyle w:val="14"/>
              <w:rPr>
                <w:rFonts w:hint="eastAsia"/>
                <w:sz w:val="24"/>
                <w:szCs w:val="24"/>
                <w:highlight w:val="none"/>
                <w:lang w:val="en-US" w:eastAsia="zh-CN"/>
              </w:rPr>
            </w:pPr>
            <w:r>
              <w:rPr>
                <w:rFonts w:hint="default" w:ascii="Times New Roman" w:hAnsi="Times New Roman" w:eastAsia="宋体" w:cs="Times New Roman"/>
                <w:color w:val="auto"/>
                <w:sz w:val="24"/>
                <w:szCs w:val="24"/>
                <w:lang w:val="en-US" w:eastAsia="zh-CN"/>
              </w:rPr>
              <w:t>满足建筑施工厂界噪声限值标准要求</w:t>
            </w:r>
          </w:p>
        </w:tc>
        <w:tc>
          <w:tcPr>
            <w:tcW w:w="1740" w:type="dxa"/>
            <w:tcBorders>
              <w:tl2br w:val="nil"/>
              <w:tr2bl w:val="nil"/>
            </w:tcBorders>
            <w:vAlign w:val="center"/>
          </w:tcPr>
          <w:p>
            <w:pPr>
              <w:bidi w:val="0"/>
              <w:jc w:val="center"/>
              <w:rPr>
                <w:rFonts w:hint="eastAsia"/>
                <w:sz w:val="24"/>
                <w:szCs w:val="24"/>
                <w:highlight w:val="none"/>
                <w:lang w:val="en-US" w:eastAsia="zh-CN"/>
              </w:rPr>
            </w:pPr>
          </w:p>
        </w:tc>
        <w:tc>
          <w:tcPr>
            <w:tcW w:w="1345" w:type="dxa"/>
            <w:tcBorders>
              <w:tl2br w:val="nil"/>
              <w:tr2bl w:val="nil"/>
            </w:tcBorders>
            <w:vAlign w:val="center"/>
          </w:tcPr>
          <w:p>
            <w:pPr>
              <w:bidi w:val="0"/>
              <w:jc w:val="center"/>
              <w:rPr>
                <w:rFonts w:hint="eastAsia"/>
                <w:sz w:val="24"/>
                <w:szCs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振动</w:t>
            </w:r>
          </w:p>
        </w:tc>
        <w:tc>
          <w:tcPr>
            <w:tcW w:w="26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1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32"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大气</w:t>
            </w:r>
          </w:p>
          <w:p>
            <w:pPr>
              <w:bidi w:val="0"/>
              <w:jc w:val="center"/>
              <w:rPr>
                <w:rFonts w:hint="eastAsia"/>
                <w:sz w:val="24"/>
                <w:szCs w:val="24"/>
                <w:highlight w:val="none"/>
                <w:lang w:val="en-US" w:eastAsia="zh-CN"/>
              </w:rPr>
            </w:pPr>
            <w:r>
              <w:rPr>
                <w:rFonts w:hint="eastAsia"/>
                <w:sz w:val="24"/>
                <w:szCs w:val="24"/>
                <w:highlight w:val="none"/>
                <w:lang w:val="en-US" w:eastAsia="zh-CN"/>
              </w:rPr>
              <w:t>环境</w:t>
            </w:r>
          </w:p>
        </w:tc>
        <w:tc>
          <w:tcPr>
            <w:tcW w:w="2640" w:type="dxa"/>
            <w:tcBorders>
              <w:tl2br w:val="nil"/>
              <w:tr2bl w:val="nil"/>
            </w:tcBorders>
            <w:vAlign w:val="center"/>
          </w:tcPr>
          <w:p>
            <w:pPr>
              <w:bidi w:val="0"/>
              <w:jc w:val="left"/>
              <w:rPr>
                <w:rFonts w:hint="eastAsia"/>
                <w:sz w:val="24"/>
                <w:szCs w:val="24"/>
                <w:highlight w:val="none"/>
                <w:lang w:val="en-US" w:eastAsia="zh-CN"/>
              </w:rPr>
            </w:pPr>
            <w:r>
              <w:rPr>
                <w:rFonts w:hint="eastAsia"/>
                <w:sz w:val="24"/>
                <w:szCs w:val="24"/>
                <w:highlight w:val="none"/>
                <w:lang w:val="en-US" w:eastAsia="zh-CN"/>
              </w:rPr>
              <w:t>1、土方开挖前对作业面适当喷水；</w:t>
            </w:r>
          </w:p>
          <w:p>
            <w:pPr>
              <w:bidi w:val="0"/>
              <w:jc w:val="left"/>
              <w:rPr>
                <w:rFonts w:hint="default"/>
                <w:sz w:val="24"/>
                <w:szCs w:val="24"/>
                <w:highlight w:val="none"/>
                <w:lang w:val="en-US" w:eastAsia="zh-CN"/>
              </w:rPr>
            </w:pPr>
            <w:r>
              <w:rPr>
                <w:rFonts w:hint="eastAsia"/>
                <w:sz w:val="24"/>
                <w:szCs w:val="24"/>
                <w:highlight w:val="none"/>
                <w:lang w:val="en-US" w:eastAsia="zh-CN"/>
              </w:rPr>
              <w:t>2、</w:t>
            </w:r>
            <w:r>
              <w:rPr>
                <w:rFonts w:hint="eastAsia"/>
                <w:sz w:val="24"/>
                <w:szCs w:val="24"/>
                <w:highlight w:val="none"/>
              </w:rPr>
              <w:t>设置施工围挡、篷布遮盖</w:t>
            </w:r>
            <w:r>
              <w:rPr>
                <w:rFonts w:hint="eastAsia"/>
                <w:sz w:val="24"/>
                <w:szCs w:val="24"/>
                <w:highlight w:val="none"/>
                <w:lang w:eastAsia="zh-CN"/>
              </w:rPr>
              <w:t>；</w:t>
            </w:r>
          </w:p>
          <w:p>
            <w:pPr>
              <w:bidi w:val="0"/>
              <w:jc w:val="left"/>
              <w:rPr>
                <w:rFonts w:hint="eastAsia" w:eastAsia="宋体"/>
                <w:sz w:val="24"/>
                <w:szCs w:val="24"/>
                <w:highlight w:val="none"/>
                <w:lang w:val="en-US" w:eastAsia="zh-CN"/>
              </w:rPr>
            </w:pPr>
            <w:r>
              <w:rPr>
                <w:rFonts w:hint="eastAsia"/>
                <w:sz w:val="24"/>
                <w:szCs w:val="24"/>
                <w:highlight w:val="none"/>
                <w:lang w:val="en-US" w:eastAsia="zh-CN"/>
              </w:rPr>
              <w:t>3、</w:t>
            </w:r>
            <w:r>
              <w:rPr>
                <w:rFonts w:hint="eastAsia"/>
                <w:sz w:val="24"/>
                <w:szCs w:val="24"/>
                <w:highlight w:val="none"/>
              </w:rPr>
              <w:t>避免在大风气象条件下施工</w:t>
            </w:r>
            <w:r>
              <w:rPr>
                <w:rFonts w:hint="eastAsia"/>
                <w:sz w:val="24"/>
                <w:szCs w:val="24"/>
                <w:highlight w:val="none"/>
                <w:lang w:eastAsia="zh-CN"/>
              </w:rPr>
              <w:t>；</w:t>
            </w:r>
          </w:p>
        </w:tc>
        <w:tc>
          <w:tcPr>
            <w:tcW w:w="1710" w:type="dxa"/>
            <w:tcBorders>
              <w:tl2br w:val="nil"/>
              <w:tr2bl w:val="nil"/>
            </w:tcBorders>
            <w:vAlign w:val="center"/>
          </w:tcPr>
          <w:p>
            <w:pPr>
              <w:pStyle w:val="14"/>
              <w:rPr>
                <w:rFonts w:hint="eastAsia"/>
                <w:sz w:val="24"/>
                <w:szCs w:val="24"/>
                <w:highlight w:val="none"/>
                <w:lang w:val="en-US" w:eastAsia="zh-CN"/>
              </w:rPr>
            </w:pPr>
            <w:r>
              <w:rPr>
                <w:rFonts w:hint="eastAsia" w:ascii="Times New Roman" w:hAnsi="Times New Roman" w:eastAsia="宋体" w:cs="Times New Roman"/>
                <w:color w:val="auto"/>
                <w:spacing w:val="0"/>
                <w:w w:val="100"/>
                <w:position w:val="0"/>
                <w:sz w:val="24"/>
                <w:szCs w:val="24"/>
                <w:lang w:val="zh-CN" w:eastAsia="zh-CN" w:bidi="zh-CN"/>
              </w:rPr>
              <w:t>满足</w:t>
            </w:r>
            <w:r>
              <w:rPr>
                <w:rFonts w:hint="default" w:ascii="Times New Roman" w:hAnsi="Times New Roman" w:eastAsia="宋体" w:cs="Times New Roman"/>
                <w:color w:val="auto"/>
                <w:spacing w:val="0"/>
                <w:w w:val="100"/>
                <w:position w:val="0"/>
                <w:sz w:val="24"/>
                <w:szCs w:val="24"/>
                <w:lang w:val="zh-CN" w:eastAsia="zh-CN" w:bidi="zh-CN"/>
              </w:rPr>
              <w:t>《大气污染物综合排放标准》（GB16297-1996）表 2 中无组织排放监控浓度限值</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5"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固体</w:t>
            </w:r>
          </w:p>
          <w:p>
            <w:pPr>
              <w:bidi w:val="0"/>
              <w:jc w:val="center"/>
              <w:rPr>
                <w:rFonts w:hint="eastAsia"/>
                <w:sz w:val="24"/>
                <w:szCs w:val="24"/>
                <w:highlight w:val="none"/>
                <w:lang w:val="en-US" w:eastAsia="zh-CN"/>
              </w:rPr>
            </w:pPr>
            <w:r>
              <w:rPr>
                <w:rFonts w:hint="eastAsia"/>
                <w:sz w:val="24"/>
                <w:szCs w:val="24"/>
                <w:highlight w:val="none"/>
                <w:lang w:val="en-US" w:eastAsia="zh-CN"/>
              </w:rPr>
              <w:t>废物</w:t>
            </w:r>
          </w:p>
        </w:tc>
        <w:tc>
          <w:tcPr>
            <w:tcW w:w="2640" w:type="dxa"/>
            <w:tcBorders>
              <w:tl2br w:val="nil"/>
              <w:tr2bl w:val="nil"/>
            </w:tcBorders>
            <w:vAlign w:val="center"/>
          </w:tcPr>
          <w:p>
            <w:pPr>
              <w:bidi w:val="0"/>
              <w:jc w:val="both"/>
              <w:rPr>
                <w:rFonts w:hint="default"/>
                <w:sz w:val="24"/>
                <w:szCs w:val="24"/>
                <w:highlight w:val="none"/>
                <w:lang w:val="en-US" w:eastAsia="zh-CN"/>
              </w:rPr>
            </w:pPr>
            <w:r>
              <w:rPr>
                <w:rFonts w:hint="eastAsia"/>
                <w:sz w:val="24"/>
                <w:szCs w:val="24"/>
                <w:highlight w:val="none"/>
                <w:lang w:val="en-US" w:eastAsia="zh-CN"/>
              </w:rPr>
              <w:t>1、建筑垃圾运至政府指定的建筑垃圾填埋场，不得用于就地回填；</w:t>
            </w:r>
          </w:p>
          <w:p>
            <w:pPr>
              <w:bidi w:val="0"/>
              <w:jc w:val="both"/>
              <w:rPr>
                <w:rFonts w:hint="eastAsia"/>
                <w:sz w:val="24"/>
                <w:szCs w:val="24"/>
                <w:highlight w:val="none"/>
                <w:lang w:val="en-US" w:eastAsia="zh-CN"/>
              </w:rPr>
            </w:pPr>
            <w:r>
              <w:rPr>
                <w:rFonts w:hint="eastAsia"/>
                <w:sz w:val="24"/>
                <w:szCs w:val="24"/>
                <w:highlight w:val="none"/>
                <w:lang w:val="en-US" w:eastAsia="zh-CN"/>
              </w:rPr>
              <w:t>2、</w:t>
            </w:r>
            <w:r>
              <w:rPr>
                <w:rFonts w:hint="eastAsia"/>
                <w:sz w:val="24"/>
                <w:szCs w:val="24"/>
                <w:highlight w:val="none"/>
              </w:rPr>
              <w:t>生活垃圾集中收集</w:t>
            </w:r>
            <w:r>
              <w:rPr>
                <w:rFonts w:hint="eastAsia"/>
                <w:sz w:val="24"/>
                <w:szCs w:val="24"/>
                <w:highlight w:val="none"/>
                <w:lang w:eastAsia="zh-CN"/>
              </w:rPr>
              <w:t>后</w:t>
            </w:r>
            <w:r>
              <w:rPr>
                <w:rFonts w:hint="eastAsia"/>
                <w:sz w:val="24"/>
                <w:szCs w:val="24"/>
                <w:highlight w:val="none"/>
              </w:rPr>
              <w:t>，由施工单位组织收集统一外运至环卫部门指定地点。</w:t>
            </w:r>
          </w:p>
        </w:tc>
        <w:tc>
          <w:tcPr>
            <w:tcW w:w="1710"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合理处置，不外排，</w:t>
            </w:r>
            <w:r>
              <w:rPr>
                <w:rFonts w:hint="eastAsia"/>
                <w:color w:val="auto"/>
                <w:sz w:val="24"/>
                <w:szCs w:val="24"/>
                <w:lang w:val="en-US" w:eastAsia="zh-CN"/>
              </w:rPr>
              <w:t>满足生态环境保护的要求</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30"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电磁</w:t>
            </w:r>
          </w:p>
          <w:p>
            <w:pPr>
              <w:bidi w:val="0"/>
              <w:jc w:val="center"/>
              <w:rPr>
                <w:rFonts w:hint="eastAsia"/>
                <w:sz w:val="24"/>
                <w:szCs w:val="24"/>
                <w:highlight w:val="none"/>
                <w:lang w:val="en-US" w:eastAsia="zh-CN"/>
              </w:rPr>
            </w:pPr>
            <w:r>
              <w:rPr>
                <w:rFonts w:hint="eastAsia"/>
                <w:sz w:val="24"/>
                <w:szCs w:val="24"/>
                <w:highlight w:val="none"/>
                <w:lang w:val="en-US" w:eastAsia="zh-CN"/>
              </w:rPr>
              <w:t>环境</w:t>
            </w:r>
          </w:p>
        </w:tc>
        <w:tc>
          <w:tcPr>
            <w:tcW w:w="26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1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04"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环境</w:t>
            </w:r>
          </w:p>
          <w:p>
            <w:pPr>
              <w:bidi w:val="0"/>
              <w:jc w:val="center"/>
              <w:rPr>
                <w:rFonts w:hint="eastAsia"/>
                <w:sz w:val="24"/>
                <w:szCs w:val="24"/>
                <w:highlight w:val="none"/>
                <w:lang w:val="en-US" w:eastAsia="zh-CN"/>
              </w:rPr>
            </w:pPr>
            <w:r>
              <w:rPr>
                <w:rFonts w:hint="eastAsia"/>
                <w:sz w:val="24"/>
                <w:szCs w:val="24"/>
                <w:highlight w:val="none"/>
                <w:lang w:val="en-US" w:eastAsia="zh-CN"/>
              </w:rPr>
              <w:t>风险</w:t>
            </w:r>
          </w:p>
        </w:tc>
        <w:tc>
          <w:tcPr>
            <w:tcW w:w="26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1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26"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环境</w:t>
            </w:r>
          </w:p>
          <w:p>
            <w:pPr>
              <w:bidi w:val="0"/>
              <w:jc w:val="center"/>
              <w:rPr>
                <w:rFonts w:hint="eastAsia"/>
                <w:sz w:val="24"/>
                <w:szCs w:val="24"/>
                <w:highlight w:val="none"/>
                <w:lang w:val="en-US" w:eastAsia="zh-CN"/>
              </w:rPr>
            </w:pPr>
            <w:r>
              <w:rPr>
                <w:rFonts w:hint="eastAsia"/>
                <w:sz w:val="24"/>
                <w:szCs w:val="24"/>
                <w:highlight w:val="none"/>
                <w:lang w:val="en-US" w:eastAsia="zh-CN"/>
              </w:rPr>
              <w:t>监测</w:t>
            </w:r>
          </w:p>
        </w:tc>
        <w:tc>
          <w:tcPr>
            <w:tcW w:w="26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监测噪声、监测TSP、生态监测</w:t>
            </w:r>
          </w:p>
        </w:tc>
        <w:tc>
          <w:tcPr>
            <w:tcW w:w="171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监测植被生长情况</w:t>
            </w:r>
          </w:p>
        </w:tc>
        <w:tc>
          <w:tcPr>
            <w:tcW w:w="1345" w:type="dxa"/>
            <w:tcBorders>
              <w:tl2br w:val="nil"/>
              <w:tr2bl w:val="nil"/>
            </w:tcBorders>
            <w:vAlign w:val="center"/>
          </w:tcPr>
          <w:p>
            <w:pPr>
              <w:bidi w:val="0"/>
              <w:jc w:val="center"/>
              <w:rPr>
                <w:rFonts w:hint="eastAsia"/>
                <w:lang w:val="en-US" w:eastAsia="zh-CN"/>
              </w:rPr>
            </w:pPr>
          </w:p>
          <w:p>
            <w:pPr>
              <w:pStyle w:val="30"/>
              <w:rPr>
                <w:rFonts w:hint="eastAsia"/>
                <w:lang w:val="en-US" w:eastAsia="zh-CN"/>
              </w:rPr>
            </w:pPr>
          </w:p>
          <w:p>
            <w:pPr>
              <w:pStyle w:val="19"/>
              <w:rPr>
                <w:rFonts w:hint="eastAsia"/>
                <w:lang w:val="en-US" w:eastAsia="zh-CN"/>
              </w:rPr>
            </w:pPr>
          </w:p>
          <w:p>
            <w:pPr>
              <w:pStyle w:val="20"/>
              <w:rPr>
                <w:rFonts w:hint="eastAsia"/>
                <w:lang w:val="en-US" w:eastAsia="zh-CN"/>
              </w:rPr>
            </w:pPr>
          </w:p>
          <w:p>
            <w:pPr>
              <w:rPr>
                <w:rFonts w:hint="eastAsia"/>
                <w:lang w:val="en-US" w:eastAsia="zh-CN"/>
              </w:rPr>
            </w:pPr>
          </w:p>
          <w:p>
            <w:pPr>
              <w:pStyle w:val="30"/>
              <w:rPr>
                <w:rFonts w:hint="eastAsia"/>
                <w:lang w:val="en-US" w:eastAsia="zh-CN"/>
              </w:rPr>
            </w:pPr>
          </w:p>
          <w:p>
            <w:pPr>
              <w:pStyle w:val="19"/>
              <w:rPr>
                <w:rFonts w:hint="eastAsia"/>
                <w:lang w:val="en-US" w:eastAsia="zh-CN"/>
              </w:rPr>
            </w:pPr>
          </w:p>
          <w:p>
            <w:pPr>
              <w:pStyle w:val="20"/>
              <w:rPr>
                <w:rFonts w:hint="eastAsia"/>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4" w:hRule="atLeast"/>
        </w:trPr>
        <w:tc>
          <w:tcPr>
            <w:tcW w:w="1087" w:type="dxa"/>
            <w:tcBorders>
              <w:tl2br w:val="nil"/>
              <w:tr2bl w:val="nil"/>
            </w:tcBorders>
            <w:vAlign w:val="center"/>
          </w:tcPr>
          <w:p>
            <w:pPr>
              <w:bidi w:val="0"/>
              <w:jc w:val="center"/>
              <w:rPr>
                <w:rFonts w:hint="eastAsia"/>
                <w:sz w:val="24"/>
                <w:szCs w:val="24"/>
                <w:highlight w:val="none"/>
                <w:lang w:val="en-US" w:eastAsia="zh-CN"/>
              </w:rPr>
            </w:pPr>
            <w:r>
              <w:rPr>
                <w:rFonts w:hint="eastAsia"/>
                <w:sz w:val="24"/>
                <w:szCs w:val="24"/>
                <w:highlight w:val="none"/>
                <w:lang w:val="en-US" w:eastAsia="zh-CN"/>
              </w:rPr>
              <w:t>其他</w:t>
            </w:r>
          </w:p>
        </w:tc>
        <w:tc>
          <w:tcPr>
            <w:tcW w:w="26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1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740"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c>
          <w:tcPr>
            <w:tcW w:w="1345" w:type="dxa"/>
            <w:tcBorders>
              <w:tl2br w:val="nil"/>
              <w:tr2bl w:val="nil"/>
            </w:tcBorders>
            <w:vAlign w:val="center"/>
          </w:tcPr>
          <w:p>
            <w:pPr>
              <w:bidi w:val="0"/>
              <w:jc w:val="center"/>
              <w:rPr>
                <w:rFonts w:hint="default"/>
                <w:sz w:val="24"/>
                <w:szCs w:val="24"/>
                <w:highlight w:val="none"/>
                <w:lang w:val="en-US" w:eastAsia="zh-CN"/>
              </w:rPr>
            </w:pPr>
            <w:r>
              <w:rPr>
                <w:rFonts w:hint="eastAsia"/>
                <w:sz w:val="24"/>
                <w:szCs w:val="24"/>
                <w:highlight w:val="none"/>
                <w:lang w:val="en-US" w:eastAsia="zh-CN"/>
              </w:rPr>
              <w:t>/</w:t>
            </w:r>
          </w:p>
        </w:tc>
      </w:tr>
    </w:tbl>
    <w:p>
      <w:pPr>
        <w:jc w:val="both"/>
        <w:rPr>
          <w:highlight w:val="yellow"/>
        </w:rPr>
      </w:pPr>
    </w:p>
    <w:p>
      <w:pPr>
        <w:pStyle w:val="4"/>
        <w:rPr>
          <w:highlight w:val="none"/>
        </w:rPr>
      </w:pPr>
      <w:r>
        <w:rPr>
          <w:rFonts w:hint="eastAsia"/>
          <w:highlight w:val="none"/>
        </w:rPr>
        <w:t>七、结论</w:t>
      </w:r>
    </w:p>
    <w:tbl>
      <w:tblPr>
        <w:tblStyle w:val="24"/>
        <w:tblW w:w="837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48" w:hRule="atLeast"/>
          <w:jc w:val="center"/>
        </w:trPr>
        <w:tc>
          <w:tcPr>
            <w:tcW w:w="8370" w:type="dxa"/>
            <w:tcBorders>
              <w:tl2br w:val="nil"/>
              <w:tr2bl w:val="nil"/>
            </w:tcBorders>
            <w:vAlign w:val="top"/>
          </w:tcPr>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bidi w:val="0"/>
              <w:rPr>
                <w:rFonts w:hint="eastAsia" w:eastAsia="宋体"/>
                <w:color w:val="auto"/>
                <w:lang w:eastAsia="zh-CN"/>
              </w:rPr>
            </w:pPr>
            <w:r>
              <w:rPr>
                <w:rFonts w:hint="eastAsia" w:ascii="宋体" w:hAnsi="宋体" w:eastAsia="宋体" w:cs="宋体"/>
                <w:color w:val="auto"/>
                <w:sz w:val="24"/>
                <w:szCs w:val="24"/>
                <w:highlight w:val="none"/>
                <w:u w:val="none"/>
              </w:rPr>
              <w:t>沙坡头区陈水矿区废弃矿山生态修复项目(二期)</w:t>
            </w:r>
            <w:r>
              <w:rPr>
                <w:rFonts w:hint="eastAsia"/>
                <w:color w:val="auto"/>
              </w:rPr>
              <w:t>符合国家产业政策要求，项目施工期产生的各项污染物经采取切实可行的污染防治措施后，各项污染物均能实现达标排放。项目本身为</w:t>
            </w:r>
            <w:r>
              <w:rPr>
                <w:rFonts w:hint="eastAsia"/>
                <w:color w:val="auto"/>
                <w:lang w:eastAsia="zh-CN"/>
              </w:rPr>
              <w:t>生态修复</w:t>
            </w:r>
            <w:r>
              <w:rPr>
                <w:rFonts w:hint="eastAsia"/>
                <w:color w:val="auto"/>
              </w:rPr>
              <w:t>工程，该项目建设削减了区域污染负荷，将对改善项目所在区域生态环境，起到积极的作用，环境效益明显。建设单位须切实落实环境影响报告表中提出的各项污染防治措施和环境管理要求，严格执行建设项目环境保护“三同时”制度，在确保各项污染物达标排放的前提下，从环境保护的角度考虑，本项目的建设是可行的</w:t>
            </w:r>
            <w:r>
              <w:rPr>
                <w:rFonts w:hint="eastAsia"/>
                <w:color w:val="auto"/>
                <w:lang w:eastAsia="zh-CN"/>
              </w:rPr>
              <w:t>。</w:t>
            </w: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firstLine="420"/>
              <w:rPr>
                <w:rFonts w:hint="eastAsia"/>
                <w:color w:val="auto"/>
                <w:sz w:val="24"/>
                <w:szCs w:val="24"/>
                <w:highlight w:val="none"/>
              </w:rPr>
            </w:pPr>
          </w:p>
          <w:p>
            <w:pPr>
              <w:pStyle w:val="15"/>
              <w:ind w:left="0" w:leftChars="0" w:firstLine="0" w:firstLineChars="0"/>
              <w:rPr>
                <w:rFonts w:hint="eastAsia"/>
                <w:color w:val="auto"/>
                <w:sz w:val="24"/>
                <w:szCs w:val="24"/>
                <w:highlight w:val="none"/>
              </w:rPr>
            </w:pPr>
          </w:p>
        </w:tc>
      </w:tr>
    </w:tbl>
    <w:p>
      <w:pPr>
        <w:jc w:val="both"/>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jc w:val="both"/>
        <w:rPr>
          <w:rFonts w:hint="default"/>
          <w:lang w:val="en-US" w:eastAsia="zh-CN"/>
        </w:rPr>
      </w:pP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10002FF" w:usb1="4000ACFF" w:usb2="00000009" w:usb3="00000000" w:csb0="2000019F" w:csb1="00000000"/>
  </w:font>
  <w:font w:name="Calibri">
    <w:panose1 w:val="020F0502020204030204"/>
    <w:charset w:val="86"/>
    <w:family w:val="swiss"/>
    <w:pitch w:val="default"/>
    <w:sig w:usb0="E10002FF" w:usb1="4000ACFF" w:usb2="00000009" w:usb3="00000000" w:csb0="2000019F" w:csb1="00000000"/>
  </w:font>
  <w:font w:name="Calibri">
    <w:panose1 w:val="020F0502020204030204"/>
    <w:charset w:val="00"/>
    <w:family w:val="auto"/>
    <w:pitch w:val="default"/>
    <w:sig w:usb0="E10002FF" w:usb1="4000ACFF" w:usb2="00000009" w:usb3="00000000" w:csb0="2000019F" w:csb1="00000000"/>
  </w:font>
  <w:font w:name="Microsoft JhengHei">
    <w:panose1 w:val="020B0604030504040204"/>
    <w:charset w:val="88"/>
    <w:family w:val="swiss"/>
    <w:pitch w:val="default"/>
    <w:sig w:usb0="00000087" w:usb1="28AF4000" w:usb2="00000016" w:usb3="00000000" w:csb0="00100009" w:csb1="00000000"/>
  </w:font>
  <w:font w:name="仿宋_GB2312">
    <w:panose1 w:val="02010609030101010101"/>
    <w:charset w:val="86"/>
    <w:family w:val="modern"/>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FE50y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QYphGxU8/vp9+&#10;Ppx+fSM4g0CNCzPE3TtExvadbRE8nAccJt5t5XX6ghGBH/IeL/KKNhKeLk0n02kOF4dv2AA/e7zu&#10;fIjvhdUkGQX1qF8nKztsQuxDh5CUzdi1VKqroTKkKejV67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wUTnTICAABjBAAADgAAAAAAAAABACAAAAAfAQAAZHJzL2Uyb0RvYy54bWxQSwUG&#10;AAAAAAYABgBZAQAAwwUAAAAA&#10;">
              <v:fill on="f" focussize="0,0"/>
              <v:stroke on="f" weight="0.5pt"/>
              <v:imagedata o:title=""/>
              <o:lock v:ext="edit" aspectratio="f"/>
              <v:textbox inset="0mm,0mm,0mm,0mm" style="mso-fit-shape-to-text:t;">
                <w:txbxContent>
                  <w:p>
                    <w:pPr>
                      <w:pStyle w:val="1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9590FB"/>
    <w:multiLevelType w:val="singleLevel"/>
    <w:tmpl w:val="869590FB"/>
    <w:lvl w:ilvl="0" w:tentative="0">
      <w:start w:val="6"/>
      <w:numFmt w:val="decimal"/>
      <w:suff w:val="nothing"/>
      <w:lvlText w:val="%1、"/>
      <w:lvlJc w:val="left"/>
    </w:lvl>
  </w:abstractNum>
  <w:abstractNum w:abstractNumId="1">
    <w:nsid w:val="94FB3ABA"/>
    <w:multiLevelType w:val="singleLevel"/>
    <w:tmpl w:val="94FB3ABA"/>
    <w:lvl w:ilvl="0" w:tentative="0">
      <w:start w:val="1"/>
      <w:numFmt w:val="chineseCounting"/>
      <w:suff w:val="nothing"/>
      <w:lvlText w:val="%1、"/>
      <w:lvlJc w:val="left"/>
      <w:rPr>
        <w:rFonts w:hint="eastAsia"/>
      </w:rPr>
    </w:lvl>
  </w:abstractNum>
  <w:abstractNum w:abstractNumId="2">
    <w:nsid w:val="F2AE1839"/>
    <w:multiLevelType w:val="singleLevel"/>
    <w:tmpl w:val="F2AE1839"/>
    <w:lvl w:ilvl="0" w:tentative="0">
      <w:start w:val="1"/>
      <w:numFmt w:val="decimal"/>
      <w:suff w:val="nothing"/>
      <w:lvlText w:val="%1、"/>
      <w:lvlJc w:val="left"/>
    </w:lvl>
  </w:abstractNum>
  <w:abstractNum w:abstractNumId="3">
    <w:nsid w:val="09965197"/>
    <w:multiLevelType w:val="singleLevel"/>
    <w:tmpl w:val="09965197"/>
    <w:lvl w:ilvl="0" w:tentative="0">
      <w:start w:val="1"/>
      <w:numFmt w:val="decimal"/>
      <w:suff w:val="nothing"/>
      <w:lvlText w:val="%1、"/>
      <w:lvlJc w:val="left"/>
    </w:lvl>
  </w:abstractNum>
  <w:abstractNum w:abstractNumId="4">
    <w:nsid w:val="1B11481D"/>
    <w:multiLevelType w:val="singleLevel"/>
    <w:tmpl w:val="1B11481D"/>
    <w:lvl w:ilvl="0" w:tentative="0">
      <w:start w:val="1"/>
      <w:numFmt w:val="decimal"/>
      <w:suff w:val="nothing"/>
      <w:lvlText w:val="%1、"/>
      <w:lvlJc w:val="left"/>
    </w:lvl>
  </w:abstractNum>
  <w:abstractNum w:abstractNumId="5">
    <w:nsid w:val="331381A3"/>
    <w:multiLevelType w:val="singleLevel"/>
    <w:tmpl w:val="331381A3"/>
    <w:lvl w:ilvl="0" w:tentative="0">
      <w:start w:val="1"/>
      <w:numFmt w:val="bullet"/>
      <w:pStyle w:val="3"/>
      <w:lvlText w:val=""/>
      <w:lvlJc w:val="left"/>
      <w:pPr>
        <w:tabs>
          <w:tab w:val="left" w:pos="2040"/>
        </w:tabs>
        <w:ind w:left="2040" w:hanging="360"/>
      </w:pPr>
      <w:rPr>
        <w:rFonts w:hint="default" w:ascii="Wingdings" w:hAnsi="Wingdings"/>
      </w:rPr>
    </w:lvl>
  </w:abstractNum>
  <w:abstractNum w:abstractNumId="6">
    <w:nsid w:val="415986F3"/>
    <w:multiLevelType w:val="singleLevel"/>
    <w:tmpl w:val="415986F3"/>
    <w:lvl w:ilvl="0" w:tentative="0">
      <w:start w:val="1"/>
      <w:numFmt w:val="chineseCounting"/>
      <w:suff w:val="nothing"/>
      <w:lvlText w:val="%1、"/>
      <w:lvlJc w:val="left"/>
      <w:rPr>
        <w:rFonts w:hint="eastAsia"/>
      </w:rPr>
    </w:lvl>
  </w:abstractNum>
  <w:num w:numId="1">
    <w:abstractNumId w:val="5"/>
  </w:num>
  <w:num w:numId="2">
    <w:abstractNumId w:val="1"/>
  </w:num>
  <w:num w:numId="3">
    <w:abstractNumId w:val="6"/>
  </w:num>
  <w:num w:numId="4">
    <w:abstractNumId w:val="0"/>
  </w:num>
  <w:num w:numId="5">
    <w:abstractNumId w:val="4"/>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Q0NGM3ZmYzNWE2ODk5ZTNiODUzMjg3NTBlZDAyOTUifQ=="/>
  </w:docVars>
  <w:rsids>
    <w:rsidRoot w:val="00172A27"/>
    <w:rsid w:val="00042B21"/>
    <w:rsid w:val="00054B59"/>
    <w:rsid w:val="00067105"/>
    <w:rsid w:val="00077A7A"/>
    <w:rsid w:val="000A6D43"/>
    <w:rsid w:val="000D5813"/>
    <w:rsid w:val="000F1A17"/>
    <w:rsid w:val="00105787"/>
    <w:rsid w:val="0013032B"/>
    <w:rsid w:val="00136EAA"/>
    <w:rsid w:val="00167827"/>
    <w:rsid w:val="00172A27"/>
    <w:rsid w:val="00191A98"/>
    <w:rsid w:val="001B2AA1"/>
    <w:rsid w:val="002671FB"/>
    <w:rsid w:val="002E283C"/>
    <w:rsid w:val="002F5E09"/>
    <w:rsid w:val="00331D8D"/>
    <w:rsid w:val="00345217"/>
    <w:rsid w:val="00357AFB"/>
    <w:rsid w:val="00361BD5"/>
    <w:rsid w:val="003673F5"/>
    <w:rsid w:val="003705AE"/>
    <w:rsid w:val="00371DBE"/>
    <w:rsid w:val="003C6B67"/>
    <w:rsid w:val="00457038"/>
    <w:rsid w:val="00474CA9"/>
    <w:rsid w:val="004971DE"/>
    <w:rsid w:val="004B3E57"/>
    <w:rsid w:val="004E3F02"/>
    <w:rsid w:val="004F79DA"/>
    <w:rsid w:val="005003A8"/>
    <w:rsid w:val="00580EC2"/>
    <w:rsid w:val="00581AC8"/>
    <w:rsid w:val="005845E4"/>
    <w:rsid w:val="00626043"/>
    <w:rsid w:val="00631AA6"/>
    <w:rsid w:val="0064397E"/>
    <w:rsid w:val="006449AC"/>
    <w:rsid w:val="006F4737"/>
    <w:rsid w:val="00715EFA"/>
    <w:rsid w:val="00724BFA"/>
    <w:rsid w:val="007628C8"/>
    <w:rsid w:val="00793C80"/>
    <w:rsid w:val="007B1B60"/>
    <w:rsid w:val="007F3F42"/>
    <w:rsid w:val="007F6ED5"/>
    <w:rsid w:val="00845FD9"/>
    <w:rsid w:val="008A65B0"/>
    <w:rsid w:val="008C4C03"/>
    <w:rsid w:val="008C6EA8"/>
    <w:rsid w:val="008E72AE"/>
    <w:rsid w:val="008F25A7"/>
    <w:rsid w:val="00A042FA"/>
    <w:rsid w:val="00A7762E"/>
    <w:rsid w:val="00B2239D"/>
    <w:rsid w:val="00BB407F"/>
    <w:rsid w:val="00BE715C"/>
    <w:rsid w:val="00C147C1"/>
    <w:rsid w:val="00C84907"/>
    <w:rsid w:val="00CB0BC9"/>
    <w:rsid w:val="00CB2F8A"/>
    <w:rsid w:val="00D3164B"/>
    <w:rsid w:val="00D6138B"/>
    <w:rsid w:val="00D80E1D"/>
    <w:rsid w:val="00DB31EB"/>
    <w:rsid w:val="00DD254A"/>
    <w:rsid w:val="00DD5F20"/>
    <w:rsid w:val="00DF73FB"/>
    <w:rsid w:val="00E467FF"/>
    <w:rsid w:val="00E813AB"/>
    <w:rsid w:val="00E921B3"/>
    <w:rsid w:val="00EB0916"/>
    <w:rsid w:val="00EB55BB"/>
    <w:rsid w:val="00F47ED5"/>
    <w:rsid w:val="01126014"/>
    <w:rsid w:val="01453B92"/>
    <w:rsid w:val="01995E38"/>
    <w:rsid w:val="019D5583"/>
    <w:rsid w:val="01AF7860"/>
    <w:rsid w:val="01FD7E4B"/>
    <w:rsid w:val="023476EE"/>
    <w:rsid w:val="023B7FF0"/>
    <w:rsid w:val="03002423"/>
    <w:rsid w:val="033C2073"/>
    <w:rsid w:val="04BB1D38"/>
    <w:rsid w:val="04D7125A"/>
    <w:rsid w:val="054A3034"/>
    <w:rsid w:val="06625FBC"/>
    <w:rsid w:val="06E93094"/>
    <w:rsid w:val="0896375D"/>
    <w:rsid w:val="08AE59AD"/>
    <w:rsid w:val="08EC3EF9"/>
    <w:rsid w:val="09300B06"/>
    <w:rsid w:val="0A5E78F5"/>
    <w:rsid w:val="0D2113C1"/>
    <w:rsid w:val="0D6B7B10"/>
    <w:rsid w:val="0DFC6A4B"/>
    <w:rsid w:val="0E506343"/>
    <w:rsid w:val="0F582DB0"/>
    <w:rsid w:val="118F6087"/>
    <w:rsid w:val="12C03CBB"/>
    <w:rsid w:val="13382AB8"/>
    <w:rsid w:val="160D7F08"/>
    <w:rsid w:val="16F92D38"/>
    <w:rsid w:val="170E1A18"/>
    <w:rsid w:val="17CC2780"/>
    <w:rsid w:val="17E22D9B"/>
    <w:rsid w:val="17FB6E45"/>
    <w:rsid w:val="17FE5D44"/>
    <w:rsid w:val="18C47CF8"/>
    <w:rsid w:val="18CE3165"/>
    <w:rsid w:val="18F738BA"/>
    <w:rsid w:val="19493A5D"/>
    <w:rsid w:val="19745580"/>
    <w:rsid w:val="199A2129"/>
    <w:rsid w:val="1A9326F3"/>
    <w:rsid w:val="1A9F1238"/>
    <w:rsid w:val="1BF9712D"/>
    <w:rsid w:val="1C0E2BB9"/>
    <w:rsid w:val="1C3D736A"/>
    <w:rsid w:val="219F4191"/>
    <w:rsid w:val="21EC791B"/>
    <w:rsid w:val="222D4F57"/>
    <w:rsid w:val="225A2438"/>
    <w:rsid w:val="228E416F"/>
    <w:rsid w:val="269C55D5"/>
    <w:rsid w:val="26C56098"/>
    <w:rsid w:val="27352BD6"/>
    <w:rsid w:val="29731155"/>
    <w:rsid w:val="29D357B2"/>
    <w:rsid w:val="2A017431"/>
    <w:rsid w:val="2B82746B"/>
    <w:rsid w:val="2BA40FB9"/>
    <w:rsid w:val="2BC846F6"/>
    <w:rsid w:val="2D2D3F6B"/>
    <w:rsid w:val="2D5C0951"/>
    <w:rsid w:val="2E7B174E"/>
    <w:rsid w:val="2FBD14D9"/>
    <w:rsid w:val="31973082"/>
    <w:rsid w:val="32A21C8A"/>
    <w:rsid w:val="34053DCE"/>
    <w:rsid w:val="3481224E"/>
    <w:rsid w:val="34ED6307"/>
    <w:rsid w:val="359202CF"/>
    <w:rsid w:val="373E372F"/>
    <w:rsid w:val="37BC5AD7"/>
    <w:rsid w:val="37E40B8A"/>
    <w:rsid w:val="39736669"/>
    <w:rsid w:val="39F05451"/>
    <w:rsid w:val="3A41236F"/>
    <w:rsid w:val="3AC727C9"/>
    <w:rsid w:val="3B0F4063"/>
    <w:rsid w:val="3BA07B7A"/>
    <w:rsid w:val="3C756255"/>
    <w:rsid w:val="3D6146D3"/>
    <w:rsid w:val="3E1B6452"/>
    <w:rsid w:val="3E502AD5"/>
    <w:rsid w:val="3F116709"/>
    <w:rsid w:val="3FCA3A59"/>
    <w:rsid w:val="40990785"/>
    <w:rsid w:val="416640A9"/>
    <w:rsid w:val="42A55F03"/>
    <w:rsid w:val="43197342"/>
    <w:rsid w:val="43E50AC6"/>
    <w:rsid w:val="445C005E"/>
    <w:rsid w:val="45825D9A"/>
    <w:rsid w:val="45A943F9"/>
    <w:rsid w:val="464473C4"/>
    <w:rsid w:val="46C70705"/>
    <w:rsid w:val="479C0349"/>
    <w:rsid w:val="48FC1BA5"/>
    <w:rsid w:val="492C23B3"/>
    <w:rsid w:val="4C393EF4"/>
    <w:rsid w:val="4C632D70"/>
    <w:rsid w:val="4CDB2590"/>
    <w:rsid w:val="4D215EA9"/>
    <w:rsid w:val="4EE2438C"/>
    <w:rsid w:val="4EFC37EA"/>
    <w:rsid w:val="4EFD45B3"/>
    <w:rsid w:val="4FEF5685"/>
    <w:rsid w:val="50F97C18"/>
    <w:rsid w:val="5239012D"/>
    <w:rsid w:val="52D5770F"/>
    <w:rsid w:val="53093D14"/>
    <w:rsid w:val="540B32CF"/>
    <w:rsid w:val="545F7ABE"/>
    <w:rsid w:val="56360FF6"/>
    <w:rsid w:val="564A52E0"/>
    <w:rsid w:val="566A7262"/>
    <w:rsid w:val="56FC15B1"/>
    <w:rsid w:val="590265C8"/>
    <w:rsid w:val="59047802"/>
    <w:rsid w:val="595A2602"/>
    <w:rsid w:val="5992107A"/>
    <w:rsid w:val="5BD62414"/>
    <w:rsid w:val="5BE3445F"/>
    <w:rsid w:val="5E272C2C"/>
    <w:rsid w:val="5E547F68"/>
    <w:rsid w:val="60EB77FF"/>
    <w:rsid w:val="64B165B0"/>
    <w:rsid w:val="64C26686"/>
    <w:rsid w:val="65391840"/>
    <w:rsid w:val="680D18B3"/>
    <w:rsid w:val="68F46203"/>
    <w:rsid w:val="69522765"/>
    <w:rsid w:val="6A01466B"/>
    <w:rsid w:val="6A4D3CD1"/>
    <w:rsid w:val="6B572E46"/>
    <w:rsid w:val="6BA21DA4"/>
    <w:rsid w:val="6C557F12"/>
    <w:rsid w:val="6F593630"/>
    <w:rsid w:val="719C3171"/>
    <w:rsid w:val="71CD751C"/>
    <w:rsid w:val="72971D6E"/>
    <w:rsid w:val="74090948"/>
    <w:rsid w:val="742F2BB2"/>
    <w:rsid w:val="75BA64AB"/>
    <w:rsid w:val="76973B71"/>
    <w:rsid w:val="76A21292"/>
    <w:rsid w:val="76AD0328"/>
    <w:rsid w:val="76E17F7E"/>
    <w:rsid w:val="79C36276"/>
    <w:rsid w:val="79E24314"/>
    <w:rsid w:val="7A2D7B93"/>
    <w:rsid w:val="7B5948A5"/>
    <w:rsid w:val="7BBB4AD0"/>
    <w:rsid w:val="7BCD4E8A"/>
    <w:rsid w:val="7BE37CDC"/>
    <w:rsid w:val="7BE4266D"/>
    <w:rsid w:val="7C0B0AFE"/>
    <w:rsid w:val="7E4201EB"/>
    <w:rsid w:val="7EB62A36"/>
    <w:rsid w:val="7F9927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1"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jc w:val="center"/>
    </w:pPr>
    <w:rPr>
      <w:rFonts w:ascii="Times New Roman" w:hAnsi="Times New Roman" w:eastAsia="宋体" w:cs="Times New Roman"/>
      <w:snapToGrid w:val="0"/>
      <w:sz w:val="24"/>
      <w:szCs w:val="24"/>
      <w:lang w:val="en-US" w:eastAsia="zh-CN" w:bidi="ar-SA"/>
    </w:rPr>
  </w:style>
  <w:style w:type="paragraph" w:styleId="4">
    <w:name w:val="heading 1"/>
    <w:basedOn w:val="1"/>
    <w:next w:val="1"/>
    <w:qFormat/>
    <w:uiPriority w:val="0"/>
    <w:pPr>
      <w:spacing w:line="360" w:lineRule="auto"/>
      <w:outlineLvl w:val="0"/>
    </w:pPr>
    <w:rPr>
      <w:rFonts w:eastAsia="黑体"/>
      <w:b/>
      <w:kern w:val="44"/>
      <w:sz w:val="30"/>
    </w:rPr>
  </w:style>
  <w:style w:type="paragraph" w:styleId="5">
    <w:name w:val="heading 2"/>
    <w:basedOn w:val="1"/>
    <w:next w:val="6"/>
    <w:link w:val="39"/>
    <w:unhideWhenUsed/>
    <w:qFormat/>
    <w:uiPriority w:val="0"/>
    <w:pPr>
      <w:keepNext/>
      <w:keepLines/>
      <w:spacing w:line="360" w:lineRule="auto"/>
      <w:jc w:val="left"/>
      <w:outlineLvl w:val="1"/>
    </w:pPr>
    <w:rPr>
      <w:rFonts w:ascii="Times New Roman" w:hAnsi="Times New Roman" w:eastAsia="宋体"/>
      <w:b/>
    </w:rPr>
  </w:style>
  <w:style w:type="paragraph" w:styleId="8">
    <w:name w:val="heading 3"/>
    <w:basedOn w:val="9"/>
    <w:next w:val="1"/>
    <w:qFormat/>
    <w:uiPriority w:val="1"/>
    <w:pPr>
      <w:ind w:left="880" w:hanging="212"/>
      <w:outlineLvl w:val="2"/>
    </w:pPr>
    <w:rPr>
      <w:rFonts w:ascii="Microsoft JhengHei" w:hAnsi="Microsoft JhengHei" w:eastAsia="Microsoft JhengHei" w:cs="Microsoft JhengHei"/>
      <w:b/>
      <w:bCs/>
      <w:sz w:val="28"/>
      <w:szCs w:val="28"/>
      <w:lang w:val="zh-CN" w:bidi="zh-CN"/>
    </w:rPr>
  </w:style>
  <w:style w:type="paragraph" w:styleId="10">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paragraph" w:styleId="11">
    <w:name w:val="heading 5"/>
    <w:basedOn w:val="1"/>
    <w:next w:val="1"/>
    <w:unhideWhenUsed/>
    <w:qFormat/>
    <w:uiPriority w:val="0"/>
    <w:pPr>
      <w:keepNext/>
      <w:keepLines/>
      <w:spacing w:before="280" w:after="290" w:line="372" w:lineRule="auto"/>
      <w:outlineLvl w:val="4"/>
    </w:pPr>
    <w:rPr>
      <w:b/>
      <w:sz w:val="28"/>
    </w:rPr>
  </w:style>
  <w:style w:type="paragraph" w:styleId="12">
    <w:name w:val="heading 6"/>
    <w:basedOn w:val="1"/>
    <w:next w:val="1"/>
    <w:unhideWhenUsed/>
    <w:qFormat/>
    <w:uiPriority w:val="0"/>
    <w:pPr>
      <w:keepNext/>
      <w:keepLines/>
      <w:spacing w:before="240" w:after="64" w:line="317" w:lineRule="auto"/>
      <w:outlineLvl w:val="5"/>
    </w:pPr>
    <w:rPr>
      <w:rFonts w:ascii="Arial" w:hAnsi="Arial" w:eastAsia="黑体"/>
      <w:b/>
      <w:sz w:val="24"/>
    </w:rPr>
  </w:style>
  <w:style w:type="paragraph" w:styleId="7">
    <w:name w:val="heading 7"/>
    <w:basedOn w:val="1"/>
    <w:next w:val="1"/>
    <w:link w:val="32"/>
    <w:unhideWhenUsed/>
    <w:qFormat/>
    <w:uiPriority w:val="0"/>
    <w:pPr>
      <w:keepNext/>
      <w:keepLines/>
      <w:spacing w:line="360" w:lineRule="auto"/>
      <w:outlineLvl w:val="6"/>
    </w:pPr>
    <w:rPr>
      <w:rFonts w:ascii="Times New Roman" w:hAnsi="Times New Roman" w:eastAsia="宋体"/>
      <w:b/>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38"/>
    <w:qFormat/>
    <w:uiPriority w:val="1"/>
    <w:rPr>
      <w:rFonts w:ascii="宋体" w:hAnsi="宋体" w:cs="宋体"/>
      <w:sz w:val="28"/>
      <w:szCs w:val="28"/>
      <w:lang w:val="zh-CN" w:bidi="zh-CN"/>
    </w:rPr>
  </w:style>
  <w:style w:type="paragraph" w:styleId="3">
    <w:name w:val="List Bullet 5"/>
    <w:basedOn w:val="1"/>
    <w:qFormat/>
    <w:uiPriority w:val="0"/>
    <w:pPr>
      <w:numPr>
        <w:ilvl w:val="0"/>
        <w:numId w:val="1"/>
      </w:numPr>
    </w:pPr>
  </w:style>
  <w:style w:type="paragraph" w:customStyle="1" w:styleId="6">
    <w:name w:val="图片"/>
    <w:basedOn w:val="1"/>
    <w:next w:val="7"/>
    <w:qFormat/>
    <w:uiPriority w:val="0"/>
    <w:pPr>
      <w:spacing w:line="240" w:lineRule="auto"/>
      <w:ind w:firstLine="0" w:firstLineChars="0"/>
      <w:jc w:val="center"/>
    </w:pPr>
    <w:rPr>
      <w:rFonts w:ascii="Times New Roman" w:hAnsi="Times New Roman" w:eastAsia="宋体"/>
      <w:position w:val="-82"/>
    </w:rPr>
  </w:style>
  <w:style w:type="paragraph" w:styleId="9">
    <w:name w:val="List Paragraph"/>
    <w:basedOn w:val="1"/>
    <w:qFormat/>
    <w:uiPriority w:val="1"/>
    <w:pPr>
      <w:ind w:left="1369" w:hanging="701"/>
    </w:pPr>
    <w:rPr>
      <w:rFonts w:ascii="宋体" w:hAnsi="宋体" w:cs="宋体"/>
      <w:lang w:val="zh-CN" w:bidi="zh-CN"/>
    </w:rPr>
  </w:style>
  <w:style w:type="paragraph" w:styleId="13">
    <w:name w:val="Normal Indent"/>
    <w:basedOn w:val="1"/>
    <w:next w:val="1"/>
    <w:qFormat/>
    <w:uiPriority w:val="0"/>
    <w:pPr>
      <w:widowControl/>
      <w:spacing w:line="486" w:lineRule="exact"/>
      <w:ind w:firstLine="420" w:firstLineChars="200"/>
      <w:jc w:val="left"/>
    </w:pPr>
    <w:rPr>
      <w:rFonts w:eastAsia="仿宋_GB2312"/>
      <w:bCs/>
      <w:sz w:val="28"/>
    </w:rPr>
  </w:style>
  <w:style w:type="paragraph" w:styleId="14">
    <w:name w:val="annotation text"/>
    <w:basedOn w:val="1"/>
    <w:link w:val="36"/>
    <w:qFormat/>
    <w:uiPriority w:val="0"/>
    <w:pPr>
      <w:jc w:val="left"/>
    </w:pPr>
  </w:style>
  <w:style w:type="paragraph" w:styleId="15">
    <w:name w:val="Plain Text"/>
    <w:basedOn w:val="1"/>
    <w:link w:val="33"/>
    <w:qFormat/>
    <w:uiPriority w:val="0"/>
    <w:pPr>
      <w:spacing w:line="360" w:lineRule="auto"/>
      <w:ind w:firstLine="720" w:firstLineChars="200"/>
      <w:jc w:val="left"/>
    </w:pPr>
    <w:rPr>
      <w:rFonts w:ascii="Times New Roman" w:hAnsi="Times New Roman" w:eastAsia="宋体"/>
      <w:sz w:val="24"/>
    </w:rPr>
  </w:style>
  <w:style w:type="paragraph" w:styleId="16">
    <w:name w:val="Balloon Text"/>
    <w:basedOn w:val="1"/>
    <w:link w:val="35"/>
    <w:qFormat/>
    <w:uiPriority w:val="0"/>
    <w:rPr>
      <w:sz w:val="18"/>
      <w:szCs w:val="18"/>
    </w:rPr>
  </w:style>
  <w:style w:type="paragraph" w:styleId="17">
    <w:name w:val="footer"/>
    <w:basedOn w:val="1"/>
    <w:next w:val="1"/>
    <w:qFormat/>
    <w:uiPriority w:val="99"/>
    <w:pPr>
      <w:tabs>
        <w:tab w:val="center" w:pos="4153"/>
        <w:tab w:val="right" w:pos="8306"/>
      </w:tabs>
      <w:jc w:val="left"/>
    </w:pPr>
    <w:rPr>
      <w:sz w:val="18"/>
      <w:szCs w:val="20"/>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19">
    <w:name w:val="index heading"/>
    <w:basedOn w:val="1"/>
    <w:next w:val="20"/>
    <w:qFormat/>
    <w:uiPriority w:val="0"/>
    <w:pPr>
      <w:widowControl w:val="0"/>
      <w:jc w:val="both"/>
    </w:pPr>
    <w:rPr>
      <w:rFonts w:ascii="Arial" w:hAnsi="Arial" w:eastAsia="宋体"/>
      <w:b/>
      <w:kern w:val="2"/>
      <w:sz w:val="21"/>
      <w:lang w:val="en-US" w:eastAsia="zh-CN" w:bidi="ar-SA"/>
    </w:rPr>
  </w:style>
  <w:style w:type="paragraph" w:styleId="20">
    <w:name w:val="index 1"/>
    <w:basedOn w:val="1"/>
    <w:next w:val="1"/>
    <w:qFormat/>
    <w:uiPriority w:val="0"/>
    <w:pPr>
      <w:adjustRightInd w:val="0"/>
      <w:spacing w:line="240" w:lineRule="atLeast"/>
      <w:jc w:val="center"/>
      <w:textAlignment w:val="baseline"/>
    </w:pPr>
    <w:rPr>
      <w:rFonts w:ascii="宋体" w:hAnsi="宋体"/>
      <w:kern w:val="0"/>
    </w:rPr>
  </w:style>
  <w:style w:type="paragraph" w:styleId="21">
    <w:name w:val="Body Text 2"/>
    <w:basedOn w:val="1"/>
    <w:qFormat/>
    <w:uiPriority w:val="0"/>
    <w:pPr>
      <w:snapToGrid w:val="0"/>
      <w:jc w:val="center"/>
    </w:pPr>
    <w:rPr>
      <w:sz w:val="28"/>
    </w:rPr>
  </w:style>
  <w:style w:type="paragraph" w:styleId="22">
    <w:name w:val="Normal (Web)"/>
    <w:basedOn w:val="1"/>
    <w:qFormat/>
    <w:uiPriority w:val="0"/>
    <w:pPr>
      <w:widowControl/>
      <w:spacing w:before="100" w:beforeAutospacing="1" w:after="100" w:afterAutospacing="1"/>
      <w:jc w:val="left"/>
    </w:pPr>
    <w:rPr>
      <w:rFonts w:ascii="宋体" w:hAnsi="宋体"/>
      <w:sz w:val="24"/>
    </w:rPr>
  </w:style>
  <w:style w:type="paragraph" w:styleId="23">
    <w:name w:val="annotation subject"/>
    <w:basedOn w:val="14"/>
    <w:next w:val="14"/>
    <w:link w:val="37"/>
    <w:qFormat/>
    <w:uiPriority w:val="0"/>
    <w:rPr>
      <w:b/>
      <w:bCs/>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27">
    <w:name w:val="Strong"/>
    <w:basedOn w:val="26"/>
    <w:qFormat/>
    <w:uiPriority w:val="0"/>
    <w:rPr>
      <w:b/>
    </w:rPr>
  </w:style>
  <w:style w:type="character" w:styleId="28">
    <w:name w:val="page number"/>
    <w:basedOn w:val="26"/>
    <w:qFormat/>
    <w:uiPriority w:val="0"/>
  </w:style>
  <w:style w:type="character" w:styleId="29">
    <w:name w:val="annotation reference"/>
    <w:basedOn w:val="26"/>
    <w:qFormat/>
    <w:uiPriority w:val="0"/>
    <w:rPr>
      <w:sz w:val="21"/>
      <w:szCs w:val="21"/>
    </w:rPr>
  </w:style>
  <w:style w:type="paragraph" w:customStyle="1" w:styleId="30">
    <w:name w:val="Default"/>
    <w:basedOn w:val="1"/>
    <w:next w:val="19"/>
    <w:qFormat/>
    <w:uiPriority w:val="0"/>
    <w:pPr>
      <w:keepNext w:val="0"/>
      <w:keepLines w:val="0"/>
      <w:widowControl w:val="0"/>
      <w:suppressLineNumbers w:val="0"/>
      <w:autoSpaceDE w:val="0"/>
      <w:autoSpaceDN w:val="0"/>
      <w:adjustRightInd w:val="0"/>
      <w:spacing w:before="0" w:beforeAutospacing="0" w:after="0" w:afterAutospacing="0"/>
      <w:ind w:left="0" w:right="0"/>
      <w:jc w:val="left"/>
    </w:pPr>
    <w:rPr>
      <w:rFonts w:hint="eastAsia" w:ascii="宋体" w:hAnsi="Calibri" w:eastAsia="宋体" w:cs="宋体"/>
      <w:color w:val="000000"/>
      <w:kern w:val="0"/>
      <w:sz w:val="24"/>
      <w:szCs w:val="24"/>
      <w:lang w:val="en-US" w:eastAsia="zh-CN" w:bidi="ar"/>
    </w:rPr>
  </w:style>
  <w:style w:type="paragraph" w:customStyle="1" w:styleId="31">
    <w:name w:val="表格"/>
    <w:basedOn w:val="13"/>
    <w:next w:val="21"/>
    <w:qFormat/>
    <w:uiPriority w:val="0"/>
    <w:pPr>
      <w:spacing w:beforeLines="10" w:afterLines="10" w:line="259" w:lineRule="auto"/>
    </w:pPr>
    <w:rPr>
      <w:rFonts w:ascii="宋体"/>
      <w:sz w:val="20"/>
      <w:szCs w:val="21"/>
    </w:rPr>
  </w:style>
  <w:style w:type="character" w:customStyle="1" w:styleId="32">
    <w:name w:val="标题 7 Char"/>
    <w:link w:val="7"/>
    <w:qFormat/>
    <w:uiPriority w:val="0"/>
    <w:rPr>
      <w:rFonts w:ascii="Times New Roman" w:hAnsi="Times New Roman" w:eastAsia="宋体"/>
      <w:b/>
      <w:sz w:val="24"/>
    </w:rPr>
  </w:style>
  <w:style w:type="character" w:customStyle="1" w:styleId="33">
    <w:name w:val="纯文本 Char"/>
    <w:link w:val="15"/>
    <w:qFormat/>
    <w:uiPriority w:val="0"/>
    <w:rPr>
      <w:rFonts w:ascii="Times New Roman" w:hAnsi="Times New Roman" w:eastAsia="宋体"/>
      <w:sz w:val="24"/>
    </w:rPr>
  </w:style>
  <w:style w:type="table" w:customStyle="1" w:styleId="34">
    <w:name w:val="Table Normal"/>
    <w:semiHidden/>
    <w:unhideWhenUsed/>
    <w:qFormat/>
    <w:uiPriority w:val="0"/>
    <w:tblPr>
      <w:tblCellMar>
        <w:top w:w="0" w:type="dxa"/>
        <w:left w:w="0" w:type="dxa"/>
        <w:bottom w:w="0" w:type="dxa"/>
        <w:right w:w="0" w:type="dxa"/>
      </w:tblCellMar>
    </w:tblPr>
  </w:style>
  <w:style w:type="character" w:customStyle="1" w:styleId="35">
    <w:name w:val="批注框文本 Char"/>
    <w:basedOn w:val="26"/>
    <w:link w:val="16"/>
    <w:qFormat/>
    <w:uiPriority w:val="0"/>
    <w:rPr>
      <w:snapToGrid w:val="0"/>
      <w:sz w:val="18"/>
      <w:szCs w:val="18"/>
    </w:rPr>
  </w:style>
  <w:style w:type="character" w:customStyle="1" w:styleId="36">
    <w:name w:val="批注文字 Char"/>
    <w:basedOn w:val="26"/>
    <w:link w:val="14"/>
    <w:qFormat/>
    <w:uiPriority w:val="0"/>
    <w:rPr>
      <w:snapToGrid w:val="0"/>
      <w:sz w:val="21"/>
      <w:szCs w:val="24"/>
    </w:rPr>
  </w:style>
  <w:style w:type="character" w:customStyle="1" w:styleId="37">
    <w:name w:val="批注主题 Char"/>
    <w:basedOn w:val="36"/>
    <w:link w:val="23"/>
    <w:qFormat/>
    <w:uiPriority w:val="0"/>
    <w:rPr>
      <w:b/>
      <w:bCs/>
      <w:snapToGrid w:val="0"/>
      <w:sz w:val="21"/>
      <w:szCs w:val="24"/>
    </w:rPr>
  </w:style>
  <w:style w:type="character" w:customStyle="1" w:styleId="38">
    <w:name w:val="正文文本 Char"/>
    <w:link w:val="2"/>
    <w:qFormat/>
    <w:uiPriority w:val="1"/>
    <w:rPr>
      <w:rFonts w:ascii="宋体" w:hAnsi="宋体" w:cs="宋体"/>
      <w:sz w:val="28"/>
      <w:szCs w:val="28"/>
      <w:lang w:val="zh-CN" w:bidi="zh-CN"/>
    </w:rPr>
  </w:style>
  <w:style w:type="character" w:customStyle="1" w:styleId="39">
    <w:name w:val="标题 2 Char"/>
    <w:link w:val="5"/>
    <w:qFormat/>
    <w:uiPriority w:val="0"/>
    <w:rPr>
      <w:rFonts w:ascii="Times New Roman" w:hAnsi="Times New Roman" w:eastAsia="宋体"/>
      <w:b/>
    </w:rPr>
  </w:style>
  <w:style w:type="character" w:customStyle="1" w:styleId="40">
    <w:name w:val="font81"/>
    <w:basedOn w:val="26"/>
    <w:qFormat/>
    <w:uiPriority w:val="0"/>
    <w:rPr>
      <w:rFonts w:hint="default" w:ascii="Arial" w:hAnsi="Arial" w:cs="Arial"/>
      <w:color w:val="000000"/>
      <w:sz w:val="22"/>
      <w:szCs w:val="22"/>
      <w:u w:val="none"/>
    </w:rPr>
  </w:style>
  <w:style w:type="character" w:customStyle="1" w:styleId="41">
    <w:name w:val="font51"/>
    <w:basedOn w:val="26"/>
    <w:qFormat/>
    <w:uiPriority w:val="0"/>
    <w:rPr>
      <w:rFonts w:hint="default" w:ascii="Arial" w:hAnsi="Arial" w:cs="Arial"/>
      <w:color w:val="000000"/>
      <w:sz w:val="19"/>
      <w:szCs w:val="19"/>
      <w:u w:val="none"/>
    </w:rPr>
  </w:style>
  <w:style w:type="character" w:customStyle="1" w:styleId="42">
    <w:name w:val="font91"/>
    <w:basedOn w:val="26"/>
    <w:qFormat/>
    <w:uiPriority w:val="0"/>
    <w:rPr>
      <w:rFonts w:hint="default" w:ascii="Arial" w:hAnsi="Arial" w:cs="Arial"/>
      <w:color w:val="000000"/>
      <w:sz w:val="10"/>
      <w:szCs w:val="10"/>
      <w:u w:val="none"/>
    </w:rPr>
  </w:style>
  <w:style w:type="character" w:customStyle="1" w:styleId="43">
    <w:name w:val="font101"/>
    <w:basedOn w:val="26"/>
    <w:qFormat/>
    <w:uiPriority w:val="0"/>
    <w:rPr>
      <w:rFonts w:ascii="宋体" w:hAnsi="宋体" w:eastAsia="宋体" w:cs="宋体"/>
      <w:color w:val="000000"/>
      <w:sz w:val="40"/>
      <w:szCs w:val="40"/>
      <w:u w:val="none"/>
    </w:rPr>
  </w:style>
  <w:style w:type="character" w:customStyle="1" w:styleId="44">
    <w:name w:val="font01"/>
    <w:basedOn w:val="26"/>
    <w:qFormat/>
    <w:uiPriority w:val="0"/>
    <w:rPr>
      <w:rFonts w:hint="default" w:ascii="Arial" w:hAnsi="Arial" w:cs="Arial"/>
      <w:color w:val="000000"/>
      <w:sz w:val="6"/>
      <w:szCs w:val="6"/>
      <w:u w:val="none"/>
    </w:rPr>
  </w:style>
  <w:style w:type="paragraph" w:customStyle="1" w:styleId="45">
    <w:name w:val="正文001"/>
    <w:basedOn w:val="1"/>
    <w:qFormat/>
    <w:uiPriority w:val="0"/>
    <w:pPr>
      <w:spacing w:before="60" w:line="460" w:lineRule="exact"/>
      <w:ind w:firstLine="482"/>
    </w:pPr>
    <w:rPr>
      <w:sz w:val="24"/>
      <w:szCs w:val="20"/>
    </w:rPr>
  </w:style>
  <w:style w:type="paragraph" w:customStyle="1" w:styleId="46">
    <w:name w:val="表号题注"/>
    <w:basedOn w:val="1"/>
    <w:qFormat/>
    <w:uiPriority w:val="0"/>
    <w:pPr>
      <w:spacing w:line="360" w:lineRule="auto"/>
    </w:pPr>
    <w:rPr>
      <w:rFonts w:hAnsi="宋体"/>
      <w:color w:val="000000"/>
      <w:kern w:val="0"/>
      <w:sz w:val="20"/>
      <w:lang w:bidi="en-US"/>
    </w:rPr>
  </w:style>
  <w:style w:type="character" w:customStyle="1" w:styleId="47">
    <w:name w:val="表头 Char"/>
    <w:link w:val="48"/>
    <w:qFormat/>
    <w:uiPriority w:val="0"/>
    <w:rPr>
      <w:rFonts w:ascii="仿宋_GB2312" w:eastAsia="仿宋_GB2312"/>
      <w:kern w:val="0"/>
      <w:sz w:val="24"/>
    </w:rPr>
  </w:style>
  <w:style w:type="paragraph" w:customStyle="1" w:styleId="48">
    <w:name w:val="表头"/>
    <w:basedOn w:val="1"/>
    <w:link w:val="47"/>
    <w:qFormat/>
    <w:uiPriority w:val="0"/>
    <w:pPr>
      <w:adjustRightInd w:val="0"/>
      <w:spacing w:before="80" w:beforeLines="0" w:beforeAutospacing="0" w:after="80" w:afterLines="0" w:afterAutospacing="0"/>
      <w:jc w:val="center"/>
      <w:textAlignment w:val="baseline"/>
    </w:pPr>
    <w:rPr>
      <w:rFonts w:ascii="仿宋_GB2312" w:eastAsia="仿宋_GB2312"/>
      <w:kern w:val="0"/>
      <w:sz w:val="24"/>
    </w:rPr>
  </w:style>
  <w:style w:type="paragraph" w:customStyle="1" w:styleId="49">
    <w:name w:val="Table Paragraph"/>
    <w:basedOn w:val="1"/>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9.jpeg"/><Relationship Id="rId63" Type="http://schemas.openxmlformats.org/officeDocument/2006/relationships/image" Target="media/image58.pn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2.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emf"/><Relationship Id="rId5" Type="http://schemas.openxmlformats.org/officeDocument/2006/relationships/image" Target="media/image1.png"/><Relationship Id="rId49" Type="http://schemas.openxmlformats.org/officeDocument/2006/relationships/oleObject" Target="embeddings/oleObject1.bin"/><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A7D4A5A-68E1-4BCE-835A-76AB36CCEF53}">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92</Pages>
  <Words>43828</Words>
  <Characters>50865</Characters>
  <Lines>1</Lines>
  <Paragraphs>1</Paragraphs>
  <TotalTime>4</TotalTime>
  <ScaleCrop>false</ScaleCrop>
  <LinksUpToDate>false</LinksUpToDate>
  <CharactersWithSpaces>51321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2023-04-20T10:38:00Z</dcterms:created>
  <dc:creator>种豆得逗丶</dc:creator>
  <cp:lastModifiedBy>空  心 </cp:lastModifiedBy>
  <dcterms:modified xsi:type="dcterms:W3CDTF">2023-09-14T02:57:54Z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3259FB95DEF94B04BE9D0C9C8596E7E7_13</vt:lpwstr>
  </property>
</Properties>
</file>